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sz w:val="20"/>
          <w:szCs w:val="20"/>
        </w:rPr>
      </w:pPr>
      <w:r>
        <w:rPr>
          <w:b/>
          <w:sz w:val="20"/>
          <w:szCs w:val="20"/>
        </w:rPr>
        <w:t xml:space="preserve">EDITAL DE PREGÃO ELETRÔNICO </w:t>
      </w:r>
      <w:r>
        <w:rPr>
          <w:b/>
          <w:sz w:val="20"/>
          <w:szCs w:val="20"/>
          <w:lang w:val="pt-BR"/>
        </w:rPr>
        <w:t>nº 181/2026</w:t>
      </w:r>
      <w:r>
        <w:rPr>
          <w:b/>
          <w:sz w:val="20"/>
          <w:szCs w:val="20"/>
        </w:rPr>
        <w:t xml:space="preserve"> </w:t>
      </w:r>
    </w:p>
    <w:p>
      <w:pPr>
        <w:pStyle w:val="BodyTextIndent"/>
        <w:widowControl w:val="false"/>
        <w:shd w:val="clear" w:color="auto" w:fill="CCCCCC"/>
        <w:overflowPunct w:val="true"/>
        <w:spacing w:lineRule="auto" w:line="240"/>
        <w:jc w:val="center"/>
        <w:rPr>
          <w:b/>
          <w:sz w:val="20"/>
          <w:szCs w:val="20"/>
          <w:lang w:val="pt-BR"/>
        </w:rPr>
      </w:pPr>
      <w:r>
        <w:rPr>
          <w:b/>
          <w:sz w:val="20"/>
          <w:szCs w:val="20"/>
          <w:lang w:val="pt-BR"/>
        </w:rPr>
        <w:t>REGISTRO DE PREÇOS</w:t>
      </w:r>
    </w:p>
    <w:p>
      <w:pPr>
        <w:pStyle w:val="BodyTextIndent"/>
        <w:widowControl w:val="false"/>
        <w:overflowPunct w:val="true"/>
        <w:spacing w:lineRule="auto" w:line="240"/>
        <w:jc w:val="center"/>
        <w:rPr>
          <w:sz w:val="20"/>
          <w:szCs w:val="20"/>
          <w:lang w:val="pt-BR"/>
        </w:rPr>
      </w:pPr>
      <w:r>
        <w:rPr>
          <w:sz w:val="20"/>
          <w:szCs w:val="20"/>
          <w:lang w:val="pt-BR"/>
        </w:rPr>
      </w:r>
    </w:p>
    <w:p>
      <w:pPr>
        <w:pStyle w:val="BodyTextIndent"/>
        <w:widowControl w:val="false"/>
        <w:overflowPunct w:val="tru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true"/>
        <w:spacing w:lineRule="auto" w:line="240"/>
        <w:jc w:val="center"/>
        <w:rPr>
          <w:sz w:val="20"/>
          <w:szCs w:val="20"/>
          <w:lang w:val="pt-BR"/>
        </w:rPr>
      </w:pPr>
      <w:r>
        <w:rPr>
          <w:sz w:val="20"/>
          <w:szCs w:val="20"/>
          <w:lang w:val="pt-BR"/>
        </w:rPr>
      </w:r>
    </w:p>
    <w:p>
      <w:pPr>
        <w:pStyle w:val="BodyTextIndent"/>
        <w:widowControl w:val="false"/>
        <w:shd w:val="clear" w:color="auto" w:fill="DDDDDD"/>
        <w:overflowPunct w:val="true"/>
        <w:spacing w:lineRule="auto" w:line="240"/>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5"/>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52.862/2026</w:t>
      </w:r>
    </w:p>
    <w:p>
      <w:pPr>
        <w:pStyle w:val="BodyTextIndent"/>
        <w:widowControl w:val="false"/>
        <w:numPr>
          <w:ilvl w:val="0"/>
          <w:numId w:val="5"/>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03/07/2026 - 08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03/07/2026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true"/>
        <w:spacing w:lineRule="auto" w:line="240"/>
        <w:ind w:firstLine="561"/>
        <w:jc w:val="lef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Objeto:</w:t>
      </w:r>
      <w:r>
        <w:rPr>
          <w:rFonts w:cs="Arial" w:ascii="Arial" w:hAnsi="Arial"/>
          <w:b/>
        </w:rPr>
        <w:t xml:space="preserve"> Registro de Preços para </w:t>
      </w:r>
      <w:r>
        <w:rPr>
          <w:rFonts w:cs="Arial" w:ascii="Arial" w:hAnsi="Arial"/>
          <w:b/>
          <w:color w:val="000000"/>
        </w:rPr>
        <w:t>fornecimento de artefatos de concreto pré-moldados</w:t>
      </w:r>
    </w:p>
    <w:p>
      <w:pPr>
        <w:pStyle w:val="Normal"/>
        <w:numPr>
          <w:ilvl w:val="0"/>
          <w:numId w:val="0"/>
        </w:numPr>
        <w:tabs>
          <w:tab w:val="clear" w:pos="709"/>
          <w:tab w:val="left" w:pos="284" w:leader="none"/>
        </w:tabs>
        <w:ind w:hanging="0" w:left="0"/>
        <w:jc w:val="both"/>
        <w:rPr>
          <w:rFonts w:ascii="Arial" w:hAnsi="Arial" w:cs="Arial"/>
          <w:b/>
        </w:rPr>
      </w:pPr>
      <w:r>
        <w:rPr>
          <w:rFonts w:cs="Arial" w:ascii="Arial" w:hAnsi="Arial"/>
          <w:b/>
          <w:bCs/>
        </w:rPr>
        <w:t xml:space="preserve">b) </w:t>
      </w:r>
      <w:r>
        <w:rPr>
          <w:rFonts w:cs="Arial" w:ascii="Arial" w:hAnsi="Arial"/>
        </w:rPr>
        <w:t xml:space="preserve">Unidade Requisitante: </w:t>
      </w:r>
      <w:r>
        <w:rPr>
          <w:rFonts w:cs="Arial" w:ascii="Arial" w:hAnsi="Arial"/>
          <w:b/>
          <w:color w:val="000000"/>
        </w:rPr>
        <w:t>Secretaria Municipal de Obras, Infraestrutura e Serviços Públicos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c) </w:t>
      </w:r>
      <w:r>
        <w:rPr>
          <w:rFonts w:cs="Arial" w:ascii="Arial" w:hAnsi="Arial"/>
        </w:rPr>
        <w:t xml:space="preserve">Fonte de recursos: </w:t>
      </w:r>
      <w:r>
        <w:rPr>
          <w:rFonts w:cs="Arial" w:ascii="Arial" w:hAnsi="Arial"/>
          <w:color w:val="000000"/>
        </w:rPr>
        <w:t>Tesouro: 0101011000 - Dotação orçamentária: 15.451.006.1095.0000</w:t>
      </w:r>
    </w:p>
    <w:p>
      <w:pPr>
        <w:pStyle w:val="Normal"/>
        <w:numPr>
          <w:ilvl w:val="0"/>
          <w:numId w:val="0"/>
        </w:numPr>
        <w:tabs>
          <w:tab w:val="clear" w:pos="709"/>
          <w:tab w:val="left" w:pos="284" w:leader="none"/>
        </w:tabs>
        <w:ind w:hanging="0" w:left="0"/>
        <w:jc w:val="both"/>
        <w:rPr>
          <w:rFonts w:ascii="Arial" w:hAnsi="Arial" w:cs="Arial"/>
          <w:b/>
        </w:rPr>
      </w:pPr>
      <w:r>
        <w:rPr>
          <w:rFonts w:cs="Arial" w:ascii="Arial" w:hAnsi="Arial"/>
          <w:b/>
          <w:bCs/>
        </w:rPr>
        <w:t xml:space="preserve">d) </w:t>
      </w:r>
      <w:r>
        <w:rPr>
          <w:rFonts w:cs="Arial" w:ascii="Arial" w:hAnsi="Arial"/>
        </w:rPr>
        <w:t xml:space="preserve">Valor estimado da contratação: </w:t>
      </w:r>
      <w:r>
        <w:rPr>
          <w:rFonts w:cs="Arial" w:ascii="Arial" w:hAnsi="Arial"/>
          <w:b/>
        </w:rPr>
        <w:t xml:space="preserve">R$ </w:t>
      </w:r>
      <w:r>
        <w:rPr>
          <w:rFonts w:cs="Arial" w:ascii="Arial" w:hAnsi="Arial"/>
          <w:b/>
          <w:color w:val="000000"/>
        </w:rPr>
        <w:t>1.016.813,32 (um milhão, dezesseis mil, oitocentos e treze reais e trinta e dois centavos)</w:t>
      </w:r>
      <w:r>
        <w:rPr>
          <w:rFonts w:cs="Arial" w:ascii="Arial" w:hAnsi="Arial"/>
          <w:b/>
        </w:rPr>
        <w:t>.</w:t>
      </w:r>
    </w:p>
    <w:p>
      <w:pPr>
        <w:pStyle w:val="Normal"/>
        <w:numPr>
          <w:ilvl w:val="0"/>
          <w:numId w:val="52"/>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6"/>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b/>
          <w:bCs/>
        </w:rPr>
        <w:t>São reservados a Microempresas e Empresas de Pequeno Porte os itens 04 ao 13.</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 xml:space="preserve">Prazo de validade: </w:t>
      </w:r>
      <w:r>
        <w:rPr>
          <w:rFonts w:cs="Arial" w:ascii="Arial" w:hAnsi="Arial"/>
          <w:b/>
          <w:bCs/>
        </w:rPr>
        <w:t>90 (noventa) dias</w:t>
      </w:r>
      <w:r>
        <w:rPr>
          <w:rFonts w:cs="Arial" w:ascii="Arial" w:hAnsi="Arial"/>
        </w:rPr>
        <w:t>.</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b) </w:t>
      </w:r>
      <w:r>
        <w:rPr>
          <w:rFonts w:cs="Arial" w:ascii="Arial" w:hAnsi="Arial"/>
        </w:rPr>
        <w:t>Prazo de pagamento: 15 (quinze) dias úteis, contados da data do recebimento da nota fiscal, em atendimento ao Decreto Municipal Nº 17.640/18.</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c) </w:t>
      </w: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e a </w:t>
      </w:r>
      <w:r>
        <w:rPr>
          <w:rFonts w:cs="Arial" w:ascii="Arial" w:hAnsi="Arial"/>
          <w:b/>
        </w:rPr>
        <w:t>marca do fabricante</w:t>
      </w:r>
      <w:r>
        <w:rPr>
          <w:rFonts w:cs="Arial" w:ascii="Arial" w:hAnsi="Arial"/>
        </w:rPr>
        <w:t xml:space="preserve"> do produto cotado, sendo admitida apenas uma marca por item.</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d) </w:t>
      </w: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53"/>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numPr>
          <w:ilvl w:val="0"/>
          <w:numId w:val="0"/>
        </w:numPr>
        <w:tabs>
          <w:tab w:val="clear" w:pos="709"/>
          <w:tab w:val="left" w:pos="284" w:leader="none"/>
        </w:tabs>
        <w:ind w:hanging="0" w:left="0"/>
        <w:jc w:val="both"/>
        <w:rPr>
          <w:rFonts w:ascii="Arial" w:hAnsi="Arial" w:eastAsia="Arial" w:cs="Arial"/>
        </w:rPr>
      </w:pPr>
      <w:r>
        <w:rPr>
          <w:rFonts w:cs="Arial" w:ascii="Arial" w:hAnsi="Arial"/>
          <w:b/>
          <w:bCs/>
        </w:rPr>
        <w:t xml:space="preserve">e) </w:t>
      </w:r>
      <w:r>
        <w:rPr>
          <w:rFonts w:cs="Arial" w:ascii="Arial" w:hAnsi="Arial"/>
        </w:rPr>
        <w:t>Especificações e quantidades:</w:t>
      </w:r>
    </w:p>
    <w:p>
      <w:pPr>
        <w:pStyle w:val="Normal"/>
        <w:numPr>
          <w:ilvl w:val="0"/>
          <w:numId w:val="0"/>
        </w:numPr>
        <w:tabs>
          <w:tab w:val="clear" w:pos="709"/>
          <w:tab w:val="left" w:pos="284" w:leader="none"/>
        </w:tabs>
        <w:ind w:hanging="0" w:left="0"/>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COTA PRINCIPAL</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989"/>
        <w:gridCol w:w="7230"/>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Cs w:val="18"/>
              </w:rPr>
              <w:t>180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Tubo concreto armado de sessão circular PA2 DN 1000 mm integralmente de acordo com a NBR 8890 com comprimento de 1,5 m</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02</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Cs w:val="18"/>
              </w:rPr>
              <w:t>75</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Tubo concreto armado de sessão circular PA2 DN 1200 mm integralmente de acordo com a NBR 8890 com comprimento de 1,5 m</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03</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Cs w:val="18"/>
              </w:rPr>
              <w:t>105</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Tubo concreto armado de sessão circular PA2 DN 1500 mm integralmente de acordo com a NBR 8890 com comprimento de 1,5 m</w:t>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r>
    </w:p>
    <w:p>
      <w:pPr>
        <w:pStyle w:val="Normal"/>
        <w:tabs>
          <w:tab w:val="clear" w:pos="709"/>
          <w:tab w:val="left" w:pos="284" w:leader="none"/>
        </w:tabs>
        <w:jc w:val="center"/>
        <w:rPr>
          <w:rFonts w:ascii="Arial" w:hAnsi="Arial" w:eastAsia="Arial" w:cs="Arial"/>
          <w:b/>
        </w:rPr>
      </w:pPr>
      <w:r>
        <w:rPr>
          <w:rFonts w:eastAsia="Arial" w:cs="Arial" w:ascii="Arial" w:hAnsi="Arial"/>
          <w:b/>
        </w:rPr>
        <w:t>ITENS EXCLUSIVOS ME/EPP</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989"/>
        <w:gridCol w:w="7230"/>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04</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color w:val="000000"/>
                <w:szCs w:val="18"/>
              </w:rPr>
              <w:t>500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Guia pré moldada de concreto (fck + ou – 25mpa), com dimensões de 100cm de comprimento, 30cm altura e 12 cm de largura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05</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color w:val="000000"/>
                <w:szCs w:val="18"/>
              </w:rPr>
              <w:t>15</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Boca de lobo de concreto c=1,00m; l=0,50m; h=0,55; com grade de ferro articulada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06</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color w:val="000000"/>
                <w:szCs w:val="18"/>
              </w:rPr>
              <w:t>10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Boca de lobo de concreto c=2,00m; l=0,50m; h=0,55; com grade de ferro articulada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07</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color w:val="000000"/>
                <w:szCs w:val="18"/>
              </w:rPr>
              <w:t>20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Boca de lobo de concreto c=1,30m; l=0,50m; h=0,55; com grade de ferro articulada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08</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color w:val="000000"/>
                <w:szCs w:val="18"/>
              </w:rPr>
              <w:t>50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Conexão de concreto Øext=1,00m, Øint= 0,85m, h=0,70m, e=0,07m, com fundo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09</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color w:val="000000"/>
                <w:szCs w:val="18"/>
              </w:rPr>
              <w:t>100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color w:val="000000"/>
                <w:szCs w:val="18"/>
              </w:rPr>
              <w:t>Anel pré – moldado de concreto Øext= 120m, Øint= 1,10m, h=0,50, e=0,05m</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10</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color w:val="000000"/>
                <w:szCs w:val="18"/>
              </w:rPr>
              <w:t>100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Cone pré – moldado de concreto Øext= 1,30m, h=0,50m, para tampão TD600</w:t>
            </w:r>
          </w:p>
        </w:tc>
      </w:tr>
    </w:tbl>
    <w:p>
      <w:pPr>
        <w:pStyle w:val="Normal"/>
        <w:tabs>
          <w:tab w:val="clear" w:pos="709"/>
          <w:tab w:val="left" w:pos="3888" w:leader="none"/>
        </w:tabs>
        <w:jc w:val="both"/>
        <w:rPr>
          <w:rFonts w:ascii="Arial" w:hAnsi="Arial" w:eastAsia="Arial" w:cs="Arial"/>
          <w:sz w:val="10"/>
          <w:szCs w:val="10"/>
        </w:rPr>
      </w:pPr>
      <w:r>
        <w:rPr>
          <w:rFonts w:eastAsia="Arial" w:cs="Arial" w:ascii="Arial" w:hAnsi="Arial"/>
        </w:rPr>
        <w:tab/>
      </w:r>
    </w:p>
    <w:p>
      <w:pPr>
        <w:pStyle w:val="Normal"/>
        <w:tabs>
          <w:tab w:val="clear" w:pos="709"/>
          <w:tab w:val="left" w:pos="284" w:leader="none"/>
        </w:tabs>
        <w:jc w:val="center"/>
        <w:rPr>
          <w:rFonts w:ascii="Arial" w:hAnsi="Arial" w:eastAsia="Arial" w:cs="Arial"/>
          <w:b/>
          <w:bCs/>
        </w:rPr>
      </w:pPr>
      <w:r>
        <w:rPr>
          <w:rFonts w:eastAsia="Arial" w:cs="Arial" w:ascii="Arial" w:hAnsi="Arial"/>
          <w:b/>
          <w:bCs/>
        </w:rPr>
      </w:r>
    </w:p>
    <w:p>
      <w:pPr>
        <w:pStyle w:val="Normal"/>
        <w:tabs>
          <w:tab w:val="clear" w:pos="709"/>
          <w:tab w:val="left" w:pos="284" w:leader="none"/>
        </w:tabs>
        <w:jc w:val="center"/>
        <w:rPr>
          <w:rFonts w:ascii="Arial" w:hAnsi="Arial" w:eastAsia="Arial" w:cs="Arial"/>
          <w:b/>
          <w:bCs/>
        </w:rPr>
      </w:pPr>
      <w:r>
        <w:rPr>
          <w:rFonts w:eastAsia="Arial" w:cs="Arial" w:ascii="Arial" w:hAnsi="Arial"/>
          <w:b/>
          <w:bCs/>
        </w:rPr>
      </w:r>
    </w:p>
    <w:p>
      <w:pPr>
        <w:pStyle w:val="Normal"/>
        <w:tabs>
          <w:tab w:val="clear" w:pos="709"/>
          <w:tab w:val="left" w:pos="284" w:leader="none"/>
        </w:tabs>
        <w:jc w:val="center"/>
        <w:rPr>
          <w:rFonts w:ascii="Arial" w:hAnsi="Arial" w:eastAsia="Arial" w:cs="Arial"/>
          <w:b/>
          <w:bCs/>
        </w:rPr>
      </w:pPr>
      <w:r>
        <w:rPr>
          <w:rFonts w:cs="Arial" w:ascii="Arial" w:hAnsi="Arial"/>
          <w:b/>
          <w:bCs/>
        </w:rPr>
        <w:t>COTA RESERVADA ME/EPP</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989"/>
        <w:gridCol w:w="7230"/>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b/>
              </w:rPr>
              <w:t>11</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Cs w:val="18"/>
              </w:rPr>
              <w:t>60</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Tubo concreto armado de sessão circular PA2 DN 1000 mm integralmente de acordo com a NBR 8890 com comprimento de 1,5 m</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b/>
              </w:rPr>
              <w:t>12</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Cs w:val="18"/>
              </w:rPr>
              <w:t>25</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Tubo concreto armado de sessão circular PA2 DN 1200 mm integralmente de acordo com a NBR 8890 com comprimento de 1,5 m</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b/>
              </w:rPr>
              <w:t>13</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ascii="Arial" w:hAnsi="Arial"/>
                <w:szCs w:val="18"/>
              </w:rPr>
              <w:t>35</w:t>
            </w:r>
          </w:p>
        </w:tc>
        <w:tc>
          <w:tcPr>
            <w:tcW w:w="989"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szCs w:val="18"/>
              </w:rPr>
              <w:t>Unidade</w:t>
            </w:r>
          </w:p>
        </w:tc>
        <w:tc>
          <w:tcPr>
            <w:tcW w:w="7230"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ascii="Arial" w:hAnsi="Arial"/>
                <w:szCs w:val="18"/>
              </w:rPr>
              <w:t>Tubo concreto armado de sessão circular PA2 DN 1500 mm integralmente de acordo com a NBR 8890 com comprimento de 1,5 m</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AMOSTRA: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 xml:space="preserve">Exclusivamente em relação aos itens </w:t>
      </w:r>
      <w:r>
        <w:rPr>
          <w:rFonts w:cs="Arial" w:ascii="Arial" w:hAnsi="Arial"/>
          <w:b/>
        </w:rPr>
        <w:t>01, 02, 03, 05, 06, 07, 08, 09, 10, 11, 12 e 13</w:t>
      </w:r>
      <w:r>
        <w:rPr>
          <w:rFonts w:cs="Arial" w:ascii="Arial" w:hAnsi="Arial"/>
        </w:rPr>
        <w:t>, a Unidade Requisitante se reserva o direito de solicitar amostra para análise de compatibilidade das medidas dos materiais ofertados aos requisitos técnicos de referência, devendo ser entregues no prazo máximo de até 5 (cinco) dias úteis a contar da data da convocação.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b) </w:t>
      </w:r>
      <w:r>
        <w:rPr>
          <w:rFonts w:cs="Arial" w:ascii="Arial" w:hAnsi="Arial"/>
        </w:rPr>
        <w:t xml:space="preserve">Local e horário de entrega: </w:t>
      </w:r>
    </w:p>
    <w:p>
      <w:pPr>
        <w:pStyle w:val="Normal"/>
        <w:tabs>
          <w:tab w:val="clear" w:pos="709"/>
          <w:tab w:val="left" w:pos="284" w:leader="none"/>
        </w:tabs>
        <w:ind w:firstLine="284"/>
        <w:jc w:val="both"/>
        <w:rPr>
          <w:rFonts w:ascii="Arial" w:hAnsi="Arial" w:cs="Arial"/>
        </w:rPr>
      </w:pPr>
      <w:r>
        <w:rPr>
          <w:rFonts w:cs="Arial" w:ascii="Arial" w:hAnsi="Arial"/>
          <w:b/>
          <w:color w:val="000000"/>
        </w:rPr>
        <w:t>Secretaria Municipal de Obras, Infraestrutura e Serviços Públicos</w:t>
      </w:r>
    </w:p>
    <w:p>
      <w:pPr>
        <w:pStyle w:val="Normal"/>
        <w:tabs>
          <w:tab w:val="clear" w:pos="709"/>
          <w:tab w:val="left" w:pos="284" w:leader="none"/>
        </w:tabs>
        <w:ind w:firstLine="284"/>
        <w:jc w:val="both"/>
        <w:rPr>
          <w:rFonts w:ascii="Arial" w:hAnsi="Arial" w:cs="Arial"/>
          <w:b/>
        </w:rPr>
      </w:pPr>
      <w:r>
        <w:rPr>
          <w:rFonts w:cs="Arial" w:ascii="Arial" w:hAnsi="Arial"/>
          <w:b/>
        </w:rPr>
        <w:t xml:space="preserve">Avenida Cristóvão Colombo, 1900, Algodoal – Piracicaba/SP. </w:t>
      </w:r>
    </w:p>
    <w:p>
      <w:pPr>
        <w:pStyle w:val="Normal"/>
        <w:tabs>
          <w:tab w:val="clear" w:pos="709"/>
          <w:tab w:val="left" w:pos="284" w:leader="none"/>
        </w:tabs>
        <w:ind w:firstLine="284"/>
        <w:jc w:val="both"/>
        <w:rPr>
          <w:rFonts w:ascii="Arial" w:hAnsi="Arial" w:cs="Arial"/>
          <w:b/>
        </w:rPr>
      </w:pPr>
      <w:r>
        <w:rPr>
          <w:rFonts w:cs="Arial" w:ascii="Arial" w:hAnsi="Arial"/>
          <w:b/>
        </w:rPr>
        <w:t>Horários de entrega: das segundas às sextas das 08:00 às 10:00 e das 13:00 às 15:00</w:t>
      </w:r>
    </w:p>
    <w:p>
      <w:pPr>
        <w:pStyle w:val="Normal"/>
        <w:jc w:val="both"/>
        <w:rPr>
          <w:rFonts w:ascii="Arial" w:hAnsi="Arial" w:cs="Arial"/>
          <w:b/>
        </w:rPr>
      </w:pPr>
      <w:r>
        <w:rPr>
          <w:rFonts w:cs="Arial" w:ascii="Arial" w:hAnsi="Arial"/>
          <w:b/>
        </w:rPr>
      </w:r>
    </w:p>
    <w:p>
      <w:pPr>
        <w:pStyle w:val="Normal"/>
        <w:jc w:val="both"/>
        <w:rPr>
          <w:rFonts w:ascii="Arial" w:hAnsi="Arial" w:cs="Arial"/>
          <w:b/>
        </w:rPr>
      </w:pPr>
      <w:r>
        <w:rPr>
          <w:rFonts w:cs="Arial" w:ascii="Arial" w:hAnsi="Arial"/>
          <w:b/>
        </w:rPr>
        <w:t xml:space="preserve">Justificativa: </w:t>
      </w:r>
      <w:r>
        <w:rPr>
          <w:rFonts w:cs="Arial" w:ascii="Arial" w:hAnsi="Arial"/>
        </w:rPr>
        <w:t>para análise de compatibilidade das medidas dos materiais ofertados aos requisitos técnicos de referência.</w:t>
      </w:r>
    </w:p>
    <w:p>
      <w:pPr>
        <w:pStyle w:val="Normal"/>
        <w:tabs>
          <w:tab w:val="clear" w:pos="709"/>
          <w:tab w:val="left" w:pos="284" w:leader="none"/>
        </w:tabs>
        <w:ind w:left="720"/>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6. DA ENTREGA:</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b/>
          <w:bCs/>
          <w:lang w:eastAsia="pt-BR"/>
        </w:rPr>
        <w:t xml:space="preserve">a) </w:t>
      </w:r>
      <w:r>
        <w:rPr>
          <w:rFonts w:cs="Arial" w:ascii="Arial" w:hAnsi="Arial"/>
          <w:lang w:eastAsia="pt-BR"/>
        </w:rPr>
        <w:t xml:space="preserve">Prazo de entrega: </w:t>
      </w:r>
      <w:r>
        <w:rPr>
          <w:rFonts w:cs="Arial" w:ascii="Arial" w:hAnsi="Arial"/>
          <w:color w:val="000000"/>
        </w:rPr>
        <w:t>Até o máximo de</w:t>
      </w:r>
      <w:r>
        <w:rPr>
          <w:rFonts w:cs="Arial" w:ascii="Arial" w:hAnsi="Arial"/>
          <w:b/>
          <w:bCs/>
          <w:color w:val="000000"/>
        </w:rPr>
        <w:t xml:space="preserve"> 20 (vinte) dias úteis</w:t>
      </w:r>
      <w:r>
        <w:rPr>
          <w:rFonts w:cs="Arial" w:ascii="Arial" w:hAnsi="Arial"/>
          <w:color w:val="000000"/>
        </w:rPr>
        <w:t>, a contar da Ordem de Fornecimento, emitida pela Unidade Requisitante</w:t>
      </w:r>
      <w:r>
        <w:rPr>
          <w:rFonts w:cs="Arial" w:ascii="Arial" w:hAnsi="Arial"/>
          <w:lang w:eastAsia="pt-BR"/>
        </w:rPr>
        <w:t>.</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lang w:eastAsia="pt-BR"/>
        </w:rPr>
        <w:t xml:space="preserve">b) </w:t>
      </w:r>
      <w:r>
        <w:rPr>
          <w:rFonts w:cs="Arial" w:ascii="Arial" w:hAnsi="Arial"/>
          <w:lang w:eastAsia="pt-BR"/>
        </w:rPr>
        <w:t xml:space="preserve">Local de entrega: </w:t>
      </w:r>
    </w:p>
    <w:p>
      <w:pPr>
        <w:pStyle w:val="Normal"/>
        <w:tabs>
          <w:tab w:val="clear" w:pos="709"/>
          <w:tab w:val="left" w:pos="284" w:leader="none"/>
        </w:tabs>
        <w:ind w:firstLine="284"/>
        <w:jc w:val="both"/>
        <w:rPr>
          <w:rFonts w:ascii="Arial" w:hAnsi="Arial" w:cs="Arial"/>
          <w:b/>
        </w:rPr>
      </w:pPr>
      <w:r>
        <w:rPr>
          <w:rFonts w:cs="Arial" w:ascii="Arial" w:hAnsi="Arial"/>
          <w:b/>
          <w:color w:val="000000"/>
        </w:rPr>
        <w:t>Secretaria Municipal de Obras, Infraestrutura e Serviços Públicos, Setor de Almoxarifado</w:t>
      </w:r>
    </w:p>
    <w:p>
      <w:pPr>
        <w:pStyle w:val="ListParagraph"/>
        <w:spacing w:lineRule="auto" w:line="240" w:before="0" w:after="0"/>
        <w:ind w:firstLine="284" w:left="0"/>
        <w:jc w:val="both"/>
        <w:rPr>
          <w:b/>
          <w:color w:val="000000"/>
          <w:sz w:val="20"/>
          <w:szCs w:val="20"/>
        </w:rPr>
      </w:pPr>
      <w:r>
        <w:rPr>
          <w:rFonts w:cs="Arial" w:ascii="Arial" w:hAnsi="Arial"/>
          <w:b/>
          <w:color w:val="000000"/>
          <w:sz w:val="20"/>
          <w:szCs w:val="20"/>
        </w:rPr>
        <w:t xml:space="preserve">Avenida Cristóvão Colombo, nº 1900 Bairro Algodoal </w:t>
      </w:r>
    </w:p>
    <w:p>
      <w:pPr>
        <w:pStyle w:val="ListParagraph"/>
        <w:tabs>
          <w:tab w:val="clear" w:pos="709"/>
          <w:tab w:val="left" w:pos="284" w:leader="none"/>
        </w:tabs>
        <w:spacing w:lineRule="auto" w:line="240" w:before="0" w:after="0"/>
        <w:ind w:firstLine="284" w:left="0"/>
        <w:jc w:val="both"/>
        <w:rPr>
          <w:rFonts w:ascii="Arial" w:hAnsi="Arial" w:cs="Arial"/>
          <w:b/>
          <w:sz w:val="20"/>
          <w:szCs w:val="20"/>
        </w:rPr>
      </w:pPr>
      <w:r>
        <w:rPr>
          <w:rFonts w:cs="Arial" w:ascii="Arial" w:hAnsi="Arial"/>
          <w:b/>
          <w:color w:val="000000"/>
          <w:sz w:val="20"/>
          <w:szCs w:val="20"/>
        </w:rPr>
        <w:t>Horário de entrega: das 08:00 às 10:00 horas e das 13:00 às 15:00, de segunda a sexta-feira</w:t>
      </w:r>
    </w:p>
    <w:p>
      <w:pPr>
        <w:pStyle w:val="Normal"/>
        <w:keepLines/>
        <w:numPr>
          <w:ilvl w:val="0"/>
          <w:numId w:val="0"/>
        </w:numPr>
        <w:tabs>
          <w:tab w:val="clear" w:pos="709"/>
          <w:tab w:val="left" w:pos="284" w:leader="none"/>
        </w:tabs>
        <w:ind w:hanging="0" w:left="0"/>
        <w:jc w:val="both"/>
        <w:rPr>
          <w:rFonts w:ascii="Arial" w:hAnsi="Arial" w:cs="Arial"/>
        </w:rPr>
      </w:pPr>
      <w:r>
        <w:rPr>
          <w:rFonts w:cs="Arial" w:ascii="Arial" w:hAnsi="Arial"/>
          <w:b/>
          <w:bCs/>
          <w:color w:val="000000"/>
        </w:rPr>
        <w:t xml:space="preserve">c) </w:t>
      </w:r>
      <w:r>
        <w:rPr>
          <w:rFonts w:cs="Arial" w:ascii="Arial" w:hAnsi="Arial"/>
          <w:color w:val="000000"/>
        </w:rPr>
        <w:t>A Contratada será responsável pelo transporte e descarregamento do produto, devendo entregá-los em condições adequadas para o armazenamento, em local específico a ser indicado por servidor designado pela Unidade Requisitante</w:t>
      </w: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keepLines/>
        <w:numPr>
          <w:ilvl w:val="0"/>
          <w:numId w:val="0"/>
        </w:numPr>
        <w:tabs>
          <w:tab w:val="clear" w:pos="709"/>
          <w:tab w:val="left" w:pos="284" w:leader="none"/>
        </w:tabs>
        <w:ind w:hanging="0" w:left="0"/>
        <w:jc w:val="both"/>
        <w:rPr>
          <w:rFonts w:ascii="Arial" w:hAnsi="Arial" w:cs="Arial"/>
        </w:rPr>
      </w:pPr>
      <w:r>
        <w:rPr>
          <w:rFonts w:cs="Arial" w:ascii="Arial" w:hAnsi="Arial"/>
          <w:b/>
          <w:bCs/>
          <w:color w:val="000000"/>
        </w:rPr>
        <w:t xml:space="preserve">d) </w:t>
      </w:r>
      <w:r>
        <w:rPr>
          <w:rFonts w:cs="Arial" w:ascii="Arial" w:hAnsi="Arial"/>
          <w:color w:val="000000"/>
        </w:rPr>
        <w:t>A Contratada deverá possuir os recursos materiais e de pessoal para realização da descarga dos materiais, estando sob sua responsabilidade a ocorrência de avarias nos produtos inclusive no ato da entrega, que poderá, nesse caso, ser rejeitada parcialmente ou completamente pela Unidade Requisitante</w:t>
      </w:r>
    </w:p>
    <w:p>
      <w:pPr>
        <w:pStyle w:val="Normal"/>
        <w:keepLines/>
        <w:numPr>
          <w:ilvl w:val="0"/>
          <w:numId w:val="0"/>
        </w:numPr>
        <w:tabs>
          <w:tab w:val="clear" w:pos="709"/>
          <w:tab w:val="left" w:pos="284" w:leader="none"/>
        </w:tabs>
        <w:ind w:hanging="0" w:left="0"/>
        <w:jc w:val="both"/>
        <w:rPr>
          <w:rFonts w:ascii="Arial" w:hAnsi="Arial" w:cs="Arial"/>
        </w:rPr>
      </w:pPr>
      <w:r>
        <w:rPr>
          <w:rFonts w:cs="Arial" w:ascii="Arial" w:hAnsi="Arial"/>
          <w:b/>
          <w:bCs/>
          <w:color w:val="000000"/>
        </w:rPr>
        <w:t xml:space="preserve">e) </w:t>
      </w:r>
      <w:r>
        <w:rPr>
          <w:rFonts w:cs="Arial" w:ascii="Arial" w:hAnsi="Arial"/>
          <w:color w:val="000000"/>
        </w:rPr>
        <w:t>Serão rejeitados os produtos entregues que possuam as seguintes características:</w:t>
      </w:r>
    </w:p>
    <w:p>
      <w:pPr>
        <w:pStyle w:val="Normal"/>
        <w:numPr>
          <w:ilvl w:val="1"/>
          <w:numId w:val="54"/>
        </w:numPr>
        <w:jc w:val="both"/>
        <w:rPr>
          <w:color w:val="000000"/>
        </w:rPr>
      </w:pPr>
      <w:r>
        <w:rPr>
          <w:rFonts w:cs="Arial" w:ascii="Arial" w:hAnsi="Arial"/>
          <w:color w:val="000000"/>
        </w:rPr>
        <w:t xml:space="preserve">Peças que contenham fissuras, superfícies porosas, deformidades, armações visíveis ou fibras salientes nas superfícies internas; </w:t>
      </w:r>
    </w:p>
    <w:p>
      <w:pPr>
        <w:pStyle w:val="Normal"/>
        <w:numPr>
          <w:ilvl w:val="1"/>
          <w:numId w:val="55"/>
        </w:numPr>
        <w:jc w:val="both"/>
        <w:rPr>
          <w:color w:val="000000"/>
        </w:rPr>
      </w:pPr>
      <w:r>
        <w:rPr>
          <w:rFonts w:cs="Arial" w:ascii="Arial" w:hAnsi="Arial"/>
          <w:color w:val="000000"/>
        </w:rPr>
        <w:t xml:space="preserve">Peças em que se verifique a presença de retoques, seja com cimento ou outros materiais, que não serão admitidos; </w:t>
      </w:r>
    </w:p>
    <w:p>
      <w:pPr>
        <w:pStyle w:val="Normal"/>
        <w:numPr>
          <w:ilvl w:val="1"/>
          <w:numId w:val="56"/>
        </w:numPr>
        <w:jc w:val="both"/>
        <w:rPr>
          <w:color w:val="000000"/>
        </w:rPr>
      </w:pPr>
      <w:r>
        <w:rPr>
          <w:rFonts w:cs="Arial" w:ascii="Arial" w:hAnsi="Arial"/>
          <w:color w:val="000000"/>
        </w:rPr>
        <w:t xml:space="preserve">Peças em que se verifique a presença de bolhas ou furos superficiais, não sendo admitidos defeitos desse tipo com diâmetro e profundidade maiores que 1 mm e 5 mm, respectivamente; </w:t>
      </w:r>
    </w:p>
    <w:p>
      <w:pPr>
        <w:pStyle w:val="Normal"/>
        <w:keepLines/>
        <w:tabs>
          <w:tab w:val="clear" w:pos="709"/>
          <w:tab w:val="left" w:pos="284" w:leader="none"/>
        </w:tabs>
        <w:jc w:val="both"/>
        <w:rPr>
          <w:rFonts w:ascii="Arial" w:hAnsi="Arial" w:cs="Arial"/>
          <w:color w:val="000000"/>
        </w:rPr>
      </w:pPr>
      <w:r>
        <w:rPr>
          <w:rFonts w:cs="Arial" w:ascii="Arial" w:hAnsi="Arial"/>
          <w:color w:val="000000"/>
        </w:rPr>
        <w:t>Peças em que se verifique a existência de desconformidades em geral quanto às especificações técnicas gerais contidas no termo de referência, ou ainda quanto às normas técnicas aplicáveis, quando exigidas no edital.</w:t>
      </w:r>
    </w:p>
    <w:p>
      <w:pPr>
        <w:pStyle w:val="Normal"/>
        <w:keepLines/>
        <w:numPr>
          <w:ilvl w:val="0"/>
          <w:numId w:val="57"/>
        </w:numPr>
        <w:tabs>
          <w:tab w:val="clear" w:pos="709"/>
          <w:tab w:val="left" w:pos="284" w:leader="none"/>
        </w:tabs>
        <w:jc w:val="both"/>
        <w:rPr>
          <w:rFonts w:ascii="Arial" w:hAnsi="Arial" w:cs="Arial"/>
        </w:rPr>
      </w:pPr>
      <w:r>
        <w:rPr>
          <w:rFonts w:cs="Arial" w:ascii="Arial" w:hAnsi="Arial"/>
          <w:color w:val="000000"/>
        </w:rPr>
        <w:t>Os produtos a serem entregues deverão ser dos mesmos fabricantes, marcas ou modelos ofertados na proposta, quando aplicável.</w:t>
      </w:r>
    </w:p>
    <w:p>
      <w:pPr>
        <w:pStyle w:val="Normal"/>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GARANTIA</w:t>
      </w:r>
      <w:r>
        <w:rPr>
          <w:rFonts w:eastAsia="Arial" w:cs="Arial" w:ascii="Arial" w:hAnsi="Arial"/>
          <w:b/>
          <w:color w:val="000000"/>
        </w:rPr>
        <w:t>:</w:t>
      </w:r>
    </w:p>
    <w:p>
      <w:pPr>
        <w:pStyle w:val="Normal"/>
        <w:numPr>
          <w:ilvl w:val="0"/>
          <w:numId w:val="4"/>
        </w:numPr>
        <w:tabs>
          <w:tab w:val="clear" w:pos="709"/>
          <w:tab w:val="left" w:pos="284" w:leader="none"/>
        </w:tabs>
        <w:ind w:right="-1"/>
        <w:jc w:val="both"/>
        <w:rPr>
          <w:rFonts w:ascii="Arial" w:hAnsi="Arial" w:cs="Arial"/>
        </w:rPr>
      </w:pPr>
      <w:r>
        <w:rPr>
          <w:rFonts w:cs="Arial" w:ascii="Arial" w:hAnsi="Arial"/>
        </w:rPr>
        <w:t>A garantia deverá ser de no mínimo 90 (noventa) dias corridos, contados da data de recebimento.</w:t>
      </w:r>
    </w:p>
    <w:p>
      <w:pPr>
        <w:pStyle w:val="Normal"/>
        <w:numPr>
          <w:ilvl w:val="0"/>
          <w:numId w:val="4"/>
        </w:numPr>
        <w:tabs>
          <w:tab w:val="clear" w:pos="709"/>
          <w:tab w:val="left" w:pos="284" w:leader="none"/>
        </w:tabs>
        <w:ind w:right="-1"/>
        <w:jc w:val="both"/>
        <w:rPr>
          <w:rFonts w:ascii="Arial" w:hAnsi="Arial" w:cs="Arial"/>
        </w:rPr>
      </w:pPr>
      <w:r>
        <w:rPr>
          <w:rFonts w:cs="Arial" w:ascii="Arial" w:hAnsi="Arial"/>
        </w:rPr>
        <w:t>Durante a vigência da garantia, a contratada deverá substituir, sem nenhum ônus adicional, produtos defeituosos ou com desgaste anormal, no prazo máximo de 10 (dez) dias, a contar da notificação.</w:t>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a) </w:t>
      </w: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0"/>
        </w:numPr>
        <w:tabs>
          <w:tab w:val="clear" w:pos="709"/>
          <w:tab w:val="left" w:pos="284" w:leader="none"/>
        </w:tabs>
        <w:ind w:hanging="0" w:left="0"/>
        <w:jc w:val="both"/>
        <w:rPr>
          <w:rFonts w:ascii="Arial" w:hAnsi="Arial" w:cs="Arial"/>
          <w:color w:val="000000"/>
        </w:rPr>
      </w:pPr>
      <w:r>
        <w:rPr>
          <w:rFonts w:cs="Arial" w:ascii="Arial" w:hAnsi="Arial"/>
          <w:b/>
          <w:bCs/>
          <w:color w:val="000000"/>
        </w:rPr>
        <w:t>a) HABILITAÇÃO JURÍDICA</w:t>
      </w:r>
    </w:p>
    <w:p>
      <w:pPr>
        <w:pStyle w:val="Normal"/>
        <w:numPr>
          <w:ilvl w:val="1"/>
          <w:numId w:val="5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b) REGULARIDADE FISCAL E TRABALHISTA</w:t>
      </w:r>
    </w:p>
    <w:p>
      <w:pPr>
        <w:pStyle w:val="Normal"/>
        <w:numPr>
          <w:ilvl w:val="1"/>
          <w:numId w:val="5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0"/>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1"/>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62"/>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63"/>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64"/>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c) QUALIFICAÇÃO ECONÔMICO-FINANCEIRA</w:t>
      </w:r>
    </w:p>
    <w:p>
      <w:pPr>
        <w:pStyle w:val="Normal"/>
        <w:numPr>
          <w:ilvl w:val="1"/>
          <w:numId w:val="65"/>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66"/>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6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0"/>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1"/>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2"/>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3"/>
          <w:numId w:val="73"/>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4"/>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jc w:val="both"/>
        <w:rPr>
          <w:rFonts w:ascii="Arial" w:hAnsi="Arial" w:cs="Arial"/>
          <w:color w:val="000000"/>
        </w:rPr>
      </w:pPr>
      <w:r>
        <w:rPr>
          <w:rFonts w:cs="Arial" w:ascii="Arial" w:hAnsi="Arial"/>
          <w:color w:val="000000"/>
        </w:rPr>
      </w:r>
    </w:p>
    <w:p>
      <w:pPr>
        <w:pStyle w:val="Normal"/>
        <w:numPr>
          <w:ilvl w:val="0"/>
          <w:numId w:val="75"/>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76"/>
        </w:numPr>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Atestado(s) de capacidade técnica, expedidas por empresas Públicas ou Privadas, em nome da licitante, que comprove o fornecimento satisfatório de produtos similares ao objeto desta licitação, com identificação de quem o assinou, exclusivamente para os </w:t>
      </w:r>
      <w:r>
        <w:rPr>
          <w:rFonts w:cs="Arial" w:ascii="Arial" w:hAnsi="Arial"/>
          <w:b/>
        </w:rPr>
        <w:t>itens 01, 02, 03, 05, 06, 07, 08, 09, 10, 11, 12 e 13.</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 xml:space="preserve">Justificativa: </w:t>
      </w:r>
      <w:r>
        <w:rPr>
          <w:rFonts w:cs="Arial" w:ascii="Arial" w:hAnsi="Arial"/>
        </w:rPr>
        <w:t>A exigência de comprovação de experiência prévia é feita com o objetivo de garantir a contratação de fornecedor que tenha condições técnicas de efetivamente realizar a entrega e descarregamento, considerando a complexidade adicional na operação de descarregamento de materiais que, devido ao seu peso elevado, não podem ser descarregados à mão ou movidos com instrumentos de carga e movimentação manuais, sendo comum a utilização de máquinas para realização da descarga.</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Piracicaba, 18 de junho de 2026</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shd w:fill="FFFFFF" w:val="clear"/>
        <w:jc w:val="center"/>
        <w:rPr>
          <w:rFonts w:ascii="Arial" w:hAnsi="Arial" w:cs="Arial"/>
          <w:b/>
          <w:sz w:val="23"/>
          <w:szCs w:val="23"/>
          <w:lang w:eastAsia="pt-BR"/>
        </w:rPr>
      </w:pPr>
      <w:r>
        <w:rPr>
          <w:rFonts w:cs="Arial" w:ascii="Arial" w:hAnsi="Arial"/>
          <w:b/>
          <w:sz w:val="23"/>
          <w:szCs w:val="23"/>
          <w:lang w:eastAsia="pt-BR"/>
        </w:rPr>
        <w:t>Priscila Camargo Rodrigues Grecchi</w:t>
      </w:r>
    </w:p>
    <w:p>
      <w:pPr>
        <w:pStyle w:val="Normal"/>
        <w:jc w:val="center"/>
        <w:rPr>
          <w:rFonts w:ascii="Arial" w:hAnsi="Arial" w:cs="Arial"/>
          <w:b/>
          <w:sz w:val="23"/>
          <w:szCs w:val="23"/>
          <w:lang w:eastAsia="pt-BR"/>
        </w:rPr>
      </w:pPr>
      <w:bookmarkStart w:id="0" w:name="_GoBack_Copia_1"/>
      <w:bookmarkEnd w:id="0"/>
      <w:r>
        <w:rPr>
          <w:rFonts w:cs="Arial" w:ascii="Arial" w:hAnsi="Arial"/>
          <w:b/>
          <w:sz w:val="23"/>
          <w:szCs w:val="23"/>
          <w:lang w:eastAsia="pt-BR"/>
        </w:rPr>
        <w:t xml:space="preserve">Chefe de Divisão </w:t>
      </w:r>
    </w:p>
    <w:p>
      <w:pPr>
        <w:pStyle w:val="BodyText"/>
        <w:ind w:left="3969"/>
        <w:jc w:val="center"/>
        <w:rPr>
          <w:sz w:val="20"/>
          <w:szCs w:val="20"/>
          <w:highlight w:val="yellow"/>
        </w:rPr>
      </w:pPr>
      <w:r>
        <w:rPr>
          <w:sz w:val="20"/>
          <w:szCs w:val="20"/>
          <w:highlight w:val="yellow"/>
        </w:rPr>
      </w:r>
      <w:r>
        <w:br w:type="page"/>
      </w:r>
    </w:p>
    <w:p>
      <w:pPr>
        <w:pStyle w:val="Heading2"/>
        <w:numPr>
          <w:ilvl w:val="1"/>
          <w:numId w:val="1"/>
        </w:numPr>
        <w:tabs>
          <w:tab w:val="clear" w:pos="709"/>
        </w:tabs>
        <w:spacing w:before="0" w:after="0"/>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tab/>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color w:val="00B050"/>
        </w:rPr>
      </w:pPr>
      <w:r>
        <w:rPr>
          <w:rFonts w:cs="Arial" w:ascii="Arial" w:hAnsi="Arial"/>
          <w:strike/>
          <w:color w:val="00B050"/>
        </w:rPr>
      </w:r>
    </w:p>
    <w:p>
      <w:pPr>
        <w:pStyle w:val="Normal"/>
        <w:ind w:firstLine="284"/>
        <w:jc w:val="both"/>
        <w:rPr>
          <w:rFonts w:ascii="Arial" w:hAnsi="Arial" w:cs="Arial"/>
          <w:b/>
          <w:bCs/>
        </w:rPr>
      </w:pPr>
      <w:r>
        <w:rPr>
          <w:rFonts w:cs="Arial" w:ascii="Arial" w:hAnsi="Arial"/>
          <w:b/>
          <w:bCs/>
        </w:rPr>
        <w:t>5.2. Itens e/ou lotes reservados para ME/EPP, poderão participar exclusivamente empresas que comprovem a classificação de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tabs>
          <w:tab w:val="clear" w:pos="709"/>
          <w:tab w:val="left" w:pos="735"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ind w:firstLine="284" w:lef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true"/>
        <w:spacing w:lineRule="auto" w:line="240"/>
        <w:ind w:firstLine="284"/>
        <w:textAlignment w:val="auto"/>
        <w:rPr>
          <w:sz w:val="20"/>
          <w:szCs w:val="20"/>
          <w:lang w:val="pt-BR"/>
        </w:rPr>
      </w:pPr>
      <w:r>
        <w:rPr>
          <w:sz w:val="20"/>
          <w:szCs w:val="20"/>
          <w:lang w:val="pt-BR"/>
        </w:rPr>
      </w:r>
    </w:p>
    <w:p>
      <w:pPr>
        <w:pStyle w:val="BodyTextIndent"/>
        <w:overflowPunct w:val="tru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tru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Heading8"/>
        <w:numPr>
          <w:ilvl w:val="7"/>
          <w:numId w:val="77"/>
        </w:numPr>
        <w:ind w:firstLine="284" w:left="0"/>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spacing w:lineRule="auto" w:line="240"/>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highlight w:val="yellow"/>
        </w:rPr>
      </w:pPr>
      <w:r>
        <w:rPr>
          <w:rFonts w:cs="Arial" w:ascii="Arial" w:hAnsi="Arial"/>
          <w:color w:val="00B050"/>
        </w:rPr>
        <w:t xml:space="preserve"> </w:t>
      </w:r>
    </w:p>
    <w:p>
      <w:pPr>
        <w:pStyle w:val="Heading8"/>
        <w:numPr>
          <w:ilvl w:val="7"/>
          <w:numId w:val="78"/>
        </w:numPr>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79"/>
        </w:numPr>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80"/>
        </w:numPr>
        <w:ind w:firstLine="284" w:left="0"/>
        <w:jc w:val="both"/>
        <w:rPr>
          <w:rFonts w:ascii="Arial" w:hAnsi="Arial" w:cs="Arial"/>
        </w:rPr>
      </w:pPr>
      <w:r>
        <w:rPr>
          <w:rFonts w:cs="Arial" w:ascii="Arial" w:hAnsi="Arial"/>
        </w:rPr>
      </w:r>
    </w:p>
    <w:p>
      <w:pPr>
        <w:pStyle w:val="Normal"/>
        <w:numPr>
          <w:ilvl w:val="0"/>
          <w:numId w:val="81"/>
        </w:numPr>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82"/>
        </w:numPr>
        <w:ind w:firstLine="284" w:left="0"/>
        <w:jc w:val="both"/>
        <w:rPr>
          <w:rFonts w:ascii="Arial" w:hAnsi="Arial" w:cs="Arial"/>
        </w:rPr>
      </w:pPr>
      <w:r>
        <w:rPr>
          <w:rFonts w:cs="Arial" w:ascii="Arial" w:hAnsi="Arial"/>
        </w:rPr>
      </w:r>
    </w:p>
    <w:p>
      <w:pPr>
        <w:pStyle w:val="Normal"/>
        <w:numPr>
          <w:ilvl w:val="0"/>
          <w:numId w:val="83"/>
        </w:numPr>
        <w:tabs>
          <w:tab w:val="clear" w:pos="709"/>
        </w:tabs>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84"/>
        </w:numPr>
        <w:ind w:firstLine="284" w:left="0"/>
        <w:jc w:val="both"/>
        <w:rPr>
          <w:rFonts w:ascii="Arial" w:hAnsi="Arial" w:cs="Arial"/>
        </w:rPr>
      </w:pPr>
      <w:r>
        <w:rPr>
          <w:rFonts w:cs="Arial" w:ascii="Arial" w:hAnsi="Arial"/>
        </w:rPr>
      </w:r>
    </w:p>
    <w:p>
      <w:pPr>
        <w:pStyle w:val="Normal"/>
        <w:numPr>
          <w:ilvl w:val="0"/>
          <w:numId w:val="85"/>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86"/>
        </w:numPr>
        <w:ind w:firstLine="284" w:left="0"/>
        <w:jc w:val="both"/>
        <w:rPr>
          <w:rFonts w:ascii="Arial" w:hAnsi="Arial" w:cs="Arial"/>
        </w:rPr>
      </w:pPr>
      <w:r>
        <w:rPr>
          <w:rFonts w:cs="Arial" w:ascii="Arial" w:hAnsi="Arial"/>
        </w:rPr>
      </w:r>
    </w:p>
    <w:p>
      <w:pPr>
        <w:pStyle w:val="Normal"/>
        <w:numPr>
          <w:ilvl w:val="0"/>
          <w:numId w:val="87"/>
        </w:numPr>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88"/>
        </w:numPr>
        <w:ind w:firstLine="284" w:left="0"/>
        <w:jc w:val="both"/>
        <w:rPr>
          <w:rFonts w:ascii="Arial" w:hAnsi="Arial" w:cs="Arial"/>
        </w:rPr>
      </w:pPr>
      <w:r>
        <w:rPr>
          <w:rFonts w:cs="Arial" w:ascii="Arial" w:hAnsi="Arial"/>
        </w:rPr>
      </w:r>
    </w:p>
    <w:p>
      <w:pPr>
        <w:pStyle w:val="Normal"/>
        <w:numPr>
          <w:ilvl w:val="0"/>
          <w:numId w:val="89"/>
        </w:numPr>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90"/>
        </w:numPr>
        <w:ind w:firstLine="284" w:left="0"/>
        <w:jc w:val="both"/>
        <w:rPr>
          <w:rFonts w:ascii="Arial" w:hAnsi="Arial" w:cs="Arial"/>
        </w:rPr>
      </w:pPr>
      <w:r>
        <w:rPr>
          <w:rFonts w:cs="Arial" w:ascii="Arial" w:hAnsi="Arial"/>
        </w:rPr>
      </w:r>
    </w:p>
    <w:p>
      <w:pPr>
        <w:pStyle w:val="BodyText"/>
        <w:numPr>
          <w:ilvl w:val="0"/>
          <w:numId w:val="91"/>
        </w:numPr>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20"/>
          <w:szCs w:val="20"/>
          <w:highlight w:val="yellow"/>
        </w:rPr>
      </w:pPr>
      <w:r>
        <w:rPr>
          <w:sz w:val="20"/>
          <w:szCs w:val="20"/>
          <w:highlight w:val="yellow"/>
        </w:rPr>
      </w:r>
    </w:p>
    <w:p>
      <w:pPr>
        <w:pStyle w:val="BodyText"/>
        <w:numPr>
          <w:ilvl w:val="0"/>
          <w:numId w:val="92"/>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szCs w:val="20"/>
          <w:lang w:val="pt-BR"/>
        </w:rPr>
        <w:t>Agente de Contratação</w:t>
      </w:r>
      <w:r>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b/>
          <w:bCs/>
          <w:sz w:val="20"/>
          <w:lang w:val="pt-BR"/>
        </w:rPr>
      </w:pPr>
      <w:r>
        <w:rPr>
          <w:b/>
          <w:bCs/>
          <w:sz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11</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93"/>
        </w:numPr>
        <w:ind w:firstLine="284" w:left="0"/>
        <w:rPr>
          <w:sz w:val="20"/>
          <w:szCs w:val="20"/>
        </w:rPr>
      </w:pPr>
      <w:r>
        <w:rPr>
          <w:sz w:val="20"/>
          <w:szCs w:val="20"/>
        </w:rPr>
      </w:r>
    </w:p>
    <w:p>
      <w:pPr>
        <w:pStyle w:val="BodyText"/>
        <w:numPr>
          <w:ilvl w:val="0"/>
          <w:numId w:val="94"/>
        </w:numPr>
        <w:tabs>
          <w:tab w:val="clear" w:pos="709"/>
          <w:tab w:val="left" w:pos="284" w:leader="none"/>
        </w:tabs>
        <w:ind w:firstLine="284" w:left="0"/>
        <w:rPr>
          <w:sz w:val="20"/>
          <w:szCs w:val="20"/>
          <w:highlight w:val="yellow"/>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szCs w:val="20"/>
          <w:lang w:val="pt-BR"/>
        </w:rPr>
        <w:t>Agente de Contratação</w:t>
      </w:r>
      <w:r>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Pr>
          <w:sz w:val="20"/>
          <w:szCs w:val="20"/>
          <w:lang w:val="pt-BR"/>
        </w:rPr>
        <w:t>Agente de Contratação</w:t>
      </w:r>
      <w:r>
        <w:rPr>
          <w:sz w:val="20"/>
          <w:szCs w:val="20"/>
        </w:rPr>
        <w:t xml:space="preserve"> poderá negociar com a licitante para que seja obtido menor preço</w:t>
      </w:r>
      <w:r>
        <w:rPr>
          <w:sz w:val="20"/>
          <w:szCs w:val="20"/>
          <w:highlight w:val="yellow"/>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b/>
          <w:bCs/>
          <w:sz w:val="20"/>
          <w:szCs w:val="20"/>
          <w:lang w:val="pt-BR"/>
        </w:rPr>
        <w:t>10.13.</w:t>
      </w:r>
      <w:r>
        <w:rPr>
          <w:sz w:val="20"/>
          <w:szCs w:val="20"/>
          <w:lang w:val="pt-BR"/>
        </w:rPr>
        <w:t xml:space="preserve"> Nos pregões por cota, caso a mesma licitante vença a cota reservada e a cota principal de um mesmo item, a contratação deverá ocorrer pelo menor preço ofertado.</w:t>
      </w:r>
    </w:p>
    <w:p>
      <w:pPr>
        <w:pStyle w:val="BodyText"/>
        <w:ind w:firstLine="284"/>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u w:val="single"/>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ind w:firstLine="284"/>
        <w:jc w:val="both"/>
        <w:rPr>
          <w:rFonts w:ascii="Arial" w:hAnsi="Arial" w:cs="Arial"/>
        </w:rPr>
      </w:pPr>
      <w:r>
        <w:rPr>
          <w:rFonts w:cs="Arial" w:ascii="Arial" w:hAnsi="Arial"/>
        </w:rPr>
      </w:r>
      <w:bookmarkStart w:id="3" w:name="_Ref114668108"/>
      <w:bookmarkStart w:id="4"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4"/>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5" w:name="_Ref114668139"/>
      <w:bookmarkStart w:id="6"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7" w:name="_Ref114668249"/>
      <w:bookmarkStart w:id="8"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8"/>
    </w:p>
    <w:p>
      <w:pPr>
        <w:pStyle w:val="Normal"/>
        <w:ind w:firstLine="284"/>
        <w:jc w:val="both"/>
        <w:rPr>
          <w:rFonts w:ascii="Arial" w:hAnsi="Arial" w:cs="Arial"/>
        </w:rPr>
      </w:pPr>
      <w:r>
        <w:rPr>
          <w:rFonts w:cs="Arial" w:ascii="Arial" w:hAnsi="Arial"/>
        </w:rPr>
      </w:r>
      <w:bookmarkStart w:id="9" w:name="_Ref114668245"/>
      <w:bookmarkStart w:id="10"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10"/>
    </w:p>
    <w:p>
      <w:pPr>
        <w:pStyle w:val="Normal"/>
        <w:ind w:firstLine="284"/>
        <w:jc w:val="both"/>
        <w:rPr>
          <w:rFonts w:ascii="Arial" w:hAnsi="Arial" w:cs="Arial"/>
        </w:rPr>
      </w:pPr>
      <w:r>
        <w:rPr>
          <w:rFonts w:cs="Arial" w:ascii="Arial" w:hAnsi="Arial"/>
        </w:rPr>
      </w:r>
      <w:bookmarkStart w:id="11" w:name="_Ref114668247"/>
      <w:bookmarkStart w:id="12"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2"/>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3" w:name="_Ref114668251"/>
      <w:bookmarkStart w:id="14"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4"/>
    </w:p>
    <w:p>
      <w:pPr>
        <w:pStyle w:val="Normal"/>
        <w:ind w:firstLine="284"/>
        <w:jc w:val="both"/>
        <w:rPr>
          <w:rFonts w:ascii="Arial" w:hAnsi="Arial" w:cs="Arial"/>
        </w:rPr>
      </w:pPr>
      <w:r>
        <w:rPr>
          <w:rFonts w:cs="Arial" w:ascii="Arial" w:hAnsi="Arial"/>
        </w:rPr>
      </w:r>
      <w:bookmarkStart w:id="15" w:name="_Ref114668252"/>
      <w:bookmarkStart w:id="16"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7"/>
        <w:gridCol w:w="1415"/>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Unid.</w:t>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kern w:val="2"/>
              </w:rPr>
            </w:pPr>
            <w:r>
              <w:rPr>
                <w:rFonts w:cs="Arial" w:ascii="Arial" w:hAnsi="Arial"/>
                <w:b/>
              </w:rPr>
              <w:t>Descritivo</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true"/>
        <w:spacing w:lineRule="auto" w:line="240"/>
        <w:rPr>
          <w:b/>
          <w:bCs/>
          <w:sz w:val="20"/>
          <w:szCs w:val="20"/>
        </w:rPr>
      </w:pPr>
      <w:r>
        <w:rPr>
          <w:b/>
          <w:bCs/>
          <w:sz w:val="20"/>
          <w:szCs w:val="20"/>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left"/>
        <w:tblInd w:w="1" w:type="dxa"/>
        <w:tblLayout w:type="fixed"/>
        <w:tblCellMar>
          <w:top w:w="0" w:type="dxa"/>
          <w:left w:w="2" w:type="dxa"/>
          <w:bottom w:w="0" w:type="dxa"/>
          <w:right w:w="0" w:type="dxa"/>
        </w:tblCellMar>
        <w:tblLook w:firstRow="1" w:noVBand="1" w:lastRow="0" w:firstColumn="1" w:lastColumn="0" w:noHBand="0" w:val="04a0"/>
      </w:tblPr>
      <w:tblGrid>
        <w:gridCol w:w="765"/>
        <w:gridCol w:w="889"/>
        <w:gridCol w:w="1078"/>
        <w:gridCol w:w="4938"/>
        <w:gridCol w:w="2163"/>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Item</w:t>
            </w:r>
          </w:p>
        </w:tc>
        <w:tc>
          <w:tcPr>
            <w:tcW w:w="889"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
              <w:jc w:val="center"/>
              <w:rPr>
                <w:rFonts w:ascii="Arial" w:hAnsi="Arial" w:cs="Arial"/>
                <w:b/>
              </w:rPr>
            </w:pPr>
            <w:r>
              <w:rPr>
                <w:rFonts w:cs="Arial" w:ascii="Arial" w:hAnsi="Arial"/>
                <w:b/>
              </w:rPr>
              <w:t>Descritivo</w:t>
            </w:r>
          </w:p>
        </w:tc>
        <w:tc>
          <w:tcPr>
            <w:tcW w:w="2163"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tcPr>
          <w:p>
            <w:pPr>
              <w:pStyle w:val="Normal"/>
              <w:snapToGrid w:val="false"/>
              <w:jc w:val="center"/>
              <w:rPr>
                <w:rFonts w:ascii="Arial" w:hAnsi="Arial" w:cs="Arial"/>
                <w:kern w:val="2"/>
              </w:rPr>
            </w:pPr>
            <w:r>
              <w:rPr>
                <w:rFonts w:cs="Arial" w:ascii="Arial" w:hAnsi="Arial"/>
                <w:kern w:val="2"/>
              </w:rPr>
            </w:r>
          </w:p>
        </w:tc>
        <w:tc>
          <w:tcPr>
            <w:tcW w:w="889" w:type="dxa"/>
            <w:tcBorders>
              <w:left w:val="single" w:sz="2" w:space="0" w:color="000000"/>
              <w:bottom w:val="single" w:sz="2" w:space="0" w:color="000000"/>
            </w:tcBorders>
            <w:vAlign w:val="center"/>
          </w:tcPr>
          <w:p>
            <w:pPr>
              <w:pStyle w:val="Normal"/>
              <w:snapToGrid w:val="false"/>
              <w:jc w:val="center"/>
              <w:rPr>
                <w:rFonts w:ascii="Arial" w:hAnsi="Arial" w:cs="Arial"/>
                <w:kern w:val="2"/>
              </w:rPr>
            </w:pPr>
            <w:r>
              <w:rPr>
                <w:rFonts w:cs="Arial" w:ascii="Arial" w:hAnsi="Arial"/>
                <w:kern w:val="2"/>
              </w:rPr>
            </w:r>
          </w:p>
        </w:tc>
        <w:tc>
          <w:tcPr>
            <w:tcW w:w="1078" w:type="dxa"/>
            <w:tcBorders>
              <w:left w:val="single" w:sz="2" w:space="0" w:color="000000"/>
              <w:bottom w:val="single" w:sz="2" w:space="0" w:color="000000"/>
            </w:tcBorders>
            <w:vAlign w:val="center"/>
          </w:tcPr>
          <w:p>
            <w:pPr>
              <w:pStyle w:val="Normal"/>
              <w:snapToGrid w:val="false"/>
              <w:jc w:val="center"/>
              <w:rPr>
                <w:rFonts w:ascii="Arial" w:hAnsi="Arial" w:cs="Arial"/>
                <w:kern w:val="2"/>
              </w:rPr>
            </w:pPr>
            <w:r>
              <w:rPr>
                <w:rFonts w:cs="Arial" w:ascii="Arial" w:hAnsi="Arial"/>
                <w:kern w:val="2"/>
              </w:rPr>
            </w:r>
          </w:p>
        </w:tc>
        <w:tc>
          <w:tcPr>
            <w:tcW w:w="4938" w:type="dxa"/>
            <w:tcBorders>
              <w:left w:val="single" w:sz="2" w:space="0" w:color="000000"/>
              <w:bottom w:val="single" w:sz="2" w:space="0" w:color="000000"/>
              <w:right w:val="single" w:sz="4" w:space="0" w:color="000000"/>
            </w:tcBorders>
            <w:vAlign w:val="center"/>
          </w:tcPr>
          <w:p>
            <w:pPr>
              <w:pStyle w:val="Normal"/>
              <w:snapToGrid w:val="false"/>
              <w:jc w:val="both"/>
              <w:rPr>
                <w:rFonts w:ascii="Arial" w:hAnsi="Arial" w:cs="Arial"/>
                <w:color w:val="000000"/>
                <w:kern w:val="2"/>
              </w:rPr>
            </w:pPr>
            <w:r>
              <w:rPr>
                <w:rFonts w:cs="Arial" w:ascii="Arial" w:hAnsi="Arial"/>
                <w:color w:val="000000"/>
                <w:kern w:val="2"/>
              </w:rPr>
            </w:r>
          </w:p>
        </w:tc>
        <w:tc>
          <w:tcPr>
            <w:tcW w:w="2163" w:type="dxa"/>
            <w:tcBorders>
              <w:top w:val="single" w:sz="4" w:space="0" w:color="000000"/>
              <w:left w:val="single" w:sz="4" w:space="0" w:color="000000"/>
              <w:bottom w:val="single" w:sz="4" w:space="0" w:color="000000"/>
              <w:right w:val="single" w:sz="4" w:space="0" w:color="000000"/>
            </w:tcBorders>
          </w:tcPr>
          <w:p>
            <w:pPr>
              <w:pStyle w:val="Normal"/>
              <w:snapToGrid w:val="false"/>
              <w:ind w:firstLine="284"/>
              <w:jc w:val="both"/>
              <w:rPr>
                <w:rFonts w:ascii="Arial" w:hAnsi="Arial" w:cs="Arial"/>
                <w:color w:val="000000"/>
                <w:kern w:val="2"/>
              </w:rPr>
            </w:pPr>
            <w:r>
              <w:rPr>
                <w:rFonts w:cs="Arial" w:ascii="Arial" w:hAnsi="Arial"/>
                <w:color w:val="000000"/>
                <w:kern w:val="2"/>
              </w:rPr>
            </w:r>
          </w:p>
        </w:tc>
      </w:tr>
    </w:tbl>
    <w:p>
      <w:pPr>
        <w:pStyle w:val="Normal"/>
        <w:widowControl w:val="false"/>
        <w:ind w:firstLine="284"/>
        <w:jc w:val="center"/>
        <w:rPr>
          <w:rFonts w:ascii="Arial" w:hAnsi="Arial" w:cs="Arial"/>
          <w:b/>
          <w:kern w:val="2"/>
          <w:u w:val="single"/>
        </w:rPr>
      </w:pPr>
      <w:r>
        <w:rPr>
          <w:rFonts w:cs="Arial" w:ascii="Arial" w:hAnsi="Arial"/>
          <w:b/>
          <w:kern w:val="2"/>
          <w:u w:val="single"/>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rPr>
      </w:pPr>
      <w:r>
        <w:rPr>
          <w:rFonts w:cs="Arial" w:ascii="Arial" w:hAnsi="Arial"/>
          <w:b/>
          <w:bCs/>
        </w:rPr>
        <w:t>MINUTA DE CONTRATO</w:t>
      </w:r>
    </w:p>
    <w:p>
      <w:pPr>
        <w:pStyle w:val="Normal"/>
        <w:jc w:val="center"/>
        <w:rPr>
          <w:rFonts w:ascii="Arial" w:hAnsi="Arial" w:cs="Arial"/>
          <w:b/>
          <w:bCs/>
        </w:rPr>
      </w:pPr>
      <w:r>
        <w:rPr>
          <w:rFonts w:cs="Arial" w:ascii="Arial" w:hAnsi="Arial"/>
          <w:color w:val="000000"/>
        </w:rPr>
        <w:t>====================================================================================</w:t>
      </w:r>
    </w:p>
    <w:p>
      <w:pPr>
        <w:pStyle w:val="Normal"/>
        <w:jc w:val="both"/>
        <w:rPr>
          <w:rFonts w:ascii="Arial" w:hAnsi="Arial" w:cs="Arial"/>
          <w:b/>
          <w:u w:val="single"/>
        </w:rPr>
      </w:pPr>
      <w:r>
        <w:rPr>
          <w:rFonts w:cs="Arial" w:ascii="Arial" w:hAnsi="Arial"/>
          <w:b/>
          <w:u w:val="single"/>
        </w:rPr>
        <w:t>CONTRATO QUE ENTRE SI FAZEM A PREFEITURA DO MUNICÍPIO DE PIRACICABA E ................................................, PARA O FORNECIMENTO DE ARTEFATOS DE CONCRETO PRÉ-MOLDADOS.</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rPr>
      </w:pPr>
      <w:r>
        <w:rPr>
          <w:rFonts w:cs="Arial" w:ascii="Arial" w:hAnsi="Arial"/>
          <w:b/>
        </w:rPr>
        <w:t>Data: ... de ................. de 202..</w:t>
      </w:r>
    </w:p>
    <w:p>
      <w:pPr>
        <w:pStyle w:val="Normal"/>
        <w:jc w:val="both"/>
        <w:rPr>
          <w:rFonts w:ascii="Arial" w:hAnsi="Arial" w:cs="Arial"/>
          <w:b/>
        </w:rPr>
      </w:pPr>
      <w:r>
        <w:rPr>
          <w:rFonts w:cs="Arial" w:ascii="Arial" w:hAnsi="Arial"/>
          <w:b/>
        </w:rPr>
        <w:t>Prazo: até ... de ................. de 202..</w:t>
      </w:r>
    </w:p>
    <w:p>
      <w:pPr>
        <w:pStyle w:val="Normal"/>
        <w:jc w:val="both"/>
        <w:rPr>
          <w:rFonts w:ascii="Arial" w:hAnsi="Arial" w:cs="Arial"/>
          <w:b/>
        </w:rPr>
      </w:pPr>
      <w:r>
        <w:rPr>
          <w:rFonts w:cs="Arial" w:ascii="Arial" w:hAnsi="Arial"/>
          <w:b/>
        </w:rPr>
        <w:t>Valor: R$ ........ (............).</w:t>
      </w:r>
    </w:p>
    <w:p>
      <w:pPr>
        <w:pStyle w:val="Normal"/>
        <w:jc w:val="both"/>
        <w:rPr>
          <w:rFonts w:ascii="Arial" w:hAnsi="Arial" w:cs="Arial"/>
          <w:b/>
        </w:rPr>
      </w:pPr>
      <w:r>
        <w:rPr>
          <w:rFonts w:cs="Arial" w:ascii="Arial" w:hAnsi="Arial"/>
          <w:b/>
        </w:rPr>
        <w:t>Processo Administrativo nº 2026/52.862</w:t>
      </w:r>
    </w:p>
    <w:p>
      <w:pPr>
        <w:pStyle w:val="Normal"/>
        <w:jc w:val="both"/>
        <w:rPr>
          <w:rFonts w:ascii="Arial" w:hAnsi="Arial" w:cs="Arial"/>
          <w:b/>
        </w:rPr>
      </w:pPr>
      <w:r>
        <w:rPr>
          <w:rFonts w:cs="Arial" w:ascii="Arial" w:hAnsi="Arial"/>
          <w:b/>
        </w:rPr>
        <w:t>Pregão Eletrônico n.º ..../2026.</w:t>
      </w:r>
    </w:p>
    <w:p>
      <w:pPr>
        <w:pStyle w:val="Normal"/>
        <w:jc w:val="both"/>
        <w:rPr>
          <w:rFonts w:ascii="Arial" w:hAnsi="Arial" w:cs="Arial"/>
          <w:b/>
        </w:rPr>
      </w:pPr>
      <w:r>
        <w:rPr>
          <w:rFonts w:cs="Arial" w:ascii="Arial" w:hAnsi="Arial"/>
          <w:b/>
        </w:rPr>
        <w:t>Ata de Registro de Preços nº .../2026 (válida até ... de ..................... de 2027, prorrogável).</w:t>
      </w:r>
    </w:p>
    <w:p>
      <w:pPr>
        <w:pStyle w:val="Normal"/>
        <w:jc w:val="both"/>
        <w:rPr>
          <w:rFonts w:ascii="Arial" w:hAnsi="Arial" w:cs="Arial"/>
          <w:b/>
        </w:rPr>
      </w:pPr>
      <w:r>
        <w:rPr>
          <w:rFonts w:cs="Arial" w:ascii="Arial" w:hAnsi="Arial"/>
          <w:b/>
        </w:rPr>
        <w:t>Contrato n.º …./2026.</w:t>
      </w:r>
    </w:p>
    <w:p>
      <w:pPr>
        <w:pStyle w:val="Normal"/>
        <w:jc w:val="both"/>
        <w:rPr>
          <w:rFonts w:ascii="Arial" w:hAnsi="Arial" w:cs="Arial"/>
        </w:rPr>
      </w:pPr>
      <w:r>
        <w:rPr>
          <w:rFonts w:cs="Arial" w:ascii="Arial" w:hAnsi="Arial"/>
        </w:rPr>
      </w:r>
      <w:bookmarkStart w:id="17" w:name="_GoBack"/>
      <w:bookmarkStart w:id="18" w:name="_GoBack"/>
      <w:bookmarkEnd w:id="18"/>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ind w:firstLine="851"/>
        <w:jc w:val="both"/>
        <w:rPr>
          <w:rFonts w:ascii="Arial" w:hAnsi="Arial" w:cs="Arial"/>
          <w:b/>
          <w:strike/>
        </w:rPr>
      </w:pPr>
      <w:r>
        <w:rPr>
          <w:rFonts w:cs="Arial" w:ascii="Arial" w:hAnsi="Arial"/>
          <w:b/>
          <w:strike/>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1ª - DAS PARTES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com sede à Rua Antônio Corrêa Barbosa, n.º 2.233, bairro Chácara Nazareth, nesta cidade e Estado, com CNPJ n.º 46.341.038/0001-29, representada pelo Secretário Municipal de Obras, Infraestrutura e Serviços Públicos</w:t>
      </w:r>
      <w:r>
        <w:rPr>
          <w:rFonts w:cs="Arial" w:ascii="Arial" w:hAnsi="Arial"/>
          <w:bCs/>
          <w:shd w:fill="FFFFFF" w:val="clear"/>
        </w:rPr>
        <w:t xml:space="preserve">, Sr. </w:t>
      </w:r>
      <w:r>
        <w:rPr>
          <w:rFonts w:cs="Arial" w:ascii="Arial" w:hAnsi="Arial"/>
          <w:b/>
          <w:bCs/>
          <w:color w:val="000000"/>
          <w:shd w:fill="FFFFFF" w:val="clear"/>
        </w:rPr>
        <w:t>LUCIANO RODOVALDO CELÊNCIO</w:t>
      </w:r>
      <w:r>
        <w:rPr>
          <w:rFonts w:cs="Arial" w:ascii="Arial" w:hAnsi="Arial"/>
          <w:shd w:fill="FFFFFF" w:val="clear"/>
        </w:rPr>
        <w:t>, inscrito no CPF nº .............</w:t>
      </w:r>
      <w:r>
        <w:rPr>
          <w:rFonts w:cs="Arial" w:ascii="Arial" w:hAnsi="Arial"/>
        </w:rPr>
        <w:t xml:space="preserve">,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seu(sua) ......, Sr(a). .........., (qualificação completa),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2ª - DO OBJETO</w:t>
            </w:r>
          </w:p>
        </w:tc>
      </w:tr>
    </w:tbl>
    <w:p>
      <w:pPr>
        <w:pStyle w:val="Normal"/>
        <w:ind w:firstLine="851"/>
        <w:jc w:val="both"/>
        <w:rPr>
          <w:rFonts w:ascii="Arial" w:hAnsi="Arial" w:cs="Arial"/>
          <w:b/>
        </w:rPr>
      </w:pPr>
      <w:r>
        <w:rPr>
          <w:rFonts w:cs="Arial" w:ascii="Arial" w:hAnsi="Arial"/>
          <w:b/>
        </w:rPr>
      </w:r>
    </w:p>
    <w:p>
      <w:pPr>
        <w:pStyle w:val="BodyTextIndent"/>
        <w:ind w:firstLine="851"/>
        <w:rPr>
          <w:b/>
          <w:sz w:val="20"/>
          <w:szCs w:val="20"/>
        </w:rPr>
      </w:pPr>
      <w:r>
        <w:rPr>
          <w:sz w:val="20"/>
          <w:szCs w:val="20"/>
        </w:rPr>
        <w:t xml:space="preserve">2.1. </w:t>
      </w:r>
      <w:r>
        <w:rPr>
          <w:sz w:val="20"/>
          <w:szCs w:val="20"/>
          <w:lang w:val="pt-BR"/>
        </w:rPr>
        <w:t>A CONTRATADA se obriga a fornecer o(s) item(ns) ... de artefatos de concreto pré-moldados, conforme descrição detalhada constante do Edital da Ata de Registro de Preços nº .../2026, bem como seu Termo de Referência, o qual fica fazendo parte integrante do presente instrumento</w:t>
      </w:r>
      <w:r>
        <w:rPr>
          <w:sz w:val="20"/>
          <w:szCs w:val="20"/>
        </w:rPr>
        <w:t>.</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3ª - DOS RECURSOS FINANCEIROS</w:t>
            </w:r>
          </w:p>
        </w:tc>
      </w:tr>
    </w:tbl>
    <w:p>
      <w:pPr>
        <w:pStyle w:val="BodyTextIndent"/>
        <w:ind w:firstLine="851" w:left="283"/>
        <w:rPr>
          <w:b/>
          <w:sz w:val="20"/>
          <w:szCs w:val="20"/>
        </w:rPr>
      </w:pPr>
      <w:r>
        <w:rPr>
          <w:b/>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A despesa supra será atendida pelas dotações orçamentárias nº </w:t>
      </w:r>
      <w:r>
        <w:rPr>
          <w:rFonts w:cs="Arial" w:ascii="Arial" w:hAnsi="Arial"/>
          <w:shd w:fill="FFFFFF" w:val="clear"/>
        </w:rPr>
        <w:t>.......................</w:t>
      </w:r>
      <w:r>
        <w:rPr>
          <w:rFonts w:cs="Arial" w:ascii="Arial" w:hAnsi="Arial"/>
        </w:rPr>
        <w:t>, constantes do exercício de 202..</w:t>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w:t>
      </w:r>
      <w:r>
        <w:rPr>
          <w:rFonts w:cs="Arial" w:ascii="Arial" w:hAnsi="Arial"/>
        </w:rPr>
        <w:t>, conforme valores apresentados por esta em sua proposta.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mão-de-obra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de Obras, Infraestrutura e Serviços Públicos, no prazo de até 15 (quinze) dias úteis, contados da data de recebimento da nota fiscal e depositados no banco e conta 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b/>
        </w:rPr>
      </w:pPr>
      <w:r>
        <w:rPr>
          <w:rFonts w:cs="Arial" w:ascii="Arial" w:hAnsi="Arial"/>
        </w:rPr>
        <w:t xml:space="preserve">E-mail para emissão da NF-e: </w:t>
      </w:r>
      <w:hyperlink r:id="rId11">
        <w:r>
          <w:rPr>
            <w:rStyle w:val="Style"/>
            <w:rFonts w:cs="Arial" w:ascii="Arial" w:hAnsi="Arial"/>
            <w:color w:val="0000FF"/>
            <w:u w:val="single"/>
          </w:rPr>
          <w:t>notafiscal@piracicaba.sp.gov.br</w:t>
        </w:r>
      </w:hyperlink>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w:t>
      </w:r>
      <w:r>
        <w:rPr>
          <w:rFonts w:cs="Arial" w:ascii="Arial" w:hAnsi="Arial"/>
          <w:shd w:fill="FFFFFF" w:val="clear"/>
        </w:rPr>
        <w:t>Fazenda Estadual</w:t>
      </w:r>
      <w:r>
        <w:rPr>
          <w:rFonts w:cs="Arial" w:ascii="Arial" w:hAnsi="Arial"/>
        </w:rPr>
        <w:t>, com validade em vigor;</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Negativa de Débitos Trabalhistas (CNDT).</w:t>
      </w:r>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7ª - DA FISCALIZAÇÃO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de Obras, Infraestrutura e Serviços Públicos é o órgão credenciado pela </w:t>
      </w:r>
      <w:r>
        <w:rPr>
          <w:rFonts w:cs="Arial" w:ascii="Arial" w:hAnsi="Arial"/>
          <w:b/>
        </w:rPr>
        <w:t>CONTRATANTE</w:t>
      </w:r>
      <w:r>
        <w:rPr>
          <w:rFonts w:cs="Arial" w:ascii="Arial" w:hAnsi="Arial"/>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8ª - DO PRAZO DE VIGÊNCIA</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O presente contrato terá vigência até ... de .................... de 202., a contar da data da Ordem de Fornecimento.</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9ª - DA EXTINÇÃO DO CONTRATO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9.1.</w:t>
      </w:r>
      <w:r>
        <w:rPr>
          <w:rFonts w:cs="Arial" w:ascii="Arial" w:hAnsi="Arial"/>
        </w:rPr>
        <w:t xml:space="preserve"> Independentemente de interpelação judicial, o contrato será extinto nas hipóteses previstas no art. 137 da Lei Federal nº 14.133/21 e suas alterações.</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10. - DO RECEBIMENTO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10.1.2.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10.2. </w:t>
      </w:r>
      <w:r>
        <w:rPr>
          <w:rFonts w:cs="Arial" w:ascii="Arial" w:hAnsi="Arial"/>
        </w:rPr>
        <w:t>O recebimento de que trata este item far-se-á mediante recibo.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11. - DAS SANÇÕES ADMINISTRATIVAS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11.1.5.</w:t>
      </w:r>
      <w:r>
        <w:rPr>
          <w:rFonts w:cs="Arial" w:ascii="Arial" w:hAnsi="Arial"/>
        </w:rPr>
        <w:t xml:space="preserve"> Fraudar a licitação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w:t>
      </w:r>
      <w:r>
        <w:rPr>
          <w:rFonts w:cs="Arial" w:ascii="Arial" w:hAnsi="Arial"/>
        </w:rPr>
        <w:t xml:space="preserve"> Comportar-se de modo inidôneo ou cometer fraude de qualquer natureza,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11.1.6.2.</w:t>
      </w:r>
      <w:r>
        <w:rPr>
          <w:rFonts w:cs="Arial" w:ascii="Arial" w:hAnsi="Arial"/>
        </w:rPr>
        <w:t xml:space="preserve"> Induzir deliberadamente a erro no julgamento;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11.1.6.3.</w:t>
      </w:r>
      <w:r>
        <w:rPr>
          <w:rFonts w:cs="Arial" w:ascii="Arial" w:hAnsi="Arial"/>
        </w:rPr>
        <w:t xml:space="preserve"> Apresentar amostra falsificada ou deteriorada;</w:t>
      </w:r>
    </w:p>
    <w:p>
      <w:pPr>
        <w:pStyle w:val="Normal"/>
        <w:ind w:firstLine="851"/>
        <w:jc w:val="both"/>
        <w:rPr>
          <w:rFonts w:ascii="Arial" w:hAnsi="Arial" w:cs="Arial"/>
        </w:rPr>
      </w:pPr>
      <w:r>
        <w:rPr>
          <w:rFonts w:cs="Arial" w:ascii="Arial" w:hAnsi="Arial"/>
          <w:b/>
        </w:rPr>
        <w:t>11.1.7.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11.5.</w:t>
      </w:r>
      <w:r>
        <w:rPr>
          <w:rFonts w:cs="Arial" w:ascii="Arial" w:hAnsi="Arial"/>
        </w:rPr>
        <w:t xml:space="preserve"> Os prazos para defesa prévia serão de 15 (quinze) dias úteis.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rPr>
      </w:pPr>
      <w:r>
        <w:rPr>
          <w:rFonts w:cs="Arial" w:ascii="Arial" w:hAnsi="Arial"/>
          <w:b/>
        </w:rPr>
        <w:t>11.7.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12. - DAS MEDIDAS ANTICORRUPÇÃO</w:t>
            </w:r>
          </w:p>
        </w:tc>
      </w:tr>
    </w:tbl>
    <w:p>
      <w:pPr>
        <w:pStyle w:val="Normal"/>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shd w:fill="FFFFFF" w:val="clear"/>
        </w:rPr>
        <w:t>12.1.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13. - DAS DISPOSIÇÕES FINAIS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13.1.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13.6. </w:t>
      </w:r>
      <w:r>
        <w:rPr>
          <w:rFonts w:cs="Arial" w:ascii="Arial" w:hAnsi="Arial"/>
        </w:rPr>
        <w:t>É vedada a subcontratação.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13.7. </w:t>
      </w:r>
      <w:r>
        <w:rPr>
          <w:rFonts w:cs="Arial" w:ascii="Arial" w:hAnsi="Arial"/>
        </w:rPr>
        <w:t xml:space="preserve">A </w:t>
      </w:r>
      <w:r>
        <w:rPr>
          <w:rFonts w:cs="Arial" w:ascii="Arial" w:hAnsi="Arial"/>
          <w:b/>
        </w:rPr>
        <w:t xml:space="preserve">CONTRATADA </w:t>
      </w:r>
      <w:r>
        <w:rPr>
          <w:rFonts w:cs="Arial" w:ascii="Arial" w:hAnsi="Arial"/>
        </w:rPr>
        <w:t xml:space="preserve">assume inteira responsabilidade pela perfeita </w:t>
      </w:r>
      <w:r>
        <w:rPr>
          <w:rFonts w:cs="Arial" w:ascii="Arial" w:hAnsi="Arial"/>
          <w:shd w:fill="FFFFFF" w:val="clear"/>
        </w:rPr>
        <w:t>entrega do objeto contratado.</w:t>
      </w:r>
    </w:p>
    <w:p>
      <w:pPr>
        <w:pStyle w:val="Normal"/>
        <w:keepLines/>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13.9.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Piracicaba, ..... de ........................... de 2026.</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798"/>
        <w:gridCol w:w="320"/>
        <w:gridCol w:w="4804"/>
      </w:tblGrid>
      <w:tr>
        <w:trPr/>
        <w:tc>
          <w:tcPr>
            <w:tcW w:w="4798" w:type="dxa"/>
            <w:tcBorders>
              <w:top w:val="single" w:sz="4" w:space="0" w:color="000000"/>
              <w:left w:val="single" w:sz="4" w:space="0" w:color="000000"/>
              <w:bottom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bCs/>
                <w:color w:val="000000"/>
                <w:shd w:fill="FFFFFF" w:val="clear"/>
              </w:rPr>
              <w:t>LUCIANO RODOVALDO CELÊNCIO</w:t>
            </w:r>
            <w:r>
              <w:rPr>
                <w:rFonts w:cs="Arial" w:ascii="Arial" w:hAnsi="Arial"/>
                <w:b/>
              </w:rPr>
              <w:t xml:space="preserve"> Secretário Municipal de Obras, Infraestrutura e Serviços Públicos</w:t>
            </w:r>
          </w:p>
        </w:tc>
        <w:tc>
          <w:tcPr>
            <w:tcW w:w="320" w:type="dxa"/>
            <w:tcBorders>
              <w:left w:val="single" w:sz="4" w:space="0" w:color="000000"/>
            </w:tcBorders>
          </w:tcPr>
          <w:p>
            <w:pPr>
              <w:pStyle w:val="Normal"/>
              <w:snapToGrid w:val="false"/>
              <w:jc w:val="both"/>
              <w:rPr>
                <w:rFonts w:ascii="Arial" w:hAnsi="Arial" w:cs="Arial"/>
              </w:rPr>
            </w:pPr>
            <w:r>
              <w:rPr>
                <w:rFonts w:cs="Arial" w:ascii="Arial" w:hAnsi="Arial"/>
              </w:rPr>
            </w:r>
          </w:p>
        </w:tc>
        <w:tc>
          <w:tcPr>
            <w:tcW w:w="4804"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 EMPRESA CONTRATADA :::</w:t>
            </w:r>
          </w:p>
          <w:p>
            <w:pPr>
              <w:pStyle w:val="Normal"/>
              <w:jc w:val="center"/>
              <w:rPr>
                <w:rFonts w:ascii="Arial" w:hAnsi="Arial" w:cs="Arial"/>
                <w:b/>
              </w:rPr>
            </w:pPr>
            <w:r>
              <w:rPr>
                <w:rFonts w:cs="Arial" w:ascii="Arial" w:hAnsi="Arial"/>
                <w:b/>
              </w:rPr>
              <w:t>Representante Legal</w:t>
            </w:r>
          </w:p>
        </w:tc>
      </w:tr>
    </w:tbl>
    <w:p>
      <w:pPr>
        <w:pStyle w:val="Normal"/>
        <w:rPr>
          <w:rFonts w:ascii="Arial" w:hAnsi="Arial" w:cs="Arial"/>
          <w:b/>
        </w:rPr>
      </w:pPr>
      <w:r>
        <w:rPr>
          <w:rFonts w:cs="Arial" w:ascii="Arial" w:hAnsi="Arial"/>
          <w:b/>
        </w:rPr>
      </w:r>
    </w:p>
    <w:p>
      <w:pPr>
        <w:pStyle w:val="Normal"/>
        <w:jc w:val="both"/>
        <w:rPr>
          <w:rFonts w:ascii="Arial" w:hAnsi="Arial" w:cs="Arial"/>
          <w:b/>
          <w:u w:val="single"/>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800"/>
        <w:gridCol w:w="318"/>
        <w:gridCol w:w="4804"/>
      </w:tblGrid>
      <w:tr>
        <w:trPr>
          <w:trHeight w:val="1089" w:hRule="atLeast"/>
        </w:trPr>
        <w:tc>
          <w:tcPr>
            <w:tcW w:w="4800" w:type="dxa"/>
            <w:tcBorders>
              <w:top w:val="single" w:sz="4" w:space="0" w:color="000000"/>
              <w:left w:val="single" w:sz="4" w:space="0" w:color="000000"/>
              <w:bottom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w:t>
            </w:r>
          </w:p>
          <w:p>
            <w:pPr>
              <w:pStyle w:val="Normal"/>
              <w:rPr>
                <w:rFonts w:ascii="Arial" w:hAnsi="Arial" w:cs="Arial"/>
                <w:b/>
              </w:rPr>
            </w:pPr>
            <w:r>
              <w:rPr>
                <w:rFonts w:cs="Arial" w:ascii="Arial" w:hAnsi="Arial"/>
                <w:b/>
              </w:rPr>
              <w:t>Nome:</w:t>
            </w:r>
          </w:p>
          <w:p>
            <w:pPr>
              <w:pStyle w:val="Normal"/>
              <w:rPr>
                <w:rFonts w:ascii="Arial" w:hAnsi="Arial" w:cs="Arial"/>
                <w:b/>
              </w:rPr>
            </w:pPr>
            <w:r>
              <w:rPr>
                <w:rFonts w:cs="Arial" w:ascii="Arial" w:hAnsi="Arial"/>
                <w:b/>
              </w:rPr>
              <w:t>CPF:</w:t>
            </w:r>
          </w:p>
        </w:tc>
        <w:tc>
          <w:tcPr>
            <w:tcW w:w="318" w:type="dxa"/>
            <w:tcBorders>
              <w:left w:val="single" w:sz="4" w:space="0" w:color="000000"/>
            </w:tcBorders>
          </w:tcPr>
          <w:p>
            <w:pPr>
              <w:pStyle w:val="Normal"/>
              <w:snapToGrid w:val="false"/>
              <w:jc w:val="both"/>
              <w:rPr>
                <w:rFonts w:ascii="Arial" w:hAnsi="Arial" w:cs="Arial"/>
                <w:b/>
              </w:rPr>
            </w:pPr>
            <w:r>
              <w:rPr>
                <w:rFonts w:cs="Arial" w:ascii="Arial" w:hAnsi="Arial"/>
                <w:b/>
              </w:rPr>
            </w:r>
          </w:p>
        </w:tc>
        <w:tc>
          <w:tcPr>
            <w:tcW w:w="4804" w:type="dxa"/>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__________________________</w:t>
            </w:r>
          </w:p>
          <w:p>
            <w:pPr>
              <w:pStyle w:val="Normal"/>
              <w:rPr>
                <w:rFonts w:ascii="Arial" w:hAnsi="Arial" w:cs="Arial"/>
                <w:b/>
              </w:rPr>
            </w:pPr>
            <w:r>
              <w:rPr>
                <w:rFonts w:cs="Arial" w:ascii="Arial" w:hAnsi="Arial"/>
                <w:b/>
              </w:rPr>
              <w:t>Nome:</w:t>
            </w:r>
          </w:p>
          <w:p>
            <w:pPr>
              <w:pStyle w:val="Normal"/>
              <w:jc w:val="both"/>
              <w:rPr>
                <w:rFonts w:ascii="Arial" w:hAnsi="Arial" w:cs="Arial"/>
                <w:b/>
              </w:rPr>
            </w:pPr>
            <w:r>
              <w:rPr>
                <w:rFonts w:cs="Arial" w:ascii="Arial" w:hAnsi="Arial"/>
                <w:b/>
              </w:rPr>
              <w:t>CPF:</w:t>
            </w:r>
          </w:p>
        </w:tc>
      </w:tr>
    </w:tbl>
    <w:p>
      <w:pPr>
        <w:pStyle w:val="Normal"/>
        <w:rPr>
          <w:rFonts w:ascii="Arial" w:hAnsi="Arial" w:cs="Arial"/>
        </w:rPr>
      </w:pPr>
      <w:r>
        <w:rPr>
          <w:rFonts w:cs="Arial" w:ascii="Arial" w:hAnsi="Arial"/>
        </w:rPr>
      </w:r>
      <w:bookmarkStart w:id="19" w:name="art2§1"/>
      <w:bookmarkStart w:id="20" w:name="art1p"/>
      <w:bookmarkStart w:id="21" w:name="art2§1"/>
      <w:bookmarkStart w:id="22" w:name="art1p"/>
      <w:bookmarkEnd w:id="21"/>
      <w:bookmarkEnd w:id="22"/>
    </w:p>
    <w:p>
      <w:pPr>
        <w:pStyle w:val="Normal"/>
        <w:rPr/>
      </w:pPr>
      <w:r>
        <w:rPr/>
      </w:r>
    </w:p>
    <w:p>
      <w:pPr>
        <w:pStyle w:val="Normal"/>
        <w:rPr/>
      </w:pPr>
      <w:r>
        <w:rPr/>
      </w:r>
    </w:p>
    <w:p>
      <w:pPr>
        <w:pStyle w:val="Normal"/>
        <w:rPr/>
      </w:pPr>
      <w:r>
        <w:rPr/>
      </w:r>
    </w:p>
    <w:p>
      <w:pPr>
        <w:pStyle w:val="Normal"/>
        <w:jc w:val="both"/>
        <w:rPr>
          <w:rFonts w:ascii="Arial" w:hAnsi="Arial" w:cs="Arial"/>
        </w:rPr>
      </w:pPr>
      <w:r>
        <w:rPr>
          <w:rFonts w:cs="Arial" w:ascii="Arial" w:hAnsi="Arial"/>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418"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181/2026 -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28</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28</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181/2026 -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28</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28</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9">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112"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5pt;margin-top:6.75pt;width:367.7pt;height:70.45pt;mso-wrap-style:square;v-text-anchor:top;mso-position-horizontal:right;mso-position-horizontal-relative:margin;mso-position-vertical-relative:page" wp14:anchorId="545E676D">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9">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112"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5pt;margin-top:6.75pt;width:367.7pt;height:70.45pt;mso-wrap-style:square;v-text-anchor:top;mso-position-horizontal:right;mso-position-horizontal-relative:margin;mso-position-vertical-relative:page" wp14:anchorId="545E676D">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3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8">
    <w:abstractNumId w:val="1"/>
  </w:num>
  <w:num w:numId="79">
    <w:abstractNumId w:val="1"/>
  </w:num>
  <w:num w:numId="80">
    <w:abstractNumId w:val="1"/>
  </w:num>
  <w:num w:numId="81">
    <w:abstractNumId w:val="1"/>
  </w:num>
  <w:num w:numId="82">
    <w:abstractNumId w:val="1"/>
  </w:num>
  <w:num w:numId="83">
    <w:abstractNumId w:val="1"/>
  </w:num>
  <w:num w:numId="84">
    <w:abstractNumId w:val="1"/>
  </w:num>
  <w:num w:numId="85">
    <w:abstractNumId w:val="1"/>
  </w:num>
  <w:num w:numId="86">
    <w:abstractNumId w:val="1"/>
  </w:num>
  <w:num w:numId="87">
    <w:abstractNumId w:val="1"/>
  </w:num>
  <w:num w:numId="88">
    <w:abstractNumId w:val="1"/>
  </w:num>
  <w:num w:numId="89">
    <w:abstractNumId w:val="1"/>
  </w:num>
  <w:num w:numId="90">
    <w:abstractNumId w:val="1"/>
  </w:num>
  <w:num w:numId="91">
    <w:abstractNumId w:val="1"/>
  </w:num>
  <w:num w:numId="92">
    <w:abstractNumId w:val="1"/>
  </w:num>
  <w:num w:numId="93">
    <w:abstractNumId w:val="1"/>
  </w:num>
  <w:num w:numId="94">
    <w:abstractNumId w:val="1"/>
  </w:num>
</w:numbering>
</file>

<file path=word/settings.xml><?xml version="1.0" encoding="utf-8"?>
<w:settings xmlns:w="http://schemas.openxmlformats.org/wordprocessingml/2006/main">
  <w:zoom w:percent="11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customStyle="1">
    <w:name w:val="Hyperlink"/>
    <w:qFormat/>
    <w:rsid w:val="003e7997"/>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ouChar">
    <w:name w:val="ou Char"/>
    <w:qFormat/>
    <w:rPr>
      <w:rFonts w:ascii="Arial" w:hAnsi="Arial" w:eastAsia="Cambria" w:cs="Arial"/>
      <w:b/>
      <w:bCs/>
      <w:i/>
      <w:iCs/>
      <w:color w:val="FF0000"/>
      <w:sz w:val="24"/>
      <w:szCs w:val="24"/>
      <w:u w:val="single"/>
    </w:rPr>
  </w:style>
  <w:style w:type="character" w:styleId="Nvel2-RedChar">
    <w:name w:val="Nível 2 -Red Char"/>
    <w:qFormat/>
    <w:rPr>
      <w:rFonts w:ascii="Arial" w:hAnsi="Arial" w:eastAsia="MS Mincho" w:cs="Arial"/>
      <w:i/>
      <w:iCs/>
      <w:color w:val="FF0000"/>
    </w:rPr>
  </w:style>
  <w:style w:type="character" w:styleId="UnresolvedMention">
    <w:name w:val="Unresolved Mention"/>
    <w:basedOn w:val="DefaultParagraphFont"/>
    <w:qFormat/>
    <w:rPr>
      <w:color w:val="605E5C"/>
      <w:shd w:fill="E1DFDD" w:val="clear"/>
    </w:rPr>
  </w:style>
  <w:style w:type="character" w:styleId="Smbolosdenumeraouser">
    <w:name w:val="Símbolos de numeração (user)"/>
    <w:qFormat/>
    <w:rPr>
      <w:sz w:val="20"/>
      <w:szCs w:val="20"/>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name w:val="Índice (user)"/>
    <w:basedOn w:val="Normal"/>
    <w:qFormat/>
    <w:pPr>
      <w:suppressLineNumbers/>
    </w:pPr>
    <w:rPr>
      <w:rFonts w:cs="Arial Unicode MS"/>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fals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7"/>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Contedodoquadrouser">
    <w:name w:val="Conteúdo do quadro (user)"/>
    <w:basedOn w:val="Normal"/>
    <w:qFormat/>
    <w:pPr/>
    <w:rPr/>
  </w:style>
  <w:style w:type="paragraph" w:styleId="TableContents">
    <w:name w:val="Table Contents"/>
    <w:basedOn w:val="Standard1"/>
    <w:qFormat/>
    <w:pPr>
      <w:suppressLineNumbers/>
    </w:pPr>
    <w:rPr/>
  </w:style>
  <w:style w:type="paragraph" w:styleId="Standard1">
    <w:name w:val="Standard1"/>
    <w:qFormat/>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eastAsia="zh-CN" w:bidi="hi-IN" w:val="pt-BR"/>
    </w:rPr>
  </w:style>
  <w:style w:type="paragraph" w:styleId="Pa6">
    <w:name w:val="Pa6"/>
    <w:basedOn w:val="Standard"/>
    <w:next w:val="Standard"/>
    <w:qFormat/>
    <w:pPr>
      <w:spacing w:lineRule="atLeast" w:line="141"/>
    </w:pPr>
    <w:rPr>
      <w:rFonts w:ascii="Liberation Serif" w:hAnsi="Liberation Serif" w:eastAsia="SimSun" w:cs="Arial"/>
      <w:sz w:val="24"/>
      <w:szCs w:val="24"/>
      <w:lang w:bidi="hi-IN"/>
    </w:rPr>
  </w:style>
  <w:style w:type="paragraph" w:styleId="Pa4">
    <w:name w:val="Pa4"/>
    <w:basedOn w:val="Standard"/>
    <w:next w:val="Standard"/>
    <w:qFormat/>
    <w:pPr>
      <w:spacing w:lineRule="atLeast" w:line="141"/>
    </w:pPr>
    <w:rPr>
      <w:rFonts w:ascii="Liberation Serif" w:hAnsi="Liberation Serif" w:eastAsia="SimSun" w:cs="Arial"/>
      <w:sz w:val="24"/>
      <w:szCs w:val="24"/>
      <w:lang w:bidi="hi-IN"/>
    </w:rPr>
  </w:style>
  <w:style w:type="paragraph" w:styleId="Pa5">
    <w:name w:val="Pa5"/>
    <w:basedOn w:val="Standard"/>
    <w:next w:val="Standard"/>
    <w:qFormat/>
    <w:pPr>
      <w:spacing w:lineRule="atLeast" w:line="141"/>
    </w:pPr>
    <w:rPr>
      <w:rFonts w:ascii="Liberation Serif" w:hAnsi="Liberation Serif" w:eastAsia="SimSun" w:cs="Arial"/>
      <w:sz w:val="24"/>
      <w:szCs w:val="24"/>
      <w:lang w:bidi="hi-IN"/>
    </w:rPr>
  </w:style>
  <w:style w:type="paragraph" w:styleId="textos">
    <w:name w:val="textos"/>
    <w:basedOn w:val="Normal"/>
    <w:qFormat/>
    <w:pPr>
      <w:spacing w:lineRule="atLeast" w:line="271" w:before="280" w:after="280"/>
    </w:pPr>
    <w:rPr>
      <w:rFonts w:ascii="Verdana" w:hAnsi="Verdana" w:cs="Verdana"/>
      <w:color w:val="333333"/>
      <w:kern w:val="0"/>
      <w:sz w:val="19"/>
      <w:szCs w:val="19"/>
      <w:lang w:eastAsia="ar-SA"/>
    </w:rPr>
  </w:style>
  <w:style w:type="paragraph" w:styleId="ou">
    <w:name w:val="ou"/>
    <w:basedOn w:val="ListParagraph"/>
    <w:qFormat/>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paragraph" w:styleId="Nvel2-Red">
    <w:name w:val="Nível 2 -Red"/>
    <w:basedOn w:val="Nivel2"/>
    <w:qFormat/>
    <w:pPr>
      <w:numPr>
        <w:ilvl w:val="0"/>
        <w:numId w:val="0"/>
      </w:numPr>
      <w:tabs>
        <w:tab w:val="clear" w:pos="709"/>
        <w:tab w:val="left" w:pos="0" w:leader="none"/>
      </w:tabs>
    </w:pPr>
    <w:rPr>
      <w:i/>
      <w:iCs/>
      <w:color w:val="FF0000"/>
    </w:rPr>
  </w:style>
  <w:style w:type="paragraph" w:styleId="Ttulodetabelauser">
    <w:name w:val="Título de tabela (user)"/>
    <w:basedOn w:val="Contedodatabelauser"/>
    <w:qFormat/>
    <w:pPr>
      <w:jc w:val="center"/>
    </w:pPr>
    <w:rPr>
      <w:b/>
      <w:bCs/>
    </w:rPr>
  </w:style>
  <w:style w:type="paragraph" w:styleId="Contedodatabelauser">
    <w:name w:val="Conteúdo da tabela (user)"/>
    <w:basedOn w:val="Normal"/>
    <w:qFormat/>
    <w:pPr>
      <w:suppressLineNumbers/>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numbering" w:styleId="Semlista">
    <w:name w:val="Sem lista"/>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http://purl.org/dc/dcmitype/"/>
    <ds:schemaRef ds:uri="http://schemas.openxmlformats.org/package/2006/metadata/core-properties"/>
    <ds:schemaRef ds:uri="71763c0a-43a9-4215-9c1e-ac13867d38db"/>
    <ds:schemaRef ds:uri="60198707-c4ff-4d5d-8bc5-5efdd47f407d"/>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57D069-14DA-4E2E-9153-8CC5A93A0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Application>LibreOffice/25.2.7.2$Windows_X86_64 LibreOffice_project/5cbfd1ab6520636bb5f7b99185aa69bd7456825d</Application>
  <AppVersion>15.0000</AppVersion>
  <Pages>28</Pages>
  <Words>11148</Words>
  <Characters>64433</Characters>
  <CharactersWithSpaces>75063</CharactersWithSpaces>
  <Paragraphs>634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2026-05-20T17:52:00Z</dcterms:created>
  <dc:creator>Thiago Luiz Araujo Santos</dc:creator>
  <dc:description/>
  <dc:language>pt-BR</dc:language>
  <cp:lastModifiedBy/>
  <cp:lastPrinted>2022-08-03T17:48:00Z</cp:lastPrinted>
  <dcterms:modified xsi:type="dcterms:W3CDTF">2026-06-18T10:42:56Z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