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w:t>
      </w:r>
      <w:r>
        <w:rPr>
          <w:b/>
          <w:color w:val="auto"/>
          <w:sz w:val="20"/>
          <w:szCs w:val="20"/>
          <w:shd w:fill="auto" w:val="clear"/>
          <w:lang w:val="pt-BR"/>
        </w:rPr>
        <w:t xml:space="preserve">º </w:t>
      </w:r>
      <w:r>
        <w:rPr>
          <w:b/>
          <w:color w:val="000000"/>
          <w:sz w:val="20"/>
          <w:szCs w:val="20"/>
          <w:shd w:fill="auto" w:val="clear"/>
          <w:lang w:val="pt-BR"/>
        </w:rPr>
        <w:t>62</w:t>
      </w:r>
      <w:r>
        <w:rPr>
          <w:b/>
          <w:color w:val="auto"/>
          <w:sz w:val="20"/>
          <w:szCs w:val="20"/>
          <w:shd w:fill="auto" w:val="clear"/>
          <w:lang w:val="pt-BR"/>
        </w:rPr>
        <w:t>/20</w:t>
      </w:r>
      <w:r>
        <w:rPr>
          <w:b/>
          <w:color w:val="auto"/>
          <w:sz w:val="20"/>
          <w:szCs w:val="20"/>
          <w:lang w:val="pt-BR"/>
        </w:rPr>
        <w:t>26</w:t>
      </w:r>
      <w:r>
        <w:rPr>
          <w:b/>
          <w:color w:val="auto"/>
          <w:sz w:val="20"/>
          <w:szCs w:val="20"/>
        </w:rPr>
        <w:t xml:space="preserve"> </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overflowPunct w:val="tru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so:</w:t>
      </w:r>
      <w:r>
        <w:rPr>
          <w:color w:val="auto"/>
          <w:sz w:val="20"/>
          <w:szCs w:val="20"/>
          <w:shd w:fill="auto" w:val="clear"/>
          <w:lang w:val="pt-BR"/>
        </w:rPr>
        <w:t xml:space="preserve"> </w:t>
      </w:r>
      <w:r>
        <w:rPr>
          <w:b/>
          <w:bCs/>
          <w:color w:val="000000"/>
          <w:sz w:val="20"/>
          <w:szCs w:val="20"/>
          <w:shd w:fill="auto" w:val="clear"/>
          <w:lang w:val="pt-BR"/>
        </w:rPr>
        <w:t>112.742</w:t>
      </w:r>
      <w:r>
        <w:rPr>
          <w:b/>
          <w:bCs/>
          <w:color w:val="000000"/>
          <w:sz w:val="20"/>
          <w:szCs w:val="20"/>
          <w:shd w:fill="auto" w:val="clear"/>
          <w:lang w:val="pt-BR"/>
        </w:rPr>
        <w:t>/2026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w:t>
      </w:r>
      <w:r>
        <w:rPr>
          <w:color w:val="auto"/>
          <w:sz w:val="20"/>
          <w:szCs w:val="20"/>
          <w:shd w:fill="auto" w:val="clear"/>
          <w:lang w:val="pt-BR"/>
        </w:rPr>
        <w:t>26/06</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w:t>
      </w:r>
      <w:r>
        <w:rPr>
          <w:color w:val="auto"/>
          <w:sz w:val="20"/>
          <w:szCs w:val="20"/>
          <w:shd w:fill="auto" w:val="clear"/>
          <w:lang w:val="pt-BR"/>
        </w:rPr>
        <w:t>26/06</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none"/>
          <w:shd w:fill="auto" w:val="clear"/>
        </w:rPr>
      </w:pPr>
      <w:r>
        <w:rPr>
          <w:b/>
          <w:bCs/>
          <w:color w:val="auto"/>
          <w:sz w:val="20"/>
          <w:szCs w:val="20"/>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2. DO OBJETO: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bCs/>
          <w:shd w:fill="auto" w:val="clear"/>
        </w:rPr>
        <w:t>Aquisição de fitas VHB para montagem do 53º Salão Internacional de Humor de Piracicaba e exposições paralelas</w:t>
      </w:r>
      <w:r>
        <w:rPr>
          <w:rFonts w:cs="Arial" w:ascii="Arial" w:hAnsi="Arial"/>
          <w:b/>
          <w:bCs/>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Unidade Requisitante: Secretaria Municipal de Cultura – Centro Nacional de Documentação, Pesquisa e Divulgação de Humor Gráfico de Piracicaba (CEDHU)</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Fonte de recursos: </w:t>
      </w:r>
      <w:r>
        <w:rPr>
          <w:rFonts w:cs="Arial" w:ascii="Arial" w:hAnsi="Arial"/>
          <w:shd w:fill="auto" w:val="clear"/>
        </w:rPr>
        <w:t>0101011000</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R$ 598,16 (Quinhentos e noventa e oito reais, e dezesseis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w:t>
      </w:r>
      <w:r>
        <w:rPr>
          <w:rFonts w:cs="Arial" w:ascii="Arial" w:hAnsi="Arial"/>
          <w:shd w:fill="auto" w:val="clear"/>
        </w:rPr>
        <w:t xml:space="preserve"> Inciso II</w:t>
      </w:r>
      <w:r>
        <w:rPr>
          <w:rFonts w:cs="Arial" w:ascii="Arial" w:hAnsi="Arial"/>
          <w:shd w:fill="auto" w:val="clear"/>
        </w:rPr>
        <w:t xml:space="preserve">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4"/>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3"/>
        </w:numPr>
        <w:tabs>
          <w:tab w:val="clear" w:pos="709"/>
          <w:tab w:val="left" w:pos="284" w:leader="none"/>
        </w:tabs>
        <w:jc w:val="both"/>
        <w:rPr>
          <w:rFonts w:ascii="Arial" w:hAnsi="Arial" w:cs="Arial"/>
          <w:b/>
          <w:u w:val="single"/>
        </w:rPr>
      </w:pPr>
      <w:r>
        <w:rPr>
          <w:rFonts w:cs="Arial" w:ascii="Arial" w:hAnsi="Arial"/>
        </w:rPr>
        <w:t>Prazo de Pagamento: 15 (q</w:t>
      </w:r>
      <w:r>
        <w:rPr>
          <w:rFonts w:cs="Arial" w:ascii="Arial" w:hAnsi="Arial"/>
          <w:shd w:fill="auto" w:val="clear"/>
        </w:rPr>
        <w:t>uinze) dias úteis, contados da data do recebimento da nota fiscal, em atendimento ao Decreto Municipal Nº 17.640/18.</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05</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val="false"/>
                <w:bCs w:val="false"/>
                <w:highlight w:val="none"/>
                <w:shd w:fill="auto" w:val="clear"/>
              </w:rPr>
            </w:pPr>
            <w:r>
              <w:rPr>
                <w:rFonts w:cs="Arial" w:ascii="Arial" w:hAnsi="Arial"/>
                <w:b w:val="false"/>
                <w:bCs w:val="false"/>
                <w:shd w:fill="auto" w:val="clear"/>
              </w:rPr>
              <w:t>Rolo</w:t>
            </w:r>
          </w:p>
        </w:tc>
        <w:tc>
          <w:tcPr>
            <w:tcW w:w="73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F</w:t>
            </w:r>
            <w:r>
              <w:rPr>
                <w:rFonts w:eastAsia="Times New Roman" w:cs="Arial" w:ascii="Arial" w:hAnsi="Arial"/>
                <w:b w:val="false"/>
                <w:bCs w:val="false"/>
                <w:kern w:val="2"/>
                <w:sz w:val="20"/>
                <w:szCs w:val="20"/>
                <w:shd w:fill="auto" w:val="clear"/>
                <w:lang w:val="pt-BR" w:eastAsia="zh-CN"/>
              </w:rPr>
              <w:t>ita VHB vermelha 4910 20mm x 33mts</w:t>
            </w:r>
          </w:p>
        </w:tc>
      </w:tr>
    </w:tbl>
    <w:p>
      <w:pPr>
        <w:pStyle w:val="Normal"/>
        <w:numPr>
          <w:ilvl w:val="0"/>
          <w:numId w:val="0"/>
        </w:numPr>
        <w:tabs>
          <w:tab w:val="clear" w:pos="709"/>
          <w:tab w:val="left" w:pos="284" w:leader="none"/>
        </w:tabs>
        <w:ind w:hanging="0" w:left="0"/>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As encomendas deverão serão acondicionadas de forma a garantir a integridade das mesmas.</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A entrega e o recebimento somente serão concretizados após o desembarque e conferência dos itens acima. Caso sejam constatadas divergências com o estabelecido nesta instrução, a entrega será recusada até que seja providenciada a revisão e regularização geral da mesma pela contratada, sujeitando-se esta ainda às penalidades previstas com prazo para reposição de 24 (vinte e quatro) horas.</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w:t>
      </w:r>
      <w:r>
        <w:rPr>
          <w:rFonts w:cs="Arial" w:ascii="Arial" w:hAnsi="Arial"/>
          <w:b/>
          <w:bCs/>
        </w:rPr>
        <w:t>. DA ENTREGA:</w:t>
      </w:r>
    </w:p>
    <w:p>
      <w:pPr>
        <w:pStyle w:val="Normal"/>
        <w:numPr>
          <w:ilvl w:val="0"/>
          <w:numId w:val="15"/>
        </w:numPr>
        <w:tabs>
          <w:tab w:val="clear" w:pos="709"/>
          <w:tab w:val="left" w:pos="284" w:leader="none"/>
        </w:tabs>
        <w:jc w:val="both"/>
        <w:rPr>
          <w:highlight w:val="none"/>
          <w:shd w:fill="auto" w:val="clear"/>
        </w:rPr>
      </w:pPr>
      <w:r>
        <w:rPr>
          <w:rFonts w:cs="Arial" w:ascii="Arial" w:hAnsi="Arial"/>
          <w:shd w:fill="auto" w:val="clear"/>
          <w:lang w:eastAsia="pt-BR"/>
        </w:rPr>
        <w:t>Prazo de entrega: Até o máximo de 5 (cinco) dias, a contar da Ordem de fornecimento, emitida pela Unidade Requisitante.</w:t>
      </w:r>
    </w:p>
    <w:p>
      <w:pPr>
        <w:pStyle w:val="Normal"/>
        <w:numPr>
          <w:ilvl w:val="0"/>
          <w:numId w:val="10"/>
        </w:numPr>
        <w:tabs>
          <w:tab w:val="clear" w:pos="709"/>
          <w:tab w:val="left" w:pos="284" w:leader="none"/>
        </w:tabs>
        <w:jc w:val="both"/>
        <w:rPr>
          <w:rFonts w:ascii="Arial" w:hAnsi="Arial" w:cs="Arial"/>
          <w:highlight w:val="none"/>
          <w:shd w:fill="auto" w:val="clear"/>
          <w:lang w:eastAsia="pt-BR"/>
        </w:rPr>
      </w:pPr>
      <w:r>
        <w:rPr>
          <w:rFonts w:cs="Arial" w:ascii="Arial" w:hAnsi="Arial"/>
          <w:shd w:fill="auto" w:val="clear"/>
          <w:lang w:eastAsia="pt-BR"/>
        </w:rPr>
        <w:t>Local de entrega: Centro Nacional de Documentação, Pesquisa e Divulgação do Humor Gráfico de Piracicaba</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Av. Dr. Maurice Allain, 454 – Nova Piracicaba, Piracicaba – SP, 13405-123</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 xml:space="preserve">Horário de entrega: de 08:00 às 12:00 horas e das 14:00 as 17:00 horas, de segunda a sexta-feira. </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r>
    </w:p>
    <w:p>
      <w:pPr>
        <w:pStyle w:val="Normal"/>
        <w:shd w:val="clear" w:color="auto" w:fill="CCCCCC"/>
        <w:ind w:firstLine="567"/>
        <w:jc w:val="both"/>
        <w:rPr>
          <w:rFonts w:ascii="Arial" w:hAnsi="Arial" w:cs="Arial"/>
        </w:rPr>
      </w:pPr>
      <w:r>
        <w:rPr>
          <w:rFonts w:cs="Arial" w:ascii="Arial" w:hAnsi="Arial"/>
          <w:b/>
          <w:bCs/>
        </w:rPr>
        <w:t>6</w:t>
      </w:r>
      <w:r>
        <w:rPr>
          <w:rFonts w:cs="Arial" w:ascii="Arial" w:hAnsi="Arial"/>
          <w:b/>
          <w:bCs/>
        </w:rPr>
        <w:t>. DA SUBCONTRATAÇÃO:</w:t>
      </w:r>
    </w:p>
    <w:p>
      <w:pPr>
        <w:pStyle w:val="Normal"/>
        <w:numPr>
          <w:ilvl w:val="0"/>
          <w:numId w:val="16"/>
        </w:numPr>
        <w:tabs>
          <w:tab w:val="clear" w:pos="709"/>
          <w:tab w:val="left" w:pos="284" w:leader="none"/>
        </w:tabs>
        <w:jc w:val="both"/>
        <w:rPr>
          <w:rFonts w:ascii="Arial" w:hAnsi="Arial" w:cs="Arial"/>
        </w:rPr>
      </w:pPr>
      <w:r>
        <w:rPr>
          <w:rFonts w:cs="Arial" w:ascii="Arial" w:hAnsi="Arial"/>
          <w:sz w:val="20"/>
          <w:szCs w:val="20"/>
          <w:lang w:eastAsia="pt-BR"/>
        </w:rPr>
        <w:t>Não é admitida a subcontratação do objeto contratual.</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7</w:t>
      </w:r>
      <w:r>
        <w:rPr>
          <w:rFonts w:cs="Arial" w:ascii="Arial" w:hAnsi="Arial"/>
          <w:b/>
          <w:bCs/>
        </w:rPr>
        <w:t>.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w:t>
      </w:r>
      <w:r>
        <w:rPr>
          <w:rFonts w:cs="Arial" w:ascii="Arial" w:hAnsi="Arial"/>
          <w:shd w:fill="auto" w:val="clear"/>
        </w:rPr>
        <w:t>ICMS</w:t>
      </w:r>
      <w:r>
        <w:rPr>
          <w:rFonts w:cs="Arial" w:ascii="Arial" w:hAnsi="Arial"/>
          <w:shd w:fill="auto" w:val="clear"/>
        </w:rPr>
        <w:t>;</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1.1.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rFonts w:cs="Arial" w:ascii="Arial" w:hAnsi="Arial"/>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17"/>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Catálogos técnicos contendo descritivo/folder/foto do produto ofertado, comprovando as especificações técnicas do edital, sob </w:t>
      </w:r>
      <w:r>
        <w:rPr>
          <w:rFonts w:cs="Arial" w:ascii="Arial" w:hAnsi="Arial"/>
          <w:shd w:fill="auto" w:val="clear"/>
        </w:rPr>
        <w:t>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 xml:space="preserve">Piracicaba, </w:t>
      </w:r>
      <w:r>
        <w:rPr>
          <w:rFonts w:cs="Arial" w:ascii="Arial" w:hAnsi="Arial"/>
          <w:shd w:fill="auto" w:val="clear"/>
        </w:rPr>
        <w:t>22</w:t>
      </w:r>
      <w:r>
        <w:rPr>
          <w:rFonts w:cs="Arial" w:ascii="Arial" w:hAnsi="Arial"/>
          <w:shd w:fill="auto" w:val="clear"/>
        </w:rPr>
        <w:t xml:space="preserve"> de </w:t>
      </w:r>
      <w:r>
        <w:rPr>
          <w:rFonts w:cs="Arial" w:ascii="Arial" w:hAnsi="Arial"/>
          <w:shd w:fill="auto" w:val="clear"/>
        </w:rPr>
        <w:t>junho</w:t>
      </w:r>
      <w:r>
        <w:rPr>
          <w:rFonts w:cs="Arial" w:ascii="Arial" w:hAnsi="Arial"/>
          <w:shd w:fill="auto" w:val="clear"/>
        </w:rPr>
        <w:t xml:space="preserve">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2"/>
        <w:gridCol w:w="4533"/>
        <w:gridCol w:w="1416"/>
        <w:gridCol w:w="1705"/>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Quant.</w:t>
            </w:r>
          </w:p>
        </w:tc>
        <w:tc>
          <w:tcPr>
            <w:tcW w:w="86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Unitário</w:t>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062</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11</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11</w:t>
    </w:r>
    <w:r>
      <w:rPr>
        <w:rFonts w:cs="Arial" w:ascii="Arial" w:hAnsi="Arial"/>
        <w:b/>
        <w:color w:val="000000"/>
        <w:sz w:val="16"/>
      </w:rPr>
      <w:fldChar w:fldCharType="end"/>
    </w:r>
  </w:p>
  <w:p>
    <w:pPr>
      <w:pStyle w:val="Contedodoquadrouser"/>
      <w:jc w:val="center"/>
      <w:rPr>
        <w:rFonts w:ascii="Arial" w:hAnsi="Arial" w:cs="Arial"/>
        <w:b/>
        <w:sz w:val="16"/>
      </w:rPr>
    </w:pPr>
    <w:r>
      <w:rPr>
        <w:rFonts w:cs="Arial" w:ascii="Arial" w:hAnsi="Arial"/>
        <w:b/>
        <w:sz w:val="16"/>
      </w:rPr>
      <w:drawing>
        <wp:anchor distT="0" distB="0" distL="114300" distR="114300" simplePos="0" relativeHeight="46"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user"/>
      <w:ind w:hanging="3346" w:left="3346"/>
      <w:rPr>
        <w:color w:val="000000"/>
      </w:rPr>
    </w:pPr>
    <w:r>
      <w:rPr>
        <w:color w:val="000000"/>
      </w:rPr>
    </w:r>
  </w:p>
  <w:p>
    <w:pPr>
      <w:pStyle w:val="Contedodoquadrouser"/>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062</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11</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11</w:t>
    </w:r>
    <w:r>
      <w:rPr>
        <w:rFonts w:cs="Arial" w:ascii="Arial" w:hAnsi="Arial"/>
        <w:b/>
        <w:color w:val="000000"/>
        <w:sz w:val="16"/>
      </w:rPr>
      <w:fldChar w:fldCharType="end"/>
    </w:r>
  </w:p>
  <w:p>
    <w:pPr>
      <w:pStyle w:val="Contedodoquadrouser"/>
      <w:jc w:val="center"/>
      <w:rPr>
        <w:rFonts w:ascii="Arial" w:hAnsi="Arial" w:cs="Arial"/>
        <w:b/>
        <w:sz w:val="16"/>
      </w:rPr>
    </w:pPr>
    <w:r>
      <w:rPr>
        <w:rFonts w:cs="Arial" w:ascii="Arial" w:hAnsi="Arial"/>
        <w:b/>
        <w:sz w:val="16"/>
      </w:rPr>
      <w:drawing>
        <wp:anchor distT="0" distB="0" distL="114300" distR="114300" simplePos="0" relativeHeight="46"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user"/>
      <w:ind w:hanging="3346" w:left="3346"/>
      <w:rPr>
        <w:color w:val="000000"/>
      </w:rPr>
    </w:pPr>
    <w:r>
      <w:rPr>
        <w:color w:val="000000"/>
      </w:rPr>
    </w:r>
  </w:p>
  <w:p>
    <w:pPr>
      <w:pStyle w:val="Contedodoquadrouser"/>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3"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3"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8">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2">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3"/>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user" w:customStyle="1">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Mangal"/>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Application>LibreOffice/25.8.7.3$Windows_X86_64 LibreOffice_project/30742500f2d3eb4366ac312fa33d3dcabdb3eba5</Application>
  <AppVersion>15.0000</AppVersion>
  <Pages>11</Pages>
  <Words>4655</Words>
  <Characters>27125</Characters>
  <CharactersWithSpaces>31552</CharactersWithSpaces>
  <Paragraphs>258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2026-06-22T10:44:10Z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