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false"/>
        <w:spacing w:lineRule="auto" w:line="240"/>
        <w:jc w:val="center"/>
        <w:rPr>
          <w:b/>
          <w:sz w:val="20"/>
          <w:szCs w:val="20"/>
        </w:rPr>
      </w:pPr>
      <w:r>
        <w:rPr>
          <w:b/>
          <w:sz w:val="20"/>
          <w:szCs w:val="20"/>
        </w:rPr>
        <w:t xml:space="preserve">EDITAL DE PREGÃO ELETRÔNICO </w:t>
      </w:r>
      <w:r>
        <w:rPr>
          <w:b/>
          <w:sz w:val="20"/>
          <w:szCs w:val="20"/>
          <w:lang w:val="pt-BR"/>
        </w:rPr>
        <w:t xml:space="preserve">nº </w:t>
      </w:r>
      <w:r>
        <w:rPr>
          <w:b/>
          <w:sz w:val="20"/>
          <w:szCs w:val="20"/>
          <w:lang w:val="pt-BR"/>
        </w:rPr>
        <w:t>187</w:t>
      </w:r>
      <w:r>
        <w:rPr>
          <w:b/>
          <w:sz w:val="20"/>
          <w:szCs w:val="20"/>
          <w:lang w:val="pt-BR"/>
        </w:rPr>
        <w:t>/</w:t>
      </w:r>
      <w:r>
        <w:rPr>
          <w:b/>
          <w:sz w:val="20"/>
          <w:szCs w:val="20"/>
          <w:lang w:val="pt-BR"/>
        </w:rPr>
        <w:t>2026</w:t>
      </w:r>
      <w:r>
        <w:rPr>
          <w:b/>
          <w:sz w:val="20"/>
          <w:szCs w:val="20"/>
        </w:rPr>
        <w:t xml:space="preserve"> </w:t>
      </w:r>
    </w:p>
    <w:p>
      <w:pPr>
        <w:pStyle w:val="BodyTextIndent"/>
        <w:widowControl w:val="false"/>
        <w:shd w:val="clear" w:color="auto" w:fill="CCCCCC"/>
        <w:overflowPunct w:val="false"/>
        <w:spacing w:lineRule="auto" w:line="240"/>
        <w:jc w:val="center"/>
        <w:rPr>
          <w:b/>
          <w:sz w:val="20"/>
          <w:szCs w:val="20"/>
          <w:lang w:val="pt-BR"/>
        </w:rPr>
      </w:pPr>
      <w:r>
        <w:rPr>
          <w:b/>
          <w:sz w:val="20"/>
          <w:szCs w:val="20"/>
          <w:lang w:val="pt-BR"/>
        </w:rPr>
        <w:t>REGISTRO DE PREÇOS</w:t>
      </w:r>
    </w:p>
    <w:p>
      <w:pPr>
        <w:pStyle w:val="BodyTextIndent"/>
        <w:widowControl w:val="false"/>
        <w:overflowPunct w:val="false"/>
        <w:spacing w:lineRule="auto" w:line="240"/>
        <w:jc w:val="center"/>
        <w:rPr>
          <w:sz w:val="20"/>
          <w:szCs w:val="20"/>
          <w:lang w:val="pt-BR"/>
        </w:rPr>
      </w:pPr>
      <w:r>
        <w:rPr>
          <w:sz w:val="20"/>
          <w:szCs w:val="20"/>
          <w:lang w:val="pt-BR"/>
        </w:rPr>
      </w:r>
    </w:p>
    <w:p>
      <w:pPr>
        <w:pStyle w:val="BodyTextIndent"/>
        <w:widowControl w:val="false"/>
        <w:overflowPunct w:val="false"/>
        <w:spacing w:lineRule="auto" w:line="240"/>
        <w:jc w:val="center"/>
        <w:rPr>
          <w:b/>
          <w:bCs/>
          <w:sz w:val="20"/>
          <w:szCs w:val="20"/>
          <w:lang w:val="pt-BR"/>
        </w:rPr>
      </w:pPr>
      <w:r>
        <w:rPr>
          <w:b/>
          <w:bCs/>
          <w:sz w:val="20"/>
          <w:szCs w:val="20"/>
          <w:lang w:val="pt-BR"/>
        </w:rPr>
        <w:t>TERMO DE REFERÊNCIA</w:t>
      </w:r>
    </w:p>
    <w:p>
      <w:pPr>
        <w:pStyle w:val="BodyTextIndent"/>
        <w:widowControl w:val="false"/>
        <w:overflowPunct w:val="false"/>
        <w:spacing w:lineRule="auto" w:line="240"/>
        <w:jc w:val="center"/>
        <w:rPr>
          <w:sz w:val="20"/>
          <w:szCs w:val="20"/>
        </w:rPr>
      </w:pPr>
      <w:r>
        <w:rPr>
          <w:sz w:val="20"/>
          <w:szCs w:val="20"/>
        </w:rPr>
      </w:r>
    </w:p>
    <w:p>
      <w:pPr>
        <w:pStyle w:val="BodyTextIndent"/>
        <w:widowControl w:val="false"/>
        <w:shd w:val="clear" w:color="auto" w:fill="DDDDDD"/>
        <w:overflowPunct w:val="false"/>
        <w:spacing w:lineRule="auto" w:line="240"/>
        <w:ind w:firstLine="561"/>
        <w:jc w:val="start"/>
        <w:rPr>
          <w:b/>
          <w:sz w:val="20"/>
          <w:szCs w:val="20"/>
        </w:rPr>
      </w:pPr>
      <w:r>
        <w:rPr>
          <w:b/>
          <w:sz w:val="20"/>
          <w:szCs w:val="20"/>
        </w:rPr>
        <w:t>1</w:t>
      </w:r>
      <w:r>
        <w:rPr>
          <w:b/>
          <w:sz w:val="20"/>
          <w:szCs w:val="20"/>
          <w:lang w:val="pt-BR"/>
        </w:rPr>
        <w:t>.</w:t>
      </w:r>
      <w:r>
        <w:rPr>
          <w:b/>
          <w:sz w:val="20"/>
          <w:szCs w:val="20"/>
        </w:rPr>
        <w:t xml:space="preserve"> DO PROCESSAMENTO DO PREGÃO:</w:t>
      </w:r>
    </w:p>
    <w:p>
      <w:pPr>
        <w:pStyle w:val="BodyTextIndent"/>
        <w:widowControl w:val="false"/>
        <w:numPr>
          <w:ilvl w:val="0"/>
          <w:numId w:val="9"/>
        </w:numPr>
        <w:tabs>
          <w:tab w:val="clear" w:pos="709"/>
          <w:tab w:val="left" w:pos="284" w:leader="none"/>
        </w:tabs>
        <w:overflowPunct w:val="false"/>
        <w:spacing w:lineRule="auto" w:line="240"/>
        <w:rPr>
          <w:sz w:val="20"/>
          <w:szCs w:val="20"/>
          <w:lang w:val="pt-BR"/>
        </w:rPr>
      </w:pPr>
      <w:r>
        <w:rPr>
          <w:sz w:val="20"/>
          <w:szCs w:val="20"/>
        </w:rPr>
        <w:t>Número do proces</w:t>
      </w:r>
      <w:r>
        <w:rPr>
          <w:sz w:val="20"/>
          <w:szCs w:val="20"/>
          <w:lang w:val="pt-BR"/>
        </w:rPr>
        <w:t>so:</w:t>
      </w:r>
      <w:r>
        <w:rPr>
          <w:b/>
          <w:sz w:val="20"/>
          <w:szCs w:val="20"/>
          <w:lang w:val="pt-BR"/>
        </w:rPr>
        <w:t xml:space="preserve"> 61.139/2026</w:t>
      </w:r>
    </w:p>
    <w:p>
      <w:pPr>
        <w:pStyle w:val="BodyTextIndent"/>
        <w:widowControl w:val="false"/>
        <w:numPr>
          <w:ilvl w:val="0"/>
          <w:numId w:val="9"/>
        </w:numPr>
        <w:tabs>
          <w:tab w:val="clear" w:pos="709"/>
          <w:tab w:val="left" w:pos="284" w:leader="none"/>
        </w:tabs>
        <w:overflowPunct w:val="false"/>
        <w:spacing w:lineRule="auto" w:line="240"/>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w:t>
      </w:r>
      <w:r>
        <w:rPr>
          <w:b/>
          <w:sz w:val="20"/>
          <w:szCs w:val="20"/>
          <w:lang w:val="pt-BR"/>
        </w:rPr>
        <w:t>14</w:t>
      </w:r>
      <w:r>
        <w:rPr>
          <w:b/>
          <w:sz w:val="20"/>
          <w:szCs w:val="20"/>
          <w:lang w:val="pt-BR"/>
        </w:rPr>
        <w:t>/</w:t>
      </w:r>
      <w:r>
        <w:rPr>
          <w:b/>
          <w:sz w:val="20"/>
          <w:szCs w:val="20"/>
          <w:lang w:val="pt-BR"/>
        </w:rPr>
        <w:t>07</w:t>
      </w:r>
      <w:r>
        <w:rPr>
          <w:b/>
          <w:sz w:val="20"/>
          <w:szCs w:val="20"/>
          <w:lang w:val="pt-BR"/>
        </w:rPr>
        <w:t>/</w:t>
      </w:r>
      <w:r>
        <w:rPr>
          <w:b/>
          <w:sz w:val="20"/>
          <w:szCs w:val="20"/>
          <w:lang w:val="pt-BR"/>
        </w:rPr>
        <w:t>2026</w:t>
      </w:r>
      <w:r>
        <w:rPr>
          <w:b/>
          <w:sz w:val="20"/>
          <w:szCs w:val="20"/>
          <w:lang w:val="pt-BR"/>
        </w:rPr>
        <w:t xml:space="preserve"> - 08 </w:t>
      </w:r>
      <w:r>
        <w:rPr>
          <w:b/>
          <w:sz w:val="20"/>
          <w:szCs w:val="20"/>
        </w:rPr>
        <w:t>horas</w:t>
      </w:r>
      <w:r>
        <w:rPr>
          <w:b/>
          <w:sz w:val="20"/>
          <w:szCs w:val="20"/>
          <w:lang w:val="pt-BR"/>
        </w:rPr>
        <w:t>;</w:t>
      </w:r>
    </w:p>
    <w:p>
      <w:pPr>
        <w:pStyle w:val="BodyTextIndent"/>
        <w:widowControl w:val="false"/>
        <w:numPr>
          <w:ilvl w:val="0"/>
          <w:numId w:val="9"/>
        </w:numPr>
        <w:tabs>
          <w:tab w:val="clear" w:pos="709"/>
          <w:tab w:val="left" w:pos="284" w:leader="none"/>
        </w:tabs>
        <w:overflowPunct w:val="false"/>
        <w:spacing w:lineRule="auto" w:line="240"/>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w:t>
      </w:r>
      <w:r>
        <w:rPr>
          <w:b/>
          <w:sz w:val="20"/>
          <w:szCs w:val="20"/>
          <w:lang w:val="pt-BR"/>
        </w:rPr>
        <w:t>14</w:t>
      </w:r>
      <w:r>
        <w:rPr>
          <w:b/>
          <w:sz w:val="20"/>
          <w:szCs w:val="20"/>
          <w:lang w:val="pt-BR"/>
        </w:rPr>
        <w:t>/</w:t>
      </w:r>
      <w:r>
        <w:rPr>
          <w:b/>
          <w:sz w:val="20"/>
          <w:szCs w:val="20"/>
          <w:lang w:val="pt-BR"/>
        </w:rPr>
        <w:t>07</w:t>
      </w:r>
      <w:r>
        <w:rPr>
          <w:b/>
          <w:sz w:val="20"/>
          <w:szCs w:val="20"/>
          <w:lang w:val="pt-BR"/>
        </w:rPr>
        <w:t>/</w:t>
      </w:r>
      <w:r>
        <w:rPr>
          <w:b/>
          <w:sz w:val="20"/>
          <w:szCs w:val="20"/>
          <w:lang w:val="pt-BR"/>
        </w:rPr>
        <w:t>2026</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pPr>
        <w:pStyle w:val="BodyTextIndent"/>
        <w:widowControl w:val="false"/>
        <w:numPr>
          <w:ilvl w:val="0"/>
          <w:numId w:val="9"/>
        </w:numPr>
        <w:tabs>
          <w:tab w:val="clear" w:pos="709"/>
          <w:tab w:val="left" w:pos="284" w:leader="none"/>
        </w:tabs>
        <w:overflowPunct w:val="false"/>
        <w:spacing w:lineRule="auto" w:line="240"/>
        <w:rPr>
          <w:b/>
          <w:bCs/>
          <w:sz w:val="20"/>
          <w:szCs w:val="20"/>
          <w:lang w:val="pt-BR"/>
        </w:rPr>
      </w:pPr>
      <w:r>
        <w:rPr>
          <w:sz w:val="20"/>
          <w:szCs w:val="20"/>
        </w:rPr>
        <w:t xml:space="preserve">Endereço eletrônico: </w:t>
      </w:r>
      <w:hyperlink r:id="rId2">
        <w:r>
          <w:rPr>
            <w:rStyle w:val="Hyperlink"/>
            <w:sz w:val="20"/>
            <w:szCs w:val="20"/>
          </w:rPr>
          <w:t>https://bnccompras.com</w:t>
        </w:r>
      </w:hyperlink>
      <w:r>
        <w:rPr>
          <w:sz w:val="20"/>
          <w:szCs w:val="20"/>
          <w:lang w:val="pt-BR"/>
        </w:rPr>
        <w:t xml:space="preserve"> </w:t>
      </w:r>
      <w:r>
        <w:rPr>
          <w:sz w:val="20"/>
          <w:szCs w:val="20"/>
        </w:rPr>
        <w:t xml:space="preserve"> </w:t>
      </w:r>
    </w:p>
    <w:p>
      <w:pPr>
        <w:pStyle w:val="BodyTextIndent"/>
        <w:widowControl w:val="false"/>
        <w:overflowPunct w:val="false"/>
        <w:spacing w:lineRule="auto" w:line="240"/>
        <w:ind w:firstLine="561"/>
        <w:jc w:val="start"/>
        <w:rPr>
          <w:b/>
          <w:bCs/>
          <w:sz w:val="20"/>
          <w:szCs w:val="20"/>
          <w:highlight w:val="yellow"/>
          <w:lang w:val="pt-BR"/>
        </w:rPr>
      </w:pPr>
      <w:r>
        <w:rPr>
          <w:b/>
          <w:bCs/>
          <w:sz w:val="20"/>
          <w:szCs w:val="20"/>
          <w:highlight w:val="yellow"/>
          <w:lang w:val="pt-BR"/>
        </w:rPr>
      </w:r>
    </w:p>
    <w:p>
      <w:pPr>
        <w:pStyle w:val="Normal"/>
        <w:shd w:val="clear" w:color="auto" w:fill="DDDDDD"/>
        <w:ind w:firstLine="561"/>
        <w:rPr>
          <w:rFonts w:ascii="Arial" w:hAnsi="Arial" w:cs="Arial"/>
        </w:rPr>
      </w:pPr>
      <w:r>
        <w:rPr>
          <w:rFonts w:cs="Arial" w:ascii="Arial" w:hAnsi="Arial"/>
          <w:b/>
          <w:bCs/>
        </w:rPr>
        <w:t>2. DO OBJETO:</w:t>
      </w:r>
    </w:p>
    <w:p>
      <w:pPr>
        <w:pStyle w:val="Normal"/>
        <w:numPr>
          <w:ilvl w:val="0"/>
          <w:numId w:val="16"/>
        </w:numPr>
        <w:tabs>
          <w:tab w:val="clear" w:pos="709"/>
          <w:tab w:val="left" w:pos="284" w:leader="none"/>
        </w:tabs>
        <w:jc w:val="both"/>
        <w:rPr>
          <w:rFonts w:ascii="Arial" w:hAnsi="Arial" w:cs="Arial"/>
          <w:b/>
        </w:rPr>
      </w:pPr>
      <w:r>
        <w:rPr>
          <w:rFonts w:cs="Arial" w:ascii="Arial" w:hAnsi="Arial"/>
        </w:rPr>
        <w:t>Objeto:</w:t>
      </w:r>
      <w:r>
        <w:rPr>
          <w:rFonts w:cs="Arial" w:ascii="Arial" w:hAnsi="Arial"/>
          <w:b/>
        </w:rPr>
        <w:t xml:space="preserve"> Registro de Preços para Fornecimento de Tintas e Materiais para Pintura.</w:t>
      </w:r>
    </w:p>
    <w:p>
      <w:pPr>
        <w:pStyle w:val="Normal"/>
        <w:numPr>
          <w:ilvl w:val="0"/>
          <w:numId w:val="9"/>
        </w:numPr>
        <w:tabs>
          <w:tab w:val="clear" w:pos="709"/>
          <w:tab w:val="left" w:pos="284" w:leader="none"/>
        </w:tabs>
        <w:jc w:val="both"/>
        <w:rPr>
          <w:rFonts w:ascii="Arial" w:hAnsi="Arial" w:cs="Arial"/>
        </w:rPr>
      </w:pPr>
      <w:r>
        <w:rPr>
          <w:rFonts w:cs="Arial" w:ascii="Arial" w:hAnsi="Arial"/>
        </w:rPr>
        <w:t xml:space="preserve">Unidade Requisitante: </w:t>
      </w:r>
      <w:r>
        <w:rPr>
          <w:rFonts w:cs="Arial" w:ascii="Arial" w:hAnsi="Arial"/>
          <w:b/>
        </w:rPr>
        <w:t>SECRETARIA MUNICIPAL DE OBRAS, INFRAESTRUTURA E SERVIÇOS PÚBLICOS.</w:t>
      </w:r>
      <w:r>
        <w:rPr>
          <w:rFonts w:cs="Arial" w:ascii="Arial" w:hAnsi="Arial"/>
        </w:rPr>
        <w:t xml:space="preserve"> </w:t>
      </w:r>
    </w:p>
    <w:p>
      <w:pPr>
        <w:pStyle w:val="Normal"/>
        <w:numPr>
          <w:ilvl w:val="0"/>
          <w:numId w:val="9"/>
        </w:numPr>
        <w:tabs>
          <w:tab w:val="clear" w:pos="709"/>
          <w:tab w:val="left" w:pos="284" w:leader="none"/>
        </w:tabs>
        <w:jc w:val="both"/>
        <w:rPr>
          <w:rFonts w:ascii="Arial" w:hAnsi="Arial" w:cs="Arial"/>
        </w:rPr>
      </w:pPr>
      <w:r>
        <w:rPr>
          <w:rFonts w:cs="Arial" w:ascii="Arial" w:hAnsi="Arial"/>
        </w:rPr>
        <w:t>Fonte de recursos: 0101011000 - TESOURO - GERAL 15.122.0006.2091.0000 e 20.605.0008.2060.0000</w:t>
      </w:r>
    </w:p>
    <w:p>
      <w:pPr>
        <w:pStyle w:val="Normal"/>
        <w:numPr>
          <w:ilvl w:val="0"/>
          <w:numId w:val="9"/>
        </w:numPr>
        <w:tabs>
          <w:tab w:val="clear" w:pos="709"/>
          <w:tab w:val="left" w:pos="284" w:leader="none"/>
        </w:tabs>
        <w:jc w:val="both"/>
        <w:rPr>
          <w:rFonts w:ascii="Arial" w:hAnsi="Arial" w:cs="Arial"/>
        </w:rPr>
      </w:pPr>
      <w:r>
        <w:rPr>
          <w:rFonts w:cs="Arial" w:ascii="Arial" w:hAnsi="Arial"/>
        </w:rPr>
        <w:t xml:space="preserve">Valor estimado da contratação: </w:t>
      </w:r>
      <w:r>
        <w:rPr>
          <w:rFonts w:cs="Arial" w:ascii="Arial" w:hAnsi="Arial"/>
          <w:b/>
        </w:rPr>
        <w:t>R$ 278.812,20 (Duzentos e setenta e oito mil, oitocentos e doze reais e vinte centavos)</w:t>
      </w:r>
      <w:r>
        <w:rPr>
          <w:rFonts w:cs="Arial" w:ascii="Arial" w:hAnsi="Arial"/>
        </w:rPr>
        <w:t>.</w:t>
      </w:r>
      <w:bookmarkStart w:id="0" w:name="_GoBack"/>
      <w:bookmarkEnd w:id="0"/>
    </w:p>
    <w:p>
      <w:pPr>
        <w:pStyle w:val="Normal"/>
        <w:numPr>
          <w:ilvl w:val="0"/>
          <w:numId w:val="9"/>
        </w:numPr>
        <w:tabs>
          <w:tab w:val="clear" w:pos="709"/>
          <w:tab w:val="left" w:pos="284" w:leader="none"/>
        </w:tabs>
        <w:jc w:val="both"/>
        <w:rPr>
          <w:rFonts w:ascii="Arial" w:hAnsi="Arial" w:cs="Arial"/>
        </w:rPr>
      </w:pPr>
      <w:r>
        <w:rPr>
          <w:rFonts w:cs="Arial" w:ascii="Arial" w:hAnsi="Arial"/>
        </w:rPr>
        <w:t>Validade da Ata de Registro de Preços: 12 (doze) meses, podendo ser prorrogado, por igual período, renovadas as quantidades, desde que comprovado o preço vantajoso, conforme previsto no artigo 84 da Lei 14.133, de 2021.</w:t>
      </w:r>
    </w:p>
    <w:p>
      <w:pPr>
        <w:pStyle w:val="Normal"/>
        <w:ind w:firstLine="561"/>
        <w:rPr>
          <w:rFonts w:ascii="Arial" w:hAnsi="Arial" w:cs="Arial"/>
          <w:highlight w:val="yellow"/>
        </w:rPr>
      </w:pPr>
      <w:r>
        <w:rPr>
          <w:rFonts w:cs="Arial" w:ascii="Arial" w:hAnsi="Arial"/>
          <w:highlight w:val="yellow"/>
        </w:rPr>
      </w:r>
    </w:p>
    <w:p>
      <w:pPr>
        <w:pStyle w:val="Normal"/>
        <w:shd w:val="clear" w:color="auto" w:fill="DDDDDD"/>
        <w:ind w:firstLine="561"/>
        <w:rPr>
          <w:rFonts w:ascii="Arial" w:hAnsi="Arial" w:cs="Arial"/>
          <w:b/>
          <w:bCs/>
        </w:rPr>
      </w:pPr>
      <w:r>
        <w:rPr>
          <w:rFonts w:cs="Arial" w:ascii="Arial" w:hAnsi="Arial"/>
          <w:b/>
          <w:bCs/>
        </w:rPr>
        <w:t>3. DO PROCEDIMENTO:</w:t>
      </w:r>
    </w:p>
    <w:p>
      <w:pPr>
        <w:pStyle w:val="Normal"/>
        <w:widowControl w:val="false"/>
        <w:numPr>
          <w:ilvl w:val="0"/>
          <w:numId w:val="10"/>
        </w:numPr>
        <w:tabs>
          <w:tab w:val="clear" w:pos="709"/>
          <w:tab w:val="left" w:pos="284" w:leader="none"/>
        </w:tabs>
        <w:jc w:val="both"/>
        <w:rPr>
          <w:rFonts w:ascii="Arial" w:hAnsi="Arial" w:cs="Arial"/>
        </w:rPr>
      </w:pPr>
      <w:r>
        <w:rPr>
          <w:rFonts w:cs="Arial" w:ascii="Arial" w:hAnsi="Arial"/>
        </w:rPr>
        <w:t>Critério de julgamento: Menor preço por item.</w:t>
      </w:r>
    </w:p>
    <w:p>
      <w:pPr>
        <w:pStyle w:val="Normal"/>
        <w:widowControl w:val="false"/>
        <w:numPr>
          <w:ilvl w:val="0"/>
          <w:numId w:val="10"/>
        </w:numPr>
        <w:tabs>
          <w:tab w:val="clear" w:pos="709"/>
          <w:tab w:val="left" w:pos="284" w:leader="none"/>
        </w:tabs>
        <w:jc w:val="both"/>
        <w:rPr>
          <w:rFonts w:ascii="Arial" w:hAnsi="Arial" w:cs="Arial"/>
          <w:b/>
        </w:rPr>
      </w:pPr>
      <w:r>
        <w:rPr>
          <w:rFonts w:cs="Arial" w:ascii="Arial" w:hAnsi="Arial"/>
        </w:rPr>
        <w:t>Base de disputa: Preço unitário do item.</w:t>
      </w:r>
    </w:p>
    <w:p>
      <w:pPr>
        <w:pStyle w:val="Normal"/>
        <w:widowControl w:val="false"/>
        <w:numPr>
          <w:ilvl w:val="0"/>
          <w:numId w:val="10"/>
        </w:numPr>
        <w:tabs>
          <w:tab w:val="clear" w:pos="709"/>
          <w:tab w:val="left" w:pos="284" w:leader="none"/>
        </w:tabs>
        <w:jc w:val="both"/>
        <w:rPr>
          <w:rFonts w:ascii="Arial" w:hAnsi="Arial" w:cs="Arial"/>
          <w:b/>
        </w:rPr>
      </w:pPr>
      <w:r>
        <w:rPr>
          <w:rFonts w:cs="Arial" w:ascii="Arial" w:hAnsi="Arial"/>
        </w:rPr>
        <w:t>Modo de disputa: Aberto</w:t>
      </w:r>
    </w:p>
    <w:p>
      <w:pPr>
        <w:pStyle w:val="Normal"/>
        <w:widowControl w:val="false"/>
        <w:numPr>
          <w:ilvl w:val="0"/>
          <w:numId w:val="10"/>
        </w:numPr>
        <w:tabs>
          <w:tab w:val="clear" w:pos="709"/>
          <w:tab w:val="left" w:pos="284" w:leader="none"/>
        </w:tabs>
        <w:jc w:val="both"/>
        <w:rPr>
          <w:rFonts w:ascii="Arial" w:hAnsi="Arial" w:cs="Arial"/>
          <w:b/>
        </w:rPr>
      </w:pPr>
      <w:r>
        <w:rPr>
          <w:rFonts w:cs="Arial" w:ascii="Arial" w:hAnsi="Arial"/>
          <w:b/>
          <w:bCs/>
        </w:rPr>
        <w:t>A participação nesta licitação é exclusiva de Microempresas e Empresas de Pequeno Porte.</w:t>
      </w:r>
    </w:p>
    <w:p>
      <w:pPr>
        <w:pStyle w:val="Normal"/>
        <w:ind w:firstLine="567"/>
        <w:jc w:val="both"/>
        <w:rPr>
          <w:rFonts w:ascii="Arial" w:hAnsi="Arial" w:cs="Arial"/>
        </w:rPr>
      </w:pPr>
      <w:r>
        <w:rPr>
          <w:rFonts w:cs="Arial" w:ascii="Arial" w:hAnsi="Arial"/>
        </w:rPr>
      </w:r>
    </w:p>
    <w:p>
      <w:pPr>
        <w:pStyle w:val="Normal"/>
        <w:shd w:val="clear" w:color="auto" w:fill="DDDDDD"/>
        <w:ind w:firstLine="561"/>
        <w:rPr>
          <w:rFonts w:ascii="Arial" w:hAnsi="Arial" w:cs="Arial"/>
        </w:rPr>
      </w:pPr>
      <w:r>
        <w:rPr>
          <w:rFonts w:cs="Arial" w:ascii="Arial" w:hAnsi="Arial"/>
          <w:b/>
          <w:bCs/>
        </w:rPr>
        <w:t>4. DA PROPOSTA:</w:t>
      </w:r>
    </w:p>
    <w:p>
      <w:pPr>
        <w:pStyle w:val="Normal"/>
        <w:numPr>
          <w:ilvl w:val="0"/>
          <w:numId w:val="17"/>
        </w:numPr>
        <w:tabs>
          <w:tab w:val="clear" w:pos="709"/>
          <w:tab w:val="left" w:pos="284" w:leader="none"/>
        </w:tabs>
        <w:jc w:val="both"/>
        <w:rPr>
          <w:rFonts w:ascii="Arial" w:hAnsi="Arial" w:cs="Arial"/>
        </w:rPr>
      </w:pPr>
      <w:r>
        <w:rPr>
          <w:rFonts w:cs="Arial" w:ascii="Arial" w:hAnsi="Arial"/>
        </w:rPr>
        <w:t>Prazo de validade: 90 (noventa) dias.</w:t>
      </w:r>
    </w:p>
    <w:p>
      <w:pPr>
        <w:pStyle w:val="Normal"/>
        <w:numPr>
          <w:ilvl w:val="0"/>
          <w:numId w:val="9"/>
        </w:numPr>
        <w:tabs>
          <w:tab w:val="clear" w:pos="709"/>
          <w:tab w:val="left" w:pos="284" w:leader="none"/>
        </w:tabs>
        <w:jc w:val="both"/>
        <w:rPr>
          <w:rFonts w:ascii="Arial" w:hAnsi="Arial" w:cs="Arial"/>
        </w:rPr>
      </w:pPr>
      <w:r>
        <w:rPr>
          <w:rFonts w:cs="Arial" w:ascii="Arial" w:hAnsi="Arial"/>
        </w:rPr>
        <w:t>Prazo de pagamento: 15 (quinze) dias úteis, contados da data do recebimento da nota fiscal, em atendimento ao Decreto Municipal Nº 17.640/18.</w:t>
      </w:r>
    </w:p>
    <w:p>
      <w:pPr>
        <w:pStyle w:val="Normal"/>
        <w:numPr>
          <w:ilvl w:val="0"/>
          <w:numId w:val="9"/>
        </w:numPr>
        <w:tabs>
          <w:tab w:val="clear" w:pos="709"/>
          <w:tab w:val="left" w:pos="284" w:leader="none"/>
        </w:tabs>
        <w:jc w:val="both"/>
        <w:rPr>
          <w:rFonts w:ascii="Arial" w:hAnsi="Arial" w:cs="Arial"/>
        </w:rPr>
      </w:pPr>
      <w:r>
        <w:rPr>
          <w:rFonts w:cs="Arial" w:ascii="Arial" w:hAnsi="Arial"/>
        </w:rPr>
        <w:t xml:space="preserve">Deverá ser especificado na proposta o </w:t>
      </w:r>
      <w:r>
        <w:rPr>
          <w:rFonts w:cs="Arial" w:ascii="Arial" w:hAnsi="Arial"/>
          <w:b/>
        </w:rPr>
        <w:t>valor unitário e total</w:t>
      </w:r>
      <w:r>
        <w:rPr>
          <w:rFonts w:cs="Arial" w:ascii="Arial" w:hAnsi="Arial"/>
        </w:rPr>
        <w:t xml:space="preserve"> do item, a </w:t>
      </w:r>
      <w:r>
        <w:rPr>
          <w:rFonts w:cs="Arial" w:ascii="Arial" w:hAnsi="Arial"/>
          <w:b/>
        </w:rPr>
        <w:t xml:space="preserve">marca e prazo de validade </w:t>
      </w:r>
      <w:r>
        <w:rPr>
          <w:rFonts w:cs="Arial" w:ascii="Arial" w:hAnsi="Arial"/>
        </w:rPr>
        <w:t>dos produtos cotados, sendo admitida apenas uma marca por item.</w:t>
      </w:r>
    </w:p>
    <w:p>
      <w:pPr>
        <w:pStyle w:val="Normal"/>
        <w:numPr>
          <w:ilvl w:val="0"/>
          <w:numId w:val="9"/>
        </w:numPr>
        <w:tabs>
          <w:tab w:val="clear" w:pos="709"/>
          <w:tab w:val="left" w:pos="284" w:leader="none"/>
        </w:tabs>
        <w:jc w:val="both"/>
        <w:rPr>
          <w:rFonts w:ascii="Arial" w:hAnsi="Arial" w:cs="Arial"/>
        </w:rPr>
      </w:pPr>
      <w:r>
        <w:rPr>
          <w:rFonts w:cs="Arial" w:ascii="Arial" w:hAnsi="Arial"/>
        </w:rPr>
        <w:t>Deverá ser anexado no sistema eletrônico, no campo denominado “Documentos Complementares”,</w:t>
      </w:r>
      <w:r>
        <w:rPr>
          <w:rFonts w:cs="Arial" w:ascii="Arial" w:hAnsi="Arial"/>
          <w:bCs/>
        </w:rPr>
        <w:t xml:space="preserve"> </w:t>
      </w:r>
      <w:r>
        <w:rPr>
          <w:rFonts w:cs="Arial" w:ascii="Arial" w:hAnsi="Arial"/>
        </w:rPr>
        <w:t>sob pena de desclassificação pelo não cumprimento:</w:t>
      </w:r>
    </w:p>
    <w:p>
      <w:pPr>
        <w:pStyle w:val="Normal"/>
        <w:numPr>
          <w:ilvl w:val="1"/>
          <w:numId w:val="9"/>
        </w:numPr>
        <w:tabs>
          <w:tab w:val="clear" w:pos="709"/>
          <w:tab w:val="left" w:pos="284" w:leader="none"/>
        </w:tabs>
        <w:jc w:val="both"/>
        <w:rPr>
          <w:rFonts w:ascii="Arial" w:hAnsi="Arial" w:cs="Arial"/>
        </w:rPr>
      </w:pPr>
      <w:r>
        <w:rPr>
          <w:rFonts w:cs="Arial" w:ascii="Arial" w:hAnsi="Arial"/>
        </w:rPr>
        <w:t>Catálogos técnicos contendo o descritivo/folder/foto do produto ofertado, comprovando as especificações técnicas exigidas no edital.</w:t>
      </w:r>
    </w:p>
    <w:p>
      <w:pPr>
        <w:pStyle w:val="Normal"/>
        <w:numPr>
          <w:ilvl w:val="0"/>
          <w:numId w:val="9"/>
        </w:numPr>
        <w:tabs>
          <w:tab w:val="clear" w:pos="709"/>
          <w:tab w:val="left" w:pos="284" w:leader="none"/>
        </w:tabs>
        <w:jc w:val="both"/>
        <w:rPr>
          <w:rFonts w:ascii="Arial" w:hAnsi="Arial" w:eastAsia="Arial" w:cs="Arial"/>
        </w:rPr>
      </w:pPr>
      <w:r>
        <w:rPr>
          <w:rFonts w:cs="Arial" w:ascii="Arial" w:hAnsi="Arial"/>
        </w:rPr>
        <w:t>Especificações e quantidades:</w:t>
      </w:r>
    </w:p>
    <w:p>
      <w:pPr>
        <w:pStyle w:val="Normal"/>
        <w:tabs>
          <w:tab w:val="clear" w:pos="709"/>
          <w:tab w:val="left" w:pos="284" w:leader="none"/>
        </w:tabs>
        <w:jc w:val="both"/>
        <w:rPr>
          <w:rFonts w:ascii="Arial" w:hAnsi="Arial" w:eastAsia="Arial" w:cs="Arial"/>
        </w:rPr>
      </w:pPr>
      <w:r>
        <w:rPr>
          <w:rFonts w:eastAsia="Arial" w:cs="Arial" w:ascii="Arial" w:hAnsi="Arial"/>
        </w:rPr>
      </w:r>
    </w:p>
    <w:tbl>
      <w:tblPr>
        <w:tblW w:w="9920" w:type="dxa"/>
        <w:jc w:val="center"/>
        <w:tblInd w:w="0" w:type="dxa"/>
        <w:tblLayout w:type="fixed"/>
        <w:tblCellMar>
          <w:top w:w="55" w:type="dxa"/>
          <w:start w:w="55" w:type="dxa"/>
          <w:bottom w:w="55" w:type="dxa"/>
          <w:end w:w="55" w:type="dxa"/>
        </w:tblCellMar>
        <w:tblLook w:val="04a0" w:firstRow="1" w:noVBand="1" w:lastRow="0" w:firstColumn="1" w:lastColumn="0" w:noHBand="0"/>
      </w:tblPr>
      <w:tblGrid>
        <w:gridCol w:w="850"/>
        <w:gridCol w:w="850"/>
        <w:gridCol w:w="850"/>
        <w:gridCol w:w="7370"/>
      </w:tblGrid>
      <w:tr>
        <w:trPr>
          <w:tblHeader w:val="true"/>
          <w:trHeight w:val="170" w:hRule="atLeast"/>
        </w:trPr>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b/>
                <w:kern w:val="2"/>
              </w:rPr>
            </w:pPr>
            <w:r>
              <w:rPr>
                <w:rFonts w:cs="Arial" w:ascii="Arial" w:hAnsi="Arial"/>
                <w:b/>
              </w:rPr>
              <w:t>Item</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b/>
                <w:kern w:val="2"/>
              </w:rPr>
            </w:pPr>
            <w:r>
              <w:rPr>
                <w:rFonts w:cs="Arial" w:ascii="Arial" w:hAnsi="Arial"/>
                <w:b/>
              </w:rPr>
              <w:t>Quant.</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b/>
                <w:kern w:val="2"/>
              </w:rPr>
            </w:pPr>
            <w:r>
              <w:rPr>
                <w:rFonts w:cs="Arial" w:ascii="Arial" w:hAnsi="Arial"/>
                <w:b/>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center"/>
              <w:rPr>
                <w:rFonts w:ascii="Arial" w:hAnsi="Arial" w:cs="Arial"/>
                <w:kern w:val="2"/>
              </w:rPr>
            </w:pPr>
            <w:r>
              <w:rPr>
                <w:rFonts w:cs="Arial" w:ascii="Arial" w:hAnsi="Arial"/>
                <w:b/>
              </w:rPr>
              <w:t>Descritivo</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b/>
              </w:rPr>
              <w:t>01</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30</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Corante líquido para tingir tintas a base de água - 50 ml - cor amarelo. Atende a ABNT NBR 11702. Validade mínima de 36 meses.</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02</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30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Corante líquido para tingir tintas a base de água - 50 ml - cor azul. Atende a ABNT NBR 11702. Validade mínima de 36 meses.</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03</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30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Corante líquido para tingir tintas a base de água - 50 ml - cor marrom. Atende a ABNT NBR 11702. Validade mínima de 36 meses.</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04</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30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Corante líquido para tingir tintas a base de água - 50 ml - cor ocre. Atende a ABNT NBR 11702. Validade mínima de 36 meses.</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05</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30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Corante líquido para tingir tintas a base de água - 50 ml - cor preto. Atende a ABNT NBR 11702. Validade mínima de 36 meses.</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06</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30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Corante líquido para tingir tintas a base de água - 50 ml - cor verde. Atende a ABNT NBR 11702. Validade mínima de 36 meses.</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07</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30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Corante líquido para tingir tintas a base de água - 50 ml - cor vermelho. Atende a ABNT NBR 11702. Validade mínima de 36 meses.</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08</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25</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Diluente aguarrás, para esmalte e vernizes - 5 litros. Atende a ABNT NBR 11702. Validade mínima de 24 meses.</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09</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15</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Fundo preparador de paredes, para uso externo e interno, superfícies porosas - 18 litros - cor branca. Rendimento de até 275 m² ou superior. Atende a ABNT NBR 11702. Validade mínima de 36 meses.</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10</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35</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Fundo primer cromato de zinco - 3,6 litros - cor verde. Rendimento de até 60 m² ou superior. Atende a ABNT NBR 11702. Validade mínima de 48 meses.</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11</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15</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Massa plástica branca 400 g</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12</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20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Pintura impermeável e elástica, à base de copolímero acrílico em dispersão aquosa, para proteção de paredes contra chuva - 18 quilos - cor branco. Para aplicação sobre concreto, fibrocimento e reboco; para recebimento de tinta ou textura acrílica; aceita pigmentação. Rendimento de até 150 m² ou superior. Validade mínima 24 meses.</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13</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3</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Resina hidrorepelente hidrofugante 18 litros - produto à base de água que protege superfícies porosas, como concreto, pedra, telha e tijolo. Rendimento até 8 m²/l ou superior. Atende a ABNT NBR 11702. Validade mínima de 36 meses.</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14</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50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Solvente thinner, para esmalte e vernizes - 5 litros. Atende a ABNT NBR 11702. Validade mínima 24 meses.</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15</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65</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Tinta esmalte base solvente para pintura externa e interna - 3,6 litros - cor branco brilhante. Linha premium. Secagem rápida. Rendimento de até 75 m² ou superior. Atende a ABNT NBR 11702. Validade mínima de 48 meses.</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16</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20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Tinta esmalte base solvente para pintura externa e interna - 3,6 litros - cor grafite brilhante. Linha premium. Secagem rápida. Rendimento de até 75 m² ou superior. Atende a ABNT NBR 11702. Validade mínima de 48 meses.</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17</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95</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Tinta esmalte base solvente para pintura externa e interna - 3,6 litros – cor amarelo brilhante. Linha premium. Secagem rápida. Rendimento de até 75 m² ou superior. Atende a ABNT NBR 11702. Validade mínima de 48 meses.</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18</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60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Tinta esmalte base solvente para pintura externa e interna - 3,6 litros – cor preto brilhante. Linha premium. Secagem rápida. Rendimento de até 75 m² ou superior. Atende a ABNT NBR 11702. Validade mínima de 48 meses.</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19</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55</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Tinta esmalte base solvente para pintura externa e interna - 3,6 litros - cor verde brilhante. Linha premium. Secagem rápida. Rendimento de até 75 m² ou superior. Atende a ABNT NBR 11702. Validade mínima de 48 meses.</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20</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95</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Tinta esmalte base solvente para pintura externa e interna - 3,6 litros - cor laranja brilhante. Linha premium. Secagem rápida. Rendimento de até 75 m² ou superior. Atende a ABNT NBR 11702. Validade mínima de 48 meses.</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21</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55</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Tinta esmalte base solvente para pintura externa e interna - 3,6 litros - cor vermelho brilhante. Linha premium. Secagem rápida. Rendimento de até 75 m² ou superior. Atende a ABNT NBR 11702. Validade mínima de 48 meses.</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22</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55</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Tinta esmalte base solvente para pintura externa e interna - 3,6 litros - cor azul del rey brilhante. Linha premium. Secagem rápida. Rendimento de até 75 m² ou superior. Atende a ABNT NBR 11702. Validade mínima de 48 meses.</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23</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100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Tinta látex acrílica fosca para pintura e repintura de pisos cimentados e pisos cerâmicos de acabamento fosco de ambientes externos e internos - 18 litros - cor cinza escuro. Linha premium. Rendimento de até 275 m² ou superior.</w:t>
              <w:br/>
              <w:t>Atende a ABNT NBR 11702. Validade mínima de 24 meses.</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24</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160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Tinta látex acrílica fosca para pintura externa e interna - 18 litros - cor branco. Linha premium. Rendimento de até 380 m² ou superior. Atende a ABNT NBR 11702. Validade mínima de 24 meses.</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25</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80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Tinta látex acrílica fosca para pintura externa e interna - 18 litros - cor concreto. Linha premium. Rendimento de até 380 m² ou superior. Atende a ABNT NBR 11702. Validade mínima de 24 meses.</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26</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50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Tinta em spray preto brilhante, para pinturas em geral, lata com 400 ml</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27</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200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Tinta em spray branco fosco, para pinturas em geral, lata com 400 ml</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28</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35</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Verniz marítimo com filtro solar - 3,6 litros - cor natural acetinado. Linha premium. Rendimento de até 15 m² ou superior. Atende a ABNT NBR 11702. Validade mínima de</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29</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10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Desempenadeira de aço lisa 25 x 12 cm (+-1 cm), para massa corrida, cabo em madeira</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30</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20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Espátula em aço inox 2”, cabo em madeira envernizada</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31</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50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Espátula em aço inox 4”, cabo em madeira envernizada</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32</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10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Extensor telescópico em alumínio. Comprimento 3 metros</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33</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200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Folha de lixa para ferro nº 100. Verso em tecido. Medidas 225 mm x 275 mm.</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34</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200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Folha de lixa para ferro nº 150. Verso em tecido. Medidas 225 mm x 275 mm</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35</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200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Folha de lixa para ferro nº 60. Verso em tecido. Medidas 225 mm x 275 mm.</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36</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200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Folha de lixa para ferro nº 80. Verso em tecido. Medidas 225 mm x 275 mm.</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37</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300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Folha de lixa para madeira/massa nº 100. Verso em papel. Medidas 225 mm x 275 mm.</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38</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300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Folha de lixa para madeira/massa nº 150. Verso em papel. Medidas 225 mm x 275 mm.</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39</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15</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Rolo 15 cm em espuma 100% poliéster, densidade D30. Acompanha cabo.</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40</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180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Rolo 15 cm em poliamida trançada antigota. Manta com aproximadamente 10 mm de altura, 2 faixas. Acompanha cabo.</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41</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80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Rolo 23 cm em lã de carneiro. Manta com aproximadamente 22 mm de altura. Acompanha cabo.</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42</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160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Rolo 23 cm em poliamida trançada antigota. Manta com aproximadamente 10 mm de altura, 2 faixas. Acompanha cabo.</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43</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400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Rolo 9 cm em espuma 100% poliéster, densidade D30. Acompanha cabo.</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44</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80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Rolo 9 cm em poliamida trançada antigota. Manta com aproximadamente 10 mm de altura, 2 faixas. Acompanha cabo.</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45</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150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Trincha dupla cerdas macias branca, para verniz e stain. Largura 1”</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46</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250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Trincha dupla cerdas macias branca, para verniz e stain. Largura 2”</w:t>
            </w:r>
          </w:p>
        </w:tc>
      </w:tr>
      <w:tr>
        <w:trPr>
          <w:trHeight w:val="170" w:hRule="atLeast"/>
        </w:trPr>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b/>
                <w:bCs/>
              </w:rPr>
            </w:pPr>
            <w:r>
              <w:rPr>
                <w:rFonts w:cs="Arial" w:ascii="Arial" w:hAnsi="Arial"/>
                <w:b/>
              </w:rPr>
              <w:t>47</w:t>
            </w:r>
          </w:p>
        </w:tc>
        <w:tc>
          <w:tcPr>
            <w:tcW w:w="850" w:type="dxa"/>
            <w:tcBorders>
              <w:top w:val="single" w:sz="4" w:space="0" w:color="000000"/>
              <w:start w:val="single" w:sz="4" w:space="0" w:color="000000"/>
              <w:bottom w:val="single" w:sz="4" w:space="0" w:color="000000"/>
            </w:tcBorders>
            <w:vAlign w:val="center"/>
          </w:tcPr>
          <w:p>
            <w:pPr>
              <w:pStyle w:val="Contedodatabelauser"/>
              <w:jc w:val="center"/>
              <w:rPr>
                <w:rFonts w:ascii="Arial" w:hAnsi="Arial" w:cs="Arial"/>
              </w:rPr>
            </w:pPr>
            <w:r>
              <w:rPr>
                <w:rFonts w:cs="Arial" w:ascii="Arial" w:hAnsi="Arial"/>
                <w:color w:val="000000"/>
              </w:rPr>
              <w:t>100</w:t>
            </w:r>
          </w:p>
        </w:tc>
        <w:tc>
          <w:tcPr>
            <w:tcW w:w="850" w:type="dxa"/>
            <w:tcBorders>
              <w:top w:val="single" w:sz="4" w:space="0" w:color="000000"/>
              <w:start w:val="single" w:sz="4" w:space="0" w:color="000000"/>
              <w:bottom w:val="single" w:sz="4" w:space="0" w:color="000000"/>
            </w:tcBorders>
            <w:vAlign w:val="center"/>
          </w:tcPr>
          <w:p>
            <w:pPr>
              <w:pStyle w:val="Normal"/>
              <w:jc w:val="center"/>
              <w:rPr>
                <w:rFonts w:ascii="Arial" w:hAnsi="Arial" w:cs="Arial"/>
              </w:rPr>
            </w:pPr>
            <w:r>
              <w:rPr>
                <w:rFonts w:cs="Arial" w:ascii="Arial" w:hAnsi="Arial"/>
              </w:rPr>
              <w:t>Unid.</w:t>
            </w:r>
          </w:p>
        </w:tc>
        <w:tc>
          <w:tcPr>
            <w:tcW w:w="7370" w:type="dxa"/>
            <w:tcBorders>
              <w:top w:val="single" w:sz="4" w:space="0" w:color="000000"/>
              <w:start w:val="single" w:sz="4" w:space="0" w:color="000000"/>
              <w:bottom w:val="single" w:sz="4" w:space="0" w:color="000000"/>
              <w:end w:val="single" w:sz="4" w:space="0" w:color="000000"/>
            </w:tcBorders>
            <w:vAlign w:val="center"/>
          </w:tcPr>
          <w:p>
            <w:pPr>
              <w:pStyle w:val="Contedodatabelauser"/>
              <w:jc w:val="both"/>
              <w:rPr>
                <w:rFonts w:ascii="Arial" w:hAnsi="Arial" w:cs="Arial"/>
              </w:rPr>
            </w:pPr>
            <w:r>
              <w:rPr>
                <w:rFonts w:cs="Arial" w:ascii="Arial" w:hAnsi="Arial"/>
              </w:rPr>
              <w:t>Trincha dupla cerdas macias branca, para verniz e stain. Largura 3”</w:t>
            </w:r>
          </w:p>
        </w:tc>
      </w:tr>
    </w:tbl>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shd w:val="clear" w:color="auto" w:fill="CCCCCC"/>
        <w:ind w:firstLine="567"/>
        <w:rPr>
          <w:rFonts w:ascii="Arial" w:hAnsi="Arial" w:cs="Arial"/>
        </w:rPr>
      </w:pPr>
      <w:r>
        <w:rPr>
          <w:rFonts w:cs="Arial" w:ascii="Arial" w:hAnsi="Arial"/>
          <w:b/>
          <w:bCs/>
        </w:rPr>
        <w:t>5. DA EMBALAGEM:</w:t>
      </w:r>
    </w:p>
    <w:p>
      <w:pPr>
        <w:pStyle w:val="Normal"/>
        <w:numPr>
          <w:ilvl w:val="0"/>
          <w:numId w:val="18"/>
        </w:numPr>
        <w:tabs>
          <w:tab w:val="clear" w:pos="709"/>
          <w:tab w:val="left" w:pos="284" w:leader="none"/>
        </w:tabs>
        <w:jc w:val="both"/>
        <w:rPr>
          <w:rFonts w:ascii="Arial" w:hAnsi="Arial" w:cs="Arial"/>
        </w:rPr>
      </w:pPr>
      <w:r>
        <w:rPr>
          <w:rFonts w:cs="Arial" w:ascii="Arial" w:hAnsi="Arial"/>
        </w:rPr>
        <w:t>Os produtos deverão ser acondicionados de acordo com a praxe do fabricante, garantindo sua integridade durante o transporte, armazenamento e uso, rotulados conforme a legislação em vigor.</w:t>
      </w:r>
    </w:p>
    <w:p>
      <w:pPr>
        <w:pStyle w:val="Normal"/>
        <w:jc w:val="both"/>
        <w:rPr>
          <w:rFonts w:ascii="Arial" w:hAnsi="Arial" w:eastAsia="Arial" w:cs="Arial"/>
          <w:color w:val="000000"/>
        </w:rPr>
      </w:pPr>
      <w:r>
        <w:rPr>
          <w:rFonts w:eastAsia="Arial" w:cs="Arial" w:ascii="Arial" w:hAnsi="Arial"/>
          <w:color w:val="000000"/>
        </w:rPr>
      </w:r>
    </w:p>
    <w:p>
      <w:pPr>
        <w:pStyle w:val="Normal"/>
        <w:jc w:val="both"/>
        <w:rPr>
          <w:rFonts w:ascii="Arial" w:hAnsi="Arial" w:eastAsia="Arial" w:cs="Arial"/>
          <w:color w:val="000000"/>
        </w:rPr>
      </w:pPr>
      <w:r>
        <w:rPr>
          <w:rFonts w:eastAsia="Arial" w:cs="Arial" w:ascii="Arial" w:hAnsi="Arial"/>
          <w:color w:val="000000"/>
        </w:rPr>
      </w:r>
    </w:p>
    <w:p>
      <w:pPr>
        <w:pStyle w:val="Normal"/>
        <w:shd w:val="clear" w:color="auto" w:fill="CCCCCC"/>
        <w:ind w:firstLine="561"/>
        <w:rPr>
          <w:rFonts w:ascii="Arial" w:hAnsi="Arial" w:cs="Arial"/>
        </w:rPr>
      </w:pPr>
      <w:r>
        <w:rPr>
          <w:rFonts w:cs="Arial" w:ascii="Arial" w:hAnsi="Arial"/>
          <w:b/>
          <w:bCs/>
        </w:rPr>
        <w:t>6. DA ENTREGA:</w:t>
      </w:r>
    </w:p>
    <w:p>
      <w:pPr>
        <w:pStyle w:val="Normal"/>
        <w:numPr>
          <w:ilvl w:val="0"/>
          <w:numId w:val="19"/>
        </w:numPr>
        <w:tabs>
          <w:tab w:val="clear" w:pos="709"/>
          <w:tab w:val="left" w:pos="284" w:leader="none"/>
        </w:tabs>
        <w:jc w:val="both"/>
        <w:rPr>
          <w:rFonts w:ascii="Arial" w:hAnsi="Arial" w:cs="Arial"/>
          <w:lang w:eastAsia="pt-BR"/>
        </w:rPr>
      </w:pPr>
      <w:r>
        <w:rPr>
          <w:rFonts w:cs="Arial" w:ascii="Arial" w:hAnsi="Arial"/>
          <w:lang w:eastAsia="pt-BR"/>
        </w:rPr>
        <w:t xml:space="preserve">Prazo de entrega: até o </w:t>
      </w:r>
      <w:r>
        <w:rPr>
          <w:rFonts w:cs="Arial" w:ascii="Arial" w:hAnsi="Arial"/>
          <w:b/>
          <w:lang w:eastAsia="pt-BR"/>
        </w:rPr>
        <w:t>máximo de 15 (quinze) dias úteis</w:t>
      </w:r>
      <w:r>
        <w:rPr>
          <w:rFonts w:cs="Arial" w:ascii="Arial" w:hAnsi="Arial"/>
          <w:lang w:eastAsia="pt-BR"/>
        </w:rPr>
        <w:t>, a contar da Ordem de Fornecimento, emitida pela Unidade Requisitante.</w:t>
      </w:r>
    </w:p>
    <w:p>
      <w:pPr>
        <w:pStyle w:val="Normal"/>
        <w:numPr>
          <w:ilvl w:val="0"/>
          <w:numId w:val="9"/>
        </w:numPr>
        <w:tabs>
          <w:tab w:val="clear" w:pos="709"/>
          <w:tab w:val="left" w:pos="284" w:leader="none"/>
        </w:tabs>
        <w:jc w:val="both"/>
        <w:rPr>
          <w:rFonts w:ascii="Arial" w:hAnsi="Arial" w:cs="Arial"/>
        </w:rPr>
      </w:pPr>
      <w:r>
        <w:rPr>
          <w:rFonts w:cs="Arial" w:ascii="Arial" w:hAnsi="Arial"/>
          <w:lang w:eastAsia="pt-BR"/>
        </w:rPr>
        <w:t>Local de entrega:</w:t>
      </w:r>
    </w:p>
    <w:p>
      <w:pPr>
        <w:pStyle w:val="Normal"/>
        <w:tabs>
          <w:tab w:val="clear" w:pos="709"/>
          <w:tab w:val="left" w:pos="284" w:leader="none"/>
        </w:tabs>
        <w:ind w:start="284"/>
        <w:jc w:val="both"/>
        <w:rPr>
          <w:rFonts w:ascii="Arial" w:hAnsi="Arial" w:cs="Arial"/>
          <w:b/>
          <w:lang w:eastAsia="pt-BR"/>
        </w:rPr>
      </w:pPr>
      <w:r>
        <w:rPr>
          <w:rFonts w:cs="Arial" w:ascii="Arial" w:hAnsi="Arial"/>
          <w:b/>
          <w:lang w:eastAsia="pt-BR"/>
        </w:rPr>
      </w:r>
    </w:p>
    <w:p>
      <w:pPr>
        <w:pStyle w:val="Normal"/>
        <w:tabs>
          <w:tab w:val="clear" w:pos="709"/>
          <w:tab w:val="left" w:pos="284" w:leader="none"/>
        </w:tabs>
        <w:ind w:start="284"/>
        <w:jc w:val="both"/>
        <w:rPr>
          <w:rFonts w:ascii="Arial" w:hAnsi="Arial" w:cs="Arial"/>
          <w:b/>
          <w:lang w:eastAsia="pt-BR"/>
        </w:rPr>
      </w:pPr>
      <w:r>
        <w:rPr>
          <w:rFonts w:cs="Arial" w:ascii="Arial" w:hAnsi="Arial"/>
          <w:b/>
          <w:lang w:eastAsia="pt-BR"/>
        </w:rPr>
      </w:r>
    </w:p>
    <w:p>
      <w:pPr>
        <w:pStyle w:val="Normal"/>
        <w:tabs>
          <w:tab w:val="clear" w:pos="709"/>
          <w:tab w:val="left" w:pos="284" w:leader="none"/>
        </w:tabs>
        <w:ind w:start="284"/>
        <w:jc w:val="both"/>
        <w:rPr>
          <w:rFonts w:ascii="Arial" w:hAnsi="Arial" w:cs="Arial"/>
          <w:b/>
          <w:lang w:eastAsia="pt-BR"/>
        </w:rPr>
      </w:pPr>
      <w:r>
        <w:rPr>
          <w:rFonts w:cs="Arial" w:ascii="Arial" w:hAnsi="Arial"/>
          <w:b/>
          <w:lang w:eastAsia="pt-BR"/>
        </w:rPr>
      </w:r>
    </w:p>
    <w:p>
      <w:pPr>
        <w:pStyle w:val="Normal"/>
        <w:tabs>
          <w:tab w:val="clear" w:pos="709"/>
          <w:tab w:val="left" w:pos="284" w:leader="none"/>
        </w:tabs>
        <w:ind w:start="284"/>
        <w:jc w:val="both"/>
        <w:rPr>
          <w:rFonts w:ascii="Arial" w:hAnsi="Arial" w:cs="Arial"/>
          <w:b/>
          <w:lang w:eastAsia="pt-BR"/>
        </w:rPr>
      </w:pPr>
      <w:r>
        <w:rPr>
          <w:rFonts w:cs="Arial" w:ascii="Arial" w:hAnsi="Arial"/>
          <w:b/>
          <w:lang w:eastAsia="pt-BR"/>
        </w:rPr>
        <w:t xml:space="preserve">Secretaria Municipal de Obras, Infraestrutura e Serviços Públicos </w:t>
      </w:r>
    </w:p>
    <w:p>
      <w:pPr>
        <w:pStyle w:val="Normal"/>
        <w:tabs>
          <w:tab w:val="clear" w:pos="709"/>
          <w:tab w:val="left" w:pos="284" w:leader="none"/>
        </w:tabs>
        <w:ind w:start="284"/>
        <w:jc w:val="both"/>
        <w:rPr>
          <w:rFonts w:ascii="Arial" w:hAnsi="Arial" w:cs="Arial"/>
          <w:b/>
          <w:lang w:eastAsia="pt-BR"/>
        </w:rPr>
      </w:pPr>
      <w:r>
        <w:rPr>
          <w:rFonts w:cs="Arial" w:ascii="Arial" w:hAnsi="Arial"/>
          <w:b/>
          <w:lang w:eastAsia="pt-BR"/>
        </w:rPr>
        <w:t>Setor de Almoxarifado</w:t>
      </w:r>
    </w:p>
    <w:p>
      <w:pPr>
        <w:pStyle w:val="Normal"/>
        <w:tabs>
          <w:tab w:val="clear" w:pos="709"/>
          <w:tab w:val="left" w:pos="284" w:leader="none"/>
        </w:tabs>
        <w:ind w:start="284"/>
        <w:jc w:val="both"/>
        <w:rPr>
          <w:rFonts w:ascii="Arial" w:hAnsi="Arial" w:cs="Arial"/>
          <w:b/>
          <w:lang w:eastAsia="pt-BR"/>
        </w:rPr>
      </w:pPr>
      <w:r>
        <w:rPr>
          <w:rFonts w:cs="Arial" w:ascii="Arial" w:hAnsi="Arial"/>
          <w:b/>
          <w:lang w:eastAsia="pt-BR"/>
        </w:rPr>
        <w:t xml:space="preserve">Avenida Cristóvão Colombo, nº 1900, Bairro Algodoal – Piracicaba/SP </w:t>
      </w:r>
    </w:p>
    <w:p>
      <w:pPr>
        <w:pStyle w:val="Normal"/>
        <w:tabs>
          <w:tab w:val="clear" w:pos="709"/>
          <w:tab w:val="left" w:pos="284" w:leader="none"/>
        </w:tabs>
        <w:ind w:start="284"/>
        <w:jc w:val="both"/>
        <w:rPr>
          <w:rFonts w:ascii="Arial" w:hAnsi="Arial" w:cs="Arial"/>
          <w:b/>
          <w:lang w:eastAsia="pt-BR"/>
        </w:rPr>
      </w:pPr>
      <w:r>
        <w:rPr>
          <w:rFonts w:cs="Arial" w:ascii="Arial" w:hAnsi="Arial"/>
          <w:b/>
          <w:lang w:eastAsia="pt-BR"/>
        </w:rPr>
        <w:t>Horário de entrega: de 08:00 às 10:00 e das 13:00 às 15:00 horas, de segunda a sexta-feira.</w:t>
      </w:r>
      <w:r>
        <w:rPr>
          <w:rFonts w:cs="Arial" w:ascii="Arial" w:hAnsi="Arial"/>
          <w:lang w:eastAsia="pt-BR"/>
        </w:rPr>
        <w:t xml:space="preserve"> </w:t>
      </w:r>
    </w:p>
    <w:p>
      <w:pPr>
        <w:pStyle w:val="Normal"/>
        <w:keepLines/>
        <w:numPr>
          <w:ilvl w:val="0"/>
          <w:numId w:val="9"/>
        </w:numPr>
        <w:tabs>
          <w:tab w:val="clear" w:pos="709"/>
          <w:tab w:val="left" w:pos="284" w:leader="none"/>
        </w:tabs>
        <w:jc w:val="both"/>
        <w:rPr>
          <w:rFonts w:ascii="Arial" w:hAnsi="Arial" w:cs="Arial"/>
        </w:rPr>
      </w:pPr>
      <w:r>
        <w:rPr>
          <w:rFonts w:cs="Arial" w:ascii="Arial" w:hAnsi="Arial"/>
        </w:rPr>
        <w:t>A Contratada será responsável pelo transporte e descarregamento do produto, devendo entregá-los em condições adequadas para o armazenamento.</w:t>
      </w:r>
    </w:p>
    <w:p>
      <w:pPr>
        <w:pStyle w:val="Normal"/>
        <w:keepLines/>
        <w:numPr>
          <w:ilvl w:val="0"/>
          <w:numId w:val="9"/>
        </w:numPr>
        <w:tabs>
          <w:tab w:val="clear" w:pos="709"/>
          <w:tab w:val="left" w:pos="284" w:leader="none"/>
        </w:tabs>
        <w:jc w:val="both"/>
        <w:rPr>
          <w:rFonts w:ascii="Arial" w:hAnsi="Arial" w:cs="Arial"/>
        </w:rPr>
      </w:pPr>
      <w:r>
        <w:rPr>
          <w:rFonts w:cs="Arial" w:ascii="Arial" w:hAnsi="Arial"/>
        </w:rPr>
        <w:t>Se for constatada qualquer alteração na qualidade ou composição durante a validade dos produtos, a Contratada se compromete a trocá-lo sem ônus para a Contratante, no prazo máximo de 10 (dez) dias, a contar da notificação emitida pela Unidade Requisitante.</w:t>
      </w:r>
    </w:p>
    <w:p>
      <w:pPr>
        <w:pStyle w:val="Normal"/>
        <w:keepLines/>
        <w:numPr>
          <w:ilvl w:val="0"/>
          <w:numId w:val="9"/>
        </w:numPr>
        <w:tabs>
          <w:tab w:val="clear" w:pos="709"/>
          <w:tab w:val="left" w:pos="284" w:leader="none"/>
        </w:tabs>
        <w:jc w:val="both"/>
        <w:rPr>
          <w:rFonts w:ascii="Arial" w:hAnsi="Arial" w:cs="Arial"/>
        </w:rPr>
      </w:pPr>
      <w:r>
        <w:rPr>
          <w:rFonts w:cs="Arial" w:ascii="Arial" w:hAnsi="Arial"/>
        </w:rPr>
        <w:t xml:space="preserve">A validade dos produtos entregues </w:t>
      </w:r>
      <w:r>
        <w:rPr>
          <w:rFonts w:cs="Arial" w:ascii="Arial" w:hAnsi="Arial"/>
          <w:b/>
        </w:rPr>
        <w:t>deverá ser de no mínimo 80% da apontada</w:t>
      </w:r>
      <w:r>
        <w:rPr>
          <w:rFonts w:cs="Arial" w:ascii="Arial" w:hAnsi="Arial"/>
        </w:rPr>
        <w:t xml:space="preserve"> no descritivo técnico dos produtos. </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CCCCCC"/>
        <w:ind w:firstLine="561"/>
        <w:rPr>
          <w:rFonts w:ascii="Arial" w:hAnsi="Arial" w:cs="Arial"/>
        </w:rPr>
      </w:pPr>
      <w:r>
        <w:rPr>
          <w:rFonts w:cs="Arial" w:ascii="Arial" w:hAnsi="Arial"/>
          <w:b/>
          <w:bCs/>
        </w:rPr>
        <w:t>7. DA GARANTIA E ASSISTÊNCIA TÉCNICA</w:t>
      </w:r>
      <w:r>
        <w:rPr>
          <w:rFonts w:eastAsia="Arial" w:cs="Arial" w:ascii="Arial" w:hAnsi="Arial"/>
          <w:b/>
          <w:color w:val="000000"/>
        </w:rPr>
        <w:t>:</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A garantia do produto deverá ser </w:t>
      </w:r>
      <w:r>
        <w:rPr>
          <w:rFonts w:cs="Arial" w:ascii="Arial" w:hAnsi="Arial"/>
          <w:b/>
        </w:rPr>
        <w:t>de no mínimo 90 (noventa) dias</w:t>
      </w:r>
      <w:r>
        <w:rPr>
          <w:rFonts w:cs="Arial" w:ascii="Arial" w:hAnsi="Arial"/>
        </w:rPr>
        <w:t>, contado da data de recebimento.</w:t>
      </w:r>
    </w:p>
    <w:p>
      <w:pPr>
        <w:pStyle w:val="Normal"/>
        <w:numPr>
          <w:ilvl w:val="0"/>
          <w:numId w:val="6"/>
        </w:numPr>
        <w:tabs>
          <w:tab w:val="clear" w:pos="709"/>
          <w:tab w:val="left" w:pos="284" w:leader="none"/>
        </w:tabs>
        <w:jc w:val="both"/>
        <w:rPr>
          <w:rFonts w:ascii="Arial" w:hAnsi="Arial" w:cs="Arial"/>
        </w:rPr>
      </w:pPr>
      <w:r>
        <w:rPr>
          <w:rFonts w:cs="Arial" w:ascii="Arial" w:hAnsi="Arial"/>
        </w:rPr>
        <w:t xml:space="preserve">Durante a vigência da garantia, a contratada deverá substituir, sem nenhum ônus adicional, produtos defeituosos ou com desgaste anormal, </w:t>
      </w:r>
      <w:r>
        <w:rPr>
          <w:rFonts w:cs="Arial" w:ascii="Arial" w:hAnsi="Arial"/>
          <w:b/>
        </w:rPr>
        <w:t>no prazo máximo de 10 (dez) dias</w:t>
      </w:r>
      <w:r>
        <w:rPr>
          <w:rFonts w:cs="Arial" w:ascii="Arial" w:hAnsi="Arial"/>
        </w:rPr>
        <w:t>, a contar da notificação.</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shd w:val="clear" w:color="auto" w:fill="DDDDDD"/>
        <w:tabs>
          <w:tab w:val="clear" w:pos="709"/>
          <w:tab w:val="left" w:pos="284" w:leader="none"/>
        </w:tabs>
        <w:ind w:firstLine="561"/>
        <w:rPr>
          <w:rFonts w:ascii="Arial" w:hAnsi="Arial" w:cs="Arial"/>
        </w:rPr>
      </w:pPr>
      <w:r>
        <w:rPr>
          <w:rFonts w:cs="Arial" w:ascii="Arial" w:hAnsi="Arial"/>
          <w:b/>
          <w:bCs/>
        </w:rPr>
        <w:t>8. DO FORNECIMENTO DE INFORMAÇÕES:</w:t>
      </w:r>
    </w:p>
    <w:p>
      <w:pPr>
        <w:pStyle w:val="Normal"/>
        <w:numPr>
          <w:ilvl w:val="0"/>
          <w:numId w:val="20"/>
        </w:numPr>
        <w:tabs>
          <w:tab w:val="clear" w:pos="709"/>
          <w:tab w:val="left" w:pos="284" w:leader="none"/>
        </w:tabs>
        <w:jc w:val="both"/>
        <w:rPr>
          <w:rFonts w:ascii="Arial" w:hAnsi="Arial" w:cs="Arial"/>
        </w:rPr>
      </w:pPr>
      <w:r>
        <w:rPr>
          <w:rFonts w:cs="Arial" w:ascii="Arial" w:hAnsi="Arial"/>
        </w:rPr>
        <w:t xml:space="preserve">As informações ou esclarecimentos referentes a presente licitação deverão ser inseridas no sistema de processamento da Licitação, através do sítio eletrônico: </w:t>
      </w:r>
      <w:hyperlink r:id="rId3">
        <w:r>
          <w:rPr>
            <w:rStyle w:val="Hyperlink"/>
            <w:rFonts w:cs="Arial" w:ascii="Arial" w:hAnsi="Arial"/>
          </w:rPr>
          <w:t>https://bnccompras.com</w:t>
        </w:r>
      </w:hyperlink>
      <w:r>
        <w:rPr>
          <w:rFonts w:cs="Arial" w:ascii="Arial" w:hAnsi="Arial"/>
        </w:rPr>
        <w:t xml:space="preserve"> </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shd w:val="clear" w:color="auto" w:fill="CCCCCC"/>
        <w:ind w:firstLine="561"/>
        <w:jc w:val="both"/>
        <w:rPr>
          <w:rFonts w:ascii="Arial" w:hAnsi="Arial" w:cs="Arial"/>
        </w:rPr>
      </w:pPr>
      <w:r>
        <w:rPr>
          <w:rFonts w:cs="Arial" w:ascii="Arial" w:hAnsi="Arial"/>
          <w:b/>
          <w:bCs/>
        </w:rPr>
        <w:t>9. EXIGÊNCIA PARA HABILITAÇÃO:</w:t>
      </w:r>
    </w:p>
    <w:p>
      <w:pPr>
        <w:pStyle w:val="Normal"/>
        <w:numPr>
          <w:ilvl w:val="0"/>
          <w:numId w:val="21"/>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1005"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 Federais (inclusive as contribuições sociais) e à Dívida Ativa da União.</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Certidão negativa de Débitos ou Positiva com Efeito de Negativa de</w:t>
      </w:r>
      <w:r>
        <w:rPr>
          <w:rFonts w:cs="Arial" w:ascii="Arial" w:hAnsi="Arial"/>
        </w:rPr>
        <w:t xml:space="preserve"> Tributos Estaduais relativos ao ICMS;</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color w:val="000000"/>
        </w:rPr>
        <w:t>Será exigida comprovação somente sobre débitos inscritos em dívida ativa.</w:t>
      </w:r>
    </w:p>
    <w:p>
      <w:pPr>
        <w:pStyle w:val="Normal"/>
        <w:numPr>
          <w:ilvl w:val="1"/>
          <w:numId w:val="9"/>
        </w:numPr>
        <w:tabs>
          <w:tab w:val="clear" w:pos="709"/>
          <w:tab w:val="left" w:pos="284" w:leader="none"/>
        </w:tabs>
        <w:jc w:val="both"/>
        <w:rPr>
          <w:rFonts w:ascii="Arial" w:hAnsi="Arial" w:cs="Arial"/>
          <w:color w:val="000000"/>
        </w:rPr>
      </w:pPr>
      <w:r>
        <w:rPr>
          <w:rFonts w:cs="Arial" w:ascii="Arial" w:hAnsi="Arial"/>
          <w:color w:val="000000"/>
        </w:rPr>
        <w:t>Certidão de regularidade de débito para com o Fundo de Garantia por Tempo de Serviço (FGTS).</w:t>
      </w:r>
    </w:p>
    <w:p>
      <w:pPr>
        <w:pStyle w:val="Normal"/>
        <w:numPr>
          <w:ilvl w:val="1"/>
          <w:numId w:val="9"/>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9"/>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9"/>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rPr>
        <w:t xml:space="preserve">falência </w:t>
      </w:r>
      <w:r>
        <w:rPr>
          <w:rFonts w:cs="Arial" w:ascii="Arial" w:hAnsi="Arial"/>
        </w:rPr>
        <w:t>expedida pelo distribuidor da sede da pessoa jurídica, com data não superior a 180 (cento e oitenta) dias, da data limite para o recebimento das propostas da presente licitação.</w:t>
      </w:r>
    </w:p>
    <w:p>
      <w:pPr>
        <w:pStyle w:val="Normal"/>
        <w:numPr>
          <w:ilvl w:val="2"/>
          <w:numId w:val="9"/>
        </w:numPr>
        <w:tabs>
          <w:tab w:val="clear" w:pos="709"/>
          <w:tab w:val="left" w:pos="284" w:leader="none"/>
        </w:tabs>
        <w:jc w:val="both"/>
        <w:rPr>
          <w:rFonts w:ascii="Arial" w:hAnsi="Arial" w:cs="Arial"/>
        </w:rPr>
      </w:pPr>
      <w:r>
        <w:rPr>
          <w:rFonts w:cs="Arial" w:ascii="Arial" w:hAnsi="Arial"/>
        </w:rPr>
        <w:t>Havendo a exigência de complementação indicada na própria certidão de falência, deverá ser apresentada a respectiva certidão complementar, nos termos ali indicados, conforme orientação do Tribunal de Justiça da sede da Licitante.</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9"/>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9"/>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9"/>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 documentos</w:t>
      </w:r>
      <w:r>
        <w:rPr>
          <w:rFonts w:cs="Arial" w:ascii="Arial" w:hAnsi="Arial"/>
          <w:color w:val="000000"/>
        </w:rPr>
        <w:t>:</w:t>
      </w:r>
    </w:p>
    <w:p>
      <w:pPr>
        <w:pStyle w:val="Normal"/>
        <w:tabs>
          <w:tab w:val="clear" w:pos="709"/>
          <w:tab w:val="left" w:pos="284" w:leader="none"/>
          <w:tab w:val="left" w:pos="426" w:leader="none"/>
        </w:tabs>
        <w:jc w:val="both"/>
        <w:rPr>
          <w:rFonts w:ascii="Arial" w:hAnsi="Arial" w:cs="Arial"/>
        </w:rPr>
      </w:pPr>
      <w:r>
        <w:rPr>
          <w:rFonts w:cs="Arial" w:ascii="Arial" w:hAnsi="Arial"/>
          <w:color w:val="000000"/>
        </w:rPr>
      </w:r>
    </w:p>
    <w:p>
      <w:pPr>
        <w:pStyle w:val="Normal"/>
        <w:tabs>
          <w:tab w:val="clear" w:pos="709"/>
          <w:tab w:val="left" w:pos="284" w:leader="none"/>
          <w:tab w:val="left" w:pos="426" w:leader="none"/>
        </w:tabs>
        <w:jc w:val="both"/>
        <w:rPr>
          <w:rFonts w:ascii="Arial" w:hAnsi="Arial" w:cs="Arial"/>
        </w:rPr>
      </w:pPr>
      <w:r>
        <w:rPr>
          <w:rFonts w:cs="Arial" w:ascii="Arial" w:hAnsi="Arial"/>
          <w:color w:val="000000"/>
        </w:rPr>
      </w:r>
    </w:p>
    <w:p>
      <w:pPr>
        <w:pStyle w:val="Normal"/>
        <w:numPr>
          <w:ilvl w:val="3"/>
          <w:numId w:val="9"/>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9"/>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jc w:val="center"/>
        <w:rPr>
          <w:rFonts w:ascii="Arial" w:hAnsi="Arial" w:cs="Arial"/>
          <w:color w:val="000000"/>
        </w:rPr>
      </w:pPr>
      <w:r>
        <w:rPr>
          <w:rFonts w:cs="Arial" w:ascii="Arial" w:hAnsi="Arial"/>
          <w:color w:val="000000"/>
        </w:rPr>
      </w:r>
    </w:p>
    <w:p>
      <w:pPr>
        <w:pStyle w:val="Normal"/>
        <w:ind w:firstLine="561"/>
        <w:jc w:val="both"/>
        <w:rPr>
          <w:rFonts w:ascii="Arial" w:hAnsi="Arial" w:cs="Arial"/>
        </w:rPr>
      </w:pPr>
      <w:r>
        <w:rPr>
          <w:rFonts w:cs="Arial" w:ascii="Arial" w:hAnsi="Arial"/>
        </w:rPr>
        <w:t xml:space="preserve">Piracicaba, </w:t>
      </w:r>
      <w:r>
        <w:rPr>
          <w:rFonts w:cs="Arial" w:ascii="Arial" w:hAnsi="Arial"/>
        </w:rPr>
        <w:t>29 de junho de 2026</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rPr>
      </w:pPr>
      <w:r>
        <w:rPr>
          <w:rFonts w:cs="Arial" w:ascii="Arial" w:hAnsi="Arial"/>
          <w:b/>
        </w:rPr>
        <w:t>Larissa Palomo Monferdini</w:t>
      </w:r>
    </w:p>
    <w:p>
      <w:pPr>
        <w:pStyle w:val="Normal"/>
        <w:ind w:firstLine="561"/>
        <w:jc w:val="center"/>
        <w:rPr>
          <w:rFonts w:ascii="Arial" w:hAnsi="Arial"/>
        </w:rPr>
      </w:pPr>
      <w:r>
        <w:rPr>
          <w:rFonts w:ascii="Arial" w:hAnsi="Arial"/>
          <w:b/>
        </w:rPr>
        <w:t>Chefe de Setor</w:t>
      </w:r>
    </w:p>
    <w:p>
      <w:pPr>
        <w:pStyle w:val="Normal"/>
        <w:ind w:firstLine="561"/>
        <w:jc w:val="both"/>
        <w:rPr>
          <w:rFonts w:ascii="Arial" w:hAnsi="Arial" w:cs="Arial"/>
        </w:rPr>
      </w:pPr>
      <w:r>
        <w:rPr>
          <w:rFonts w:cs="Arial" w:ascii="Arial" w:hAnsi="Arial"/>
        </w:rPr>
        <w:br/>
      </w:r>
      <w:r>
        <w:br w:type="page"/>
      </w:r>
    </w:p>
    <w:p>
      <w:pPr>
        <w:pStyle w:val="Normal"/>
        <w:ind w:firstLine="561"/>
        <w:jc w:val="both"/>
        <w:rPr>
          <w:rFonts w:ascii="Arial" w:hAnsi="Arial" w:cs="Arial"/>
        </w:rPr>
      </w:pPr>
      <w:r>
        <w:rPr>
          <w:rFonts w:cs="Arial" w:ascii="Arial" w:hAnsi="Arial"/>
        </w:rPr>
      </w:r>
    </w:p>
    <w:p>
      <w:pPr>
        <w:pStyle w:val="Normal"/>
        <w:jc w:val="center"/>
        <w:rPr>
          <w:rFonts w:ascii="Arial" w:hAnsi="Arial" w:cs="Arial"/>
          <w:highlight w:val="yellow"/>
        </w:rPr>
      </w:pPr>
      <w:r>
        <w:rPr>
          <w:rFonts w:cs="Arial" w:ascii="Arial" w:hAnsi="Arial"/>
          <w:highlight w:val="yellow"/>
        </w:rPr>
      </w:r>
    </w:p>
    <w:p>
      <w:pPr>
        <w:pStyle w:val="Heading2"/>
        <w:numPr>
          <w:ilvl w:val="1"/>
          <w:numId w:val="1"/>
        </w:numPr>
        <w:tabs>
          <w:tab w:val="clear" w:pos="709"/>
        </w:tabs>
        <w:ind w:hanging="0" w:start="0"/>
        <w:rPr/>
      </w:pPr>
      <w:r>
        <w:rPr/>
        <w:t>REGULAMENTO GERAL</w:t>
      </w:r>
    </w:p>
    <w:p>
      <w:pPr>
        <w:pStyle w:val="BodyText"/>
        <w:jc w:val="center"/>
        <w:rPr>
          <w:sz w:val="20"/>
          <w:szCs w:val="20"/>
          <w:lang w:val="pt-BR"/>
        </w:rPr>
      </w:pPr>
      <w:r>
        <w:rPr>
          <w:sz w:val="20"/>
          <w:szCs w:val="20"/>
          <w:lang w:val="pt-BR"/>
        </w:rPr>
      </w:r>
    </w:p>
    <w:p>
      <w:pPr>
        <w:pStyle w:val="Normal"/>
        <w:jc w:val="center"/>
        <w:rPr>
          <w:rFonts w:ascii="Arial" w:hAnsi="Arial" w:cs="Arial"/>
          <w:sz w:val="22"/>
          <w:szCs w:val="22"/>
        </w:rPr>
      </w:pPr>
      <w:r>
        <w:rPr>
          <w:rFonts w:cs="Arial" w:ascii="Arial" w:hAnsi="Arial"/>
          <w:sz w:val="22"/>
          <w:szCs w:val="22"/>
        </w:rPr>
        <w:t>Pregão Eletrônico – Registro de Preços – Aquisições</w:t>
      </w:r>
    </w:p>
    <w:p>
      <w:pPr>
        <w:pStyle w:val="Normal"/>
        <w:jc w:val="center"/>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rPr>
        <w:t xml:space="preserve">A Prefeitura do Município de Piracicaba torna público, por meio da utilização dos recursos da tecnologia da informação – </w:t>
      </w:r>
      <w:r>
        <w:rPr>
          <w:rFonts w:cs="Arial" w:ascii="Arial" w:hAnsi="Arial"/>
          <w:i/>
          <w:iCs/>
        </w:rPr>
        <w:t>INTERNET</w:t>
      </w:r>
      <w:r>
        <w:rPr>
          <w:rFonts w:cs="Arial" w:ascii="Arial" w:hAnsi="Arial"/>
        </w:rPr>
        <w:t xml:space="preserve"> – torna público que fará realizar-se licitação para REGISTRO DE PREÇOS na modalidade PREGÃO ELETRÔNICO</w:t>
      </w:r>
      <w:r>
        <w:rPr>
          <w:rFonts w:cs="Arial" w:ascii="Arial" w:hAnsi="Arial"/>
          <w:bCs/>
        </w:rPr>
        <w:t>.</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rPr>
        <w:t>O procedimento licitatório obedecerá, integralmente, a Lei nº 14.133, de 2021, e demais legislações aplicáveis e, ainda, de acordo com as especificações constantes no Termo de Referência e neste Regulamento Geral, que dele fazem parte integrante.</w:t>
      </w:r>
    </w:p>
    <w:p>
      <w:pPr>
        <w:pStyle w:val="Normal"/>
        <w:ind w:firstLine="284"/>
        <w:jc w:val="both"/>
        <w:rPr>
          <w:rFonts w:ascii="Arial" w:hAnsi="Arial" w:cs="Arial"/>
          <w:b/>
          <w:bCs/>
          <w:highlight w:val="yellow"/>
        </w:rPr>
      </w:pPr>
      <w:r>
        <w:rPr>
          <w:rFonts w:cs="Arial" w:ascii="Arial" w:hAnsi="Arial"/>
          <w:b/>
          <w:bCs/>
          <w:highlight w:val="yellow"/>
        </w:rPr>
      </w:r>
    </w:p>
    <w:p>
      <w:pPr>
        <w:pStyle w:val="Normal"/>
        <w:ind w:firstLine="284"/>
        <w:jc w:val="both"/>
        <w:rPr>
          <w:rFonts w:ascii="Arial" w:hAnsi="Arial" w:cs="Arial"/>
        </w:rPr>
      </w:pPr>
      <w:r>
        <w:rPr>
          <w:rFonts w:cs="Arial" w:ascii="Arial" w:hAnsi="Arial"/>
          <w:b/>
          <w:bCs/>
        </w:rPr>
        <w:t>1. DISPOSIÇÕES PRELIMINARES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w:t>
      </w:r>
      <w:r>
        <w:rPr>
          <w:rFonts w:cs="Arial" w:ascii="Arial" w:hAnsi="Arial"/>
        </w:rPr>
        <w:t xml:space="preserve"> O Pregão Eletrônico será realizado em sessão pública, por meio da </w:t>
      </w:r>
      <w:r>
        <w:rPr>
          <w:rFonts w:cs="Arial" w:ascii="Arial" w:hAnsi="Arial"/>
          <w:i/>
          <w:iCs/>
        </w:rPr>
        <w:t>INTERNET</w:t>
      </w:r>
      <w:r>
        <w:rPr>
          <w:rFonts w:cs="Arial" w:ascii="Arial" w:hAnsi="Arial"/>
        </w:rPr>
        <w:t>, mediante condições de segurança - criptografia e autenticação - em todas as suas fases.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1.2.</w:t>
      </w:r>
      <w:r>
        <w:rPr>
          <w:rFonts w:cs="Arial" w:ascii="Arial" w:hAnsi="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4">
        <w:r>
          <w:rPr>
            <w:rStyle w:val="Hyperlink"/>
            <w:rFonts w:cs="Arial" w:ascii="Arial" w:hAnsi="Arial"/>
          </w:rPr>
          <w:t>https://bnccompras.com</w:t>
        </w:r>
      </w:hyperlink>
      <w:r>
        <w:rPr>
          <w:rFonts w:cs="Arial" w:ascii="Arial" w:hAnsi="Arial"/>
        </w:rPr>
        <w:t>.</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 FORMALIZAÇÃO DE CONSULTAS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2.1.</w:t>
      </w:r>
      <w:r>
        <w:rPr>
          <w:rFonts w:cs="Arial" w:ascii="Arial" w:hAnsi="Arial"/>
        </w:rPr>
        <w:t xml:space="preserve"> Observado o prazo legal de 03 (três) dias úteis antes da data fixada para abertura das propostas, as licitantes poderão formular consultas através do site de processamento da Licitação, </w:t>
      </w:r>
      <w:hyperlink r:id="rId5">
        <w:r>
          <w:rPr>
            <w:rStyle w:val="Hyperlink"/>
            <w:rFonts w:cs="Arial" w:ascii="Arial" w:hAnsi="Arial"/>
          </w:rPr>
          <w:t>https://bnccompras.com</w:t>
        </w:r>
      </w:hyperlink>
      <w:r>
        <w:rPr>
          <w:rFonts w:cs="Arial" w:ascii="Arial" w:hAnsi="Arial"/>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3. RECEBIMENTO E ABERTURA DAS PROPOSTAS E DATA DO PREGÃO</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3.1.</w:t>
      </w:r>
      <w:r>
        <w:rPr>
          <w:rFonts w:cs="Arial" w:ascii="Arial" w:hAnsi="Arial"/>
        </w:rPr>
        <w:t xml:space="preserve"> A licitante deverá observar as datas e os horários limites previstos para a abertura da proposta, atentando-se também, para a data e horário de início da disputa, conforme previsto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4. REFERÊNCIA DE TEMPO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4.1.</w:t>
      </w:r>
      <w:r>
        <w:rPr>
          <w:rFonts w:cs="Arial" w:ascii="Arial" w:hAnsi="Arial"/>
        </w:rPr>
        <w:t xml:space="preserve"> Todas as referências de tempo no Edital, no Aviso e durante a Sessão Pública observarão obrigatoriamente o</w:t>
      </w:r>
      <w:r>
        <w:rPr>
          <w:rFonts w:cs="Arial" w:ascii="Arial" w:hAnsi="Arial"/>
          <w:b/>
          <w:bCs/>
        </w:rPr>
        <w:t xml:space="preserve"> horário de Brasília – DF</w:t>
      </w:r>
      <w:r>
        <w:rPr>
          <w:rFonts w:cs="Arial" w:ascii="Arial" w:hAnsi="Arial"/>
        </w:rPr>
        <w:t xml:space="preserve"> e, desta forma, serão registradas no sistema eletrônico e na documentação relativa ao certame.</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5. CONDIÇÕES PARA PARTICIPAÇÃO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Poderão participar do processo licitatório os interessados do ramo de atividade pertinente ao objeto da contratação que atenderem a todas as exigências e condições contidas neste Edital e seus Anexos.</w:t>
      </w:r>
    </w:p>
    <w:p>
      <w:pPr>
        <w:pStyle w:val="Normal"/>
        <w:ind w:firstLine="284"/>
        <w:jc w:val="both"/>
        <w:rPr>
          <w:rFonts w:ascii="Arial" w:hAnsi="Arial" w:cs="Arial"/>
          <w:strike/>
        </w:rPr>
      </w:pPr>
      <w:r>
        <w:rPr>
          <w:rFonts w:cs="Arial" w:ascii="Arial" w:hAnsi="Arial"/>
          <w:strike/>
        </w:rPr>
      </w:r>
    </w:p>
    <w:p>
      <w:pPr>
        <w:pStyle w:val="Normal"/>
        <w:ind w:firstLine="284"/>
        <w:jc w:val="both"/>
        <w:rPr>
          <w:rFonts w:ascii="Arial" w:hAnsi="Arial" w:cs="Arial"/>
          <w:b/>
          <w:bCs/>
        </w:rPr>
      </w:pPr>
      <w:r>
        <w:rPr>
          <w:rFonts w:cs="Arial" w:ascii="Arial" w:hAnsi="Arial"/>
          <w:b/>
          <w:bCs/>
        </w:rPr>
        <w:t>5.2. A participação neste Pregão é exclusiva de empresas classificadas como Microempresas (ME) e Empresas de Pequeno Porte (EPP).</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5.3.1. </w:t>
      </w:r>
      <w:r>
        <w:rPr>
          <w:rFonts w:cs="Arial" w:ascii="Arial" w:hAnsi="Arial"/>
        </w:rPr>
        <w:t>autor do anteprojeto, do projeto básico ou do projeto executivo, pessoa física ou jurídica, quando a licitação versar sobre obra, serviços ou fornecimento de bens a ele relacionados;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5.3.2.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5.3.3. </w:t>
      </w:r>
      <w:r>
        <w:rPr>
          <w:rFonts w:cs="Arial" w:ascii="Arial" w:hAnsi="Arial"/>
        </w:rPr>
        <w:t>pessoa física ou jurídica que se encontre, ao tempo da licitação, impossibilidade de participar da licitação em decorrência de sanção que lhe foi imposta;</w:t>
      </w:r>
    </w:p>
    <w:p>
      <w:pPr>
        <w:pStyle w:val="Normal"/>
        <w:tabs>
          <w:tab w:val="clear" w:pos="709"/>
          <w:tab w:val="left" w:pos="142" w:leader="none"/>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color w:themeColor="text1" w:val="000000"/>
          <w:kern w:val="2"/>
        </w:rPr>
      </w:pPr>
      <w:r>
        <w:rPr>
          <w:rFonts w:cs="Arial" w:ascii="Arial" w:hAnsi="Arial"/>
          <w:b/>
          <w:color w:themeColor="text1" w:val="000000"/>
        </w:rPr>
        <w:t>5.3.3.1.</w:t>
      </w:r>
      <w:r>
        <w:rPr>
          <w:rFonts w:cs="Arial" w:ascii="Arial" w:hAnsi="Arial"/>
          <w:color w:themeColor="text1" w:val="000000"/>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jc w:val="both"/>
        <w:rPr>
          <w:rFonts w:ascii="Arial" w:hAnsi="Arial" w:cs="Arial"/>
          <w:color w:themeColor="text1" w:val="000000"/>
        </w:rPr>
      </w:pPr>
      <w:r>
        <w:rPr>
          <w:rFonts w:cs="Arial" w:ascii="Arial" w:hAnsi="Arial"/>
          <w:color w:themeColor="text1" w:val="000000"/>
        </w:rPr>
      </w:r>
    </w:p>
    <w:p>
      <w:pPr>
        <w:pStyle w:val="Normal"/>
        <w:ind w:firstLine="284"/>
        <w:jc w:val="both"/>
        <w:rPr>
          <w:rFonts w:ascii="Arial" w:hAnsi="Arial" w:cs="Arial"/>
          <w:color w:themeColor="text1" w:val="000000"/>
        </w:rPr>
      </w:pPr>
      <w:r>
        <w:rPr>
          <w:rFonts w:cs="Arial" w:ascii="Arial" w:hAnsi="Arial"/>
          <w:b/>
          <w:color w:themeColor="text1" w:val="000000"/>
        </w:rPr>
        <w:t>5.3.3.2.</w:t>
      </w:r>
      <w:r>
        <w:rPr>
          <w:rFonts w:cs="Arial" w:ascii="Arial" w:hAnsi="Arial"/>
          <w:color w:themeColor="text1" w:val="000000"/>
        </w:rPr>
        <w:t xml:space="preserve"> a sanção de declaração de inidoneidade, disposta no Art. 156, IV da Lei 14.133/2021, impedirá o responsável  de licitar no âmbito da Administração direta e indireta de todos os entes federativos.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5.3.5. </w:t>
      </w:r>
      <w:r>
        <w:rPr>
          <w:rFonts w:cs="Arial" w:ascii="Arial" w:hAnsi="Arial"/>
        </w:rPr>
        <w:t>empresas controladoras, controladas ou coligadas, nos termos da Lei n° 6.404, de 15 de dezembro de 1976, concorrendo entre si;</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5.3.6. </w:t>
      </w:r>
      <w:r>
        <w:rPr>
          <w:rFonts w:cs="Arial" w:ascii="Arial" w:hAnsi="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caps/>
        </w:rPr>
        <w:t>6. credenciamento NO APLICATIVO LICITAÇÕES</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6.1.</w:t>
      </w:r>
      <w:r>
        <w:rPr>
          <w:rFonts w:cs="Arial" w:ascii="Arial" w:hAnsi="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6">
        <w:r>
          <w:rPr>
            <w:rStyle w:val="Hyperlink"/>
            <w:rFonts w:cs="Arial" w:ascii="Arial" w:hAnsi="Arial"/>
          </w:rPr>
          <w:t>https://bnccompras.com</w:t>
        </w:r>
      </w:hyperlink>
      <w:r>
        <w:rPr>
          <w:rFonts w:cs="Arial" w:ascii="Arial" w:hAnsi="Arial"/>
        </w:rPr>
        <w:t>.</w:t>
      </w:r>
    </w:p>
    <w:p>
      <w:pPr>
        <w:pStyle w:val="Normal"/>
        <w:tabs>
          <w:tab w:val="clear" w:pos="709"/>
          <w:tab w:val="left" w:pos="284" w:leader="none"/>
          <w:tab w:val="left" w:pos="3870" w:leader="none"/>
        </w:tabs>
        <w:ind w:firstLine="284"/>
        <w:jc w:val="both"/>
        <w:rPr>
          <w:rFonts w:ascii="Arial" w:hAnsi="Arial" w:cs="Arial"/>
        </w:rPr>
      </w:pPr>
      <w:r>
        <w:rPr>
          <w:rFonts w:cs="Arial" w:ascii="Arial" w:hAnsi="Arial"/>
        </w:rPr>
        <w:tab/>
      </w:r>
    </w:p>
    <w:p>
      <w:pPr>
        <w:pStyle w:val="Normal"/>
        <w:tabs>
          <w:tab w:val="clear" w:pos="709"/>
          <w:tab w:val="left" w:pos="284" w:leader="none"/>
        </w:tabs>
        <w:ind w:firstLine="284"/>
        <w:jc w:val="both"/>
        <w:rPr>
          <w:rFonts w:ascii="Arial" w:hAnsi="Arial" w:cs="Arial"/>
        </w:rPr>
      </w:pPr>
      <w:r>
        <w:rPr>
          <w:rFonts w:cs="Arial" w:ascii="Arial" w:hAnsi="Arial"/>
          <w:b/>
          <w:bCs/>
        </w:rPr>
        <w:t>6.2.</w:t>
      </w:r>
      <w:r>
        <w:rPr>
          <w:rFonts w:cs="Arial" w:ascii="Arial" w:hAnsi="Arial"/>
        </w:rPr>
        <w:t xml:space="preserve"> O login de usuário e a senha poderão ser utilizadas em qualquer Licitação deste órgão, salvo quando canceladas por solicitação do credenciado.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6.3.</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BodyText"/>
        <w:ind w:firstLine="284"/>
        <w:rPr>
          <w:sz w:val="20"/>
          <w:szCs w:val="20"/>
        </w:rPr>
      </w:pPr>
      <w:r>
        <w:rPr>
          <w:sz w:val="20"/>
          <w:szCs w:val="20"/>
        </w:rPr>
      </w:r>
    </w:p>
    <w:p>
      <w:pPr>
        <w:pStyle w:val="BodyText"/>
        <w:ind w:firstLine="284"/>
        <w:rPr>
          <w:sz w:val="20"/>
          <w:szCs w:val="20"/>
          <w:lang w:val="pt-BR"/>
        </w:rPr>
      </w:pPr>
      <w:r>
        <w:rPr>
          <w:b/>
          <w:bCs/>
          <w:sz w:val="20"/>
          <w:szCs w:val="20"/>
        </w:rPr>
        <w:t>6.4.</w:t>
      </w:r>
      <w:r>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sz w:val="20"/>
          <w:szCs w:val="20"/>
          <w:lang w:val="pt-BR"/>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6.5. </w:t>
      </w:r>
      <w:r>
        <w:rPr>
          <w:rFonts w:cs="Arial" w:ascii="Arial" w:hAnsi="Arial"/>
        </w:rPr>
        <w:t>Para efeito de concessão de tratamento favorecido previsto na Lei Complementar nº 123/2006 alterada pela Lei Complementar nº 147/2014 e Decreto Municipal nº 12.437/2007, a licitante deverá cadastrar eletronicamente essa condição.</w:t>
      </w:r>
    </w:p>
    <w:p>
      <w:pPr>
        <w:pStyle w:val="Normal"/>
        <w:ind w:firstLine="284"/>
        <w:jc w:val="both"/>
        <w:rPr>
          <w:rFonts w:ascii="Arial" w:hAnsi="Arial" w:cs="Arial"/>
          <w:highlight w:val="yellow"/>
        </w:rPr>
      </w:pPr>
      <w:r>
        <w:rPr>
          <w:rFonts w:cs="Arial" w:ascii="Arial" w:hAnsi="Arial"/>
          <w:highlight w:val="yellow"/>
        </w:rPr>
      </w:r>
    </w:p>
    <w:p>
      <w:pPr>
        <w:pStyle w:val="Heading9"/>
        <w:numPr>
          <w:ilvl w:val="8"/>
          <w:numId w:val="1"/>
        </w:numPr>
        <w:tabs>
          <w:tab w:val="clear" w:pos="709"/>
        </w:tabs>
        <w:ind w:firstLine="284" w:start="0"/>
        <w:rPr>
          <w:sz w:val="20"/>
          <w:szCs w:val="20"/>
        </w:rPr>
      </w:pPr>
      <w:r>
        <w:rPr>
          <w:i w:val="false"/>
          <w:iCs w:val="false"/>
          <w:sz w:val="20"/>
          <w:szCs w:val="20"/>
        </w:rPr>
        <w:t>7. participação</w:t>
      </w:r>
    </w:p>
    <w:p>
      <w:pPr>
        <w:pStyle w:val="Normal"/>
        <w:ind w:firstLine="284"/>
        <w:jc w:val="both"/>
        <w:rPr>
          <w:rFonts w:ascii="Arial" w:hAnsi="Arial" w:cs="Arial"/>
          <w:sz w:val="16"/>
        </w:rPr>
      </w:pPr>
      <w:r>
        <w:rPr>
          <w:rFonts w:cs="Arial" w:ascii="Arial" w:hAnsi="Arial"/>
          <w:sz w:val="16"/>
        </w:rPr>
      </w:r>
    </w:p>
    <w:p>
      <w:pPr>
        <w:pStyle w:val="Normal"/>
        <w:tabs>
          <w:tab w:val="clear" w:pos="709"/>
          <w:tab w:val="left" w:pos="284" w:leader="none"/>
        </w:tabs>
        <w:ind w:firstLine="284"/>
        <w:jc w:val="both"/>
        <w:rPr>
          <w:rFonts w:ascii="Arial" w:hAnsi="Arial" w:cs="Arial"/>
        </w:rPr>
      </w:pPr>
      <w:r>
        <w:rPr>
          <w:rFonts w:cs="Arial" w:ascii="Arial" w:hAnsi="Arial"/>
          <w:b/>
          <w:bCs/>
        </w:rPr>
        <w:t xml:space="preserve">7.1. </w:t>
      </w:r>
      <w:r>
        <w:rPr>
          <w:rFonts w:cs="Arial" w:ascii="Arial" w:hAnsi="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7">
        <w:r>
          <w:rPr>
            <w:rStyle w:val="Hyperlink"/>
            <w:rFonts w:cs="Arial" w:ascii="Arial" w:hAnsi="Arial"/>
          </w:rPr>
          <w:t>https://bnccompras.com</w:t>
        </w:r>
      </w:hyperlink>
      <w:r>
        <w:rPr>
          <w:rFonts w:cs="Arial" w:ascii="Arial" w:hAnsi="Arial"/>
        </w:rPr>
        <w:t>, observados data e horário limite estabelecidos neste Edital.</w:t>
      </w:r>
    </w:p>
    <w:p>
      <w:pPr>
        <w:pStyle w:val="BodyTextIndent"/>
        <w:overflowPunct w:val="false"/>
        <w:spacing w:lineRule="auto" w:line="240"/>
        <w:ind w:firstLine="284"/>
        <w:textAlignment w:val="auto"/>
        <w:rPr>
          <w:sz w:val="20"/>
          <w:szCs w:val="20"/>
          <w:lang w:val="pt-BR"/>
        </w:rPr>
      </w:pPr>
      <w:r>
        <w:rPr>
          <w:sz w:val="20"/>
          <w:szCs w:val="20"/>
          <w:lang w:val="pt-BR"/>
        </w:rPr>
      </w:r>
    </w:p>
    <w:p>
      <w:pPr>
        <w:pStyle w:val="BodyTextIndent"/>
        <w:overflowPunct w:val="false"/>
        <w:spacing w:lineRule="auto" w:line="240"/>
        <w:ind w:firstLine="284"/>
        <w:textAlignment w:val="auto"/>
        <w:rPr>
          <w:sz w:val="20"/>
          <w:szCs w:val="20"/>
          <w:lang w:val="pt-BR"/>
        </w:rPr>
      </w:pPr>
      <w:r>
        <w:rPr>
          <w:b/>
          <w:bCs/>
          <w:sz w:val="20"/>
          <w:szCs w:val="20"/>
        </w:rPr>
        <w:t>7.2.</w:t>
      </w:r>
      <w:r>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sz w:val="20"/>
          <w:szCs w:val="20"/>
          <w:lang w:val="pt-BR"/>
        </w:rPr>
        <w:t>.</w:t>
      </w:r>
    </w:p>
    <w:p>
      <w:pPr>
        <w:pStyle w:val="BodyTextIndent"/>
        <w:overflowPunct w:val="false"/>
        <w:spacing w:lineRule="auto" w:line="240"/>
        <w:ind w:firstLine="284"/>
        <w:textAlignment w:val="auto"/>
        <w:rPr>
          <w:sz w:val="20"/>
          <w:szCs w:val="20"/>
        </w:rPr>
      </w:pPr>
      <w:r>
        <w:rPr>
          <w:sz w:val="20"/>
          <w:szCs w:val="20"/>
        </w:rPr>
      </w:r>
    </w:p>
    <w:p>
      <w:pPr>
        <w:pStyle w:val="BodyTextIndent"/>
        <w:overflowPunct w:val="false"/>
        <w:spacing w:lineRule="auto" w:line="240"/>
        <w:ind w:firstLine="284"/>
        <w:textAlignment w:val="auto"/>
        <w:rPr>
          <w:sz w:val="20"/>
          <w:szCs w:val="20"/>
          <w:lang w:val="pt-BR"/>
        </w:rPr>
      </w:pPr>
      <w:r>
        <w:rPr>
          <w:b/>
          <w:bCs/>
          <w:sz w:val="20"/>
          <w:szCs w:val="20"/>
        </w:rPr>
        <w:t>7.3.</w:t>
      </w:r>
      <w:r>
        <w:rPr>
          <w:sz w:val="20"/>
          <w:szCs w:val="20"/>
        </w:rPr>
        <w:t xml:space="preserve"> No caso de desconexão do </w:t>
      </w:r>
      <w:r>
        <w:rPr>
          <w:color w:val="auto"/>
          <w:sz w:val="20"/>
          <w:szCs w:val="20"/>
          <w:lang w:val="pt-BR"/>
        </w:rPr>
        <w:t>Agente de Contratação</w:t>
      </w:r>
      <w:r>
        <w:rPr>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sz w:val="20"/>
          <w:szCs w:val="20"/>
        </w:rPr>
        <w:t>, quando possível, sua atuação no certame sem prejuízo dos demais atos já praticados</w:t>
      </w:r>
      <w:r>
        <w:rPr>
          <w:sz w:val="20"/>
          <w:szCs w:val="20"/>
          <w:lang w:val="pt-BR"/>
        </w:rPr>
        <w:t>.</w:t>
      </w:r>
    </w:p>
    <w:p>
      <w:pPr>
        <w:pStyle w:val="BodyTextIndent"/>
        <w:overflowPunct w:val="false"/>
        <w:spacing w:lineRule="auto" w:line="240"/>
        <w:ind w:firstLine="284"/>
        <w:textAlignment w:val="auto"/>
        <w:rPr>
          <w:sz w:val="20"/>
          <w:szCs w:val="20"/>
        </w:rPr>
      </w:pPr>
      <w:r>
        <w:rPr>
          <w:sz w:val="20"/>
          <w:szCs w:val="20"/>
        </w:rPr>
      </w:r>
    </w:p>
    <w:p>
      <w:pPr>
        <w:pStyle w:val="BodyTextIndent"/>
        <w:overflowPunct w:val="false"/>
        <w:spacing w:lineRule="auto" w:line="240"/>
        <w:ind w:firstLine="284"/>
        <w:textAlignment w:val="auto"/>
        <w:rPr>
          <w:sz w:val="20"/>
          <w:szCs w:val="20"/>
        </w:rPr>
      </w:pPr>
      <w:r>
        <w:rPr>
          <w:b/>
          <w:bCs/>
          <w:sz w:val="20"/>
          <w:szCs w:val="20"/>
        </w:rPr>
        <w:t>7.4.</w:t>
      </w:r>
      <w:r>
        <w:rPr>
          <w:sz w:val="20"/>
          <w:szCs w:val="20"/>
        </w:rPr>
        <w:t xml:space="preserve"> Quando a desconexão persistir por tempo superior a 10 (dez) minutos, a sessão do Pregão será suspensa, retornando somente após comunicação expressa as licitantes.</w:t>
      </w:r>
    </w:p>
    <w:p>
      <w:pPr>
        <w:pStyle w:val="BodyTextIndent"/>
        <w:overflowPunct w:val="false"/>
        <w:spacing w:lineRule="auto" w:line="240"/>
        <w:ind w:firstLine="284"/>
        <w:textAlignment w:val="auto"/>
        <w:rPr>
          <w:sz w:val="20"/>
          <w:szCs w:val="20"/>
          <w:highlight w:val="yellow"/>
          <w:lang w:val="pt-BR"/>
        </w:rPr>
      </w:pPr>
      <w:r>
        <w:rPr>
          <w:sz w:val="20"/>
          <w:szCs w:val="20"/>
          <w:highlight w:val="yellow"/>
          <w:lang w:val="pt-BR"/>
        </w:rPr>
      </w:r>
    </w:p>
    <w:p>
      <w:pPr>
        <w:pStyle w:val="Normal"/>
        <w:ind w:firstLine="284"/>
        <w:jc w:val="both"/>
        <w:rPr>
          <w:rFonts w:ascii="Arial" w:hAnsi="Arial" w:cs="Arial"/>
        </w:rPr>
      </w:pPr>
      <w:r>
        <w:rPr>
          <w:rFonts w:cs="Arial" w:ascii="Arial" w:hAnsi="Arial"/>
          <w:b/>
          <w:bCs/>
        </w:rPr>
        <w:t>8. ENVIO DAS PROPOSTAS POR MEIO ELETRÔNICO</w:t>
      </w:r>
    </w:p>
    <w:p>
      <w:pPr>
        <w:pStyle w:val="Normal"/>
        <w:ind w:firstLine="284"/>
        <w:jc w:val="both"/>
        <w:rPr>
          <w:rFonts w:ascii="Arial" w:hAnsi="Arial" w:cs="Arial"/>
          <w:color w:themeColor="accent1" w:val="4472C4"/>
        </w:rPr>
      </w:pPr>
      <w:r>
        <w:rPr>
          <w:rFonts w:cs="Arial" w:ascii="Arial" w:hAnsi="Arial"/>
          <w:color w:themeColor="accent1" w:val="4472C4"/>
        </w:rPr>
      </w:r>
    </w:p>
    <w:p>
      <w:pPr>
        <w:pStyle w:val="Normal"/>
        <w:ind w:firstLine="284"/>
        <w:jc w:val="both"/>
        <w:rPr>
          <w:rFonts w:ascii="Arial" w:hAnsi="Arial" w:cs="Arial"/>
          <w:b/>
          <w:bCs/>
        </w:rPr>
      </w:pPr>
      <w:r>
        <w:rPr>
          <w:rFonts w:cs="Arial" w:ascii="Arial" w:hAnsi="Arial"/>
          <w:b/>
          <w:bCs/>
        </w:rPr>
        <w:t>8.1.</w:t>
      </w:r>
      <w:r>
        <w:rPr>
          <w:rFonts w:cs="Arial" w:ascii="Arial" w:hAnsi="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8.2.</w:t>
      </w:r>
      <w:r>
        <w:rPr>
          <w:rFonts w:cs="Arial" w:ascii="Arial" w:hAnsi="Arial"/>
        </w:rPr>
        <w:t xml:space="preserve"> Ao apresentar sua proposta eletrônica e ao formular lances, a licitante concorda que os produtos deverão atender a todas as especificações constantes no Termo de Referência, deste Edital.</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8.3.</w:t>
      </w:r>
      <w:r>
        <w:rPr>
          <w:rFonts w:cs="Arial" w:ascii="Arial" w:hAnsi="Arial"/>
        </w:rPr>
        <w:t xml:space="preserve"> Quando solicitado, no Termo de Referência deste Edital, documentos de proposta (catálogos, bula, registros etc.), estes deverão ser anexados, em campo próprio no sistema, denominado “Documentos Complementares”, após a sessão de disputa de preços.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8.4.</w:t>
      </w:r>
      <w:r>
        <w:rPr>
          <w:rFonts w:cs="Arial" w:ascii="Arial" w:hAnsi="Arial"/>
        </w:rPr>
        <w:t xml:space="preserve"> As licitantes deverão declarar sua condição de Microempresa ou Empresa de Pequeno Porte, selecionando a opção correta no sistema.</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8.5.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ind w:firstLine="284"/>
        <w:rPr>
          <w:rFonts w:ascii="Arial" w:hAnsi="Arial" w:cs="Arial"/>
          <w:b/>
          <w:bCs/>
        </w:rPr>
      </w:pPr>
      <w:r>
        <w:rPr>
          <w:rFonts w:cs="Arial" w:ascii="Arial" w:hAnsi="Arial"/>
          <w:b/>
          <w:bCs/>
        </w:rPr>
        <w:t xml:space="preserve">8.5.1. </w:t>
      </w:r>
      <w:r>
        <w:rPr>
          <w:rFonts w:cs="Arial" w:ascii="Arial" w:hAnsi="Arial"/>
        </w:rPr>
        <w:t>O licitante NÃO poderá oferecer proposta em quantitativo inferior ao previsto para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8.7.</w:t>
      </w:r>
      <w:r>
        <w:rPr>
          <w:rFonts w:cs="Arial" w:ascii="Arial" w:hAnsi="Arial"/>
        </w:rPr>
        <w:t xml:space="preserve"> Ao encaminhar a proposta eletrônica, o fornecedor obrigatoriamente deverá lançar sua proposta pelo preço unitário do item.</w:t>
      </w:r>
    </w:p>
    <w:p>
      <w:pPr>
        <w:pStyle w:val="Normal"/>
        <w:ind w:firstLine="284"/>
        <w:jc w:val="both"/>
        <w:rPr>
          <w:rFonts w:ascii="Arial" w:hAnsi="Arial" w:cs="Arial"/>
        </w:rPr>
      </w:pPr>
      <w:r>
        <w:rPr>
          <w:rFonts w:cs="Arial" w:ascii="Arial" w:hAnsi="Arial"/>
        </w:rPr>
      </w:r>
    </w:p>
    <w:p>
      <w:pPr>
        <w:pStyle w:val="Normal"/>
        <w:numPr>
          <w:ilvl w:val="0"/>
          <w:numId w:val="1"/>
        </w:numPr>
        <w:tabs>
          <w:tab w:val="clear" w:pos="709"/>
          <w:tab w:val="left" w:pos="284" w:leader="none"/>
        </w:tabs>
        <w:ind w:firstLine="284" w:start="0"/>
        <w:jc w:val="both"/>
        <w:rPr>
          <w:rFonts w:ascii="Arial" w:hAnsi="Arial" w:cs="Arial"/>
        </w:rPr>
      </w:pPr>
      <w:r>
        <w:rPr>
          <w:rFonts w:cs="Arial" w:ascii="Arial" w:hAnsi="Arial"/>
          <w:b/>
          <w:bCs/>
        </w:rPr>
        <w:t>8.8.</w:t>
      </w:r>
      <w:r>
        <w:rPr>
          <w:rFonts w:cs="Arial" w:ascii="Arial" w:hAnsi="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8.8.1</w:t>
      </w:r>
      <w:r>
        <w:rPr>
          <w:rFonts w:cs="Arial" w:ascii="Arial" w:hAnsi="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pPr>
        <w:pStyle w:val="Normal"/>
        <w:ind w:firstLine="284"/>
        <w:jc w:val="both"/>
        <w:rPr>
          <w:rFonts w:ascii="Arial" w:hAnsi="Arial" w:cs="Arial"/>
          <w:b/>
        </w:rPr>
      </w:pPr>
      <w:r>
        <w:rPr>
          <w:rFonts w:cs="Arial" w:ascii="Arial" w:hAnsi="Arial"/>
          <w:b/>
        </w:rPr>
        <w:t>8.8.2. A proposta readequada deverá seguir o modelo disponível no Anexo IV deste edital.</w:t>
      </w:r>
    </w:p>
    <w:p>
      <w:pPr>
        <w:pStyle w:val="Normal"/>
        <w:numPr>
          <w:ilvl w:val="0"/>
          <w:numId w:val="1"/>
        </w:numPr>
        <w:tabs>
          <w:tab w:val="clear" w:pos="709"/>
        </w:tabs>
        <w:ind w:firstLine="284" w:start="0"/>
        <w:jc w:val="both"/>
        <w:rPr>
          <w:rFonts w:ascii="Arial" w:hAnsi="Arial" w:cs="Arial"/>
          <w:b/>
        </w:rPr>
      </w:pPr>
      <w:r>
        <w:rPr>
          <w:rFonts w:cs="Arial" w:ascii="Arial" w:hAnsi="Arial"/>
          <w:b/>
        </w:rPr>
      </w:r>
    </w:p>
    <w:p>
      <w:pPr>
        <w:pStyle w:val="Normal"/>
        <w:ind w:firstLine="284"/>
        <w:rPr>
          <w:rFonts w:ascii="Arial" w:hAnsi="Arial" w:cs="Arial"/>
        </w:rPr>
      </w:pPr>
      <w:r>
        <w:rPr>
          <w:rFonts w:cs="Arial" w:ascii="Arial" w:hAnsi="Arial"/>
          <w:b/>
          <w:bCs/>
        </w:rPr>
        <w:t>8.9.</w:t>
      </w:r>
      <w:r>
        <w:rPr>
          <w:rFonts w:cs="Arial" w:ascii="Arial" w:hAnsi="Arial"/>
        </w:rPr>
        <w:t xml:space="preserve"> O licitante poderá suprir ou sanear eventuais omissões ou falhas relativas ao cumprimento dos requisitos do item 8.8., mediante a apresentação de novos documentos, desde que os envie durante o prazo estabelecido no referido item.</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8.10.</w:t>
      </w:r>
      <w:r>
        <w:rPr>
          <w:rFonts w:cs="Arial" w:ascii="Arial" w:hAnsi="Arial"/>
        </w:rPr>
        <w:t xml:space="preserve"> É responsabilidade da Licitante acompanhar periodicamente o chat para verificação de concessão de prazos a ela e demais avisos, como por exemplo, sessão para manifestação de intenção de recurso.</w:t>
      </w:r>
    </w:p>
    <w:p>
      <w:pPr>
        <w:pStyle w:val="Normal"/>
        <w:ind w:firstLine="284"/>
        <w:rPr>
          <w:rFonts w:ascii="Arial" w:hAnsi="Arial" w:cs="Arial"/>
          <w:highlight w:val="yellow"/>
        </w:rPr>
      </w:pPr>
      <w:r>
        <w:rPr>
          <w:rFonts w:cs="Arial" w:ascii="Arial" w:hAnsi="Arial"/>
          <w:highlight w:val="yellow"/>
        </w:rPr>
      </w:r>
    </w:p>
    <w:p>
      <w:pPr>
        <w:pStyle w:val="Heading8"/>
        <w:numPr>
          <w:ilvl w:val="7"/>
          <w:numId w:val="22"/>
        </w:numPr>
        <w:tabs>
          <w:tab w:val="clear" w:pos="709"/>
        </w:tabs>
        <w:ind w:firstLine="284" w:start="0"/>
        <w:rPr>
          <w:rFonts w:cs="Arial"/>
          <w:caps/>
          <w:kern w:val="2"/>
          <w:sz w:val="20"/>
          <w:szCs w:val="20"/>
        </w:rPr>
      </w:pPr>
      <w:r>
        <w:rPr>
          <w:rFonts w:cs="Arial"/>
          <w:caps/>
          <w:sz w:val="20"/>
          <w:szCs w:val="20"/>
          <w:lang w:val="pt-BR"/>
        </w:rPr>
        <w:t>9.</w:t>
      </w:r>
      <w:r>
        <w:rPr>
          <w:rFonts w:cs="Arial"/>
          <w:caps/>
          <w:sz w:val="20"/>
          <w:szCs w:val="20"/>
        </w:rPr>
        <w:t xml:space="preserve"> ENVIO DA DOCUMENTAÇÃO DE HABILITAÇÃO </w:t>
      </w:r>
    </w:p>
    <w:p>
      <w:pPr>
        <w:pStyle w:val="Normal"/>
        <w:ind w:firstLine="284"/>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9.1.</w:t>
      </w:r>
      <w:r>
        <w:rPr>
          <w:rFonts w:cs="Arial" w:ascii="Arial" w:hAnsi="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numPr>
          <w:ilvl w:val="0"/>
          <w:numId w:val="1"/>
        </w:numPr>
        <w:ind w:firstLine="284" w:start="0"/>
        <w:jc w:val="both"/>
        <w:rPr>
          <w:rFonts w:ascii="Arial" w:hAnsi="Arial" w:cs="Arial"/>
        </w:rPr>
      </w:pPr>
      <w:r>
        <w:rPr>
          <w:rFonts w:cs="Arial" w:ascii="Arial" w:hAnsi="Arial"/>
          <w:b/>
          <w:bCs/>
        </w:rPr>
        <w:t>9.1.1.</w:t>
      </w:r>
      <w:r>
        <w:rPr>
          <w:rFonts w:cs="Arial" w:ascii="Arial" w:hAnsi="Arial"/>
        </w:rPr>
        <w:t xml:space="preserve"> Encerrada a etapa de negociação, a licitante declarada vencedora deverá, no prazo máximo de 1 (um) dia útil, obrigatoriamente, anexar no sistema eletrônico, no campo denominado “Documentos Complementares”, os documentos exigidos para habilitação, NA FORMA DIGITALIZADA, sob pena de inabilitação pelo não cumprimento.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9.1.2.</w:t>
      </w:r>
      <w:r>
        <w:rPr>
          <w:rFonts w:cs="Arial" w:ascii="Arial" w:hAnsi="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 Considerações Gerais da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9.2.1.</w:t>
      </w:r>
      <w:r>
        <w:rPr>
          <w:rFonts w:cs="Arial" w:ascii="Arial" w:hAnsi="Arial"/>
        </w:rPr>
        <w:t xml:space="preserve"> Na presente licitação, a fase de habilitação sucederá as fases de apresentação de propostas e lances de julgamento.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9.2.2.</w:t>
      </w:r>
      <w:r>
        <w:rPr>
          <w:rFonts w:cs="Arial" w:ascii="Arial" w:hAnsi="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9.2.2.1. </w:t>
      </w:r>
      <w:r>
        <w:rPr>
          <w:rFonts w:cs="Arial" w:ascii="Arial" w:hAnsi="Arial"/>
        </w:rPr>
        <w:t>Caso o 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9.2.3.</w:t>
      </w:r>
      <w:r>
        <w:rPr>
          <w:rFonts w:cs="Arial" w:ascii="Arial" w:hAnsi="Arial"/>
        </w:rPr>
        <w:t xml:space="preserve"> A falta de quaisquer documentos exigidos no Edital implicará inabilitação da licitante, sendo vedada, sob qualquer pretexto, a concessão de prazo para complementação da documentação exigida para a habilitação.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eastAsia="Arial" w:cs="Arial"/>
        </w:rPr>
      </w:pPr>
      <w:r>
        <w:rPr>
          <w:rFonts w:cs="Arial" w:ascii="Arial" w:hAnsi="Arial"/>
          <w:b/>
          <w:bCs/>
        </w:rPr>
        <w:t>9.2.4.</w:t>
      </w:r>
      <w:r>
        <w:rPr>
          <w:rFonts w:cs="Arial" w:ascii="Arial" w:hAnsi="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pPr>
        <w:pStyle w:val="Normal"/>
        <w:ind w:firstLine="284"/>
        <w:jc w:val="both"/>
        <w:rPr>
          <w:rFonts w:ascii="Arial" w:hAnsi="Arial" w:eastAsia="Arial" w:cs="Arial"/>
        </w:rPr>
      </w:pPr>
      <w:r>
        <w:rPr>
          <w:rFonts w:eastAsia="Arial" w:cs="Arial" w:ascii="Arial" w:hAnsi="Arial"/>
        </w:rPr>
        <w:t xml:space="preserve"> </w:t>
      </w:r>
    </w:p>
    <w:p>
      <w:pPr>
        <w:pStyle w:val="BodyTextIndent"/>
        <w:ind w:firstLine="284"/>
        <w:rPr>
          <w:bCs/>
          <w:color w:val="auto"/>
          <w:sz w:val="20"/>
          <w:szCs w:val="20"/>
        </w:rPr>
      </w:pPr>
      <w:r>
        <w:rPr>
          <w:rFonts w:eastAsia="Arial"/>
          <w:b/>
          <w:bCs/>
          <w:color w:val="auto"/>
          <w:sz w:val="20"/>
          <w:szCs w:val="20"/>
          <w:lang w:val="pt-BR"/>
        </w:rPr>
        <w:t>9</w:t>
      </w:r>
      <w:r>
        <w:rPr>
          <w:rFonts w:eastAsia="Arial"/>
          <w:b/>
          <w:bCs/>
          <w:color w:val="auto"/>
          <w:sz w:val="20"/>
          <w:szCs w:val="20"/>
        </w:rPr>
        <w:t>.2.</w:t>
      </w:r>
      <w:r>
        <w:rPr>
          <w:rFonts w:eastAsia="Arial"/>
          <w:b/>
          <w:bCs/>
          <w:color w:val="auto"/>
          <w:sz w:val="20"/>
          <w:szCs w:val="20"/>
          <w:lang w:val="pt-BR"/>
        </w:rPr>
        <w:t>5</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habilitação, não havendo validade expressa, os mesmos deverão ser expedidos com data não superior a 180 (cento e oitenta) dias anteriores a data limite para o recebimento das propostas da presente licitação.</w:t>
      </w:r>
    </w:p>
    <w:p>
      <w:pPr>
        <w:pStyle w:val="Normal"/>
        <w:keepLines/>
        <w:ind w:firstLine="284"/>
        <w:jc w:val="both"/>
        <w:rPr>
          <w:rFonts w:ascii="Arial" w:hAnsi="Arial" w:cs="Arial"/>
          <w:strike/>
        </w:rPr>
      </w:pPr>
      <w:r>
        <w:rPr>
          <w:rFonts w:cs="Arial" w:ascii="Arial" w:hAnsi="Arial"/>
          <w:strike/>
        </w:rPr>
      </w:r>
    </w:p>
    <w:p>
      <w:pPr>
        <w:pStyle w:val="Normal"/>
        <w:ind w:firstLine="284"/>
        <w:rPr>
          <w:rFonts w:ascii="Arial" w:hAnsi="Arial" w:cs="Arial"/>
        </w:rPr>
      </w:pPr>
      <w:r>
        <w:rPr>
          <w:rFonts w:eastAsia="Arial" w:cs="Arial" w:ascii="Arial" w:hAnsi="Arial"/>
          <w:b/>
        </w:rPr>
        <w:t>9.2.6</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9.3.</w:t>
      </w:r>
      <w:r>
        <w:rPr>
          <w:rFonts w:cs="Arial" w:ascii="Arial" w:hAnsi="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9.3.1. </w:t>
      </w:r>
      <w:r>
        <w:rPr>
          <w:rFonts w:cs="Arial" w:ascii="Arial" w:hAnsi="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9.3.2.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9.4.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9.4.1.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9.4.2.</w:t>
      </w:r>
      <w:r>
        <w:rPr>
          <w:rFonts w:cs="Arial" w:ascii="Arial" w:hAnsi="Arial"/>
        </w:rPr>
        <w:t xml:space="preserve"> atualização de documentos cuja validade tenha expirado após a data de recebimento das propostas.</w:t>
      </w:r>
    </w:p>
    <w:p>
      <w:pPr>
        <w:pStyle w:val="Normal"/>
        <w:ind w:firstLine="284"/>
        <w:jc w:val="both"/>
        <w:rPr>
          <w:rFonts w:ascii="Arial" w:hAnsi="Arial" w:cs="Arial"/>
          <w:color w:val="00B050"/>
        </w:rPr>
      </w:pPr>
      <w:r>
        <w:rPr>
          <w:rFonts w:cs="Arial" w:ascii="Arial" w:hAnsi="Arial"/>
          <w:color w:val="00B050"/>
        </w:rPr>
      </w:r>
    </w:p>
    <w:p>
      <w:pPr>
        <w:pStyle w:val="Heading8"/>
        <w:numPr>
          <w:ilvl w:val="7"/>
          <w:numId w:val="1"/>
        </w:numPr>
        <w:tabs>
          <w:tab w:val="clear" w:pos="709"/>
        </w:tabs>
        <w:ind w:firstLine="284" w:start="0"/>
        <w:rPr>
          <w:rFonts w:cs="Arial"/>
          <w:sz w:val="20"/>
          <w:szCs w:val="20"/>
        </w:rPr>
      </w:pPr>
      <w:r>
        <w:rPr>
          <w:rFonts w:cs="Arial"/>
          <w:caps/>
          <w:sz w:val="20"/>
          <w:szCs w:val="20"/>
        </w:rPr>
        <w:t>1</w:t>
      </w:r>
      <w:r>
        <w:rPr>
          <w:rFonts w:cs="Arial"/>
          <w:caps/>
          <w:sz w:val="20"/>
          <w:szCs w:val="20"/>
          <w:lang w:val="pt-BR"/>
        </w:rPr>
        <w:t>0.</w:t>
      </w:r>
      <w:r>
        <w:rPr>
          <w:rFonts w:cs="Arial"/>
          <w:caps/>
          <w:sz w:val="20"/>
          <w:szCs w:val="20"/>
        </w:rPr>
        <w:t xml:space="preserve"> abertura</w:t>
      </w:r>
    </w:p>
    <w:p>
      <w:pPr>
        <w:pStyle w:val="Normal"/>
        <w:ind w:firstLine="284"/>
        <w:jc w:val="both"/>
        <w:rPr>
          <w:rFonts w:ascii="Arial" w:hAnsi="Arial" w:cs="Arial"/>
        </w:rPr>
      </w:pPr>
      <w:r>
        <w:rPr>
          <w:rFonts w:cs="Arial" w:ascii="Arial" w:hAnsi="Arial"/>
        </w:rPr>
      </w:r>
    </w:p>
    <w:p>
      <w:pPr>
        <w:pStyle w:val="Normal"/>
        <w:numPr>
          <w:ilvl w:val="0"/>
          <w:numId w:val="1"/>
        </w:numPr>
        <w:tabs>
          <w:tab w:val="clear" w:pos="709"/>
        </w:tabs>
        <w:ind w:firstLine="284" w:start="0"/>
        <w:jc w:val="both"/>
        <w:rPr>
          <w:rFonts w:ascii="Arial" w:hAnsi="Arial" w:cs="Arial"/>
          <w:kern w:val="2"/>
        </w:rPr>
      </w:pPr>
      <w:r>
        <w:rPr>
          <w:rFonts w:cs="Arial" w:ascii="Arial" w:hAnsi="Arial"/>
          <w:b/>
          <w:bCs/>
        </w:rPr>
        <w:t>10.1.</w:t>
      </w:r>
      <w:r>
        <w:rPr>
          <w:rFonts w:cs="Arial" w:ascii="Arial" w:hAnsi="Arial"/>
        </w:rPr>
        <w:t xml:space="preserve"> A partir do horário previsto no sistema eletrônico, a sessão pública do Pregão Eletrônico terá início com a divulgação das propostas de preços recebidas, passando o Agente de Contratação a avaliar a aceitabilidade delas.</w:t>
      </w:r>
    </w:p>
    <w:p>
      <w:pPr>
        <w:pStyle w:val="Normal"/>
        <w:numPr>
          <w:ilvl w:val="0"/>
          <w:numId w:val="1"/>
        </w:numPr>
        <w:tabs>
          <w:tab w:val="clear" w:pos="709"/>
        </w:tabs>
        <w:ind w:firstLine="284" w:start="0"/>
        <w:jc w:val="both"/>
        <w:rPr>
          <w:rFonts w:ascii="Arial" w:hAnsi="Arial" w:cs="Arial"/>
        </w:rPr>
      </w:pPr>
      <w:r>
        <w:rPr>
          <w:rFonts w:cs="Arial" w:ascii="Arial" w:hAnsi="Arial"/>
        </w:rPr>
      </w:r>
    </w:p>
    <w:p>
      <w:pPr>
        <w:pStyle w:val="Normal"/>
        <w:numPr>
          <w:ilvl w:val="0"/>
          <w:numId w:val="1"/>
        </w:numPr>
        <w:tabs>
          <w:tab w:val="clear" w:pos="709"/>
        </w:tabs>
        <w:ind w:firstLine="284" w:start="0"/>
        <w:jc w:val="both"/>
        <w:rPr>
          <w:rFonts w:ascii="Arial" w:hAnsi="Arial" w:cs="Arial"/>
        </w:rPr>
      </w:pPr>
      <w:r>
        <w:rPr>
          <w:rFonts w:cs="Arial" w:ascii="Arial" w:hAnsi="Arial"/>
          <w:b/>
          <w:bCs/>
        </w:rPr>
        <w:t>10.2.</w:t>
      </w:r>
      <w:r>
        <w:rPr>
          <w:rFonts w:cs="Arial" w:ascii="Arial" w:hAnsi="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pPr>
        <w:pStyle w:val="Normal"/>
        <w:numPr>
          <w:ilvl w:val="0"/>
          <w:numId w:val="1"/>
        </w:numPr>
        <w:tabs>
          <w:tab w:val="clear" w:pos="709"/>
        </w:tabs>
        <w:ind w:firstLine="284" w:start="0"/>
        <w:jc w:val="both"/>
        <w:rPr>
          <w:rFonts w:ascii="Arial" w:hAnsi="Arial" w:cs="Arial"/>
        </w:rPr>
      </w:pPr>
      <w:r>
        <w:rPr>
          <w:rFonts w:cs="Arial" w:ascii="Arial" w:hAnsi="Arial"/>
        </w:rPr>
      </w:r>
    </w:p>
    <w:p>
      <w:pPr>
        <w:pStyle w:val="Normal"/>
        <w:numPr>
          <w:ilvl w:val="0"/>
          <w:numId w:val="1"/>
        </w:numPr>
        <w:tabs>
          <w:tab w:val="clear" w:pos="709"/>
        </w:tabs>
        <w:ind w:firstLine="284" w:start="0"/>
        <w:jc w:val="both"/>
        <w:rPr>
          <w:rFonts w:ascii="Arial" w:hAnsi="Arial" w:cs="Arial"/>
        </w:rPr>
      </w:pPr>
      <w:r>
        <w:rPr>
          <w:rFonts w:cs="Arial" w:ascii="Arial" w:hAnsi="Arial"/>
          <w:b/>
          <w:bCs/>
        </w:rPr>
        <w:t xml:space="preserve">10.2.1. </w:t>
      </w:r>
      <w:r>
        <w:rPr>
          <w:rFonts w:cs="Arial" w:ascii="Arial" w:hAnsi="Arial"/>
        </w:rPr>
        <w:t>Não serão aceitos dois ou mais lances de mesmo valor, prevalecendo aquele que for recebido e registrado em primeiro lugar.</w:t>
      </w:r>
    </w:p>
    <w:p>
      <w:pPr>
        <w:pStyle w:val="Normal"/>
        <w:numPr>
          <w:ilvl w:val="0"/>
          <w:numId w:val="1"/>
        </w:numPr>
        <w:tabs>
          <w:tab w:val="clear" w:pos="709"/>
        </w:tabs>
        <w:ind w:firstLine="284" w:start="0"/>
        <w:jc w:val="both"/>
        <w:rPr>
          <w:rFonts w:ascii="Arial" w:hAnsi="Arial" w:cs="Arial"/>
        </w:rPr>
      </w:pPr>
      <w:r>
        <w:rPr>
          <w:rFonts w:cs="Arial" w:ascii="Arial" w:hAnsi="Arial"/>
        </w:rPr>
      </w:r>
    </w:p>
    <w:p>
      <w:pPr>
        <w:pStyle w:val="Normal"/>
        <w:numPr>
          <w:ilvl w:val="0"/>
          <w:numId w:val="1"/>
        </w:numPr>
        <w:tabs>
          <w:tab w:val="clear" w:pos="709"/>
        </w:tabs>
        <w:ind w:firstLine="284" w:start="0"/>
        <w:jc w:val="both"/>
        <w:rPr>
          <w:rFonts w:ascii="Arial" w:hAnsi="Arial" w:cs="Arial"/>
        </w:rPr>
      </w:pPr>
      <w:r>
        <w:rPr>
          <w:rFonts w:cs="Arial" w:ascii="Arial" w:hAnsi="Arial"/>
          <w:b/>
          <w:bCs/>
        </w:rPr>
        <w:t xml:space="preserve">10.2.2. </w:t>
      </w:r>
      <w:r>
        <w:rPr>
          <w:rFonts w:cs="Arial" w:ascii="Arial" w:hAnsi="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pPr>
        <w:pStyle w:val="Normal"/>
        <w:numPr>
          <w:ilvl w:val="0"/>
          <w:numId w:val="1"/>
        </w:numPr>
        <w:tabs>
          <w:tab w:val="clear" w:pos="709"/>
        </w:tabs>
        <w:ind w:firstLine="284" w:start="0"/>
        <w:jc w:val="both"/>
        <w:rPr>
          <w:rFonts w:ascii="Arial" w:hAnsi="Arial" w:cs="Arial"/>
        </w:rPr>
      </w:pPr>
      <w:r>
        <w:rPr>
          <w:rFonts w:cs="Arial" w:ascii="Arial" w:hAnsi="Arial"/>
        </w:rPr>
      </w:r>
    </w:p>
    <w:p>
      <w:pPr>
        <w:pStyle w:val="Normal"/>
        <w:numPr>
          <w:ilvl w:val="0"/>
          <w:numId w:val="1"/>
        </w:numPr>
        <w:tabs>
          <w:tab w:val="clear" w:pos="709"/>
        </w:tabs>
        <w:ind w:firstLine="284" w:start="0"/>
        <w:jc w:val="both"/>
        <w:rPr>
          <w:rFonts w:ascii="Arial" w:hAnsi="Arial" w:cs="Arial"/>
        </w:rPr>
      </w:pPr>
      <w:r>
        <w:rPr>
          <w:rFonts w:cs="Arial" w:ascii="Arial" w:hAnsi="Arial"/>
          <w:b/>
          <w:bCs/>
        </w:rPr>
        <w:t xml:space="preserve">10.3. </w:t>
      </w:r>
      <w:r>
        <w:rPr>
          <w:rFonts w:cs="Arial" w:ascii="Arial" w:hAnsi="Arial"/>
        </w:rPr>
        <w:t>Durante o transcurso da sessão pública, as licitantes serão informadas, em tempo real, do valor do menor lance registrado. O sistema eletrônico não identificará a autora dos lances às demais licitantes.</w:t>
      </w:r>
    </w:p>
    <w:p>
      <w:pPr>
        <w:pStyle w:val="Normal"/>
        <w:numPr>
          <w:ilvl w:val="0"/>
          <w:numId w:val="1"/>
        </w:numPr>
        <w:tabs>
          <w:tab w:val="clear" w:pos="709"/>
        </w:tabs>
        <w:ind w:firstLine="284" w:start="0"/>
        <w:jc w:val="both"/>
        <w:rPr>
          <w:rFonts w:ascii="Arial" w:hAnsi="Arial" w:cs="Arial"/>
        </w:rPr>
      </w:pPr>
      <w:r>
        <w:rPr>
          <w:rFonts w:cs="Arial" w:ascii="Arial" w:hAnsi="Arial"/>
        </w:rPr>
      </w:r>
    </w:p>
    <w:p>
      <w:pPr>
        <w:pStyle w:val="Normal"/>
        <w:numPr>
          <w:ilvl w:val="0"/>
          <w:numId w:val="1"/>
        </w:numPr>
        <w:tabs>
          <w:tab w:val="clear" w:pos="709"/>
        </w:tabs>
        <w:ind w:firstLine="284" w:start="0"/>
        <w:jc w:val="both"/>
        <w:rPr>
          <w:rFonts w:ascii="Arial" w:hAnsi="Arial" w:cs="Arial"/>
        </w:rPr>
      </w:pPr>
      <w:r>
        <w:rPr>
          <w:rFonts w:cs="Arial" w:ascii="Arial" w:hAnsi="Arial"/>
          <w:b/>
          <w:bCs/>
        </w:rPr>
        <w:t xml:space="preserve">10.4. </w:t>
      </w:r>
      <w:r>
        <w:rPr>
          <w:rFonts w:cs="Arial" w:ascii="Arial" w:hAnsi="Arial"/>
        </w:rPr>
        <w:t>A etapa de lances da sessão pública terá o período de tempo fixo de 10 (dez) minutos e, após isso, será prorrogada automaticamente pelo sistema, quando houver lance ofertado nos últimos 2 (dois) minutos do período de duração da sessão pública.</w:t>
      </w:r>
    </w:p>
    <w:p>
      <w:pPr>
        <w:pStyle w:val="Normal"/>
        <w:numPr>
          <w:ilvl w:val="0"/>
          <w:numId w:val="1"/>
        </w:numPr>
        <w:tabs>
          <w:tab w:val="clear" w:pos="709"/>
        </w:tabs>
        <w:ind w:firstLine="284" w:start="0"/>
        <w:jc w:val="both"/>
        <w:rPr>
          <w:rFonts w:ascii="Arial" w:hAnsi="Arial" w:cs="Arial"/>
        </w:rPr>
      </w:pPr>
      <w:r>
        <w:rPr>
          <w:rFonts w:cs="Arial" w:ascii="Arial" w:hAnsi="Arial"/>
        </w:rPr>
      </w:r>
    </w:p>
    <w:p>
      <w:pPr>
        <w:pStyle w:val="BodyText"/>
        <w:numPr>
          <w:ilvl w:val="0"/>
          <w:numId w:val="1"/>
        </w:numPr>
        <w:tabs>
          <w:tab w:val="clear" w:pos="709"/>
        </w:tabs>
        <w:ind w:firstLine="284" w:start="0"/>
        <w:rPr>
          <w:sz w:val="20"/>
          <w:szCs w:val="20"/>
        </w:rPr>
      </w:pPr>
      <w:r>
        <w:rPr>
          <w:b/>
          <w:bCs/>
          <w:sz w:val="20"/>
          <w:szCs w:val="20"/>
        </w:rPr>
        <w:t>1</w:t>
      </w:r>
      <w:r>
        <w:rPr>
          <w:b/>
          <w:bCs/>
          <w:sz w:val="20"/>
          <w:szCs w:val="20"/>
          <w:lang w:val="pt-BR"/>
        </w:rPr>
        <w:t>0</w:t>
      </w:r>
      <w:r>
        <w:rPr>
          <w:b/>
          <w:bCs/>
          <w:sz w:val="20"/>
          <w:szCs w:val="20"/>
        </w:rPr>
        <w:t>.5.</w:t>
      </w:r>
      <w:r>
        <w:rPr>
          <w:sz w:val="20"/>
          <w:szCs w:val="20"/>
        </w:rPr>
        <w:t xml:space="preserve"> Na hipótese de não haver novos lances no período da prorrogação automática que trata o item 1</w:t>
      </w:r>
      <w:r>
        <w:rPr>
          <w:sz w:val="20"/>
          <w:szCs w:val="20"/>
          <w:lang w:val="pt-BR"/>
        </w:rPr>
        <w:t>0</w:t>
      </w:r>
      <w:r>
        <w:rPr>
          <w:sz w:val="20"/>
          <w:szCs w:val="20"/>
        </w:rPr>
        <w:t>.4, a sessão pública será encerrada automaticamente.</w:t>
      </w:r>
    </w:p>
    <w:p>
      <w:pPr>
        <w:pStyle w:val="BodyText"/>
        <w:ind w:firstLine="284"/>
        <w:rPr>
          <w:sz w:val="20"/>
          <w:szCs w:val="20"/>
          <w:highlight w:val="yellow"/>
        </w:rPr>
      </w:pPr>
      <w:r>
        <w:rPr>
          <w:sz w:val="20"/>
          <w:szCs w:val="20"/>
          <w:highlight w:val="yellow"/>
        </w:rPr>
      </w:r>
    </w:p>
    <w:p>
      <w:pPr>
        <w:pStyle w:val="BodyText"/>
        <w:numPr>
          <w:ilvl w:val="0"/>
          <w:numId w:val="1"/>
        </w:numPr>
        <w:tabs>
          <w:tab w:val="clear" w:pos="709"/>
          <w:tab w:val="left" w:pos="284" w:leader="none"/>
        </w:tabs>
        <w:ind w:firstLine="284" w:star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6</w:t>
      </w:r>
      <w:r>
        <w:rPr>
          <w:b/>
          <w:bCs/>
          <w:sz w:val="20"/>
          <w:szCs w:val="20"/>
        </w:rPr>
        <w:t>.</w:t>
      </w:r>
      <w:r>
        <w:rPr>
          <w:sz w:val="20"/>
          <w:szCs w:val="20"/>
        </w:rPr>
        <w:t xml:space="preserve"> Encerrada a recepção de lances, antes de anunciar a vencedora, o </w:t>
      </w:r>
      <w:r>
        <w:rPr>
          <w:sz w:val="20"/>
        </w:rPr>
        <w:t>Agente de Contratação</w:t>
      </w:r>
      <w:r>
        <w:rPr>
          <w:sz w:val="18"/>
          <w:szCs w:val="20"/>
        </w:rPr>
        <w:t xml:space="preserve"> </w:t>
      </w:r>
      <w:r>
        <w:rPr>
          <w:sz w:val="20"/>
          <w:szCs w:val="20"/>
        </w:rPr>
        <w:t>poderá encaminhar, pelo sistema eletrônico, contraproposta diretamente a licitante que tenha apresentado o lance de menor preço, para que seja obtido preço melhor ao anteriormente ofertado, bem como decidir sobre sua aceitação.</w:t>
      </w:r>
    </w:p>
    <w:p>
      <w:pPr>
        <w:pStyle w:val="BodyText"/>
        <w:ind w:firstLine="284"/>
        <w:rPr>
          <w:sz w:val="20"/>
          <w:szCs w:val="20"/>
          <w:lang w:val="pt-BR"/>
        </w:rPr>
      </w:pPr>
      <w:r>
        <w:rPr>
          <w:sz w:val="20"/>
          <w:szCs w:val="20"/>
          <w:lang w:val="pt-BR"/>
        </w:rPr>
      </w:r>
    </w:p>
    <w:p>
      <w:pPr>
        <w:pStyle w:val="BodyText"/>
        <w:ind w:firstLine="284"/>
        <w:rPr>
          <w:sz w:val="18"/>
          <w:szCs w:val="20"/>
          <w:lang w:val="pt-BR"/>
        </w:rPr>
      </w:pPr>
      <w:r>
        <w:rPr>
          <w:b/>
          <w:bCs/>
          <w:sz w:val="20"/>
          <w:lang w:val="pt-BR"/>
        </w:rPr>
        <w:t>1</w:t>
      </w:r>
      <w:r>
        <w:rPr>
          <w:b/>
          <w:bCs/>
          <w:sz w:val="20"/>
        </w:rPr>
        <w:t>0.</w:t>
      </w:r>
      <w:r>
        <w:rPr>
          <w:b/>
          <w:bCs/>
          <w:sz w:val="20"/>
          <w:lang w:val="pt-BR"/>
        </w:rPr>
        <w:t>6</w:t>
      </w:r>
      <w:r>
        <w:rPr>
          <w:b/>
          <w:bCs/>
          <w:sz w:val="20"/>
        </w:rPr>
        <w:t xml:space="preserve">.1. </w:t>
      </w:r>
      <w:r>
        <w:rPr>
          <w:sz w:val="20"/>
        </w:rPr>
        <w:t>Não será admitida a previsão de preços diferentes em razão de local de entrega ou de acondicionamento, tamanho de lote ou qualquer outro motivo</w:t>
      </w:r>
      <w:r>
        <w:rPr>
          <w:sz w:val="20"/>
          <w:lang w:val="pt-BR"/>
        </w:rPr>
        <w:t>.</w:t>
      </w:r>
    </w:p>
    <w:p>
      <w:pPr>
        <w:pStyle w:val="BodyText"/>
        <w:numPr>
          <w:ilvl w:val="0"/>
          <w:numId w:val="1"/>
        </w:numPr>
        <w:ind w:firstLine="284" w:start="0"/>
        <w:rPr>
          <w:sz w:val="20"/>
          <w:szCs w:val="20"/>
        </w:rPr>
      </w:pPr>
      <w:r>
        <w:rPr>
          <w:sz w:val="20"/>
          <w:szCs w:val="20"/>
        </w:rPr>
      </w:r>
    </w:p>
    <w:p>
      <w:pPr>
        <w:pStyle w:val="BodyText"/>
        <w:numPr>
          <w:ilvl w:val="0"/>
          <w:numId w:val="1"/>
        </w:numPr>
        <w:tabs>
          <w:tab w:val="clear" w:pos="709"/>
          <w:tab w:val="left" w:pos="284" w:leader="none"/>
        </w:tabs>
        <w:ind w:firstLine="284" w:start="0"/>
        <w:rPr>
          <w:sz w:val="20"/>
          <w:szCs w:val="20"/>
        </w:rPr>
      </w:pPr>
      <w:r>
        <w:rPr>
          <w:b/>
          <w:bCs/>
          <w:sz w:val="20"/>
          <w:szCs w:val="20"/>
        </w:rPr>
        <w:t>1</w:t>
      </w:r>
      <w:r>
        <w:rPr>
          <w:b/>
          <w:bCs/>
          <w:sz w:val="20"/>
          <w:szCs w:val="20"/>
          <w:lang w:val="pt-BR"/>
        </w:rPr>
        <w:t>0</w:t>
      </w:r>
      <w:r>
        <w:rPr>
          <w:b/>
          <w:bCs/>
          <w:sz w:val="20"/>
          <w:szCs w:val="20"/>
        </w:rPr>
        <w:t>.</w:t>
      </w:r>
      <w:r>
        <w:rPr>
          <w:b/>
          <w:bCs/>
          <w:sz w:val="20"/>
          <w:szCs w:val="20"/>
          <w:lang w:val="pt-BR"/>
        </w:rPr>
        <w:t>7</w:t>
      </w:r>
      <w:r>
        <w:rPr>
          <w:b/>
          <w:bCs/>
          <w:sz w:val="20"/>
          <w:szCs w:val="20"/>
        </w:rPr>
        <w:t>.</w:t>
      </w:r>
      <w:r>
        <w:rPr>
          <w:sz w:val="20"/>
          <w:szCs w:val="20"/>
        </w:rPr>
        <w:t xml:space="preserve"> Quando a proposta ou o lance de menor valor não for aceitável, ou se a licitante não atender às exigências e condições para sua habilitação, o </w:t>
      </w:r>
      <w:r>
        <w:rPr>
          <w:sz w:val="20"/>
        </w:rPr>
        <w:t>Agente de Contratação</w:t>
      </w:r>
      <w:r>
        <w:rPr>
          <w:sz w:val="18"/>
          <w:szCs w:val="20"/>
        </w:rPr>
        <w:t xml:space="preserve"> </w:t>
      </w:r>
      <w:r>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Pr>
          <w:sz w:val="20"/>
        </w:rPr>
        <w:t>Agente de Contratação</w:t>
      </w:r>
      <w:r>
        <w:rPr>
          <w:sz w:val="20"/>
          <w:szCs w:val="20"/>
        </w:rPr>
        <w:t xml:space="preserve"> poderá negociar com a licitante para que seja obtido menor preço.</w:t>
      </w:r>
    </w:p>
    <w:p>
      <w:pPr>
        <w:pStyle w:val="BodyText"/>
        <w:numPr>
          <w:ilvl w:val="0"/>
          <w:numId w:val="1"/>
        </w:numPr>
        <w:tabs>
          <w:tab w:val="clear" w:pos="709"/>
          <w:tab w:val="left" w:pos="284" w:leader="none"/>
        </w:tabs>
        <w:ind w:firstLine="284" w:start="0"/>
        <w:rPr>
          <w:sz w:val="20"/>
          <w:szCs w:val="20"/>
        </w:rPr>
      </w:pPr>
      <w:r>
        <w:rPr>
          <w:sz w:val="20"/>
          <w:szCs w:val="20"/>
        </w:rPr>
      </w:r>
    </w:p>
    <w:p>
      <w:pPr>
        <w:pStyle w:val="Normal"/>
        <w:ind w:firstLine="284"/>
        <w:jc w:val="both"/>
        <w:rPr>
          <w:rFonts w:ascii="Arial" w:hAnsi="Arial" w:cs="Arial"/>
          <w:b/>
          <w:bCs/>
        </w:rPr>
      </w:pPr>
      <w:r>
        <w:rPr>
          <w:rFonts w:cs="Arial" w:ascii="Arial" w:hAnsi="Arial"/>
          <w:b/>
          <w:bCs/>
        </w:rPr>
        <w:t>11. FASE DE JULGAMENTO</w:t>
      </w:r>
    </w:p>
    <w:p>
      <w:pPr>
        <w:pStyle w:val="Normal"/>
        <w:ind w:firstLine="284"/>
        <w:jc w:val="both"/>
        <w:rPr>
          <w:rFonts w:ascii="Arial" w:hAnsi="Arial" w:cs="Arial"/>
          <w:b/>
          <w:bCs/>
        </w:rPr>
      </w:pPr>
      <w:r>
        <w:rPr>
          <w:rFonts w:cs="Arial" w:ascii="Arial" w:hAnsi="Arial"/>
          <w:b/>
          <w:bCs/>
        </w:rPr>
      </w:r>
    </w:p>
    <w:p>
      <w:pPr>
        <w:pStyle w:val="Normal"/>
        <w:tabs>
          <w:tab w:val="clear" w:pos="709"/>
          <w:tab w:val="left" w:pos="284" w:leader="none"/>
        </w:tabs>
        <w:ind w:firstLine="284"/>
        <w:jc w:val="both"/>
        <w:rPr>
          <w:rFonts w:ascii="Arial" w:hAnsi="Arial" w:cs="Arial"/>
        </w:rPr>
      </w:pPr>
      <w:r>
        <w:rPr>
          <w:rFonts w:cs="Arial" w:ascii="Arial" w:hAnsi="Arial"/>
          <w:b/>
          <w:bCs/>
        </w:rPr>
        <w:t xml:space="preserve">11.1. </w:t>
      </w:r>
      <w:r>
        <w:rPr>
          <w:rFonts w:cs="Arial" w:ascii="Arial" w:hAnsi="Arial"/>
        </w:rPr>
        <w:t>Encerrada a etapa de negociação, o Agente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11.2. </w:t>
      </w:r>
      <w:r>
        <w:rPr>
          <w:rFonts w:cs="Arial" w:ascii="Arial" w:hAnsi="Arial"/>
        </w:rPr>
        <w:t>Caso atendidas as condições de participação, será iniciado o procedimento de habilitação.</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11.3.</w:t>
      </w:r>
      <w:r>
        <w:rPr>
          <w:rFonts w:cs="Arial" w:ascii="Arial" w:hAnsi="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11.4.</w:t>
      </w:r>
      <w:r>
        <w:rPr>
          <w:rFonts w:cs="Arial" w:ascii="Arial" w:hAnsi="Arial"/>
        </w:rPr>
        <w:t xml:space="preserve"> Conforme art. 59° da Lei n° 14.133, de 2021, será desclassificada a proposta vencedora que:</w:t>
      </w:r>
    </w:p>
    <w:p>
      <w:pPr>
        <w:pStyle w:val="Normal"/>
        <w:ind w:firstLine="284"/>
        <w:jc w:val="both"/>
        <w:rPr>
          <w:rFonts w:ascii="Arial" w:hAnsi="Arial" w:cs="Arial"/>
        </w:rPr>
      </w:pPr>
      <w:r>
        <w:rPr>
          <w:rFonts w:cs="Arial" w:ascii="Arial" w:hAnsi="Arial"/>
          <w:b/>
        </w:rPr>
        <w:t>I</w:t>
      </w:r>
      <w:r>
        <w:rPr>
          <w:rFonts w:cs="Arial" w:ascii="Arial" w:hAnsi="Arial"/>
        </w:rPr>
        <w:t xml:space="preserve"> – contiver vícios insanáveis;</w:t>
      </w:r>
    </w:p>
    <w:p>
      <w:pPr>
        <w:pStyle w:val="Normal"/>
        <w:ind w:firstLine="284"/>
        <w:jc w:val="both"/>
        <w:rPr>
          <w:rFonts w:ascii="Arial" w:hAnsi="Arial" w:cs="Arial"/>
        </w:rPr>
      </w:pPr>
      <w:r>
        <w:rPr>
          <w:rFonts w:cs="Arial" w:ascii="Arial" w:hAnsi="Arial"/>
          <w:b/>
        </w:rPr>
        <w:t>II</w:t>
      </w:r>
      <w:r>
        <w:rPr>
          <w:rFonts w:cs="Arial" w:ascii="Arial" w:hAnsi="Arial"/>
        </w:rPr>
        <w:t xml:space="preserve"> – não obedecer às especificações técnicas pormenorizadas no edital;</w:t>
      </w:r>
    </w:p>
    <w:p>
      <w:pPr>
        <w:pStyle w:val="Normal"/>
        <w:ind w:firstLine="284"/>
        <w:jc w:val="both"/>
        <w:rPr>
          <w:rFonts w:ascii="Arial" w:hAnsi="Arial" w:cs="Arial"/>
        </w:rPr>
      </w:pPr>
      <w:r>
        <w:rPr>
          <w:rFonts w:cs="Arial" w:ascii="Arial" w:hAnsi="Arial"/>
          <w:b/>
        </w:rPr>
        <w:t>III</w:t>
      </w:r>
      <w:r>
        <w:rPr>
          <w:rFonts w:cs="Arial" w:ascii="Arial" w:hAnsi="Arial"/>
        </w:rPr>
        <w:t xml:space="preserve"> – apresentar preços inexequíveis ou permanecerem acima do orçamento estimado para a contratação;</w:t>
      </w:r>
    </w:p>
    <w:p>
      <w:pPr>
        <w:pStyle w:val="Normal"/>
        <w:ind w:firstLine="284"/>
        <w:jc w:val="both"/>
        <w:rPr>
          <w:rFonts w:ascii="Arial" w:hAnsi="Arial" w:cs="Arial"/>
        </w:rPr>
      </w:pPr>
      <w:r>
        <w:rPr>
          <w:rFonts w:cs="Arial" w:ascii="Arial" w:hAnsi="Arial"/>
          <w:b/>
        </w:rPr>
        <w:t>IV</w:t>
      </w:r>
      <w:r>
        <w:rPr>
          <w:rFonts w:cs="Arial" w:ascii="Arial" w:hAnsi="Arial"/>
        </w:rPr>
        <w:t xml:space="preserve"> – não tiver sua exequibilidade demonstrada, quando exigido pela Administração;</w:t>
      </w:r>
    </w:p>
    <w:p>
      <w:pPr>
        <w:pStyle w:val="Normal"/>
        <w:ind w:firstLine="284"/>
        <w:jc w:val="both"/>
        <w:rPr>
          <w:rFonts w:ascii="Arial" w:hAnsi="Arial" w:cs="Arial"/>
        </w:rPr>
      </w:pPr>
      <w:r>
        <w:rPr>
          <w:rFonts w:cs="Arial" w:ascii="Arial" w:hAnsi="Arial"/>
          <w:b/>
        </w:rPr>
        <w:t>V</w:t>
      </w:r>
      <w:r>
        <w:rPr>
          <w:rFonts w:cs="Arial" w:ascii="Arial" w:hAnsi="Arial"/>
        </w:rPr>
        <w:t xml:space="preserve"> – </w:t>
      </w:r>
      <w:r>
        <w:rPr>
          <w:rFonts w:cs="Arial" w:ascii="Arial" w:hAnsi="Arial"/>
          <w:sz w:val="18"/>
          <w:szCs w:val="19"/>
        </w:rPr>
        <w:t>apresentar desconformidade com quaisquer outras exigências do edital ou seus anexos, desde que insanável</w:t>
      </w:r>
      <w:r>
        <w:rPr>
          <w:rFonts w:cs="Arial" w:ascii="Arial" w:hAnsi="Arial"/>
        </w:rPr>
        <w:t>.</w:t>
      </w:r>
    </w:p>
    <w:p>
      <w:pPr>
        <w:pStyle w:val="Normal"/>
        <w:ind w:firstLine="284"/>
        <w:rPr>
          <w:rFonts w:ascii="Arial" w:hAnsi="Arial" w:cs="Arial"/>
          <w:highlight w:val="yellow"/>
        </w:rPr>
      </w:pPr>
      <w:r>
        <w:rPr>
          <w:rFonts w:cs="Arial" w:ascii="Arial" w:hAnsi="Arial"/>
          <w:highlight w:val="yellow"/>
        </w:rPr>
      </w:r>
    </w:p>
    <w:p>
      <w:pPr>
        <w:pStyle w:val="Normal"/>
        <w:ind w:firstLine="284"/>
        <w:jc w:val="both"/>
        <w:rPr>
          <w:rFonts w:ascii="Arial" w:hAnsi="Arial" w:cs="Arial"/>
          <w:b/>
          <w:bCs/>
        </w:rPr>
      </w:pPr>
      <w:r>
        <w:rPr>
          <w:rFonts w:cs="Arial" w:ascii="Arial" w:hAnsi="Arial"/>
          <w:b/>
          <w:bCs/>
        </w:rPr>
        <w:t>12. IMPUGNAÇÃO AO EDITAL E RECURSOS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12.1. </w:t>
      </w:r>
      <w:r>
        <w:rPr>
          <w:rFonts w:cs="Arial" w:ascii="Arial" w:hAnsi="Arial"/>
        </w:rPr>
        <w:t xml:space="preserve">Qualquer pessoa é parte legítima para impugnar este Edital por irregularidade na aplicação da </w:t>
      </w:r>
      <w:hyperlink r:id="rId8">
        <w:r>
          <w:rPr>
            <w:rStyle w:val="Style"/>
            <w:rFonts w:cs="Arial" w:ascii="Arial" w:hAnsi="Arial"/>
          </w:rPr>
          <w:t>Lei nº 14.133, de 2021</w:t>
        </w:r>
      </w:hyperlink>
      <w:r>
        <w:rPr>
          <w:rFonts w:cs="Arial" w:ascii="Arial" w:hAnsi="Arial"/>
        </w:rPr>
        <w:t>, devendo protocolar o pedido até 3 (três) dias úteis antes da data da abertura do certame.</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12.2.</w:t>
      </w:r>
      <w:r>
        <w:rPr>
          <w:rFonts w:cs="Arial" w:ascii="Arial" w:hAnsi="Arial"/>
        </w:rPr>
        <w:t xml:space="preserve"> Não serão conhecidas as impugnações, bem como os recursos apresentados fora do prazo legal e/ou subscritos por representante não habilitado legalmente ou não identificado no processo para responder pela licitante.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12.3.</w:t>
      </w:r>
      <w:r>
        <w:rPr>
          <w:rFonts w:cs="Arial" w:ascii="Arial" w:hAnsi="Arial"/>
        </w:rPr>
        <w:t xml:space="preserve"> A impugnação ao Edital deverá ser feita exclusivamente no sistema eletrônico em campo próprio criado especificamente para esse fim, até o terceiro dia útil antes da abertura, conforme determina a legislação.</w:t>
      </w:r>
    </w:p>
    <w:p>
      <w:pPr>
        <w:pStyle w:val="Normal"/>
        <w:ind w:firstLine="284"/>
        <w:jc w:val="both"/>
        <w:rPr>
          <w:rFonts w:ascii="Arial" w:hAnsi="Arial" w:cs="Arial"/>
        </w:rPr>
      </w:pPr>
      <w:r>
        <w:rPr>
          <w:rFonts w:cs="Arial" w:ascii="Arial" w:hAnsi="Arial"/>
        </w:rPr>
        <w:t xml:space="preserve"> </w:t>
      </w:r>
    </w:p>
    <w:p>
      <w:pPr>
        <w:pStyle w:val="Normal"/>
        <w:ind w:firstLine="284"/>
        <w:jc w:val="both"/>
        <w:rPr>
          <w:rFonts w:ascii="Arial" w:hAnsi="Arial" w:cs="Arial"/>
        </w:rPr>
      </w:pPr>
      <w:r>
        <w:rPr>
          <w:rFonts w:cs="Arial" w:ascii="Arial" w:hAnsi="Arial"/>
          <w:b/>
          <w:bCs/>
        </w:rPr>
        <w:t>12.4.</w:t>
      </w:r>
      <w:r>
        <w:rPr>
          <w:rFonts w:cs="Arial" w:ascii="Arial" w:hAnsi="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pPr>
        <w:pStyle w:val="Normal"/>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 xml:space="preserve">12.4.1. </w:t>
      </w:r>
      <w:r>
        <w:rPr>
          <w:rFonts w:cs="Arial" w:ascii="Arial" w:hAnsi="Arial"/>
        </w:rPr>
        <w:t>A ausência de manifestação do licitante quanto a intenção de recorrer, importará na decadência do direito, e será iniciado o procedimento de Adjudicação/Homologação.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12.5.</w:t>
      </w:r>
      <w:r>
        <w:rPr>
          <w:rFonts w:cs="Arial" w:ascii="Arial" w:hAnsi="Arial"/>
        </w:rPr>
        <w:t xml:space="preserve"> Os recursos contra as decisões do Pregoeiro não terão efeito suspensivo.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12.6.</w:t>
      </w:r>
      <w:r>
        <w:rPr>
          <w:rFonts w:cs="Arial" w:ascii="Arial" w:hAnsi="Arial"/>
        </w:rPr>
        <w:t xml:space="preserve"> O acolhimento do recurso importará na invalidação apenas dos atos insuscetíveis de aproveitamento, ou seja, nulos.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 SANÇÕES ADMINISTRATIVAS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 xml:space="preserve">13.1. </w:t>
      </w:r>
      <w:r>
        <w:rPr>
          <w:rFonts w:cs="Arial" w:ascii="Arial" w:hAnsi="Arial"/>
        </w:rPr>
        <w:t>Comete infração administrativa, nos termos da lei, o licitante que, com dolo ou culpa: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13.1.1.</w:t>
      </w:r>
      <w:r>
        <w:rPr>
          <w:rFonts w:cs="Arial" w:ascii="Arial" w:hAnsi="Arial"/>
        </w:rPr>
        <w:t xml:space="preserve"> </w:t>
      </w:r>
      <w:bookmarkStart w:id="1" w:name="_Hlk114652595"/>
      <w:bookmarkStart w:id="2" w:name="_Ref114668085"/>
      <w:r>
        <w:rPr>
          <w:rFonts w:cs="Arial" w:ascii="Arial" w:hAnsi="Arial"/>
        </w:rPr>
        <w:t>deixar de entregar a documentação exigida para o certame ou não entregar qualquer documento que tenha sido solicitado pelo/a pregoeiro/a durante o certame;</w:t>
      </w:r>
      <w:bookmarkEnd w:id="2"/>
    </w:p>
    <w:p>
      <w:pPr>
        <w:pStyle w:val="Normal"/>
        <w:ind w:firstLine="284"/>
        <w:jc w:val="both"/>
        <w:rPr>
          <w:rFonts w:ascii="Arial" w:hAnsi="Arial" w:cs="Arial"/>
        </w:rPr>
      </w:pPr>
      <w:r>
        <w:rPr>
          <w:rFonts w:cs="Arial" w:ascii="Arial" w:hAnsi="Arial"/>
        </w:rPr>
      </w:r>
      <w:bookmarkStart w:id="3" w:name="_Ref114668108"/>
    </w:p>
    <w:p>
      <w:pPr>
        <w:pStyle w:val="Normal"/>
        <w:ind w:firstLine="284"/>
        <w:jc w:val="both"/>
        <w:rPr>
          <w:rFonts w:ascii="Arial" w:hAnsi="Arial" w:cs="Arial"/>
        </w:rPr>
      </w:pPr>
      <w:r>
        <w:rPr>
          <w:rFonts w:cs="Arial" w:ascii="Arial" w:hAnsi="Arial"/>
          <w:b/>
          <w:bCs/>
        </w:rPr>
        <w:t>13.1.2.</w:t>
      </w:r>
      <w:r>
        <w:rPr>
          <w:rFonts w:cs="Arial" w:ascii="Arial" w:hAnsi="Arial"/>
        </w:rPr>
        <w:t xml:space="preserve"> Salvo em decorrência de fato superveniente devidamente justificado, não mantiver a proposta em especial quando:</w:t>
      </w:r>
      <w:bookmarkEnd w:id="3"/>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13.1.2.1. </w:t>
      </w:r>
      <w:r>
        <w:rPr>
          <w:rFonts w:cs="Arial" w:ascii="Arial" w:hAnsi="Arial"/>
        </w:rPr>
        <w:t xml:space="preserve">não enviar a proposta adequada ao último lance ofertado ou após a negociação;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13.1.2.2. </w:t>
      </w:r>
      <w:r>
        <w:rPr>
          <w:rFonts w:cs="Arial" w:ascii="Arial" w:hAnsi="Arial"/>
        </w:rPr>
        <w:t xml:space="preserve">recusar-se a enviar o detalhamento da proposta quando exigível;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13.1.2.3. </w:t>
      </w:r>
      <w:r>
        <w:rPr>
          <w:rFonts w:cs="Arial" w:ascii="Arial" w:hAnsi="Arial"/>
        </w:rPr>
        <w:t xml:space="preserve">pedir para ser desclassificado quando encerrada a etapa competitiva; ou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13.1.2.4. </w:t>
      </w:r>
      <w:r>
        <w:rPr>
          <w:rFonts w:cs="Arial" w:ascii="Arial" w:hAnsi="Arial"/>
        </w:rPr>
        <w:t>deixar de apresentar amostra;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13.1.2.5. </w:t>
      </w:r>
      <w:r>
        <w:rPr>
          <w:rFonts w:cs="Arial" w:ascii="Arial" w:hAnsi="Arial"/>
        </w:rPr>
        <w:t xml:space="preserve">apresentar proposta ou amostra em desacordo com as especificações do edital; </w:t>
      </w:r>
    </w:p>
    <w:p>
      <w:pPr>
        <w:pStyle w:val="Normal"/>
        <w:ind w:firstLine="284"/>
        <w:jc w:val="both"/>
        <w:rPr>
          <w:rFonts w:ascii="Arial" w:hAnsi="Arial" w:cs="Arial"/>
        </w:rPr>
      </w:pPr>
      <w:r>
        <w:rPr>
          <w:rFonts w:cs="Arial" w:ascii="Arial" w:hAnsi="Arial"/>
        </w:rPr>
      </w:r>
      <w:bookmarkStart w:id="4" w:name="_Ref114668139"/>
    </w:p>
    <w:p>
      <w:pPr>
        <w:pStyle w:val="Normal"/>
        <w:ind w:firstLine="284"/>
        <w:jc w:val="both"/>
        <w:rPr>
          <w:rFonts w:ascii="Arial" w:hAnsi="Arial" w:cs="Arial"/>
        </w:rPr>
      </w:pPr>
      <w:r>
        <w:rPr>
          <w:rFonts w:cs="Arial" w:ascii="Arial" w:hAnsi="Arial"/>
          <w:b/>
          <w:bCs/>
        </w:rPr>
        <w:t>13.1.3.</w:t>
      </w:r>
      <w:r>
        <w:rPr>
          <w:rFonts w:cs="Arial" w:ascii="Arial" w:hAnsi="Arial"/>
        </w:rPr>
        <w:t xml:space="preserve"> não celebrar o contrato ou não entregar a documentação exigida para a contratação, quando convocado dentro do prazo de validade de sua proposta;</w:t>
      </w:r>
      <w:bookmarkEnd w:id="4"/>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ind w:firstLine="284"/>
        <w:jc w:val="both"/>
        <w:rPr>
          <w:rFonts w:ascii="Arial" w:hAnsi="Arial" w:cs="Arial"/>
        </w:rPr>
      </w:pPr>
      <w:r>
        <w:rPr>
          <w:rFonts w:cs="Arial" w:ascii="Arial" w:hAnsi="Arial"/>
        </w:rPr>
      </w:r>
      <w:bookmarkStart w:id="5" w:name="_Ref114668249"/>
    </w:p>
    <w:p>
      <w:pPr>
        <w:pStyle w:val="Normal"/>
        <w:ind w:firstLine="284"/>
        <w:jc w:val="both"/>
        <w:rPr>
          <w:rFonts w:ascii="Arial" w:hAnsi="Arial" w:cs="Arial"/>
        </w:rPr>
      </w:pPr>
      <w:r>
        <w:rPr>
          <w:rFonts w:cs="Arial" w:ascii="Arial" w:hAnsi="Arial"/>
          <w:b/>
          <w:bCs/>
        </w:rPr>
        <w:t>13.1.4.</w:t>
      </w:r>
      <w:r>
        <w:rPr>
          <w:rFonts w:cs="Arial" w:ascii="Arial" w:hAnsi="Arial"/>
        </w:rPr>
        <w:t xml:space="preserve"> apresentar declaração ou documentação falsa exigida para o certame ou prestar declaração falsa durante a licitação</w:t>
      </w:r>
      <w:bookmarkEnd w:id="5"/>
    </w:p>
    <w:p>
      <w:pPr>
        <w:pStyle w:val="Normal"/>
        <w:ind w:firstLine="284"/>
        <w:jc w:val="both"/>
        <w:rPr>
          <w:rFonts w:ascii="Arial" w:hAnsi="Arial" w:cs="Arial"/>
        </w:rPr>
      </w:pPr>
      <w:r>
        <w:rPr>
          <w:rFonts w:cs="Arial" w:ascii="Arial" w:hAnsi="Arial"/>
        </w:rPr>
      </w:r>
      <w:bookmarkStart w:id="6" w:name="_Ref114668245"/>
    </w:p>
    <w:p>
      <w:pPr>
        <w:pStyle w:val="Normal"/>
        <w:ind w:firstLine="284"/>
        <w:jc w:val="both"/>
        <w:rPr>
          <w:rFonts w:ascii="Arial" w:hAnsi="Arial" w:cs="Arial"/>
        </w:rPr>
      </w:pPr>
      <w:r>
        <w:rPr>
          <w:rFonts w:cs="Arial" w:ascii="Arial" w:hAnsi="Arial"/>
          <w:b/>
          <w:bCs/>
        </w:rPr>
        <w:t>13.1.5.</w:t>
      </w:r>
      <w:r>
        <w:rPr>
          <w:rFonts w:cs="Arial" w:ascii="Arial" w:hAnsi="Arial"/>
        </w:rPr>
        <w:t xml:space="preserve"> fraudar a licitação</w:t>
      </w:r>
      <w:bookmarkEnd w:id="6"/>
    </w:p>
    <w:p>
      <w:pPr>
        <w:pStyle w:val="Normal"/>
        <w:ind w:firstLine="284"/>
        <w:jc w:val="both"/>
        <w:rPr>
          <w:rFonts w:ascii="Arial" w:hAnsi="Arial" w:cs="Arial"/>
        </w:rPr>
      </w:pPr>
      <w:r>
        <w:rPr>
          <w:rFonts w:cs="Arial" w:ascii="Arial" w:hAnsi="Arial"/>
        </w:rPr>
      </w:r>
      <w:bookmarkStart w:id="7" w:name="_Ref114668247"/>
    </w:p>
    <w:p>
      <w:pPr>
        <w:pStyle w:val="Normal"/>
        <w:ind w:firstLine="284"/>
        <w:jc w:val="both"/>
        <w:rPr>
          <w:rFonts w:ascii="Arial" w:hAnsi="Arial" w:cs="Arial"/>
        </w:rPr>
      </w:pPr>
      <w:r>
        <w:rPr>
          <w:rFonts w:cs="Arial" w:ascii="Arial" w:hAnsi="Arial"/>
          <w:b/>
          <w:bCs/>
        </w:rPr>
        <w:t>13.1.6.</w:t>
      </w:r>
      <w:r>
        <w:rPr>
          <w:rFonts w:cs="Arial" w:ascii="Arial" w:hAnsi="Arial"/>
        </w:rPr>
        <w:t xml:space="preserve"> comportar-se de modo inidôneo ou cometer fraude de qualquer natureza, em especial quando:</w:t>
      </w:r>
      <w:bookmarkEnd w:id="7"/>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13.1.6.1.</w:t>
      </w:r>
      <w:r>
        <w:rPr>
          <w:rFonts w:cs="Arial" w:ascii="Arial" w:hAnsi="Arial"/>
        </w:rPr>
        <w:t xml:space="preserve"> agir em conluio ou em desconformidade com a lei;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13.1.6.2.</w:t>
      </w:r>
      <w:r>
        <w:rPr>
          <w:rFonts w:cs="Arial" w:ascii="Arial" w:hAnsi="Arial"/>
        </w:rPr>
        <w:t xml:space="preserve"> induzir deliberadamente a erro no julgamento;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13.1.6.3.</w:t>
      </w:r>
      <w:r>
        <w:rPr>
          <w:rFonts w:cs="Arial" w:ascii="Arial" w:hAnsi="Arial"/>
        </w:rPr>
        <w:t xml:space="preserve"> apresentar amostra falsificada ou deteriorada; </w:t>
      </w:r>
    </w:p>
    <w:p>
      <w:pPr>
        <w:pStyle w:val="Normal"/>
        <w:ind w:firstLine="284"/>
        <w:jc w:val="both"/>
        <w:rPr>
          <w:rFonts w:ascii="Arial" w:hAnsi="Arial" w:cs="Arial"/>
        </w:rPr>
      </w:pPr>
      <w:r>
        <w:rPr>
          <w:rFonts w:cs="Arial" w:ascii="Arial" w:hAnsi="Arial"/>
        </w:rPr>
      </w:r>
      <w:bookmarkStart w:id="8" w:name="_Ref114668251"/>
    </w:p>
    <w:p>
      <w:pPr>
        <w:pStyle w:val="Normal"/>
        <w:ind w:firstLine="284"/>
        <w:jc w:val="both"/>
        <w:rPr>
          <w:rFonts w:ascii="Arial" w:hAnsi="Arial" w:cs="Arial"/>
        </w:rPr>
      </w:pPr>
      <w:r>
        <w:rPr>
          <w:rFonts w:cs="Arial" w:ascii="Arial" w:hAnsi="Arial"/>
          <w:b/>
          <w:bCs/>
        </w:rPr>
        <w:t>13.1.7.</w:t>
      </w:r>
      <w:r>
        <w:rPr>
          <w:rFonts w:cs="Arial" w:ascii="Arial" w:hAnsi="Arial"/>
        </w:rPr>
        <w:t xml:space="preserve"> praticar atos ilícitos com vistas a frustrar os objetivos da licitação</w:t>
      </w:r>
      <w:bookmarkEnd w:id="8"/>
    </w:p>
    <w:p>
      <w:pPr>
        <w:pStyle w:val="Normal"/>
        <w:ind w:firstLine="284"/>
        <w:jc w:val="both"/>
        <w:rPr>
          <w:rFonts w:ascii="Arial" w:hAnsi="Arial" w:cs="Arial"/>
        </w:rPr>
      </w:pPr>
      <w:r>
        <w:rPr>
          <w:rFonts w:cs="Arial" w:ascii="Arial" w:hAnsi="Arial"/>
        </w:rPr>
      </w:r>
      <w:bookmarkStart w:id="9" w:name="_Ref114668252"/>
    </w:p>
    <w:p>
      <w:pPr>
        <w:pStyle w:val="Normal"/>
        <w:ind w:firstLine="284"/>
        <w:jc w:val="both"/>
        <w:rPr>
          <w:rFonts w:ascii="Arial" w:hAnsi="Arial" w:cs="Arial"/>
        </w:rPr>
      </w:pPr>
      <w:r>
        <w:rPr>
          <w:rFonts w:cs="Arial" w:ascii="Arial" w:hAnsi="Arial"/>
          <w:b/>
          <w:bCs/>
        </w:rPr>
        <w:t>13.1.8.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1"/>
      <w:bookmarkEnd w:id="9"/>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13.2.</w:t>
      </w:r>
      <w:r>
        <w:rPr>
          <w:rFonts w:cs="Arial" w:ascii="Arial" w:hAnsi="Arial"/>
        </w:rPr>
        <w:t xml:space="preserve"> A sanção de que trata o subitem poderá ser aplicada juntamente com as multas previstas, garantindo o exercício de prévia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13.2.1. </w:t>
      </w:r>
      <w:r>
        <w:rPr>
          <w:rFonts w:cs="Arial" w:ascii="Arial" w:hAnsi="Arial"/>
        </w:rPr>
        <w:t>A sanção de impedimento de participar em licitação e contratar com a Administração Pública poderá ser aplicada também àqueles que:</w:t>
      </w:r>
    </w:p>
    <w:p>
      <w:pPr>
        <w:pStyle w:val="Normal"/>
        <w:ind w:firstLine="284"/>
        <w:jc w:val="both"/>
        <w:rPr>
          <w:rFonts w:ascii="Arial" w:hAnsi="Arial" w:cs="Arial"/>
        </w:rPr>
      </w:pPr>
      <w:r>
        <w:rPr>
          <w:rFonts w:cs="Arial" w:ascii="Arial" w:hAnsi="Arial"/>
          <w:b/>
          <w:bCs/>
        </w:rPr>
        <w:t>a)</w:t>
      </w:r>
      <w:r>
        <w:rPr>
          <w:rFonts w:cs="Arial" w:ascii="Arial" w:hAnsi="Arial"/>
        </w:rPr>
        <w:t xml:space="preserve"> retardarem a execução do Pregão;</w:t>
      </w:r>
    </w:p>
    <w:p>
      <w:pPr>
        <w:pStyle w:val="Normal"/>
        <w:ind w:firstLine="284"/>
        <w:jc w:val="both"/>
        <w:rPr>
          <w:rFonts w:ascii="Arial" w:hAnsi="Arial" w:cs="Arial"/>
        </w:rPr>
      </w:pPr>
      <w:r>
        <w:rPr>
          <w:rFonts w:cs="Arial" w:ascii="Arial" w:hAnsi="Arial"/>
          <w:b/>
          <w:bCs/>
        </w:rPr>
        <w:t>b)</w:t>
      </w:r>
      <w:r>
        <w:rPr>
          <w:rFonts w:cs="Arial" w:ascii="Arial" w:hAnsi="Arial"/>
        </w:rPr>
        <w:t xml:space="preserve"> demonstrarem não possuir idoneidade para contratar com a Administração;</w:t>
      </w:r>
    </w:p>
    <w:p>
      <w:pPr>
        <w:pStyle w:val="Normal"/>
        <w:ind w:firstLine="284"/>
        <w:jc w:val="both"/>
        <w:rPr>
          <w:rFonts w:ascii="Arial" w:hAnsi="Arial" w:eastAsia="Arial" w:cs="Arial"/>
        </w:rPr>
      </w:pPr>
      <w:r>
        <w:rPr>
          <w:rFonts w:cs="Arial" w:ascii="Arial" w:hAnsi="Arial"/>
          <w:b/>
          <w:bCs/>
        </w:rPr>
        <w:t xml:space="preserve">c) </w:t>
      </w:r>
      <w:r>
        <w:rPr>
          <w:rFonts w:cs="Arial" w:ascii="Arial" w:hAnsi="Arial"/>
        </w:rPr>
        <w:t>fizerem declaração falsa ou cometerem fraude fiscal.</w:t>
      </w:r>
    </w:p>
    <w:p>
      <w:pPr>
        <w:pStyle w:val="Normal"/>
        <w:ind w:firstLine="284"/>
        <w:jc w:val="both"/>
        <w:rPr>
          <w:rFonts w:ascii="Arial" w:hAnsi="Arial" w:cs="Arial"/>
          <w:strike/>
          <w:highlight w:val="yellow"/>
        </w:rPr>
      </w:pPr>
      <w:r>
        <w:rPr>
          <w:rFonts w:eastAsia="Arial" w:cs="Arial" w:ascii="Arial" w:hAnsi="Arial"/>
          <w:strike/>
          <w:highlight w:val="yellow"/>
        </w:rPr>
        <w:t xml:space="preserve"> </w:t>
      </w:r>
    </w:p>
    <w:p>
      <w:pPr>
        <w:pStyle w:val="Normal"/>
        <w:ind w:firstLine="284"/>
        <w:jc w:val="both"/>
        <w:rPr>
          <w:rFonts w:ascii="Arial" w:hAnsi="Arial" w:cs="Arial"/>
        </w:rPr>
      </w:pPr>
      <w:r>
        <w:rPr>
          <w:rFonts w:cs="Arial" w:ascii="Arial" w:hAnsi="Arial"/>
          <w:b/>
          <w:bCs/>
        </w:rPr>
        <w:t>13.3.</w:t>
      </w:r>
      <w:r>
        <w:rPr>
          <w:rFonts w:cs="Arial" w:ascii="Arial" w:hAnsi="Arial"/>
        </w:rPr>
        <w:t xml:space="preserve"> Com fulcro na </w:t>
      </w:r>
      <w:hyperlink r:id="rId9">
        <w:r>
          <w:rPr>
            <w:rStyle w:val="Hyperlink"/>
            <w:rFonts w:cs="Arial" w:ascii="Arial" w:hAnsi="Arial"/>
            <w:color w:val="auto"/>
          </w:rPr>
          <w:t>Lei nº 14.133, de 2021</w:t>
        </w:r>
      </w:hyperlink>
      <w:r>
        <w:rPr>
          <w:rFonts w:cs="Arial" w:ascii="Arial" w:hAnsi="Arial"/>
        </w:rPr>
        <w:t>, a Administração poderá, garantida a prévia defesa, aplicar aos licitante e/ou adjudicatários as seguintes sanções, sem prejuízo das responsabilidades civil e criminal:</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13.3.1.</w:t>
      </w:r>
      <w:r>
        <w:rPr>
          <w:rFonts w:cs="Arial" w:ascii="Arial" w:hAnsi="Arial"/>
        </w:rPr>
        <w:t xml:space="preserve"> advertência;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w:t>
      </w:r>
      <w:r>
        <w:rPr>
          <w:rFonts w:cs="Arial" w:ascii="Arial" w:hAnsi="Arial"/>
        </w:rPr>
        <w:t xml:space="preserve"> multa de mora;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13.3.2.1.</w:t>
      </w:r>
      <w:r>
        <w:rPr>
          <w:rFonts w:cs="Arial" w:ascii="Arial" w:hAnsi="Arial"/>
        </w:rPr>
        <w:t xml:space="preserve"> multa de 10% (dez por cento) sobre a parcela remanescente, no caso de inexecução parcial de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13.3.2.2.</w:t>
      </w:r>
      <w:r>
        <w:rPr>
          <w:rFonts w:cs="Arial" w:ascii="Arial" w:hAnsi="Arial"/>
        </w:rPr>
        <w:t xml:space="preserve"> multa de 1% (um por cento), por dia de atraso, sobre o valor correspondente à entrega que estiver em desacordo com os prazos estipulados, até o limite de 10 (dez) dias;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13.3.2.3.</w:t>
      </w:r>
      <w:r>
        <w:rPr>
          <w:rFonts w:cs="Arial" w:ascii="Arial" w:hAnsi="Arial"/>
        </w:rPr>
        <w:t xml:space="preserve"> multa de 20% (vinte por cento) sobre o valor total do contrato, no caso de sua inexecução total;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13.3.2.4.</w:t>
      </w:r>
      <w:r>
        <w:rPr>
          <w:rFonts w:cs="Arial" w:ascii="Arial" w:hAnsi="Arial"/>
        </w:rPr>
        <w:t xml:space="preserve"> multa de 10% (dez por cento) sobre o valor do contrato ou do item correspondente, no caso de constatação, pelo Município, de que o material fornecido é diverso das especificações e/ou má qualidade; 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13.3.2.5.</w:t>
      </w:r>
      <w:r>
        <w:rPr>
          <w:rFonts w:cs="Arial" w:ascii="Arial" w:hAnsi="Arial"/>
        </w:rPr>
        <w:t xml:space="preserve"> multa de 20% (vinte por cento) sobre o valor total do contrato, no caso recusa injustificada de assinar/receber 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13.4.</w:t>
      </w:r>
      <w:r>
        <w:rPr>
          <w:rFonts w:cs="Arial" w:ascii="Arial" w:hAnsi="Arial"/>
        </w:rPr>
        <w:t xml:space="preserve"> As multas são independentes entre si; a aplicação de uma, não exclui a aplicação de outras, bem como das demais penalidades previstas em lei.</w:t>
      </w:r>
    </w:p>
    <w:p>
      <w:pPr>
        <w:pStyle w:val="Normal"/>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13.5.</w:t>
      </w:r>
      <w:r>
        <w:rPr>
          <w:rFonts w:cs="Arial" w:ascii="Arial" w:hAnsi="Arial"/>
        </w:rPr>
        <w:t xml:space="preserve"> Os prazos para defesa prévia serão de 15 (quinze) dias úteis.</w:t>
      </w:r>
    </w:p>
    <w:p>
      <w:pPr>
        <w:pStyle w:val="Normal"/>
        <w:keepLines/>
        <w:ind w:firstLine="284"/>
        <w:jc w:val="both"/>
        <w:rPr>
          <w:rFonts w:ascii="Arial" w:hAnsi="Arial" w:cs="Arial"/>
        </w:rPr>
      </w:pPr>
      <w:r>
        <w:rPr>
          <w:rFonts w:cs="Arial" w:ascii="Arial" w:hAnsi="Arial"/>
        </w:rPr>
      </w:r>
    </w:p>
    <w:p>
      <w:pPr>
        <w:pStyle w:val="Normal"/>
        <w:keepLines/>
        <w:ind w:firstLine="284"/>
        <w:jc w:val="both"/>
        <w:rPr>
          <w:rFonts w:ascii="Arial" w:hAnsi="Arial" w:cs="Arial"/>
        </w:rPr>
      </w:pPr>
      <w:r>
        <w:rPr>
          <w:rFonts w:cs="Arial" w:ascii="Arial" w:hAnsi="Arial"/>
          <w:b/>
          <w:bCs/>
        </w:rPr>
        <w:t>13.6.</w:t>
      </w:r>
      <w:r>
        <w:rPr>
          <w:rFonts w:cs="Arial" w:ascii="Arial" w:hAnsi="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pPr>
        <w:pStyle w:val="Normal"/>
        <w:ind w:firstLine="284"/>
        <w:jc w:val="both"/>
        <w:rPr>
          <w:rFonts w:ascii="Arial" w:hAnsi="Arial" w:cs="Arial"/>
        </w:rPr>
      </w:pPr>
      <w:r>
        <w:rPr>
          <w:rFonts w:cs="Arial" w:ascii="Arial" w:hAnsi="Arial"/>
        </w:rPr>
      </w:r>
    </w:p>
    <w:p>
      <w:pPr>
        <w:pStyle w:val="BodyText"/>
        <w:ind w:firstLine="284"/>
        <w:rPr>
          <w:sz w:val="20"/>
          <w:szCs w:val="20"/>
        </w:rPr>
      </w:pPr>
      <w:r>
        <w:rPr>
          <w:b/>
          <w:bCs/>
          <w:sz w:val="20"/>
          <w:szCs w:val="20"/>
        </w:rPr>
        <w:t>1</w:t>
      </w:r>
      <w:r>
        <w:rPr>
          <w:b/>
          <w:bCs/>
          <w:sz w:val="20"/>
          <w:szCs w:val="20"/>
          <w:lang w:val="pt-BR"/>
        </w:rPr>
        <w:t>3</w:t>
      </w:r>
      <w:r>
        <w:rPr>
          <w:b/>
          <w:bCs/>
          <w:sz w:val="20"/>
          <w:szCs w:val="20"/>
        </w:rPr>
        <w:t>.7.</w:t>
      </w:r>
      <w:r>
        <w:rPr>
          <w:sz w:val="20"/>
          <w:szCs w:val="20"/>
        </w:rPr>
        <w:t xml:space="preserve"> Nenhuma sanção será aplicada sem o devido processo administrativo, que prevê defesa prévia do interessado e recurso nos prazos definidos em lei, sendo-lhe facultado vista ao processo.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13.8.</w:t>
      </w:r>
      <w:r>
        <w:rPr>
          <w:rFonts w:cs="Arial" w:ascii="Arial" w:hAnsi="Arial"/>
        </w:rPr>
        <w:t xml:space="preserve"> Pelo descumprimento de quaisquer cláusulas ou condições do contrato, as multas e penalidade serão elevadas em dobro, em caso de reincidência.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13.9. A aplicação das sanções previstas neste edital não exclui, em hipótese alguma, a obrigação de reparação integral dos danos causados.</w:t>
      </w:r>
    </w:p>
    <w:p>
      <w:pPr>
        <w:pStyle w:val="Normal"/>
        <w:ind w:firstLine="284"/>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14. DA ATA DE REGISTROS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14.1. </w:t>
      </w:r>
      <w:r>
        <w:rPr>
          <w:rFonts w:cs="Arial" w:ascii="Arial" w:hAnsi="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14.2. </w:t>
      </w:r>
      <w:r>
        <w:rPr>
          <w:rFonts w:cs="Arial" w:ascii="Arial" w:hAnsi="Arial"/>
        </w:rPr>
        <w:t>As convocações de que trata o item anterior deverão ser atendidas no prazo máximo de 5 (cinco) dias úteis, prorrogáveis por apenas uma única vez a critério da Administração, sob pena de decair o direito à contratação, sem prejuízo das sanções previstas neste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14.3.</w:t>
      </w:r>
      <w:r>
        <w:rPr>
          <w:rFonts w:cs="Arial" w:ascii="Arial" w:hAnsi="Arial"/>
        </w:rPr>
        <w:t xml:space="preserve"> Sempre que o licitante vencedor não atender à convocação, nos termos definidos no subitem 14.2., é facultado à Administração, dentro do prazo e condições estabelecidos, convocar remanescentes, na ordem de classificação, para fazê-lo em igual prazo ou revogar o item específico, respectivo ou a licitação.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14.3.1. </w:t>
      </w:r>
      <w:r>
        <w:rPr>
          <w:rFonts w:cs="Arial" w:ascii="Arial" w:hAnsi="Arial"/>
        </w:rPr>
        <w:t>O fornecedor que, convocado, recusar-se injustificadamente a assinar o contrato ou retirar o instrumento equivalente no prazo estabelecido, terá seu Registro de Preços cancelado, sendo-lhe aplicável a multa pela inexecução total do ajuste.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14.4. </w:t>
      </w:r>
      <w:r>
        <w:rPr>
          <w:rFonts w:cs="Arial" w:ascii="Arial" w:hAnsi="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15. PRAZO DE VIGÊNCIA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15.1. </w:t>
      </w:r>
      <w:r>
        <w:rPr>
          <w:rFonts w:cs="Arial" w:ascii="Arial" w:hAnsi="Arial"/>
        </w:rPr>
        <w:t>O prazo da vigência da Ata de Registro de Preços será de 12 (doze) meses, a contar da data de sua emissão, podendo ser prorrogado por igual período, conforme previsto no artigo 84 da Lei n°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16. ALTERAÇÕES NA ATA DE REGISTRO DE PREÇOS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16.1. </w:t>
      </w:r>
      <w:r>
        <w:rPr>
          <w:rFonts w:cs="Arial" w:ascii="Arial" w:hAnsi="Arial"/>
        </w:rPr>
        <w:t>A ata de Registro de Preços poderá sofrer alterações, obedecidas as disposições contidas no art. 124,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16.2. </w:t>
      </w:r>
      <w:r>
        <w:rPr>
          <w:rFonts w:cs="Arial" w:ascii="Arial" w:hAnsi="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16.3.</w:t>
      </w:r>
      <w:r>
        <w:rPr>
          <w:rFonts w:cs="Arial" w:ascii="Arial" w:hAnsi="Arial"/>
        </w:rPr>
        <w:t xml:space="preserve"> Quando o preço inicialmente registrado, por motivo superveniente, tornar-se superior ao praticado mercado a Administração (Unidade Gerenciadora) deverá: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16.3.1. </w:t>
      </w:r>
      <w:r>
        <w:rPr>
          <w:rFonts w:cs="Arial" w:ascii="Arial" w:hAnsi="Arial"/>
        </w:rPr>
        <w:t>Convocar o fornecedor visando à negociação para redução de preços de sua adequação ao praticado pelo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16.3.2. </w:t>
      </w:r>
      <w:r>
        <w:rPr>
          <w:rFonts w:cs="Arial" w:ascii="Arial" w:hAnsi="Arial"/>
        </w:rPr>
        <w:t>Frustrada a negociação, o fornecedor será liberado do compromisso assumido.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16.4.</w:t>
      </w:r>
      <w:r>
        <w:rPr>
          <w:rFonts w:cs="Arial" w:ascii="Arial" w:hAnsi="Arial"/>
        </w:rPr>
        <w:t xml:space="preserve"> Quando o preço do mercado se tornar superior aos preços registrados e o fornecedor, mediante requerimento devidamente comprovado, não puder cumprir o compromisso, a Administração (Unidade Gerenciadora) poderá:</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16.4.1. </w:t>
      </w:r>
      <w:r>
        <w:rPr>
          <w:rFonts w:cs="Arial" w:ascii="Arial" w:hAnsi="Arial"/>
        </w:rPr>
        <w:t>Liberar o fornecedor do compromisso assumido, sem aplicação da penalidade, confirmando a veracidade dos motivos e comprovantes apresentados, e se a comunicação ocorrer antes do pedido de fornecimento;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16.4.2. </w:t>
      </w:r>
      <w:r>
        <w:rPr>
          <w:rFonts w:cs="Arial" w:ascii="Arial" w:hAnsi="Arial"/>
        </w:rPr>
        <w:t>Não havendo êxito nas negociações, a Administração (Unidade Gerenciadora) deverá proceder à revogação da Ata de Registro, adotando as medidas cabíveis para obtenção da contratação mais vantajosa.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t>17. CANCELAMENTO DO REGISTRO DE PREÇOS</w:t>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rPr>
      </w:pPr>
      <w:r>
        <w:rPr>
          <w:rFonts w:cs="Arial" w:ascii="Arial" w:hAnsi="Arial"/>
          <w:b/>
          <w:bCs/>
        </w:rPr>
        <w:t xml:space="preserve">17.1. </w:t>
      </w:r>
      <w:r>
        <w:rPr>
          <w:rFonts w:cs="Arial" w:ascii="Arial" w:hAnsi="Arial"/>
        </w:rPr>
        <w:t>O fornecedor terá seu registro cancelado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17.1.1. </w:t>
      </w:r>
      <w:r>
        <w:rPr>
          <w:rFonts w:cs="Arial" w:ascii="Arial" w:hAnsi="Arial"/>
        </w:rPr>
        <w:t>Descumprir as condições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17.1.2. </w:t>
      </w:r>
      <w:r>
        <w:rPr>
          <w:rFonts w:cs="Arial" w:ascii="Arial" w:hAnsi="Arial"/>
        </w:rPr>
        <w:t>Não retirar a respectiva nota de empenho ou instrumento equivalente, no prazo estabelecido pela Administração, sem justificativa aceitável;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17.1.3. </w:t>
      </w:r>
      <w:r>
        <w:rPr>
          <w:rFonts w:cs="Arial" w:ascii="Arial" w:hAnsi="Arial"/>
        </w:rPr>
        <w:t>Não aceitar reduzir o preço registrado, na hipótese de este se tornar superior àqueles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17.1.4. </w:t>
      </w:r>
      <w:r>
        <w:rPr>
          <w:rFonts w:cs="Arial" w:ascii="Arial" w:hAnsi="Arial"/>
        </w:rPr>
        <w:t>Tiver presentes razões de interesse público.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17.2. </w:t>
      </w:r>
      <w:r>
        <w:rPr>
          <w:rFonts w:cs="Arial" w:ascii="Arial" w:hAnsi="Arial"/>
        </w:rPr>
        <w:t>O cancelamento de registro, nas hipóteses previstas, assegurados o contraditório e a ampla defesa, será formalizado por despacho da autoridade superior.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17.3. </w:t>
      </w:r>
      <w:r>
        <w:rPr>
          <w:rFonts w:cs="Arial" w:ascii="Arial" w:hAnsi="Arial"/>
        </w:rPr>
        <w:t>O fornecedor poderá solicitar o cancelamento do seu registro de preço na ocorrência de fato superveniente que venha comprometer a perfeita execução contratual, decorrente de caso fortuito ou de força maior, devidamente comprovado.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 DOS PAGAMENTOS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kern w:val="2"/>
        </w:rPr>
      </w:pPr>
      <w:r>
        <w:rPr>
          <w:rFonts w:cs="Arial" w:ascii="Arial" w:hAnsi="Arial"/>
          <w:b/>
          <w:bCs/>
        </w:rPr>
        <w:t>18.1.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CONTRATADA.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18.1.2.</w:t>
      </w:r>
      <w:r>
        <w:rPr>
          <w:rFonts w:cs="Arial" w:ascii="Arial" w:hAnsi="Arial"/>
        </w:rPr>
        <w:t xml:space="preserve"> E-mail para envio da NF-e: </w:t>
      </w:r>
      <w:hyperlink r:id="rId10">
        <w:r>
          <w:rPr>
            <w:rStyle w:val="Hyperlink"/>
            <w:rFonts w:cs="Arial" w:ascii="Arial" w:hAnsi="Arial"/>
          </w:rPr>
          <w:t>notafiscal@piracicaba.sp.gov.br</w:t>
        </w:r>
      </w:hyperlink>
      <w:r>
        <w:rPr>
          <w:rStyle w:val="Hyperlink"/>
          <w:rFonts w:cs="Arial" w:ascii="Arial" w:hAnsi="Arial"/>
          <w:color w:val="auto"/>
          <w:u w:val="none"/>
        </w:rPr>
        <w:t>.</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18.1.3.</w:t>
      </w:r>
      <w:r>
        <w:rPr>
          <w:rFonts w:cs="Arial" w:ascii="Arial" w:hAnsi="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18.2.</w:t>
      </w:r>
      <w:r>
        <w:rPr>
          <w:rFonts w:cs="Arial" w:ascii="Arial" w:hAnsi="Arial"/>
        </w:rPr>
        <w:t xml:space="preserve"> Com a Nota Fiscal, deverá obrigatoriamente ser comprovada pela CONTRATADA a persistência das condições licitatórias da habilitação e qualificação a que alude o inciso XVI do art. 92 da Lei n° 14.133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18.3.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pPr>
        <w:pStyle w:val="Normal"/>
        <w:ind w:firstLine="284"/>
        <w:jc w:val="both"/>
        <w:rPr>
          <w:rFonts w:ascii="Arial" w:hAnsi="Arial" w:cs="Arial"/>
          <w:highlight w:val="yellow"/>
        </w:rPr>
      </w:pPr>
      <w:r>
        <w:rPr>
          <w:rFonts w:cs="Arial" w:ascii="Arial" w:hAnsi="Arial"/>
          <w:highlight w:val="yellow"/>
        </w:rPr>
      </w:r>
    </w:p>
    <w:p>
      <w:pPr>
        <w:pStyle w:val="Normal"/>
        <w:ind w:firstLine="284"/>
        <w:jc w:val="both"/>
        <w:rPr>
          <w:rFonts w:ascii="Arial" w:hAnsi="Arial" w:cs="Arial"/>
        </w:rPr>
      </w:pPr>
      <w:r>
        <w:rPr>
          <w:rFonts w:cs="Arial" w:ascii="Arial" w:hAnsi="Arial"/>
          <w:b/>
          <w:bCs/>
        </w:rPr>
        <w:t>19.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w:t>
      </w:r>
      <w:r>
        <w:rPr>
          <w:rFonts w:cs="Arial" w:ascii="Arial" w:hAnsi="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19.2.</w:t>
      </w:r>
      <w:r>
        <w:rPr>
          <w:rFonts w:cs="Arial" w:ascii="Arial" w:hAnsi="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19.3.</w:t>
      </w:r>
      <w:r>
        <w:rPr>
          <w:rFonts w:cs="Arial" w:ascii="Arial" w:hAnsi="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19.4.</w:t>
      </w:r>
      <w:r>
        <w:rPr>
          <w:rFonts w:cs="Arial" w:ascii="Arial" w:hAnsi="Arial"/>
        </w:rPr>
        <w:t xml:space="preserve"> Após a apresentação da proposta, não caberá desistência, salvo por motivo justo decorrente de fato superveniente e aceito pelo Pregoeiro.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19.5.</w:t>
      </w:r>
      <w:r>
        <w:rPr>
          <w:rFonts w:cs="Arial" w:ascii="Arial" w:hAnsi="Arial"/>
        </w:rPr>
        <w:t xml:space="preserve"> Na contagem dos prazos estabelecidos neste Edital, excluir-se-á o dia do início e incluir-se-á o do vencimento. Só se iniciam e encerram os prazos em dias de expediente na Prefeitura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19.6.</w:t>
      </w:r>
      <w:r>
        <w:rPr>
          <w:rFonts w:cs="Arial" w:ascii="Arial" w:hAnsi="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19.7.</w:t>
      </w:r>
      <w:r>
        <w:rPr>
          <w:rFonts w:cs="Arial" w:ascii="Arial" w:hAnsi="Arial"/>
        </w:rPr>
        <w:t xml:space="preserve"> As licitantes intimadas para prestar qualquer esclarecimento adicional deverão fazê-lo no prazo determinado pelo Pregoeiro, sob pena de desclassificação /inabilitação.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19.8.</w:t>
      </w:r>
      <w:r>
        <w:rPr>
          <w:rFonts w:cs="Arial" w:ascii="Arial" w:hAnsi="Arial"/>
        </w:rPr>
        <w:t xml:space="preserve"> O desatendimento das exigências formais não essenciais, não importara no afastamento da licitante, desde que seja possível a aferição da sua qualificação e a exata compreensão da sua proposta.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19.9.</w:t>
      </w:r>
      <w:r>
        <w:rPr>
          <w:rFonts w:cs="Arial" w:ascii="Arial" w:hAnsi="Arial"/>
        </w:rPr>
        <w:t xml:space="preserve"> As normas que disciplinam este Pregão serão sempre interpretadas em favor da ampliação da disputa entre as licitantes, desde que não comprometam o interesse público da Administração, a finalidade e a segurança da contratação.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19.10.</w:t>
      </w:r>
      <w:r>
        <w:rPr>
          <w:rFonts w:cs="Arial" w:ascii="Arial" w:hAnsi="Arial"/>
        </w:rPr>
        <w:t xml:space="preserve"> As decisões referentes a este processo licitatório poderão ser comunicadas as licitantes por qualquer meio de comunicação que comprove o seu recebimento ou, ainda, mediante publicação no Diário Oficial do Município de Piracicaba.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19.11.</w:t>
      </w:r>
      <w:r>
        <w:rPr>
          <w:rFonts w:cs="Arial" w:ascii="Arial" w:hAnsi="Arial"/>
        </w:rPr>
        <w:t xml:space="preserve"> A participação da licitante nesta licitação implicará na aceitação de todos os termos e condições deste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19.12.</w:t>
      </w:r>
      <w:r>
        <w:rPr>
          <w:rFonts w:cs="Arial" w:ascii="Arial" w:hAnsi="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pPr>
        <w:pStyle w:val="Normal"/>
        <w:ind w:firstLine="284"/>
        <w:jc w:val="both"/>
        <w:rPr>
          <w:rFonts w:ascii="Arial" w:hAnsi="Arial" w:cs="Arial"/>
          <w:kern w:val="2"/>
        </w:rPr>
      </w:pPr>
      <w:r>
        <w:rPr>
          <w:rFonts w:cs="Arial" w:ascii="Arial" w:hAnsi="Arial"/>
          <w:kern w:val="2"/>
        </w:rPr>
      </w:r>
    </w:p>
    <w:p>
      <w:pPr>
        <w:pStyle w:val="Normal"/>
        <w:tabs>
          <w:tab w:val="clear" w:pos="709"/>
          <w:tab w:val="left" w:pos="284" w:leader="none"/>
        </w:tabs>
        <w:ind w:firstLine="284"/>
        <w:jc w:val="both"/>
        <w:rPr>
          <w:rFonts w:ascii="Arial" w:hAnsi="Arial" w:cs="Arial"/>
        </w:rPr>
      </w:pPr>
      <w:r>
        <w:rPr>
          <w:rFonts w:cs="Arial" w:ascii="Arial" w:hAnsi="Arial"/>
          <w:b/>
          <w:bCs/>
        </w:rPr>
        <w:t>19.13.</w:t>
      </w:r>
      <w:r>
        <w:rPr>
          <w:rFonts w:cs="Arial" w:ascii="Arial" w:hAnsi="Arial"/>
        </w:rPr>
        <w:t xml:space="preserve"> Os casos omissos serão decididos pelo Pregoeiro em conformidade com as disposições constantes do presente Edital e legislação pertinente.</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Fonts w:ascii="Arial" w:hAnsi="Arial" w:cs="Arial"/>
        </w:rPr>
      </w:pPr>
      <w:r>
        <w:rPr>
          <w:rFonts w:cs="Arial" w:ascii="Arial" w:hAnsi="Arial"/>
          <w:b/>
          <w:bCs/>
        </w:rPr>
        <w:t>19.14.</w:t>
      </w:r>
      <w:r>
        <w:rPr>
          <w:rFonts w:cs="Arial" w:ascii="Arial" w:hAnsi="Arial"/>
        </w:rPr>
        <w:t xml:space="preserve"> Para todas as questões suscitadas na execução deste certame, que não forem resolvidas administrativamente, fica eleito o foro da Comarca de Piracicaba, com renúncia expressa de qualquer outro, por mais privilegiado que seja.</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19.15.</w:t>
      </w:r>
      <w:r>
        <w:rPr>
          <w:rFonts w:cs="Arial" w:ascii="Arial" w:hAnsi="Arial"/>
        </w:rPr>
        <w:t xml:space="preserve"> O edital de pregão</w:t>
      </w:r>
      <w:r>
        <w:rPr>
          <w:rStyle w:val="Hyperlink"/>
          <w:rFonts w:cs="Arial" w:ascii="Arial" w:hAnsi="Arial"/>
          <w:color w:val="auto"/>
          <w:u w:val="none"/>
        </w:rPr>
        <w:t xml:space="preserve"> será composto de:</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a) </w:t>
      </w:r>
      <w:r>
        <w:rPr>
          <w:rStyle w:val="Hyperlink"/>
          <w:rFonts w:cs="Arial" w:ascii="Arial" w:hAnsi="Arial"/>
          <w:color w:val="auto"/>
          <w:u w:val="none"/>
        </w:rPr>
        <w:t>Termo de Referência;</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b) </w:t>
      </w:r>
      <w:r>
        <w:rPr>
          <w:rStyle w:val="Hyperlink"/>
          <w:rFonts w:cs="Arial" w:ascii="Arial" w:hAnsi="Arial"/>
          <w:color w:val="auto"/>
          <w:u w:val="none"/>
        </w:rPr>
        <w:t>Regulamento Geral;</w:t>
      </w:r>
    </w:p>
    <w:p>
      <w:pPr>
        <w:pStyle w:val="Normal"/>
        <w:tabs>
          <w:tab w:val="clear" w:pos="709"/>
          <w:tab w:val="left" w:pos="284" w:leader="none"/>
        </w:tabs>
        <w:ind w:firstLine="284"/>
        <w:jc w:val="both"/>
        <w:rPr>
          <w:rFonts w:ascii="Arial" w:hAnsi="Arial" w:cs="Arial"/>
        </w:rPr>
      </w:pPr>
      <w:r>
        <w:rPr>
          <w:rFonts w:cs="Arial" w:ascii="Arial" w:hAnsi="Arial"/>
          <w:b/>
          <w:bCs/>
        </w:rPr>
        <w:t xml:space="preserve">c) </w:t>
      </w:r>
      <w:r>
        <w:rPr>
          <w:rFonts w:cs="Arial" w:ascii="Arial" w:hAnsi="Arial"/>
        </w:rPr>
        <w:t>Anexo I: Declarações Diversas;</w:t>
      </w:r>
    </w:p>
    <w:p>
      <w:pPr>
        <w:pStyle w:val="Normal"/>
        <w:tabs>
          <w:tab w:val="clear" w:pos="709"/>
          <w:tab w:val="left" w:pos="284" w:leader="none"/>
        </w:tabs>
        <w:ind w:firstLine="284"/>
        <w:jc w:val="both"/>
        <w:rPr>
          <w:rFonts w:ascii="Arial" w:hAnsi="Arial" w:cs="Arial"/>
        </w:rPr>
      </w:pPr>
      <w:r>
        <w:rPr>
          <w:rFonts w:cs="Arial" w:ascii="Arial" w:hAnsi="Arial"/>
          <w:b/>
          <w:bCs/>
        </w:rPr>
        <w:t xml:space="preserve">d) </w:t>
      </w:r>
      <w:r>
        <w:rPr>
          <w:rFonts w:cs="Arial" w:ascii="Arial" w:hAnsi="Arial"/>
        </w:rPr>
        <w:t>Anexo II: Declaração de elaboração independente de proposta e atuação conforme ao marco legal anticorrupção;</w:t>
      </w:r>
    </w:p>
    <w:p>
      <w:pPr>
        <w:pStyle w:val="Normal"/>
        <w:tabs>
          <w:tab w:val="clear" w:pos="709"/>
          <w:tab w:val="left" w:pos="284" w:leader="none"/>
        </w:tabs>
        <w:ind w:firstLine="284"/>
        <w:jc w:val="both"/>
        <w:rPr>
          <w:rFonts w:ascii="Arial" w:hAnsi="Arial" w:cs="Arial"/>
        </w:rPr>
      </w:pPr>
      <w:r>
        <w:rPr>
          <w:rFonts w:cs="Arial" w:ascii="Arial" w:hAnsi="Arial"/>
          <w:b/>
          <w:bCs/>
        </w:rPr>
        <w:t xml:space="preserve">e) </w:t>
      </w:r>
      <w:r>
        <w:rPr>
          <w:rFonts w:cs="Arial" w:ascii="Arial" w:hAnsi="Arial"/>
        </w:rPr>
        <w:t>Anexo III: Declaração de enquadramento como microempresa (ME) ou empresa de pequeno porte (EPP);</w:t>
      </w:r>
    </w:p>
    <w:p>
      <w:pPr>
        <w:pStyle w:val="Normal"/>
        <w:tabs>
          <w:tab w:val="clear" w:pos="709"/>
          <w:tab w:val="left" w:pos="284" w:leader="none"/>
        </w:tabs>
        <w:ind w:firstLine="284"/>
        <w:jc w:val="both"/>
        <w:rPr>
          <w:rFonts w:ascii="Arial" w:hAnsi="Arial" w:cs="Arial"/>
        </w:rPr>
      </w:pPr>
      <w:r>
        <w:rPr>
          <w:rFonts w:cs="Arial" w:ascii="Arial" w:hAnsi="Arial"/>
          <w:b/>
          <w:bCs/>
        </w:rPr>
        <w:t>f)</w:t>
      </w:r>
      <w:r>
        <w:rPr>
          <w:rFonts w:cs="Arial" w:ascii="Arial" w:hAnsi="Arial"/>
        </w:rPr>
        <w:t xml:space="preserve"> Anexo IV: Modelo de Proposta;</w:t>
      </w:r>
    </w:p>
    <w:p>
      <w:pPr>
        <w:pStyle w:val="Normal"/>
        <w:tabs>
          <w:tab w:val="clear" w:pos="709"/>
          <w:tab w:val="left" w:pos="284" w:leader="none"/>
        </w:tabs>
        <w:ind w:firstLine="284"/>
        <w:jc w:val="both"/>
        <w:rPr>
          <w:rFonts w:ascii="Arial" w:hAnsi="Arial" w:cs="Arial"/>
        </w:rPr>
      </w:pPr>
      <w:r>
        <w:rPr>
          <w:rFonts w:cs="Arial" w:ascii="Arial" w:hAnsi="Arial"/>
          <w:b/>
          <w:bCs/>
        </w:rPr>
        <w:t>g)</w:t>
      </w:r>
      <w:r>
        <w:rPr>
          <w:rFonts w:cs="Arial" w:ascii="Arial" w:hAnsi="Arial"/>
        </w:rPr>
        <w:t xml:space="preserve"> Anexo V: Minuta de Contrato ou Termo equivalente. </w:t>
      </w:r>
    </w:p>
    <w:p>
      <w:pPr>
        <w:pStyle w:val="Normal"/>
        <w:tabs>
          <w:tab w:val="clear" w:pos="709"/>
          <w:tab w:val="left" w:pos="284" w:leader="none"/>
        </w:tabs>
        <w:ind w:firstLine="284"/>
        <w:jc w:val="both"/>
        <w:rPr>
          <w:rFonts w:ascii="Arial" w:hAnsi="Arial" w:cs="Arial"/>
        </w:rPr>
      </w:pPr>
      <w:r>
        <w:rPr>
          <w:rFonts w:cs="Arial" w:ascii="Arial" w:hAnsi="Arial"/>
        </w:rPr>
      </w:r>
    </w:p>
    <w:p>
      <w:pPr>
        <w:pStyle w:val="Normal"/>
        <w:tabs>
          <w:tab w:val="clear" w:pos="709"/>
          <w:tab w:val="left" w:pos="284" w:leader="none"/>
        </w:tabs>
        <w:ind w:firstLine="284"/>
        <w:jc w:val="both"/>
        <w:rPr>
          <w:rStyle w:val="Hyperlink"/>
          <w:rFonts w:ascii="Arial" w:hAnsi="Arial" w:cs="Arial"/>
          <w:color w:val="auto"/>
          <w:u w:val="none"/>
        </w:rPr>
      </w:pPr>
      <w:r>
        <w:rPr>
          <w:rFonts w:cs="Arial" w:ascii="Arial" w:hAnsi="Arial"/>
          <w:b/>
          <w:bCs/>
        </w:rPr>
        <w:t>19.16.</w:t>
      </w:r>
      <w:r>
        <w:rPr>
          <w:rFonts w:cs="Arial" w:ascii="Arial" w:hAnsi="Arial"/>
        </w:rPr>
        <w:t xml:space="preserve"> O procedimento licitatório </w:t>
      </w:r>
      <w:r>
        <w:rPr>
          <w:rFonts w:cs="Arial" w:ascii="Arial" w:hAnsi="Arial"/>
          <w:color w:val="000000"/>
        </w:rPr>
        <w:t>observará as seguintes fases, em sequência</w:t>
      </w:r>
      <w:r>
        <w:rPr>
          <w:rStyle w:val="Hyperlink"/>
          <w:rFonts w:cs="Arial" w:ascii="Arial" w:hAnsi="Arial"/>
          <w:color w:val="auto"/>
          <w:u w:val="none"/>
        </w:rPr>
        <w:t>:</w:t>
      </w:r>
    </w:p>
    <w:p>
      <w:pPr>
        <w:pStyle w:val="Normal"/>
        <w:tabs>
          <w:tab w:val="clear" w:pos="709"/>
          <w:tab w:val="left" w:pos="284" w:leader="none"/>
        </w:tabs>
        <w:ind w:firstLine="284"/>
        <w:jc w:val="both"/>
        <w:rPr>
          <w:rStyle w:val="Hyperlink"/>
          <w:rFonts w:ascii="Arial" w:hAnsi="Arial" w:cs="Arial"/>
          <w:color w:val="auto"/>
          <w:u w:val="none"/>
        </w:rPr>
      </w:pPr>
      <w:r>
        <w:rPr>
          <w:rStyle w:val="Hyperlink"/>
          <w:rFonts w:cs="Arial" w:ascii="Arial" w:hAnsi="Arial"/>
          <w:b/>
          <w:bCs/>
          <w:color w:val="auto"/>
          <w:u w:val="none"/>
        </w:rPr>
        <w:t xml:space="preserve">I. </w:t>
      </w:r>
      <w:r>
        <w:rPr>
          <w:rStyle w:val="Hyperlink"/>
          <w:rFonts w:cs="Arial" w:ascii="Arial" w:hAnsi="Arial"/>
          <w:color w:val="auto"/>
          <w:u w:val="none"/>
        </w:rPr>
        <w:t xml:space="preserve">Envio das Propostas Eletrônicas; </w:t>
      </w:r>
    </w:p>
    <w:p>
      <w:pPr>
        <w:pStyle w:val="Normal"/>
        <w:tabs>
          <w:tab w:val="clear" w:pos="709"/>
          <w:tab w:val="left" w:pos="284" w:leader="none"/>
        </w:tabs>
        <w:ind w:firstLine="284"/>
        <w:jc w:val="both"/>
        <w:rPr>
          <w:rFonts w:ascii="Arial" w:hAnsi="Arial" w:cs="Arial"/>
        </w:rPr>
      </w:pPr>
      <w:r>
        <w:rPr>
          <w:rStyle w:val="Hyperlink"/>
          <w:rFonts w:cs="Arial" w:ascii="Arial" w:hAnsi="Arial"/>
          <w:b/>
          <w:bCs/>
          <w:color w:val="auto"/>
          <w:u w:val="none"/>
        </w:rPr>
        <w:t xml:space="preserve">II. </w:t>
      </w:r>
      <w:r>
        <w:rPr>
          <w:rStyle w:val="Hyperlink"/>
          <w:rFonts w:cs="Arial" w:ascii="Arial" w:hAnsi="Arial"/>
          <w:color w:val="auto"/>
          <w:u w:val="none"/>
        </w:rPr>
        <w:t>Abertura das Propostas e Disputa de Lances;</w:t>
      </w:r>
    </w:p>
    <w:p>
      <w:pPr>
        <w:pStyle w:val="Normal"/>
        <w:tabs>
          <w:tab w:val="clear" w:pos="709"/>
          <w:tab w:val="left" w:pos="284" w:leader="none"/>
        </w:tabs>
        <w:ind w:firstLine="284"/>
        <w:jc w:val="both"/>
        <w:rPr>
          <w:rFonts w:ascii="Arial" w:hAnsi="Arial" w:cs="Arial"/>
          <w:b/>
        </w:rPr>
      </w:pPr>
      <w:r>
        <w:rPr>
          <w:rFonts w:cs="Arial" w:ascii="Arial" w:hAnsi="Arial"/>
          <w:b/>
          <w:bCs/>
        </w:rPr>
        <w:t xml:space="preserve">III. </w:t>
      </w:r>
      <w:r>
        <w:rPr>
          <w:rFonts w:cs="Arial" w:ascii="Arial" w:hAnsi="Arial"/>
        </w:rPr>
        <w:t xml:space="preserve">Verificação das Condições de Participação;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IV. </w:t>
      </w:r>
      <w:r>
        <w:rPr>
          <w:rFonts w:cs="Arial" w:ascii="Arial" w:hAnsi="Arial"/>
        </w:rPr>
        <w:t>Negociação e Classificação;</w:t>
      </w:r>
    </w:p>
    <w:p>
      <w:pPr>
        <w:pStyle w:val="Normal"/>
        <w:tabs>
          <w:tab w:val="clear" w:pos="709"/>
          <w:tab w:val="left" w:pos="284" w:leader="none"/>
        </w:tabs>
        <w:ind w:firstLine="284"/>
        <w:jc w:val="both"/>
        <w:rPr>
          <w:rFonts w:ascii="Arial" w:hAnsi="Arial" w:cs="Arial"/>
        </w:rPr>
      </w:pPr>
      <w:r>
        <w:rPr>
          <w:rFonts w:cs="Arial" w:ascii="Arial" w:hAnsi="Arial"/>
          <w:b/>
          <w:bCs/>
        </w:rPr>
        <w:t xml:space="preserve">V. </w:t>
      </w:r>
      <w:r>
        <w:rPr>
          <w:rFonts w:cs="Arial" w:ascii="Arial" w:hAnsi="Arial"/>
          <w:bCs/>
        </w:rPr>
        <w:t xml:space="preserve">Julgamento e </w:t>
      </w:r>
      <w:r>
        <w:rPr>
          <w:rFonts w:cs="Arial" w:ascii="Arial" w:hAnsi="Arial"/>
        </w:rPr>
        <w:t xml:space="preserve">Habilitação; </w:t>
      </w:r>
    </w:p>
    <w:p>
      <w:pPr>
        <w:pStyle w:val="Normal"/>
        <w:tabs>
          <w:tab w:val="clear" w:pos="709"/>
          <w:tab w:val="left" w:pos="284" w:leader="none"/>
        </w:tabs>
        <w:ind w:firstLine="284"/>
        <w:jc w:val="both"/>
        <w:rPr>
          <w:rFonts w:ascii="Arial" w:hAnsi="Arial" w:cs="Arial"/>
        </w:rPr>
      </w:pPr>
      <w:r>
        <w:rPr>
          <w:rFonts w:cs="Arial" w:ascii="Arial" w:hAnsi="Arial"/>
          <w:b/>
          <w:bCs/>
        </w:rPr>
        <w:t xml:space="preserve">VI. </w:t>
      </w:r>
      <w:r>
        <w:rPr>
          <w:rFonts w:cs="Arial" w:ascii="Arial" w:hAnsi="Arial"/>
        </w:rPr>
        <w:t>Manifestação de Recurso;</w:t>
      </w:r>
    </w:p>
    <w:p>
      <w:pPr>
        <w:pStyle w:val="Normal"/>
        <w:tabs>
          <w:tab w:val="clear" w:pos="709"/>
          <w:tab w:val="left" w:pos="284" w:leader="none"/>
        </w:tabs>
        <w:ind w:firstLine="284"/>
        <w:jc w:val="both"/>
        <w:rPr>
          <w:rFonts w:ascii="Arial" w:hAnsi="Arial" w:cs="Arial"/>
        </w:rPr>
      </w:pPr>
      <w:r>
        <w:rPr>
          <w:rFonts w:cs="Arial" w:ascii="Arial" w:hAnsi="Arial"/>
          <w:b/>
          <w:bCs/>
        </w:rPr>
        <w:t xml:space="preserve">VII. </w:t>
      </w:r>
      <w:r>
        <w:rPr>
          <w:rFonts w:cs="Arial" w:ascii="Arial" w:hAnsi="Arial"/>
          <w:bCs/>
        </w:rPr>
        <w:t>Adjudicação e/ou</w:t>
      </w:r>
      <w:r>
        <w:rPr>
          <w:rFonts w:cs="Arial" w:ascii="Arial" w:hAnsi="Arial"/>
        </w:rPr>
        <w:t xml:space="preserve"> Homologação.</w:t>
      </w:r>
    </w:p>
    <w:p>
      <w:pPr>
        <w:pStyle w:val="Normal"/>
        <w:ind w:firstLine="284"/>
        <w:jc w:val="both"/>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false"/>
        <w:spacing w:lineRule="auto" w:line="240"/>
        <w:jc w:val="center"/>
        <w:textAlignment w:val="auto"/>
        <w:rPr>
          <w:b/>
          <w:bCs/>
          <w:color w:val="auto"/>
          <w:sz w:val="20"/>
          <w:szCs w:val="20"/>
          <w:lang w:val="pt-BR"/>
        </w:rPr>
      </w:pPr>
      <w:r>
        <w:rPr>
          <w:b/>
          <w:bCs/>
          <w:color w:val="auto"/>
          <w:sz w:val="20"/>
          <w:szCs w:val="20"/>
        </w:rPr>
        <w:t>ANEXO I</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b/>
        </w:rPr>
      </w:pPr>
      <w:r>
        <w:rPr>
          <w:rFonts w:cs="Arial" w:ascii="Arial" w:hAnsi="Arial"/>
          <w:b/>
        </w:rPr>
        <w:t>MODELO DE DECLARAÇÕES DIVERSAS**</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do Pregão Eletrônico nº _____/_____, Processo n° ____/___:</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numPr>
          <w:ilvl w:val="0"/>
          <w:numId w:val="4"/>
        </w:numPr>
        <w:tabs>
          <w:tab w:val="clear" w:pos="709"/>
          <w:tab w:val="left" w:pos="284" w:leader="none"/>
        </w:tabs>
        <w:ind w:hanging="284" w:start="567"/>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4"/>
        </w:numPr>
        <w:tabs>
          <w:tab w:val="clear" w:pos="709"/>
          <w:tab w:val="left" w:pos="284" w:leader="none"/>
        </w:tabs>
        <w:ind w:hanging="284" w:start="567"/>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4"/>
        </w:numPr>
        <w:tabs>
          <w:tab w:val="clear" w:pos="709"/>
          <w:tab w:val="left" w:pos="284" w:leader="none"/>
        </w:tabs>
        <w:ind w:hanging="284" w:start="567"/>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4"/>
        </w:numPr>
        <w:tabs>
          <w:tab w:val="clear" w:pos="709"/>
          <w:tab w:val="left" w:pos="284" w:leader="none"/>
        </w:tabs>
        <w:ind w:hanging="284" w:start="567"/>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4"/>
        </w:numPr>
        <w:tabs>
          <w:tab w:val="clear" w:pos="709"/>
          <w:tab w:val="left" w:pos="284" w:leader="none"/>
        </w:tabs>
        <w:ind w:hanging="284" w:start="567"/>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4"/>
        </w:numPr>
        <w:tabs>
          <w:tab w:val="clear" w:pos="709"/>
          <w:tab w:val="left" w:pos="284" w:leader="none"/>
        </w:tabs>
        <w:ind w:hanging="284" w:start="567"/>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4"/>
        </w:numPr>
        <w:tabs>
          <w:tab w:val="clear" w:pos="709"/>
          <w:tab w:val="left" w:pos="284" w:leader="none"/>
        </w:tabs>
        <w:ind w:hanging="284" w:start="567"/>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false"/>
        <w:spacing w:lineRule="auto" w:line="240"/>
        <w:jc w:val="center"/>
        <w:textAlignment w:val="auto"/>
        <w:rPr>
          <w:b/>
          <w:bCs/>
          <w:color w:val="auto"/>
          <w:sz w:val="20"/>
          <w:szCs w:val="20"/>
          <w:lang w:val="pt-BR"/>
        </w:rPr>
      </w:pPr>
      <w:r>
        <w:rPr>
          <w:b/>
          <w:bCs/>
          <w:color w:val="auto"/>
          <w:sz w:val="20"/>
          <w:szCs w:val="20"/>
        </w:rPr>
        <w:t>ANEXO II</w:t>
      </w:r>
    </w:p>
    <w:p>
      <w:pPr>
        <w:pStyle w:val="Normal"/>
        <w:tabs>
          <w:tab w:val="clear" w:pos="709"/>
          <w:tab w:val="left" w:pos="284" w:leader="none"/>
        </w:tabs>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tabs>
          <w:tab w:val="clear" w:pos="709"/>
          <w:tab w:val="left" w:pos="284" w:leader="none"/>
        </w:tabs>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t>Eu, _____________________, portador do RG nº ________________ e do CPF nº ________________, representante legal do licitante _____________________ (</w:t>
      </w:r>
      <w:r>
        <w:rPr>
          <w:rFonts w:cs="Arial" w:ascii="Arial" w:hAnsi="Arial"/>
          <w:i/>
          <w:iCs/>
          <w:lang w:eastAsia="pt-BR"/>
        </w:rPr>
        <w:t>nome empresarial</w:t>
      </w:r>
      <w:r>
        <w:rPr>
          <w:rFonts w:cs="Arial" w:ascii="Arial" w:hAnsi="Arial"/>
          <w:lang w:eastAsia="pt-BR"/>
        </w:rPr>
        <w:t xml:space="preserve">), participante do Pregão Eletrônico nº ___/____, Processo n° ______/____,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a intenção de apresentar a proposta não foi informada ou discutida com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o licitante não tentou, por qualquer meio ou por qualquer pessoa, influir na decisão de qualquer outro licitante ou interessado, em potencial ou de fato, no presente procedimento licitatório;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tabs>
          <w:tab w:val="clear" w:pos="709"/>
          <w:tab w:val="left" w:pos="284" w:leader="none"/>
        </w:tabs>
        <w:jc w:val="both"/>
        <w:rPr>
          <w:rFonts w:ascii="Arial" w:hAnsi="Arial" w:cs="Arial"/>
        </w:rPr>
      </w:pPr>
      <w:r>
        <w:rPr>
          <w:rFonts w:cs="Arial" w:ascii="Arial" w:hAnsi="Arial"/>
          <w:b/>
          <w:lang w:eastAsia="pt-BR"/>
        </w:rPr>
        <w:t>e)</w:t>
      </w:r>
      <w:r>
        <w:rPr>
          <w:rFonts w:cs="Arial" w:ascii="Arial" w:hAnsi="Arial"/>
          <w:lang w:eastAsia="pt-BR"/>
        </w:rPr>
        <w:t xml:space="preserv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 representante legal do licitante está plenamente ciente do teor e da extensão desta declaração e que detém plenos poderes e informações para firmá-la.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tabs>
          <w:tab w:val="clear" w:pos="709"/>
          <w:tab w:val="left" w:pos="284" w:leader="none"/>
        </w:tabs>
        <w:suppressAutoHyphens w:val="false"/>
        <w:jc w:val="both"/>
        <w:rPr>
          <w:rFonts w:ascii="Arial" w:hAnsi="Arial" w:cs="Arial"/>
          <w:lang w:eastAsia="pt-BR"/>
        </w:rPr>
      </w:pPr>
      <w:r>
        <w:rPr>
          <w:rFonts w:cs="Arial" w:ascii="Arial" w:hAnsi="Arial"/>
          <w:lang w:eastAsia="pt-BR"/>
        </w:rPr>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 </w:t>
      </w:r>
      <w:r>
        <w:rPr>
          <w:rFonts w:cs="Arial" w:ascii="Arial" w:hAnsi="Arial"/>
          <w:lang w:eastAsia="pt-BR"/>
        </w:rPr>
        <w:t xml:space="preserve">– prometer, oferecer ou dar, direta ou indiretamente, vantagem indevida a agente público, ou a terceira pessoa a ele relacionada;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w:t>
      </w:r>
      <w:r>
        <w:rPr>
          <w:rFonts w:cs="Arial" w:ascii="Arial" w:hAnsi="Arial"/>
          <w:lang w:eastAsia="pt-BR"/>
        </w:rPr>
        <w:t xml:space="preserve"> – comprovadamente, financiar, custear, patrocinar ou de qualquer modo subvencionar a prática dos atos ilícitos previstos em Lei;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III</w:t>
      </w:r>
      <w:r>
        <w:rPr>
          <w:rFonts w:cs="Arial" w:ascii="Arial" w:hAnsi="Arial"/>
          <w:lang w:eastAsia="pt-BR"/>
        </w:rPr>
        <w:t xml:space="preserve"> – comprovadamente, utilizar-se de interposta pessoa física ou jurídica para ocultar ou dissimular seus reais interesses ou a identidade dos beneficiários dos atos praticados;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 xml:space="preserve">IV </w:t>
      </w:r>
      <w:r>
        <w:rPr>
          <w:rFonts w:cs="Arial" w:ascii="Arial" w:hAnsi="Arial"/>
          <w:lang w:eastAsia="pt-BR"/>
        </w:rPr>
        <w:t xml:space="preserve">– no tocante a licitações e contratos: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a)</w:t>
      </w:r>
      <w:r>
        <w:rPr>
          <w:rFonts w:cs="Arial" w:ascii="Arial" w:hAnsi="Arial"/>
          <w:lang w:eastAsia="pt-BR"/>
        </w:rPr>
        <w:t xml:space="preserve"> frustrar ou fraudar, mediante ajuste, combinação ou qualquer outro expediente, o caráter competitivo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b)</w:t>
      </w:r>
      <w:r>
        <w:rPr>
          <w:rFonts w:cs="Arial" w:ascii="Arial" w:hAnsi="Arial"/>
          <w:lang w:eastAsia="pt-BR"/>
        </w:rPr>
        <w:t xml:space="preserve"> impedir, perturbar ou fraudar a realização de qualquer ato de procedimento licitatório público;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c)</w:t>
      </w:r>
      <w:r>
        <w:rPr>
          <w:rFonts w:cs="Arial" w:ascii="Arial" w:hAnsi="Arial"/>
          <w:lang w:eastAsia="pt-BR"/>
        </w:rPr>
        <w:t xml:space="preserve"> afastar ou procurar afastar licitante, por meio de fraude ou oferecimento de vantagem de qualquer tipo;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d)</w:t>
      </w:r>
      <w:r>
        <w:rPr>
          <w:rFonts w:cs="Arial" w:ascii="Arial" w:hAnsi="Arial"/>
          <w:lang w:eastAsia="pt-BR"/>
        </w:rPr>
        <w:t xml:space="preserve"> fraudar licitação pública ou contrato dela decorrente;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e)</w:t>
      </w:r>
      <w:r>
        <w:rPr>
          <w:rFonts w:cs="Arial" w:ascii="Arial" w:hAnsi="Arial"/>
          <w:lang w:eastAsia="pt-BR"/>
        </w:rPr>
        <w:t xml:space="preserve"> criar, de modo fraudulento ou irregular, pessoa jurídica para participar de licitação pública ou celebrar contrato administrativo;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f)</w:t>
      </w:r>
      <w:r>
        <w:rPr>
          <w:rFonts w:cs="Arial" w:ascii="Arial" w:hAnsi="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tabs>
          <w:tab w:val="clear" w:pos="709"/>
          <w:tab w:val="left" w:pos="284" w:leader="none"/>
        </w:tabs>
        <w:jc w:val="both"/>
        <w:rPr>
          <w:rFonts w:ascii="Arial" w:hAnsi="Arial" w:cs="Arial"/>
          <w:lang w:eastAsia="pt-BR"/>
        </w:rPr>
      </w:pPr>
      <w:r>
        <w:rPr>
          <w:rFonts w:cs="Arial" w:ascii="Arial" w:hAnsi="Arial"/>
          <w:b/>
          <w:lang w:eastAsia="pt-BR"/>
        </w:rPr>
        <w:t>g)</w:t>
      </w:r>
      <w:r>
        <w:rPr>
          <w:rFonts w:cs="Arial" w:ascii="Arial" w:hAnsi="Arial"/>
          <w:lang w:eastAsia="pt-BR"/>
        </w:rPr>
        <w:t xml:space="preserve"> manipular ou fraudar o equilíbrio econômico-financeiro dos contratos celebrados com a administração pública; </w:t>
      </w:r>
    </w:p>
    <w:p>
      <w:pPr>
        <w:pStyle w:val="Normal"/>
        <w:tabs>
          <w:tab w:val="clear" w:pos="709"/>
          <w:tab w:val="left" w:pos="284" w:leader="none"/>
        </w:tabs>
        <w:suppressAutoHyphens w:val="false"/>
        <w:jc w:val="both"/>
        <w:rPr>
          <w:rFonts w:ascii="Arial" w:hAnsi="Arial" w:cs="Arial"/>
          <w:lang w:eastAsia="pt-BR"/>
        </w:rPr>
      </w:pPr>
      <w:r>
        <w:rPr>
          <w:rFonts w:cs="Arial" w:ascii="Arial" w:hAnsi="Arial"/>
          <w:b/>
          <w:lang w:eastAsia="pt-BR"/>
        </w:rPr>
        <w:t>V</w:t>
      </w:r>
      <w:r>
        <w:rPr>
          <w:rFonts w:cs="Arial" w:ascii="Arial" w:hAnsi="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Local e data</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jc w:val="center"/>
        <w:rPr>
          <w:rFonts w:ascii="Arial" w:hAnsi="Arial" w:cs="Arial"/>
        </w:rPr>
      </w:pPr>
      <w:r>
        <w:rPr>
          <w:rFonts w:cs="Arial" w:ascii="Arial" w:hAnsi="Arial"/>
        </w:rPr>
        <w:t>Nome e assinatura do representante legal</w:t>
      </w:r>
      <w:r>
        <w:br w:type="page"/>
      </w:r>
    </w:p>
    <w:p>
      <w:pPr>
        <w:pStyle w:val="BodyTextIndent"/>
        <w:widowControl w:val="false"/>
        <w:tabs>
          <w:tab w:val="clear" w:pos="709"/>
          <w:tab w:val="left" w:pos="284" w:leader="none"/>
        </w:tabs>
        <w:overflowPunct w:val="false"/>
        <w:spacing w:lineRule="auto" w:line="240"/>
        <w:jc w:val="center"/>
        <w:rPr>
          <w:b/>
          <w:bCs/>
          <w:color w:val="auto"/>
          <w:sz w:val="20"/>
          <w:szCs w:val="20"/>
          <w:lang w:val="pt-BR"/>
        </w:rPr>
      </w:pPr>
      <w:r>
        <w:rPr>
          <w:b/>
          <w:color w:val="auto"/>
          <w:sz w:val="20"/>
          <w:szCs w:val="20"/>
        </w:rPr>
        <w:t>ANEXO I</w:t>
      </w:r>
      <w:r>
        <w:rPr>
          <w:b/>
          <w:color w:val="auto"/>
          <w:sz w:val="20"/>
          <w:szCs w:val="20"/>
          <w:lang w:val="pt-BR"/>
        </w:rPr>
        <w:t>II</w:t>
      </w:r>
    </w:p>
    <w:p>
      <w:pPr>
        <w:pStyle w:val="Normal"/>
        <w:tabs>
          <w:tab w:val="clear" w:pos="709"/>
          <w:tab w:val="left" w:pos="284" w:leader="none"/>
        </w:tabs>
        <w:jc w:val="center"/>
        <w:rPr>
          <w:rFonts w:ascii="Arial" w:hAnsi="Arial" w:cs="Arial"/>
          <w:b/>
          <w:bCs/>
        </w:rPr>
      </w:pPr>
      <w:r>
        <w:rPr>
          <w:rFonts w:cs="Arial" w:ascii="Arial" w:hAnsi="Arial"/>
        </w:rPr>
        <w:t>====================================================================================</w:t>
      </w:r>
    </w:p>
    <w:p>
      <w:pPr>
        <w:pStyle w:val="Normal"/>
        <w:tabs>
          <w:tab w:val="clear" w:pos="709"/>
          <w:tab w:val="left" w:pos="284" w:leader="none"/>
        </w:tabs>
        <w:jc w:val="center"/>
        <w:rPr>
          <w:rFonts w:ascii="Arial" w:hAnsi="Arial" w:cs="Arial"/>
          <w:b/>
          <w:bCs/>
        </w:rPr>
      </w:pPr>
      <w:r>
        <w:rPr>
          <w:rFonts w:cs="Arial" w:ascii="Arial" w:hAnsi="Arial"/>
          <w:b/>
          <w:bCs/>
        </w:rPr>
        <w:t xml:space="preserve">DECLARAÇÃO DE ENQUADRAMENTO COMO MICROEMPRESA (ME) </w:t>
      </w:r>
    </w:p>
    <w:p>
      <w:pPr>
        <w:pStyle w:val="Normal"/>
        <w:tabs>
          <w:tab w:val="clear" w:pos="709"/>
          <w:tab w:val="left" w:pos="284" w:leader="none"/>
        </w:tabs>
        <w:jc w:val="center"/>
        <w:rPr>
          <w:rFonts w:ascii="Arial" w:hAnsi="Arial" w:cs="Arial"/>
        </w:rPr>
      </w:pPr>
      <w:r>
        <w:rPr>
          <w:rFonts w:cs="Arial" w:ascii="Arial" w:hAnsi="Arial"/>
          <w:b/>
          <w:bCs/>
        </w:rPr>
        <w:t>OU EMPRESA DE PEQUENO PORTE (EPP)</w:t>
      </w:r>
    </w:p>
    <w:p>
      <w:pPr>
        <w:pStyle w:val="Normal"/>
        <w:tabs>
          <w:tab w:val="clear" w:pos="709"/>
          <w:tab w:val="left" w:pos="284" w:leader="none"/>
        </w:tabs>
        <w:jc w:val="center"/>
        <w:rPr>
          <w:rFonts w:ascii="Arial" w:hAnsi="Arial" w:cs="Arial"/>
          <w:b/>
          <w:bCs/>
        </w:rPr>
      </w:pPr>
      <w:r>
        <w:rPr>
          <w:rFonts w:cs="Arial" w:ascii="Arial" w:hAnsi="Arial"/>
        </w:rPr>
        <w:t>====================================================================================</w:t>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rPr>
          <w:color w:val="auto"/>
          <w:sz w:val="20"/>
          <w:szCs w:val="20"/>
        </w:rPr>
      </w:pPr>
      <w:r>
        <w:rPr>
          <w:color w:val="auto"/>
          <w:sz w:val="20"/>
          <w:szCs w:val="20"/>
        </w:rPr>
      </w:r>
    </w:p>
    <w:p>
      <w:pPr>
        <w:pStyle w:val="BodyTextIndent"/>
        <w:widowControl w:val="false"/>
        <w:tabs>
          <w:tab w:val="clear" w:pos="709"/>
          <w:tab w:val="left" w:pos="284" w:leader="none"/>
        </w:tabs>
        <w:overflowPunct w:val="false"/>
        <w:spacing w:lineRule="auto" w:line="240"/>
        <w:textAlignment w:val="auto"/>
        <w:rPr>
          <w:color w:val="auto"/>
          <w:sz w:val="20"/>
          <w:szCs w:val="20"/>
        </w:rPr>
      </w:pPr>
      <w:r>
        <w:rPr>
          <w:color w:val="auto"/>
          <w:sz w:val="20"/>
          <w:szCs w:val="20"/>
        </w:rPr>
      </w:r>
    </w:p>
    <w:p>
      <w:pPr>
        <w:pStyle w:val="BodyTextIndent"/>
        <w:tabs>
          <w:tab w:val="clear" w:pos="709"/>
          <w:tab w:val="left" w:pos="284" w:leader="none"/>
        </w:tabs>
        <w:spacing w:lineRule="auto" w:line="240"/>
        <w:rPr>
          <w:color w:val="auto"/>
          <w:sz w:val="20"/>
          <w:szCs w:val="20"/>
        </w:rPr>
      </w:pPr>
      <w:r>
        <w:rPr>
          <w:color w:val="auto"/>
          <w:sz w:val="20"/>
          <w:szCs w:val="20"/>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p>
    <w:p>
      <w:pPr>
        <w:pStyle w:val="Normal"/>
        <w:tabs>
          <w:tab w:val="clear" w:pos="709"/>
          <w:tab w:val="left" w:pos="284" w:leader="none"/>
        </w:tabs>
        <w:jc w:val="both"/>
        <w:rPr>
          <w:rFonts w:ascii="Arial" w:hAnsi="Arial" w:cs="Arial"/>
          <w:lang w:eastAsia="pt-BR"/>
        </w:rPr>
      </w:pPr>
      <w:r>
        <w:rPr>
          <w:rFonts w:cs="Arial" w:ascii="Arial" w:hAnsi="Arial"/>
          <w:lang w:eastAsia="pt-BR"/>
        </w:rPr>
        <w:t>_______________________________ (</w:t>
      </w:r>
      <w:r>
        <w:rPr>
          <w:rFonts w:cs="Arial" w:ascii="Arial" w:hAnsi="Arial"/>
          <w:i/>
          <w:iCs/>
          <w:lang w:eastAsia="pt-BR"/>
        </w:rPr>
        <w:t>nome empresarial</w:t>
      </w:r>
      <w:r>
        <w:rPr>
          <w:rFonts w:cs="Arial" w:ascii="Arial" w:hAnsi="Arial"/>
          <w:lang w:eastAsia="pt-BR"/>
        </w:rPr>
        <w:t xml:space="preserve">), </w:t>
      </w:r>
      <w:r>
        <w:rPr>
          <w:rFonts w:cs="Arial" w:ascii="Arial" w:hAnsi="Arial"/>
        </w:rPr>
        <w:t xml:space="preserve">inscrito no CNPJ nº ___________________ e Inscrição Estadual nº ________________________, por intermédio de seu representante legal o (a) Sr.(a) </w:t>
      </w:r>
      <w:r>
        <w:rPr>
          <w:rFonts w:cs="Arial" w:ascii="Arial" w:hAnsi="Arial"/>
          <w:lang w:eastAsia="pt-BR"/>
        </w:rPr>
        <w:t>__________________________</w:t>
      </w:r>
      <w:r>
        <w:rPr>
          <w:rFonts w:cs="Arial" w:ascii="Arial" w:hAnsi="Arial"/>
        </w:rPr>
        <w:t xml:space="preserve">, </w:t>
      </w:r>
      <w:r>
        <w:rPr>
          <w:rFonts w:cs="Arial" w:ascii="Arial" w:hAnsi="Arial"/>
          <w:lang w:eastAsia="pt-BR"/>
        </w:rPr>
        <w:t xml:space="preserve">portador do RG nº ________________ e do CPF nº ________________, </w:t>
      </w:r>
      <w:r>
        <w:rPr>
          <w:rFonts w:cs="Arial" w:ascii="Arial" w:hAnsi="Arial"/>
        </w:rPr>
        <w:t xml:space="preserve">DECLARA, sob as penas da lei, que cumpre os requisitos legais para qualificação como </w:t>
      </w:r>
      <w:r>
        <w:rPr>
          <w:rFonts w:cs="Arial" w:ascii="Arial" w:hAnsi="Arial"/>
          <w:b/>
        </w:rPr>
        <w:t>Microempresa (ME)</w:t>
      </w:r>
      <w:r>
        <w:rPr>
          <w:rFonts w:cs="Arial" w:ascii="Arial" w:hAnsi="Arial"/>
        </w:rPr>
        <w:t xml:space="preserve"> ou </w:t>
      </w:r>
      <w:r>
        <w:rPr>
          <w:rFonts w:cs="Arial" w:ascii="Arial" w:hAnsi="Arial"/>
          <w:b/>
        </w:rPr>
        <w:t>Empresa de Pequeno Porte (EPP)</w:t>
      </w:r>
      <w:r>
        <w:rPr>
          <w:rFonts w:cs="Arial" w:ascii="Arial" w:hAnsi="Arial"/>
        </w:rPr>
        <w:t xml:space="preserve">, e que no ano calendário ainda não tenham celebrado contratos com a Administração Pública cujos valores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estando ciente da penalidades previstas no subitem 13.1.4. do edital no caso de declaração falsa, independente do processo judicial cabível.</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ind w:firstLine="561"/>
        <w:jc w:val="both"/>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Local e data</w:t>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r>
    </w:p>
    <w:p>
      <w:pPr>
        <w:pStyle w:val="Normal"/>
        <w:tabs>
          <w:tab w:val="clear" w:pos="709"/>
          <w:tab w:val="left" w:pos="284" w:leader="none"/>
        </w:tabs>
        <w:ind w:firstLine="561"/>
        <w:jc w:val="center"/>
        <w:rPr>
          <w:rFonts w:ascii="Arial" w:hAnsi="Arial" w:cs="Arial"/>
        </w:rPr>
      </w:pPr>
      <w:r>
        <w:rPr>
          <w:rFonts w:cs="Arial" w:ascii="Arial" w:hAnsi="Arial"/>
        </w:rPr>
        <w:t>_______________________________________________</w:t>
      </w:r>
    </w:p>
    <w:p>
      <w:pPr>
        <w:pStyle w:val="Normal"/>
        <w:tabs>
          <w:tab w:val="clear" w:pos="709"/>
          <w:tab w:val="left" w:pos="284" w:leader="none"/>
        </w:tabs>
        <w:ind w:firstLine="561"/>
        <w:jc w:val="center"/>
        <w:rPr>
          <w:rFonts w:ascii="Arial" w:hAnsi="Arial" w:cs="Arial"/>
        </w:rPr>
      </w:pPr>
      <w:r>
        <w:rPr>
          <w:rFonts w:cs="Arial" w:ascii="Arial" w:hAnsi="Arial"/>
        </w:rPr>
        <w:t>Nome e assinatura do representante legal</w:t>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r>
    </w:p>
    <w:p>
      <w:pPr>
        <w:pStyle w:val="Normal"/>
        <w:tabs>
          <w:tab w:val="clear" w:pos="709"/>
          <w:tab w:val="left" w:pos="284" w:leader="none"/>
        </w:tabs>
        <w:rPr>
          <w:rFonts w:ascii="Arial" w:hAnsi="Arial" w:cs="Arial"/>
        </w:rPr>
      </w:pPr>
      <w:r>
        <w:rPr>
          <w:rFonts w:cs="Arial" w:ascii="Arial" w:hAnsi="Arial"/>
        </w:rPr>
      </w:r>
      <w:r>
        <w:br w:type="page"/>
      </w:r>
    </w:p>
    <w:p>
      <w:pPr>
        <w:pStyle w:val="BodyTextIndent"/>
        <w:widowControl w:val="false"/>
        <w:tabs>
          <w:tab w:val="clear" w:pos="709"/>
          <w:tab w:val="left" w:pos="284" w:leader="none"/>
        </w:tabs>
        <w:overflowPunct w:val="false"/>
        <w:spacing w:lineRule="auto" w:line="24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20" w:type="dxa"/>
        <w:jc w:val="center"/>
        <w:tblInd w:w="0" w:type="dxa"/>
        <w:tblLayout w:type="fixed"/>
        <w:tblCellMar>
          <w:top w:w="55" w:type="dxa"/>
          <w:start w:w="55" w:type="dxa"/>
          <w:bottom w:w="55" w:type="dxa"/>
          <w:end w:w="55" w:type="dxa"/>
        </w:tblCellMar>
        <w:tblLook w:val="04a0" w:firstRow="1" w:noVBand="1" w:lastRow="0" w:firstColumn="1" w:lastColumn="0" w:noHBand="0"/>
      </w:tblPr>
      <w:tblGrid>
        <w:gridCol w:w="567"/>
        <w:gridCol w:w="849"/>
        <w:gridCol w:w="850"/>
        <w:gridCol w:w="4536"/>
        <w:gridCol w:w="1416"/>
        <w:gridCol w:w="1702"/>
      </w:tblGrid>
      <w:tr>
        <w:trPr>
          <w:trHeight w:val="283" w:hRule="atLeast"/>
        </w:trPr>
        <w:tc>
          <w:tcPr>
            <w:tcW w:w="567" w:type="dxa"/>
            <w:tcBorders>
              <w:top w:val="single" w:sz="4" w:space="0" w:color="000000"/>
              <w:star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b/>
                <w:kern w:val="2"/>
              </w:rPr>
            </w:pPr>
            <w:r>
              <w:rPr>
                <w:rFonts w:cs="Arial" w:ascii="Arial" w:hAnsi="Arial"/>
                <w:b/>
              </w:rPr>
              <w:t>Item</w:t>
            </w:r>
          </w:p>
        </w:tc>
        <w:tc>
          <w:tcPr>
            <w:tcW w:w="849" w:type="dxa"/>
            <w:tcBorders>
              <w:top w:val="single" w:sz="4" w:space="0" w:color="000000"/>
              <w:star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b/>
                <w:kern w:val="2"/>
              </w:rPr>
            </w:pPr>
            <w:r>
              <w:rPr>
                <w:rFonts w:cs="Arial" w:ascii="Arial" w:hAnsi="Arial"/>
                <w:b/>
              </w:rPr>
              <w:t>Quant.</w:t>
            </w:r>
          </w:p>
        </w:tc>
        <w:tc>
          <w:tcPr>
            <w:tcW w:w="850" w:type="dxa"/>
            <w:tcBorders>
              <w:top w:val="single" w:sz="4" w:space="0" w:color="000000"/>
              <w:start w:val="single" w:sz="4" w:space="0" w:color="000000"/>
              <w:bottom w:val="single" w:sz="4" w:space="0" w:color="000000"/>
            </w:tcBorders>
            <w:vAlign w:val="center"/>
          </w:tcPr>
          <w:p>
            <w:pPr>
              <w:pStyle w:val="Contedodatabelauser"/>
              <w:tabs>
                <w:tab w:val="clear" w:pos="709"/>
                <w:tab w:val="left" w:pos="284" w:leader="none"/>
              </w:tabs>
              <w:jc w:val="center"/>
              <w:rPr>
                <w:rFonts w:ascii="Arial" w:hAnsi="Arial" w:cs="Arial"/>
                <w:b/>
                <w:kern w:val="2"/>
              </w:rPr>
            </w:pPr>
            <w:r>
              <w:rPr>
                <w:rFonts w:cs="Arial" w:ascii="Arial" w:hAnsi="Arial"/>
                <w:b/>
              </w:rPr>
              <w:t>Unid.</w:t>
            </w:r>
          </w:p>
        </w:tc>
        <w:tc>
          <w:tcPr>
            <w:tcW w:w="4536" w:type="dxa"/>
            <w:tcBorders>
              <w:top w:val="single" w:sz="4" w:space="0" w:color="000000"/>
              <w:start w:val="single" w:sz="4" w:space="0" w:color="000000"/>
              <w:bottom w:val="single" w:sz="4" w:space="0" w:color="000000"/>
              <w:end w:val="single" w:sz="4" w:space="0" w:color="000000"/>
            </w:tcBorders>
            <w:vAlign w:val="center"/>
          </w:tcPr>
          <w:p>
            <w:pPr>
              <w:pStyle w:val="Contedodatabelauser"/>
              <w:tabs>
                <w:tab w:val="clear" w:pos="709"/>
                <w:tab w:val="left" w:pos="284" w:leader="none"/>
              </w:tabs>
              <w:jc w:val="center"/>
              <w:rPr>
                <w:rFonts w:ascii="Arial" w:hAnsi="Arial" w:cs="Arial"/>
                <w:kern w:val="2"/>
              </w:rPr>
            </w:pPr>
            <w:r>
              <w:rPr>
                <w:rFonts w:cs="Arial" w:ascii="Arial" w:hAnsi="Arial"/>
                <w:b/>
              </w:rPr>
              <w:t>Descritivo</w:t>
            </w:r>
          </w:p>
        </w:tc>
        <w:tc>
          <w:tcPr>
            <w:tcW w:w="1416" w:type="dxa"/>
            <w:tcBorders>
              <w:top w:val="single" w:sz="4" w:space="0" w:color="000000"/>
              <w:start w:val="single" w:sz="4" w:space="0" w:color="000000"/>
              <w:bottom w:val="single" w:sz="4" w:space="0" w:color="000000"/>
              <w:end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Valor Unitário</w:t>
            </w:r>
          </w:p>
        </w:tc>
        <w:tc>
          <w:tcPr>
            <w:tcW w:w="1702" w:type="dxa"/>
            <w:tcBorders>
              <w:top w:val="single" w:sz="4" w:space="0" w:color="000000"/>
              <w:start w:val="single" w:sz="4" w:space="0" w:color="000000"/>
              <w:bottom w:val="single" w:sz="4" w:space="0" w:color="000000"/>
              <w:end w:val="single" w:sz="4" w:space="0" w:color="000000"/>
            </w:tcBorders>
            <w:vAlign w:val="center"/>
          </w:tcPr>
          <w:p>
            <w:pPr>
              <w:pStyle w:val="Contedodatabelauser"/>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7" w:type="dxa"/>
            <w:tcBorders>
              <w:top w:val="single" w:sz="4" w:space="0" w:color="000000"/>
              <w:start w:val="single" w:sz="4" w:space="0" w:color="000000"/>
              <w:bottom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849" w:type="dxa"/>
            <w:tcBorders>
              <w:top w:val="single" w:sz="4" w:space="0" w:color="000000"/>
              <w:start w:val="single" w:sz="4" w:space="0" w:color="000000"/>
              <w:bottom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start w:val="single" w:sz="4" w:space="0" w:color="000000"/>
              <w:bottom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4536" w:type="dxa"/>
            <w:tcBorders>
              <w:top w:val="single" w:sz="4" w:space="0" w:color="000000"/>
              <w:start w:val="single" w:sz="4" w:space="0" w:color="000000"/>
              <w:bottom w:val="single" w:sz="4" w:space="0" w:color="000000"/>
              <w:end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start w:val="single" w:sz="4" w:space="0" w:color="000000"/>
              <w:bottom w:val="single" w:sz="4" w:space="0" w:color="000000"/>
              <w:end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1702" w:type="dxa"/>
            <w:tcBorders>
              <w:top w:val="single" w:sz="4" w:space="0" w:color="000000"/>
              <w:start w:val="single" w:sz="4" w:space="0" w:color="000000"/>
              <w:bottom w:val="single" w:sz="4" w:space="0" w:color="000000"/>
              <w:end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start w:val="single" w:sz="4" w:space="0" w:color="000000"/>
              <w:bottom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849" w:type="dxa"/>
            <w:tcBorders>
              <w:top w:val="single" w:sz="4" w:space="0" w:color="000000"/>
              <w:start w:val="single" w:sz="4" w:space="0" w:color="000000"/>
              <w:bottom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850" w:type="dxa"/>
            <w:tcBorders>
              <w:top w:val="single" w:sz="4" w:space="0" w:color="000000"/>
              <w:start w:val="single" w:sz="4" w:space="0" w:color="000000"/>
              <w:bottom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4536" w:type="dxa"/>
            <w:tcBorders>
              <w:top w:val="single" w:sz="4" w:space="0" w:color="000000"/>
              <w:start w:val="single" w:sz="4" w:space="0" w:color="000000"/>
              <w:bottom w:val="single" w:sz="4" w:space="0" w:color="000000"/>
              <w:end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start w:val="single" w:sz="4" w:space="0" w:color="000000"/>
              <w:bottom w:val="single" w:sz="4" w:space="0" w:color="000000"/>
              <w:end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c>
          <w:tcPr>
            <w:tcW w:w="1702" w:type="dxa"/>
            <w:tcBorders>
              <w:top w:val="single" w:sz="4" w:space="0" w:color="000000"/>
              <w:start w:val="single" w:sz="4" w:space="0" w:color="000000"/>
              <w:bottom w:val="single" w:sz="4" w:space="0" w:color="000000"/>
              <w:end w:val="single" w:sz="4" w:space="0" w:color="000000"/>
            </w:tcBorders>
            <w:vAlign w:val="center"/>
          </w:tcPr>
          <w:p>
            <w:pPr>
              <w:pStyle w:val="Normal"/>
              <w:pBdr/>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Normal"/>
        <w:tabs>
          <w:tab w:val="clear" w:pos="709"/>
          <w:tab w:val="left" w:pos="284" w:leader="none"/>
        </w:tabs>
        <w:ind w:firstLine="709" w:start="142"/>
        <w:jc w:val="both"/>
        <w:rPr>
          <w:rFonts w:ascii="Arial" w:hAnsi="Arial" w:cs="Arial"/>
        </w:rPr>
      </w:pPr>
      <w:r>
        <w:rPr>
          <w:rFonts w:cs="Arial" w:ascii="Arial" w:hAnsi="Arial"/>
        </w:rPr>
      </w:r>
    </w:p>
    <w:p>
      <w:pPr>
        <w:pStyle w:val="Normal"/>
        <w:tabs>
          <w:tab w:val="clear" w:pos="709"/>
          <w:tab w:val="left" w:pos="284" w:leader="none"/>
        </w:tabs>
        <w:ind w:firstLine="709" w:start="142"/>
        <w:jc w:val="both"/>
        <w:rPr>
          <w:rFonts w:ascii="Arial" w:hAnsi="Arial" w:cs="Arial"/>
        </w:rPr>
      </w:pPr>
      <w:r>
        <w:rPr>
          <w:rFonts w:cs="Arial" w:ascii="Arial" w:hAnsi="Arial"/>
        </w:rPr>
      </w:r>
    </w:p>
    <w:p>
      <w:pPr>
        <w:pStyle w:val="Normal"/>
        <w:tabs>
          <w:tab w:val="clear" w:pos="709"/>
          <w:tab w:val="left" w:pos="284" w:leader="none"/>
        </w:tabs>
        <w:ind w:firstLine="709" w:start="142"/>
        <w:jc w:val="both"/>
        <w:rPr>
          <w:rFonts w:ascii="Arial" w:hAnsi="Arial" w:cs="Arial"/>
        </w:rPr>
      </w:pPr>
      <w:r>
        <w:rPr>
          <w:rFonts w:cs="Arial" w:ascii="Arial" w:hAnsi="Arial"/>
        </w:rPr>
      </w:r>
    </w:p>
    <w:p>
      <w:pPr>
        <w:pStyle w:val="Normal"/>
        <w:tabs>
          <w:tab w:val="clear" w:pos="709"/>
          <w:tab w:val="left" w:pos="284" w:leader="none"/>
        </w:tabs>
        <w:ind w:firstLine="709" w:start="142"/>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(Cidade), ___</w:t>
        <w:tab/>
        <w:t>de ________________ de _____</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center"/>
        <w:rPr>
          <w:rFonts w:ascii="Arial" w:hAnsi="Arial" w:cs="Arial"/>
        </w:rPr>
      </w:pPr>
      <w:r>
        <w:rPr>
          <w:rFonts w:cs="Arial" w:ascii="Arial" w:hAnsi="Arial"/>
        </w:rPr>
        <w:t>________________________________________</w:t>
      </w:r>
    </w:p>
    <w:p>
      <w:pPr>
        <w:pStyle w:val="Normal"/>
        <w:tabs>
          <w:tab w:val="clear" w:pos="709"/>
          <w:tab w:val="left" w:pos="284" w:leader="none"/>
        </w:tabs>
        <w:jc w:val="center"/>
        <w:rPr>
          <w:rFonts w:ascii="Arial" w:hAnsi="Arial" w:cs="Arial"/>
        </w:rPr>
      </w:pPr>
      <w:r>
        <w:rPr>
          <w:rFonts w:cs="Arial" w:ascii="Arial" w:hAnsi="Arial"/>
        </w:rPr>
        <w:t>Assinatura e identificação do representante legal</w:t>
      </w:r>
    </w:p>
    <w:p>
      <w:pPr>
        <w:pStyle w:val="BodyTextIndent"/>
        <w:widowControl w:val="false"/>
        <w:tabs>
          <w:tab w:val="clear" w:pos="709"/>
          <w:tab w:val="left" w:pos="284" w:leader="none"/>
        </w:tabs>
        <w:overflowPunct w:val="false"/>
        <w:spacing w:lineRule="auto" w:line="240"/>
        <w:jc w:val="center"/>
        <w:rPr>
          <w:color w:val="auto"/>
          <w:sz w:val="20"/>
          <w:szCs w:val="20"/>
        </w:rPr>
      </w:pPr>
      <w:r>
        <w:rPr>
          <w:color w:val="auto"/>
          <w:sz w:val="20"/>
          <w:szCs w:val="20"/>
        </w:rPr>
      </w:r>
      <w:r>
        <w:br w:type="page"/>
      </w:r>
    </w:p>
    <w:p>
      <w:pPr>
        <w:pStyle w:val="BodyTextIndent"/>
        <w:widowControl w:val="false"/>
        <w:overflowPunct w:val="false"/>
        <w:spacing w:lineRule="auto" w:line="240"/>
        <w:jc w:val="center"/>
        <w:rPr>
          <w:b/>
          <w:bCs/>
          <w:sz w:val="20"/>
          <w:szCs w:val="20"/>
          <w:shd w:fill="FFFFFF" w:val="clear"/>
          <w:lang w:val="pt-BR"/>
        </w:rPr>
      </w:pPr>
      <w:r>
        <w:rPr>
          <w:b/>
          <w:sz w:val="20"/>
          <w:szCs w:val="20"/>
        </w:rPr>
        <w:t>ANEXO V</w:t>
      </w:r>
    </w:p>
    <w:p>
      <w:pPr>
        <w:pStyle w:val="Normal"/>
        <w:jc w:val="center"/>
        <w:rPr>
          <w:rFonts w:ascii="Arial" w:hAnsi="Arial" w:cs="Arial"/>
          <w:b/>
          <w:bCs/>
        </w:rPr>
      </w:pPr>
      <w:r>
        <w:rPr>
          <w:rFonts w:cs="Arial" w:ascii="Arial" w:hAnsi="Arial"/>
          <w:color w:val="000000"/>
        </w:rPr>
        <w:t>====================================================================================</w:t>
      </w:r>
    </w:p>
    <w:p>
      <w:pPr>
        <w:pStyle w:val="Normal"/>
        <w:ind w:firstLine="284"/>
        <w:jc w:val="center"/>
        <w:rPr>
          <w:rFonts w:ascii="Arial" w:hAnsi="Arial" w:cs="Arial"/>
        </w:rPr>
      </w:pPr>
      <w:r>
        <w:rPr>
          <w:rFonts w:cs="Arial" w:ascii="Arial" w:hAnsi="Arial"/>
          <w:b/>
          <w:bCs/>
        </w:rPr>
        <w:t>MINUTA DA ATA DE REGISTRO DE PREÇOS</w:t>
      </w:r>
    </w:p>
    <w:p>
      <w:pPr>
        <w:pStyle w:val="Normal"/>
        <w:jc w:val="center"/>
        <w:rPr>
          <w:rFonts w:ascii="Arial" w:hAnsi="Arial" w:cs="Arial"/>
          <w:b/>
          <w:bCs/>
        </w:rPr>
      </w:pPr>
      <w:r>
        <w:rPr>
          <w:rFonts w:cs="Arial" w:ascii="Arial" w:hAnsi="Arial"/>
          <w:color w:val="000000"/>
        </w:rPr>
        <w:t>====================================================================================</w:t>
      </w:r>
    </w:p>
    <w:p>
      <w:pPr>
        <w:pStyle w:val="BodyText"/>
        <w:ind w:firstLine="284"/>
        <w:rPr>
          <w:sz w:val="20"/>
          <w:szCs w:val="20"/>
          <w:lang w:val="pt-BR"/>
        </w:rPr>
      </w:pPr>
      <w:r>
        <w:rPr>
          <w:sz w:val="20"/>
          <w:szCs w:val="20"/>
          <w:lang w:val="pt-BR"/>
        </w:rPr>
      </w:r>
    </w:p>
    <w:p>
      <w:pPr>
        <w:pStyle w:val="BodyText"/>
        <w:ind w:firstLine="284"/>
        <w:rPr>
          <w:sz w:val="20"/>
          <w:szCs w:val="20"/>
          <w:lang w:val="pt-BR"/>
        </w:rPr>
      </w:pPr>
      <w:r>
        <w:rPr>
          <w:sz w:val="20"/>
          <w:szCs w:val="20"/>
          <w:lang w:val="pt-BR"/>
        </w:rPr>
      </w:r>
    </w:p>
    <w:p>
      <w:pPr>
        <w:pStyle w:val="BodyText"/>
        <w:ind w:firstLine="284"/>
        <w:rPr>
          <w:sz w:val="20"/>
          <w:szCs w:val="20"/>
          <w:lang w:val="pt-BR"/>
        </w:rPr>
      </w:pPr>
      <w:r>
        <w:rPr>
          <w:sz w:val="20"/>
          <w:szCs w:val="20"/>
          <w:lang w:val="pt-BR"/>
        </w:rPr>
      </w:r>
    </w:p>
    <w:p>
      <w:pPr>
        <w:pStyle w:val="Normal"/>
        <w:ind w:firstLine="284"/>
        <w:jc w:val="center"/>
        <w:rPr>
          <w:rFonts w:ascii="Arial" w:hAnsi="Arial" w:cs="Arial"/>
          <w:b/>
        </w:rPr>
      </w:pPr>
      <w:r>
        <w:rPr>
          <w:rFonts w:cs="Arial" w:ascii="Arial" w:hAnsi="Arial"/>
          <w:b/>
        </w:rPr>
        <w:t>ATA DE REGISTRO DE PREÇOS Nº 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t>PREGÃO ELETRÔNICO Nº ____/____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t>PROCESSO Nº ____/____</w:t>
      </w:r>
    </w:p>
    <w:p>
      <w:pPr>
        <w:pStyle w:val="Normal"/>
        <w:spacing w:before="240" w:after="0"/>
        <w:ind w:firstLine="284"/>
        <w:jc w:val="center"/>
        <w:rPr>
          <w:rFonts w:ascii="Arial" w:hAnsi="Arial" w:cs="Arial"/>
          <w:b/>
        </w:rPr>
      </w:pPr>
      <w:r>
        <w:rPr>
          <w:rFonts w:cs="Arial" w:ascii="Arial" w:hAnsi="Arial"/>
          <w:b/>
        </w:rPr>
        <w:t>VALIDADE: 12 (DOZE) MESES</w:t>
      </w:r>
    </w:p>
    <w:p>
      <w:pPr>
        <w:pStyle w:val="Normal"/>
        <w:spacing w:before="240" w:after="0"/>
        <w:ind w:firstLine="284"/>
        <w:jc w:val="center"/>
        <w:rPr>
          <w:rFonts w:ascii="Arial" w:hAnsi="Arial" w:cs="Arial"/>
          <w:b/>
        </w:rPr>
      </w:pPr>
      <w:r>
        <w:rPr>
          <w:rFonts w:cs="Arial" w:ascii="Arial" w:hAnsi="Arial"/>
          <w:b/>
        </w:rPr>
      </w:r>
    </w:p>
    <w:p>
      <w:pPr>
        <w:pStyle w:val="Normal"/>
        <w:spacing w:before="240" w:after="0"/>
        <w:ind w:firstLine="284"/>
        <w:jc w:val="center"/>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rPr>
        <w:t xml:space="preserve">Aos _____ dias do mês de _______________ de ____, a </w:t>
      </w:r>
      <w:r>
        <w:rPr>
          <w:rFonts w:cs="Arial" w:ascii="Arial" w:hAnsi="Arial"/>
          <w:b/>
        </w:rPr>
        <w:t>PREFEITURA DO MUNICÍPIO DE PIRACICABA,</w:t>
      </w:r>
      <w:r>
        <w:rPr>
          <w:rFonts w:cs="Arial" w:ascii="Arial" w:hAnsi="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cs="Arial" w:ascii="Arial" w:hAnsi="Arial"/>
          <w:b/>
        </w:rPr>
        <w:t xml:space="preserve"> RESOLVE </w:t>
      </w:r>
      <w:r>
        <w:rPr>
          <w:rFonts w:cs="Arial" w:ascii="Arial" w:hAnsi="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Empresa classificada:</w:t>
      </w:r>
    </w:p>
    <w:p>
      <w:pPr>
        <w:pStyle w:val="Normal"/>
        <w:ind w:firstLine="284"/>
        <w:jc w:val="both"/>
        <w:rPr>
          <w:rFonts w:ascii="Arial" w:hAnsi="Arial" w:cs="Arial"/>
        </w:rPr>
      </w:pPr>
      <w:r>
        <w:rPr>
          <w:rFonts w:cs="Arial" w:ascii="Arial" w:hAnsi="Arial"/>
        </w:rPr>
        <w:t>Endereço:</w:t>
      </w:r>
    </w:p>
    <w:p>
      <w:pPr>
        <w:pStyle w:val="Normal"/>
        <w:ind w:firstLine="284"/>
        <w:jc w:val="both"/>
        <w:rPr>
          <w:rFonts w:ascii="Arial" w:hAnsi="Arial" w:cs="Arial"/>
        </w:rPr>
      </w:pPr>
      <w:r>
        <w:rPr>
          <w:rFonts w:cs="Arial" w:ascii="Arial" w:hAnsi="Arial"/>
        </w:rPr>
        <w:t>Cidade:</w:t>
        <w:tab/>
        <w:tab/>
        <w:tab/>
        <w:tab/>
        <w:tab/>
        <w:tab/>
        <w:t>Estado:</w:t>
      </w:r>
    </w:p>
    <w:p>
      <w:pPr>
        <w:pStyle w:val="Normal"/>
        <w:ind w:firstLine="284"/>
        <w:jc w:val="both"/>
        <w:rPr>
          <w:rFonts w:ascii="Arial" w:hAnsi="Arial" w:cs="Arial"/>
        </w:rPr>
      </w:pPr>
      <w:r>
        <w:rPr>
          <w:rFonts w:cs="Arial" w:ascii="Arial" w:hAnsi="Arial"/>
        </w:rPr>
        <w:t>CEP:</w:t>
      </w:r>
    </w:p>
    <w:p>
      <w:pPr>
        <w:pStyle w:val="Normal"/>
        <w:ind w:firstLine="284"/>
        <w:jc w:val="both"/>
        <w:rPr>
          <w:rFonts w:ascii="Arial" w:hAnsi="Arial" w:cs="Arial"/>
        </w:rPr>
      </w:pPr>
      <w:r>
        <w:rPr>
          <w:rFonts w:cs="Arial" w:ascii="Arial" w:hAnsi="Arial"/>
        </w:rPr>
        <w:t>Telefone:</w:t>
      </w:r>
    </w:p>
    <w:p>
      <w:pPr>
        <w:pStyle w:val="Normal"/>
        <w:ind w:firstLine="284"/>
        <w:jc w:val="both"/>
        <w:rPr>
          <w:rFonts w:ascii="Arial" w:hAnsi="Arial" w:cs="Arial"/>
        </w:rPr>
      </w:pPr>
      <w:r>
        <w:rPr>
          <w:rFonts w:cs="Arial" w:ascii="Arial" w:hAnsi="Arial"/>
        </w:rPr>
        <w:t>E-mail:</w:t>
      </w:r>
    </w:p>
    <w:p>
      <w:pPr>
        <w:pStyle w:val="Normal"/>
        <w:ind w:firstLine="284"/>
        <w:jc w:val="both"/>
        <w:rPr>
          <w:rFonts w:ascii="Arial" w:hAnsi="Arial" w:cs="Arial"/>
        </w:rPr>
      </w:pPr>
      <w:r>
        <w:rPr>
          <w:rFonts w:cs="Arial" w:ascii="Arial" w:hAnsi="Arial"/>
        </w:rPr>
        <w:t>Contato: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1ª – DO OBJETO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1.1. </w:t>
      </w:r>
      <w:r>
        <w:rPr>
          <w:rFonts w:cs="Arial" w:ascii="Arial" w:hAnsi="Arial"/>
        </w:rPr>
        <w:t xml:space="preserve">O Objeto da presente Ata é o </w:t>
      </w:r>
      <w:r>
        <w:rPr>
          <w:rFonts w:cs="Arial" w:ascii="Arial" w:hAnsi="Arial"/>
          <w:b/>
        </w:rPr>
        <w:t xml:space="preserve">REGISTRO DE PREÇOS </w:t>
      </w:r>
      <w:r>
        <w:rPr>
          <w:rFonts w:cs="Arial" w:ascii="Arial" w:hAnsi="Arial"/>
        </w:rPr>
        <w:t>para ________________________________</w:t>
      </w:r>
      <w:r>
        <w:rPr>
          <w:rFonts w:cs="Arial" w:ascii="Arial" w:hAnsi="Arial"/>
          <w:b/>
        </w:rPr>
        <w:t xml:space="preserve">, </w:t>
      </w:r>
      <w:r>
        <w:rPr>
          <w:rFonts w:cs="Arial" w:ascii="Arial" w:hAnsi="Arial"/>
        </w:rPr>
        <w:t>conforme especificações e quantidades estimadas constantes no Termo de Referência do instrumento convocatório.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2ª – DA VALIDADE DOS PREÇOS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 xml:space="preserve">2.1. </w:t>
      </w:r>
      <w:r>
        <w:rPr>
          <w:rFonts w:cs="Arial" w:ascii="Arial" w:hAnsi="Arial"/>
        </w:rPr>
        <w:t>A presente Ata de registro de Preços terá a validade de 12 (doze) meses, a partir de sua assinatura, podendo ser prorrogado, por igual período, renovadas as quantidades, desde que comprovado o preço vantajoso, conforme previsto no artigo 84 da Lei 14.133, de 2021.</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2.2. </w:t>
      </w:r>
      <w:r>
        <w:rPr>
          <w:rFonts w:cs="Arial" w:ascii="Arial" w:hAnsi="Arial"/>
        </w:rPr>
        <w:t>Durante a vigência da Ata os preços registrados serão fixos e irreajustáveis, exceto no caso de redução dos preços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2.3. </w:t>
      </w:r>
      <w:r>
        <w:rPr>
          <w:rFonts w:cs="Arial" w:ascii="Arial" w:hAnsi="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bCs/>
        </w:rPr>
        <w:t>2.4.</w:t>
      </w:r>
      <w:r>
        <w:rPr>
          <w:rFonts w:cs="Arial" w:ascii="Arial" w:hAnsi="Arial"/>
        </w:rPr>
        <w:t xml:space="preserve"> Durante o prazo de validade desta Ata de Registro de Preços, a </w:t>
      </w:r>
      <w:r>
        <w:rPr>
          <w:rFonts w:cs="Arial" w:ascii="Arial" w:hAnsi="Arial"/>
          <w:b/>
        </w:rPr>
        <w:t>PREFEITURA DO MUNICÍPIO DE PIRACICABA</w:t>
      </w:r>
      <w:r>
        <w:rPr>
          <w:rFonts w:cs="Arial" w:ascii="Arial" w:hAnsi="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rPr>
        <w:t>CLAÚSULA 3ª – DA UTILIZAÇÃO DA ATA DE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3.1.</w:t>
      </w:r>
      <w:r>
        <w:rPr>
          <w:rFonts w:cs="Arial" w:ascii="Arial" w:hAnsi="Arial"/>
        </w:rPr>
        <w:t xml:space="preserve"> A presente Ata de Registro de Preços </w:t>
      </w:r>
      <w:r>
        <w:rPr>
          <w:rFonts w:cs="Arial" w:ascii="Arial" w:hAnsi="Arial"/>
          <w:b/>
          <w:bCs/>
        </w:rPr>
        <w:t xml:space="preserve">não poderá </w:t>
      </w:r>
      <w:r>
        <w:rPr>
          <w:rFonts w:cs="Arial" w:ascii="Arial" w:hAnsi="Arial"/>
        </w:rPr>
        <w:t>ser usada por outros órgãos.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3.2.</w:t>
      </w:r>
      <w:r>
        <w:rPr>
          <w:rFonts w:cs="Arial" w:ascii="Arial" w:hAnsi="Arial"/>
        </w:rPr>
        <w:t xml:space="preserve"> O preço unitário a ser pago será o constante da proposta apresentada no Pregão Eletrônico nº____/___, os quais também a integram.</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3.3.</w:t>
      </w:r>
      <w:r>
        <w:rPr>
          <w:rFonts w:cs="Arial" w:ascii="Arial" w:hAnsi="Arial"/>
        </w:rPr>
        <w:t xml:space="preserve"> Em cada fornecimento decorrente desta Ata, serão observadas, quanto ao preço, as cláusulas e condições constantes no Edital de Pregão Eletrônico nº __/___, que a precedeu e integra o presente instrumento de compromisso.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4ª – DO LOCAL E PRAZO DE ENTREGA</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4.1.</w:t>
      </w:r>
      <w:r>
        <w:rPr>
          <w:rFonts w:cs="Arial" w:ascii="Arial" w:hAnsi="Arial"/>
        </w:rPr>
        <w:t xml:space="preserve"> A cada fornecimento o prazo de entrega do produto não poderá ultrapassar o prazo estabelecido no Termo de Referência do edital, contados da data do recebimento da ordem de fornecimento pelo fornecedor.</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4.2. </w:t>
      </w:r>
      <w:r>
        <w:rPr>
          <w:rFonts w:cs="Arial" w:ascii="Arial" w:hAnsi="Arial"/>
        </w:rPr>
        <w:t>Os materiais deverão ser entregues no endereço e horário estipulado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5ª – DAS OBRIGAÇÕES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5.1.</w:t>
      </w:r>
      <w:r>
        <w:rPr>
          <w:rFonts w:cs="Arial" w:ascii="Arial" w:hAnsi="Arial"/>
        </w:rPr>
        <w:t xml:space="preserve"> Fornecer todos os materiais cotados em estrita conformidade com as especificações exigidas neste edital.</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5.2.</w:t>
      </w:r>
      <w:r>
        <w:rPr>
          <w:rFonts w:cs="Arial" w:ascii="Arial" w:hAnsi="Arial"/>
        </w:rPr>
        <w:t xml:space="preserve"> Entregar os materiais no endereço informado pela Unidade Requisitante, obedecendo horários, prazos e preços registrados.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5.3.</w:t>
      </w:r>
      <w:r>
        <w:rPr>
          <w:rFonts w:cs="Arial" w:ascii="Arial" w:hAnsi="Arial"/>
        </w:rPr>
        <w:t xml:space="preserve"> Substituir o material que, após a entrega, apresente problemas de fabricação ou prazo de validade irregular, no prazo máximo de até 10 (dez) dias úteis após a sua efetiva comunicação.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6ª – DO PAGAMENTO</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6.1.</w:t>
      </w:r>
      <w:r>
        <w:rPr>
          <w:rFonts w:cs="Arial" w:ascii="Arial" w:hAnsi="Arial"/>
        </w:rPr>
        <w:t xml:space="preserve"> O pagamento será efetuado em até 15 (quinze) dias úteis, conforme Decreto Municipal nº 17.640, de 30 de outubro de 2018.</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6.2.</w:t>
      </w:r>
      <w:r>
        <w:rPr>
          <w:rFonts w:cs="Arial" w:ascii="Arial" w:hAnsi="Arial"/>
        </w:rPr>
        <w:t xml:space="preserve"> A Nota Fiscal deverá discriminar os itens a que se refere, um a um, indicando qual o valor e quantidade correspondentes a cada tipo de material/produto.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7ª – DO REAJUSTAMENTO DE PREÇOS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 xml:space="preserve">7.1. </w:t>
      </w:r>
      <w:r>
        <w:rPr>
          <w:rFonts w:cs="Arial" w:ascii="Arial" w:hAnsi="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7.2.</w:t>
      </w:r>
      <w:r>
        <w:rPr>
          <w:rFonts w:cs="Arial" w:ascii="Arial" w:hAnsi="Arial"/>
        </w:rPr>
        <w:t xml:space="preserve"> Mesmo comprovada a ocorrência de situação prevista na alínea “d” do inciso II do art. 124 da Lei 14.133/21, a Administração, se julgar conveniente, poderá optar por cancelar a Ata e iniciar outro procedimento licitatório.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8ª – DO CANCELAMENTO DA ATA DE REGISTRO DE PREÇOS</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8.1.</w:t>
      </w:r>
      <w:r>
        <w:rPr>
          <w:rFonts w:cs="Arial" w:ascii="Arial" w:hAnsi="Arial"/>
        </w:rPr>
        <w:t xml:space="preserve"> O proponente terá o seu registro de preço cancelado na Ata, por intermédio do processo administrativo específico, assegurado o contraditório e ampla defesa: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w:t>
      </w:r>
      <w:r>
        <w:rPr>
          <w:rFonts w:cs="Arial" w:ascii="Arial" w:hAnsi="Arial"/>
        </w:rPr>
        <w:t xml:space="preserve"> A pedido do FORNECEDOR,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8.1.1.1.</w:t>
      </w:r>
      <w:r>
        <w:rPr>
          <w:rFonts w:cs="Arial" w:ascii="Arial" w:hAnsi="Arial"/>
        </w:rPr>
        <w:t xml:space="preserve"> Mediante solicitação por escrito, comprovar estar impossibilitado de cumprir as exigências do instrumento convocatório que deu origem ao registro de preços e se a comunicação ocorrer antes do pedido de fornecimento.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8.1.1.2.</w:t>
      </w:r>
      <w:r>
        <w:rPr>
          <w:rFonts w:cs="Arial" w:ascii="Arial" w:hAnsi="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w:t>
      </w:r>
      <w:r>
        <w:rPr>
          <w:rFonts w:cs="Arial" w:ascii="Arial" w:hAnsi="Arial"/>
        </w:rPr>
        <w:t xml:space="preserve"> Por iniciativa da PREFEITURA DO MUNICIPIO DE PIRACICABA, quando: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8.1.2.1.</w:t>
      </w:r>
      <w:r>
        <w:rPr>
          <w:rFonts w:cs="Arial" w:ascii="Arial" w:hAnsi="Arial"/>
        </w:rPr>
        <w:t xml:space="preserve"> O fornecedor não cumprir as exigências do instrumento convocatório que deu origem ao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8.1.2.2.</w:t>
      </w:r>
      <w:r>
        <w:rPr>
          <w:rFonts w:cs="Arial" w:ascii="Arial" w:hAnsi="Arial"/>
        </w:rPr>
        <w:t xml:space="preserve"> O fornecedor não formalizar contrato decorrente do registro de preços ou não tenha retirado o instrumento equivalente no prazo estabelecido.</w:t>
      </w:r>
    </w:p>
    <w:p>
      <w:pPr>
        <w:pStyle w:val="Normal"/>
        <w:ind w:firstLine="284"/>
        <w:jc w:val="both"/>
        <w:rPr>
          <w:rFonts w:ascii="Arial" w:hAnsi="Arial" w:eastAsia="Arial" w:cs="Arial"/>
        </w:rPr>
      </w:pPr>
      <w:r>
        <w:rPr>
          <w:rFonts w:eastAsia="Arial" w:cs="Arial" w:ascii="Arial" w:hAnsi="Arial"/>
        </w:rPr>
      </w:r>
    </w:p>
    <w:p>
      <w:pPr>
        <w:pStyle w:val="Normal"/>
        <w:ind w:firstLine="284"/>
        <w:jc w:val="both"/>
        <w:rPr>
          <w:rFonts w:ascii="Arial" w:hAnsi="Arial" w:cs="Arial"/>
        </w:rPr>
      </w:pPr>
      <w:r>
        <w:rPr>
          <w:rFonts w:cs="Arial" w:ascii="Arial" w:hAnsi="Arial"/>
          <w:b/>
          <w:bCs/>
        </w:rPr>
        <w:t>8.1.2.3.</w:t>
      </w:r>
      <w:r>
        <w:rPr>
          <w:rFonts w:cs="Arial" w:ascii="Arial" w:hAnsi="Arial"/>
        </w:rPr>
        <w:t xml:space="preserve"> O fornecedor der causa à rescisão administrativa de contrato decorrente do registro de preços.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8.1.2.4. </w:t>
      </w:r>
      <w:r>
        <w:rPr>
          <w:rFonts w:cs="Arial" w:ascii="Arial" w:hAnsi="Arial"/>
        </w:rPr>
        <w:t>Caracterizada qualquer hipótese de inexecução total ou parcial das condições estabelecidas na Ata de Registro de Preços ou nos pedidos dela decorrentes.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8.1.2.5. </w:t>
      </w:r>
      <w:r>
        <w:rPr>
          <w:rFonts w:cs="Arial" w:ascii="Arial" w:hAnsi="Arial"/>
        </w:rPr>
        <w:t>O fornecedor não aceitar reduzir o preço registrado, na hipótese de se tornar superior àqueles praticados no mercado.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8.1.2.6. </w:t>
      </w:r>
      <w:r>
        <w:rPr>
          <w:rFonts w:cs="Arial" w:ascii="Arial" w:hAnsi="Arial"/>
        </w:rPr>
        <w:t xml:space="preserve">Por razões de interesse público, devidamente motivadas e justificadas. </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8.2. </w:t>
      </w:r>
      <w:r>
        <w:rPr>
          <w:rFonts w:cs="Arial" w:ascii="Arial" w:hAnsi="Arial"/>
        </w:rPr>
        <w:t>A Ata de Registro de Preços, decorrentes desta licitação, será cancelada automaticamente por decurso de prazo de vigência.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rPr>
      </w:pPr>
      <w:r>
        <w:rPr>
          <w:rFonts w:cs="Arial" w:ascii="Arial" w:hAnsi="Arial"/>
          <w:b/>
        </w:rPr>
        <w:t>CLAÚSULA 9ª – DA AUTORIZAÇÃO DA AQUISIÇÃO E EMISSÃO DAS ORDENS DE FORNECIMENTO.</w:t>
      </w:r>
    </w:p>
    <w:p>
      <w:pPr>
        <w:pStyle w:val="Normal"/>
        <w:ind w:firstLine="284"/>
        <w:jc w:val="both"/>
        <w:rPr>
          <w:rFonts w:ascii="Arial" w:hAnsi="Arial" w:cs="Arial"/>
          <w:b/>
        </w:rPr>
      </w:pPr>
      <w:r>
        <w:rPr>
          <w:rFonts w:cs="Arial" w:ascii="Arial" w:hAnsi="Arial"/>
          <w:b/>
        </w:rPr>
      </w:r>
    </w:p>
    <w:p>
      <w:pPr>
        <w:pStyle w:val="Normal"/>
        <w:ind w:firstLine="284"/>
        <w:jc w:val="both"/>
        <w:rPr>
          <w:rFonts w:ascii="Arial" w:hAnsi="Arial" w:cs="Arial"/>
        </w:rPr>
      </w:pPr>
      <w:r>
        <w:rPr>
          <w:rFonts w:cs="Arial" w:ascii="Arial" w:hAnsi="Arial"/>
          <w:b/>
          <w:bCs/>
        </w:rPr>
        <w:t xml:space="preserve">9.1. </w:t>
      </w:r>
      <w:r>
        <w:rPr>
          <w:rFonts w:cs="Arial" w:ascii="Arial" w:hAnsi="Arial"/>
        </w:rPr>
        <w:t>As aquisições do objeto da presente Ata de Registro de Preços e emissão de Ordens de fornecimento serão autorizadas, conforme a necessidade, pela Unidade Requisitante.</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rPr>
        <w:t>CLAÚSULA 10ª – DAS DISPOSIÇÕES FINAIS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10.1.</w:t>
      </w:r>
      <w:r>
        <w:rPr>
          <w:rFonts w:cs="Arial" w:ascii="Arial" w:hAnsi="Arial"/>
        </w:rPr>
        <w:t xml:space="preserve"> Integram esta Ata, o edital do Pregão Eletrônico nº __/___, seus anexos e a proposta da empresa classificada em 1º lugar nos Itens do certame supranumerado.</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10.2.</w:t>
      </w:r>
      <w:r>
        <w:rPr>
          <w:rFonts w:cs="Arial" w:ascii="Arial" w:hAnsi="Arial"/>
        </w:rPr>
        <w:t xml:space="preserve"> Fica eleito o foro da cidade de Piracicaba – SP, para dirimir quaisquer questões decorrentes da utilização da presente Ata.</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b/>
          <w:bCs/>
        </w:rPr>
        <w:t xml:space="preserve">10.3. </w:t>
      </w:r>
      <w:r>
        <w:rPr>
          <w:rFonts w:cs="Arial" w:ascii="Arial" w:hAnsi="Arial"/>
        </w:rPr>
        <w:t>Os casos omissos serão resolvidos de acordo com a Lei Federal nº 14.133/21, Decreto Municipal 19.670/2023 e demais normas aplicáveis.</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t>Piracicaba, ____de ________ de _____.</w:t>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rPr>
      </w:pPr>
      <w:r>
        <w:rPr>
          <w:rFonts w:cs="Arial" w:ascii="Arial" w:hAnsi="Arial"/>
        </w:rPr>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r>
    </w:p>
    <w:p>
      <w:pPr>
        <w:pStyle w:val="Normal"/>
        <w:ind w:firstLine="284"/>
        <w:jc w:val="both"/>
        <w:rPr>
          <w:rFonts w:ascii="Arial" w:hAnsi="Arial" w:cs="Arial"/>
          <w:b/>
          <w:bCs/>
        </w:rPr>
      </w:pPr>
      <w:r>
        <w:rPr>
          <w:rFonts w:cs="Arial" w:ascii="Arial" w:hAnsi="Arial"/>
          <w:b/>
          <w:bCs/>
        </w:rPr>
      </w:r>
    </w:p>
    <w:p>
      <w:pPr>
        <w:pStyle w:val="Normal"/>
        <w:ind w:firstLine="284"/>
        <w:jc w:val="center"/>
        <w:rPr>
          <w:rFonts w:ascii="Arial" w:hAnsi="Arial" w:cs="Arial"/>
          <w:b/>
          <w:bCs/>
        </w:rPr>
      </w:pPr>
      <w:r>
        <w:rPr>
          <w:rFonts w:cs="Arial" w:ascii="Arial" w:hAnsi="Arial"/>
          <w:b/>
          <w:bCs/>
        </w:rPr>
        <w:t>__________________________</w:t>
      </w:r>
    </w:p>
    <w:p>
      <w:pPr>
        <w:pStyle w:val="Normal"/>
        <w:ind w:firstLine="284"/>
        <w:jc w:val="center"/>
        <w:rPr>
          <w:rFonts w:ascii="Arial" w:hAnsi="Arial" w:cs="Arial"/>
          <w:b/>
          <w:bCs/>
        </w:rPr>
      </w:pPr>
      <w:r>
        <w:rPr>
          <w:rFonts w:cs="Arial" w:ascii="Arial" w:hAnsi="Arial"/>
          <w:b/>
          <w:bCs/>
        </w:rPr>
        <w:t>Prefeito Municipal</w:t>
      </w:r>
    </w:p>
    <w:p>
      <w:pPr>
        <w:pStyle w:val="Normal"/>
        <w:ind w:firstLine="284"/>
        <w:jc w:val="center"/>
        <w:rPr>
          <w:rFonts w:ascii="Arial" w:hAnsi="Arial" w:cs="Arial"/>
          <w:b/>
          <w:bCs/>
        </w:rPr>
      </w:pPr>
      <w:r>
        <w:rPr>
          <w:rFonts w:cs="Arial" w:ascii="Arial" w:hAnsi="Arial"/>
          <w:b/>
          <w:bCs/>
        </w:rPr>
      </w:r>
    </w:p>
    <w:p>
      <w:pPr>
        <w:pStyle w:val="BodyTextIndent"/>
        <w:widowControl w:val="false"/>
        <w:overflowPunct w:val="false"/>
        <w:spacing w:lineRule="auto" w:line="240"/>
        <w:rPr>
          <w:b/>
          <w:bCs/>
          <w:sz w:val="20"/>
          <w:szCs w:val="20"/>
        </w:rPr>
      </w:pPr>
      <w:r>
        <w:rPr>
          <w:b/>
          <w:bCs/>
          <w:sz w:val="20"/>
          <w:szCs w:val="20"/>
        </w:rPr>
      </w:r>
      <w:r>
        <w:br w:type="page"/>
      </w:r>
    </w:p>
    <w:p>
      <w:pPr>
        <w:pStyle w:val="Normal"/>
        <w:ind w:firstLine="284"/>
        <w:jc w:val="center"/>
        <w:rPr>
          <w:rFonts w:ascii="Arial" w:hAnsi="Arial" w:cs="Arial"/>
          <w:b/>
        </w:rPr>
      </w:pPr>
      <w:r>
        <w:rPr>
          <w:rFonts w:eastAsia="Arial" w:cs="Arial" w:ascii="Arial" w:hAnsi="Arial"/>
          <w:b/>
        </w:rPr>
        <w:t xml:space="preserve">ANEXO DA </w:t>
      </w:r>
      <w:r>
        <w:rPr>
          <w:rFonts w:cs="Arial" w:ascii="Arial" w:hAnsi="Arial"/>
          <w:b/>
        </w:rPr>
        <w:t>ATA DE REGISTRO DE PREÇOS Nº __/_____</w:t>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b/>
        </w:rPr>
      </w:pPr>
      <w:r>
        <w:rPr>
          <w:rFonts w:cs="Arial" w:ascii="Arial" w:hAnsi="Arial"/>
          <w:b/>
        </w:rPr>
      </w:r>
    </w:p>
    <w:p>
      <w:pPr>
        <w:pStyle w:val="Normal"/>
        <w:ind w:firstLine="284"/>
        <w:jc w:val="center"/>
        <w:rPr>
          <w:rFonts w:ascii="Arial" w:hAnsi="Arial" w:cs="Arial"/>
        </w:rPr>
      </w:pPr>
      <w:r>
        <w:rPr>
          <w:rFonts w:cs="Arial" w:ascii="Arial" w:hAnsi="Arial"/>
          <w:b/>
        </w:rPr>
        <w:t>PREGÃO</w:t>
      </w:r>
      <w:r>
        <w:rPr>
          <w:rFonts w:cs="Arial" w:ascii="Arial" w:hAnsi="Arial"/>
          <w:b/>
          <w:bCs/>
        </w:rPr>
        <w:t xml:space="preserve"> ELETRÔNICO</w:t>
      </w:r>
      <w:r>
        <w:rPr>
          <w:rFonts w:cs="Arial" w:ascii="Arial" w:hAnsi="Arial"/>
          <w:b/>
        </w:rPr>
        <w:t xml:space="preserve"> Nº 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b/>
        </w:rPr>
      </w:pPr>
      <w:r>
        <w:rPr>
          <w:rFonts w:cs="Arial" w:ascii="Arial" w:hAnsi="Arial"/>
          <w:b/>
        </w:rPr>
        <w:t>PROCESSO Nº ____/_______</w:t>
      </w:r>
    </w:p>
    <w:p>
      <w:pPr>
        <w:pStyle w:val="Normal"/>
        <w:spacing w:before="240" w:after="0"/>
        <w:ind w:firstLine="284"/>
        <w:jc w:val="center"/>
        <w:rPr>
          <w:rFonts w:ascii="Arial" w:hAnsi="Arial" w:cs="Arial"/>
        </w:rPr>
      </w:pPr>
      <w:r>
        <w:rPr>
          <w:rFonts w:cs="Arial" w:ascii="Arial" w:hAnsi="Arial"/>
          <w:b/>
        </w:rPr>
        <w:t>VALIDADE DA ATA: DE____/______/______ A ____/_____/______</w:t>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rPr>
      </w:r>
    </w:p>
    <w:p>
      <w:pPr>
        <w:pStyle w:val="Normal"/>
        <w:ind w:firstLine="284"/>
        <w:jc w:val="center"/>
        <w:rPr>
          <w:rFonts w:ascii="Arial" w:hAnsi="Arial" w:cs="Arial"/>
        </w:rPr>
      </w:pPr>
      <w:r>
        <w:rPr>
          <w:rFonts w:cs="Arial" w:ascii="Arial" w:hAnsi="Arial"/>
          <w:b/>
        </w:rPr>
        <w:t>PREÇO REGISTRADO:</w:t>
      </w:r>
    </w:p>
    <w:p>
      <w:pPr>
        <w:pStyle w:val="Normal"/>
        <w:ind w:firstLine="284"/>
        <w:jc w:val="center"/>
        <w:rPr>
          <w:rFonts w:ascii="Arial" w:hAnsi="Arial" w:cs="Arial"/>
        </w:rPr>
      </w:pPr>
      <w:r>
        <w:rPr>
          <w:rFonts w:cs="Arial" w:ascii="Arial" w:hAnsi="Arial"/>
        </w:rPr>
      </w:r>
    </w:p>
    <w:p>
      <w:pPr>
        <w:pStyle w:val="Normal"/>
        <w:rPr>
          <w:rFonts w:ascii="Arial" w:hAnsi="Arial" w:cs="Arial"/>
          <w:b/>
        </w:rPr>
      </w:pPr>
      <w:r>
        <w:rPr>
          <w:rFonts w:cs="Arial" w:ascii="Arial" w:hAnsi="Arial"/>
          <w:b/>
          <w:u w:val="single"/>
        </w:rPr>
        <w:t xml:space="preserve">Empresa: </w:t>
      </w:r>
    </w:p>
    <w:tbl>
      <w:tblPr>
        <w:tblW w:w="9833" w:type="dxa"/>
        <w:jc w:val="start"/>
        <w:tblInd w:w="1" w:type="dxa"/>
        <w:tblLayout w:type="fixed"/>
        <w:tblCellMar>
          <w:top w:w="0" w:type="dxa"/>
          <w:start w:w="1" w:type="dxa"/>
          <w:bottom w:w="0" w:type="dxa"/>
          <w:end w:w="0" w:type="dxa"/>
        </w:tblCellMar>
        <w:tblLook w:val="0000" w:firstRow="0" w:noVBand="0" w:lastRow="0" w:firstColumn="0" w:lastColumn="0" w:noHBand="0"/>
      </w:tblPr>
      <w:tblGrid>
        <w:gridCol w:w="765"/>
        <w:gridCol w:w="890"/>
        <w:gridCol w:w="1078"/>
        <w:gridCol w:w="4938"/>
        <w:gridCol w:w="2162"/>
      </w:tblGrid>
      <w:tr>
        <w:trPr/>
        <w:tc>
          <w:tcPr>
            <w:tcW w:w="765" w:type="dxa"/>
            <w:tcBorders>
              <w:top w:val="single" w:sz="2" w:space="0" w:color="000000"/>
              <w:start w:val="single" w:sz="2" w:space="0" w:color="000000"/>
              <w:bottom w:val="single" w:sz="2" w:space="0" w:color="000000"/>
            </w:tcBorders>
            <w:shd w:color="auto" w:fill="DDDDDD" w:val="clear"/>
          </w:tcPr>
          <w:p>
            <w:pPr>
              <w:pStyle w:val="Contedodatabelauser"/>
              <w:jc w:val="center"/>
              <w:rPr>
                <w:rFonts w:ascii="Arial" w:hAnsi="Arial" w:cs="Arial"/>
                <w:b/>
              </w:rPr>
            </w:pPr>
            <w:r>
              <w:rPr>
                <w:rFonts w:cs="Arial" w:ascii="Arial" w:hAnsi="Arial"/>
                <w:b/>
              </w:rPr>
              <w:t>Item</w:t>
            </w:r>
          </w:p>
        </w:tc>
        <w:tc>
          <w:tcPr>
            <w:tcW w:w="890" w:type="dxa"/>
            <w:tcBorders>
              <w:top w:val="single" w:sz="2" w:space="0" w:color="000000"/>
              <w:start w:val="single" w:sz="2" w:space="0" w:color="000000"/>
              <w:bottom w:val="single" w:sz="2" w:space="0" w:color="000000"/>
            </w:tcBorders>
            <w:shd w:color="auto" w:fill="DDDDDD" w:val="clear"/>
          </w:tcPr>
          <w:p>
            <w:pPr>
              <w:pStyle w:val="Contedodatabelauser"/>
              <w:jc w:val="center"/>
              <w:rPr>
                <w:rFonts w:ascii="Arial" w:hAnsi="Arial" w:cs="Arial"/>
                <w:b/>
              </w:rPr>
            </w:pPr>
            <w:r>
              <w:rPr>
                <w:rFonts w:cs="Arial" w:ascii="Arial" w:hAnsi="Arial"/>
                <w:b/>
              </w:rPr>
              <w:t>Quant</w:t>
            </w:r>
          </w:p>
        </w:tc>
        <w:tc>
          <w:tcPr>
            <w:tcW w:w="1078" w:type="dxa"/>
            <w:tcBorders>
              <w:top w:val="single" w:sz="2" w:space="0" w:color="000000"/>
              <w:start w:val="single" w:sz="2" w:space="0" w:color="000000"/>
              <w:bottom w:val="single" w:sz="2" w:space="0" w:color="000000"/>
            </w:tcBorders>
            <w:shd w:color="auto" w:fill="DDDDDD" w:val="clear"/>
          </w:tcPr>
          <w:p>
            <w:pPr>
              <w:pStyle w:val="Contedodatabelauser"/>
              <w:jc w:val="center"/>
              <w:rPr>
                <w:rFonts w:ascii="Arial" w:hAnsi="Arial" w:cs="Arial"/>
                <w:b/>
              </w:rPr>
            </w:pPr>
            <w:r>
              <w:rPr>
                <w:rFonts w:cs="Arial" w:ascii="Arial" w:hAnsi="Arial"/>
                <w:b/>
              </w:rPr>
              <w:t>Unids</w:t>
            </w:r>
          </w:p>
        </w:tc>
        <w:tc>
          <w:tcPr>
            <w:tcW w:w="4938" w:type="dxa"/>
            <w:tcBorders>
              <w:top w:val="single" w:sz="2" w:space="0" w:color="000000"/>
              <w:start w:val="single" w:sz="2" w:space="0" w:color="000000"/>
              <w:bottom w:val="single" w:sz="2" w:space="0" w:color="000000"/>
              <w:end w:val="single" w:sz="4" w:space="0" w:color="000000"/>
            </w:tcBorders>
            <w:shd w:color="auto" w:fill="DDDDDD" w:val="clear"/>
          </w:tcPr>
          <w:p>
            <w:pPr>
              <w:pStyle w:val="Contedodatabelauser"/>
              <w:jc w:val="center"/>
              <w:rPr>
                <w:rFonts w:ascii="Arial" w:hAnsi="Arial" w:cs="Arial"/>
                <w:b/>
              </w:rPr>
            </w:pPr>
            <w:r>
              <w:rPr>
                <w:rFonts w:cs="Arial" w:ascii="Arial" w:hAnsi="Arial"/>
                <w:b/>
              </w:rPr>
              <w:t>Descritivo</w:t>
            </w:r>
          </w:p>
        </w:tc>
        <w:tc>
          <w:tcPr>
            <w:tcW w:w="2162" w:type="dxa"/>
            <w:tcBorders>
              <w:top w:val="single" w:sz="4" w:space="0" w:color="000000"/>
              <w:start w:val="single" w:sz="4" w:space="0" w:color="000000"/>
              <w:bottom w:val="single" w:sz="4" w:space="0" w:color="000000"/>
              <w:end w:val="single" w:sz="4" w:space="0" w:color="000000"/>
            </w:tcBorders>
            <w:shd w:color="auto" w:fill="DDDDDD" w:val="clear"/>
          </w:tcPr>
          <w:p>
            <w:pPr>
              <w:pStyle w:val="Contedodatabelauser"/>
              <w:jc w:val="center"/>
              <w:rPr>
                <w:rFonts w:ascii="Arial" w:hAnsi="Arial" w:cs="Arial"/>
              </w:rPr>
            </w:pPr>
            <w:r>
              <w:rPr>
                <w:rFonts w:cs="Arial" w:ascii="Arial" w:hAnsi="Arial"/>
                <w:b/>
              </w:rPr>
              <w:t>Preço unitário</w:t>
            </w:r>
          </w:p>
        </w:tc>
      </w:tr>
      <w:tr>
        <w:trPr/>
        <w:tc>
          <w:tcPr>
            <w:tcW w:w="765" w:type="dxa"/>
            <w:tcBorders>
              <w:start w:val="single" w:sz="2" w:space="0" w:color="000000"/>
              <w:bottom w:val="single" w:sz="2" w:space="0" w:color="000000"/>
            </w:tcBorders>
            <w:shd w:color="auto" w:fill="auto" w:val="clear"/>
          </w:tcPr>
          <w:p>
            <w:pPr>
              <w:pStyle w:val="Normal"/>
              <w:snapToGrid w:val="false"/>
              <w:jc w:val="center"/>
              <w:rPr>
                <w:rFonts w:ascii="Arial" w:hAnsi="Arial" w:cs="Arial"/>
              </w:rPr>
            </w:pPr>
            <w:r>
              <w:rPr>
                <w:rFonts w:cs="Arial" w:ascii="Arial" w:hAnsi="Arial"/>
              </w:rPr>
            </w:r>
          </w:p>
        </w:tc>
        <w:tc>
          <w:tcPr>
            <w:tcW w:w="890" w:type="dxa"/>
            <w:tcBorders>
              <w:start w:val="single" w:sz="2" w:space="0" w:color="000000"/>
              <w:bottom w:val="single" w:sz="2" w:space="0" w:color="000000"/>
            </w:tcBorders>
            <w:shd w:color="auto" w:fill="auto" w:val="clear"/>
            <w:vAlign w:val="center"/>
          </w:tcPr>
          <w:p>
            <w:pPr>
              <w:pStyle w:val="Normal"/>
              <w:snapToGrid w:val="false"/>
              <w:jc w:val="center"/>
              <w:rPr>
                <w:rFonts w:ascii="Arial" w:hAnsi="Arial" w:cs="Arial"/>
              </w:rPr>
            </w:pPr>
            <w:r>
              <w:rPr>
                <w:rFonts w:cs="Arial" w:ascii="Arial" w:hAnsi="Arial"/>
              </w:rPr>
            </w:r>
          </w:p>
        </w:tc>
        <w:tc>
          <w:tcPr>
            <w:tcW w:w="1078" w:type="dxa"/>
            <w:tcBorders>
              <w:start w:val="single" w:sz="2" w:space="0" w:color="000000"/>
              <w:bottom w:val="single" w:sz="2" w:space="0" w:color="000000"/>
            </w:tcBorders>
            <w:shd w:color="auto" w:fill="auto" w:val="clear"/>
            <w:vAlign w:val="center"/>
          </w:tcPr>
          <w:p>
            <w:pPr>
              <w:pStyle w:val="Normal"/>
              <w:snapToGrid w:val="false"/>
              <w:jc w:val="center"/>
              <w:rPr>
                <w:rFonts w:ascii="Arial" w:hAnsi="Arial" w:cs="Arial"/>
              </w:rPr>
            </w:pPr>
            <w:r>
              <w:rPr>
                <w:rFonts w:cs="Arial" w:ascii="Arial" w:hAnsi="Arial"/>
              </w:rPr>
            </w:r>
          </w:p>
        </w:tc>
        <w:tc>
          <w:tcPr>
            <w:tcW w:w="4938" w:type="dxa"/>
            <w:tcBorders>
              <w:start w:val="single" w:sz="2" w:space="0" w:color="000000"/>
              <w:bottom w:val="single" w:sz="2" w:space="0" w:color="000000"/>
              <w:end w:val="single" w:sz="4" w:space="0" w:color="000000"/>
            </w:tcBorders>
            <w:shd w:color="auto" w:fill="auto" w:val="clear"/>
            <w:vAlign w:val="center"/>
          </w:tcPr>
          <w:p>
            <w:pPr>
              <w:pStyle w:val="Normal"/>
              <w:snapToGrid w:val="false"/>
              <w:jc w:val="both"/>
              <w:rPr>
                <w:rFonts w:ascii="Arial" w:hAnsi="Arial" w:cs="Arial"/>
                <w:color w:val="000000"/>
              </w:rPr>
            </w:pPr>
            <w:r>
              <w:rPr>
                <w:rFonts w:cs="Arial" w:ascii="Arial" w:hAnsi="Arial"/>
                <w:color w:val="000000"/>
              </w:rPr>
            </w:r>
          </w:p>
        </w:tc>
        <w:tc>
          <w:tcPr>
            <w:tcW w:w="2162" w:type="dxa"/>
            <w:tcBorders>
              <w:top w:val="single" w:sz="4" w:space="0" w:color="000000"/>
              <w:start w:val="single" w:sz="4" w:space="0" w:color="000000"/>
              <w:bottom w:val="single" w:sz="4" w:space="0" w:color="000000"/>
              <w:end w:val="single" w:sz="4" w:space="0" w:color="000000"/>
            </w:tcBorders>
            <w:shd w:color="auto" w:fill="auto" w:val="clear"/>
          </w:tcPr>
          <w:p>
            <w:pPr>
              <w:pStyle w:val="Normal"/>
              <w:snapToGrid w:val="false"/>
              <w:ind w:firstLine="284"/>
              <w:jc w:val="both"/>
              <w:rPr>
                <w:rFonts w:ascii="Arial" w:hAnsi="Arial" w:cs="Arial"/>
                <w:color w:val="000000"/>
              </w:rPr>
            </w:pPr>
            <w:r>
              <w:rPr>
                <w:rFonts w:cs="Arial" w:ascii="Arial" w:hAnsi="Arial"/>
                <w:color w:val="000000"/>
              </w:rPr>
            </w:r>
          </w:p>
        </w:tc>
      </w:tr>
    </w:tbl>
    <w:p>
      <w:pPr>
        <w:pStyle w:val="Normal"/>
        <w:widowControl w:val="false"/>
        <w:ind w:firstLine="284"/>
        <w:jc w:val="center"/>
        <w:rPr>
          <w:rFonts w:ascii="Arial" w:hAnsi="Arial" w:cs="Arial"/>
          <w:b/>
          <w:u w:val="single"/>
        </w:rPr>
      </w:pPr>
      <w:r>
        <w:rPr>
          <w:rFonts w:cs="Arial" w:ascii="Arial" w:hAnsi="Arial"/>
          <w:b/>
          <w:u w:val="single"/>
        </w:rPr>
      </w:r>
      <w:r>
        <w:br w:type="page"/>
      </w:r>
    </w:p>
    <w:p>
      <w:pPr>
        <w:pStyle w:val="BodyTextIndent"/>
        <w:widowControl w:val="false"/>
        <w:overflowPunct w:val="false"/>
        <w:spacing w:lineRule="auto" w:line="240"/>
        <w:jc w:val="center"/>
        <w:rPr>
          <w:b/>
          <w:bCs/>
          <w:sz w:val="20"/>
          <w:szCs w:val="20"/>
          <w:shd w:fill="FFFFFF" w:val="clear"/>
          <w:lang w:val="pt-BR"/>
        </w:rPr>
      </w:pPr>
      <w:r>
        <w:rPr>
          <w:b/>
          <w:sz w:val="20"/>
          <w:szCs w:val="20"/>
        </w:rPr>
        <w:t>ANEXO V</w:t>
      </w:r>
      <w:r>
        <w:rPr>
          <w:b/>
          <w:sz w:val="20"/>
          <w:szCs w:val="20"/>
          <w:lang w:val="pt-BR"/>
        </w:rPr>
        <w:t>I</w:t>
      </w:r>
    </w:p>
    <w:p>
      <w:pPr>
        <w:pStyle w:val="Normal"/>
        <w:jc w:val="center"/>
        <w:rPr>
          <w:rFonts w:ascii="Arial" w:hAnsi="Arial" w:cs="Arial"/>
          <w:b/>
          <w:bCs/>
        </w:rPr>
      </w:pPr>
      <w:r>
        <w:rPr>
          <w:rFonts w:cs="Arial" w:ascii="Arial" w:hAnsi="Arial"/>
          <w:color w:val="000000"/>
        </w:rPr>
        <w:t>====================================================================================</w:t>
      </w:r>
    </w:p>
    <w:p>
      <w:pPr>
        <w:pStyle w:val="Normal"/>
        <w:jc w:val="center"/>
        <w:rPr>
          <w:rFonts w:ascii="Arial" w:hAnsi="Arial" w:cs="Arial"/>
          <w:color w:val="000000"/>
          <w:kern w:val="2"/>
        </w:rPr>
      </w:pPr>
      <w:r>
        <w:rPr>
          <w:rFonts w:cs="Arial" w:ascii="Arial" w:hAnsi="Arial"/>
          <w:b/>
          <w:bCs/>
          <w:kern w:val="2"/>
        </w:rPr>
        <w:t>MINUTA DE CONTRATO</w:t>
      </w:r>
    </w:p>
    <w:p>
      <w:pPr>
        <w:pStyle w:val="Normal"/>
        <w:jc w:val="center"/>
        <w:rPr>
          <w:rFonts w:ascii="Arial" w:hAnsi="Arial" w:cs="Arial"/>
          <w:b/>
          <w:bCs/>
        </w:rPr>
      </w:pPr>
      <w:r>
        <w:rPr>
          <w:rFonts w:cs="Arial" w:ascii="Arial" w:hAnsi="Arial"/>
          <w:color w:val="000000"/>
        </w:rPr>
        <w:t>====================================================================================</w:t>
      </w:r>
    </w:p>
    <w:p>
      <w:pPr>
        <w:pStyle w:val="Normal"/>
        <w:jc w:val="both"/>
        <w:rPr>
          <w:b/>
          <w:sz w:val="24"/>
          <w:szCs w:val="24"/>
          <w:u w:val="single"/>
        </w:rPr>
      </w:pPr>
      <w:r>
        <w:rPr>
          <w:b/>
          <w:sz w:val="24"/>
          <w:szCs w:val="24"/>
          <w:u w:val="single"/>
        </w:rPr>
        <w:t>CONTRATO QUE ENTRE SI FAZEM A PREFEITURA DO MUNICÍPIO DE PIRACICABA E ................................................, PARA O FORNECIMENTO DE TINTAS E MATERIAIS DE PINTURA</w:t>
      </w:r>
    </w:p>
    <w:p>
      <w:pPr>
        <w:pStyle w:val="Normal"/>
        <w:jc w:val="both"/>
        <w:rPr>
          <w:b/>
          <w:sz w:val="24"/>
          <w:szCs w:val="24"/>
          <w:u w:val="single"/>
        </w:rPr>
      </w:pPr>
      <w:r>
        <w:rPr>
          <w:b/>
          <w:sz w:val="24"/>
          <w:szCs w:val="24"/>
          <w:u w:val="single"/>
        </w:rPr>
      </w:r>
    </w:p>
    <w:p>
      <w:pPr>
        <w:pStyle w:val="Normal"/>
        <w:jc w:val="both"/>
        <w:rPr>
          <w:b/>
          <w:sz w:val="24"/>
          <w:szCs w:val="24"/>
          <w:u w:val="single"/>
        </w:rPr>
      </w:pPr>
      <w:r>
        <w:rPr>
          <w:b/>
          <w:sz w:val="24"/>
          <w:szCs w:val="24"/>
          <w:u w:val="single"/>
        </w:rPr>
      </w:r>
    </w:p>
    <w:p>
      <w:pPr>
        <w:pStyle w:val="Normal"/>
        <w:jc w:val="both"/>
        <w:rPr>
          <w:b/>
          <w:sz w:val="24"/>
          <w:szCs w:val="24"/>
          <w:u w:val="single"/>
        </w:rPr>
      </w:pPr>
      <w:r>
        <w:rPr>
          <w:b/>
          <w:sz w:val="24"/>
          <w:szCs w:val="24"/>
          <w:u w:val="single"/>
        </w:rPr>
      </w:r>
    </w:p>
    <w:p>
      <w:pPr>
        <w:pStyle w:val="Normal"/>
        <w:jc w:val="both"/>
        <w:rPr>
          <w:b/>
          <w:sz w:val="24"/>
          <w:szCs w:val="24"/>
          <w:u w:val="single"/>
        </w:rPr>
      </w:pPr>
      <w:r>
        <w:rPr>
          <w:b/>
          <w:sz w:val="24"/>
          <w:szCs w:val="24"/>
          <w:u w:val="single"/>
        </w:rPr>
      </w:r>
    </w:p>
    <w:p>
      <w:pPr>
        <w:pStyle w:val="Normal"/>
        <w:jc w:val="both"/>
        <w:rPr>
          <w:sz w:val="24"/>
          <w:szCs w:val="24"/>
        </w:rPr>
      </w:pPr>
      <w:r>
        <w:rPr>
          <w:b/>
          <w:sz w:val="24"/>
          <w:szCs w:val="24"/>
        </w:rPr>
        <w:t>Data: ... de ................. de 2026.</w:t>
      </w:r>
    </w:p>
    <w:p>
      <w:pPr>
        <w:pStyle w:val="Normal"/>
        <w:jc w:val="both"/>
        <w:rPr>
          <w:sz w:val="24"/>
          <w:szCs w:val="24"/>
        </w:rPr>
      </w:pPr>
      <w:r>
        <w:rPr>
          <w:b/>
          <w:sz w:val="24"/>
          <w:szCs w:val="24"/>
        </w:rPr>
        <w:t>Prazo: até .................................</w:t>
      </w:r>
    </w:p>
    <w:p>
      <w:pPr>
        <w:pStyle w:val="Normal"/>
        <w:jc w:val="both"/>
        <w:rPr>
          <w:sz w:val="24"/>
          <w:szCs w:val="24"/>
        </w:rPr>
      </w:pPr>
      <w:r>
        <w:rPr>
          <w:b/>
          <w:sz w:val="24"/>
          <w:szCs w:val="24"/>
        </w:rPr>
        <w:t>Valor: R$ ........ (............).</w:t>
      </w:r>
    </w:p>
    <w:p>
      <w:pPr>
        <w:pStyle w:val="Normal"/>
        <w:jc w:val="both"/>
        <w:rPr>
          <w:sz w:val="24"/>
          <w:szCs w:val="24"/>
        </w:rPr>
      </w:pPr>
      <w:r>
        <w:rPr>
          <w:b/>
          <w:sz w:val="24"/>
          <w:szCs w:val="24"/>
        </w:rPr>
        <w:t>Processo Administrativo nº 2026/061139.</w:t>
      </w:r>
    </w:p>
    <w:p>
      <w:pPr>
        <w:pStyle w:val="Normal"/>
        <w:jc w:val="both"/>
        <w:rPr>
          <w:b/>
          <w:sz w:val="24"/>
          <w:szCs w:val="24"/>
        </w:rPr>
      </w:pPr>
      <w:r>
        <w:rPr>
          <w:b/>
          <w:sz w:val="24"/>
          <w:szCs w:val="24"/>
        </w:rPr>
        <w:t>Pregão Eletrônico n.º ..../2026.</w:t>
      </w:r>
    </w:p>
    <w:p>
      <w:pPr>
        <w:pStyle w:val="Normal"/>
        <w:jc w:val="both"/>
        <w:rPr>
          <w:sz w:val="24"/>
          <w:szCs w:val="24"/>
        </w:rPr>
      </w:pPr>
      <w:r>
        <w:rPr>
          <w:b/>
          <w:sz w:val="24"/>
          <w:szCs w:val="24"/>
        </w:rPr>
        <w:t>Ata de Registro de Preços nº .../2026 (válida até ... de ................ de 202..).</w:t>
      </w:r>
    </w:p>
    <w:p>
      <w:pPr>
        <w:pStyle w:val="Normal"/>
        <w:jc w:val="both"/>
        <w:rPr>
          <w:sz w:val="24"/>
          <w:szCs w:val="24"/>
        </w:rPr>
      </w:pPr>
      <w:r>
        <w:rPr>
          <w:b/>
          <w:sz w:val="24"/>
          <w:szCs w:val="24"/>
        </w:rPr>
        <w:t>Contrato n.º …./2026.</w:t>
      </w:r>
    </w:p>
    <w:p>
      <w:pPr>
        <w:pStyle w:val="Normal"/>
        <w:jc w:val="both"/>
        <w:rPr>
          <w:sz w:val="24"/>
          <w:szCs w:val="24"/>
        </w:rPr>
      </w:pPr>
      <w:r>
        <w:rPr>
          <w:sz w:val="24"/>
          <w:szCs w:val="24"/>
        </w:rPr>
      </w:r>
    </w:p>
    <w:p>
      <w:pPr>
        <w:pStyle w:val="Normal"/>
        <w:jc w:val="both"/>
        <w:rPr>
          <w:strike/>
          <w:sz w:val="24"/>
          <w:szCs w:val="24"/>
        </w:rPr>
      </w:pPr>
      <w:r>
        <w:rPr>
          <w:strike/>
          <w:sz w:val="24"/>
          <w:szCs w:val="24"/>
        </w:rPr>
      </w:r>
    </w:p>
    <w:p>
      <w:pPr>
        <w:pStyle w:val="Normal"/>
        <w:jc w:val="both"/>
        <w:rPr>
          <w:strike/>
          <w:sz w:val="24"/>
          <w:szCs w:val="24"/>
        </w:rPr>
      </w:pPr>
      <w:r>
        <w:rPr>
          <w:strike/>
          <w:sz w:val="24"/>
          <w:szCs w:val="24"/>
        </w:rPr>
      </w:r>
    </w:p>
    <w:p>
      <w:pPr>
        <w:pStyle w:val="Normal"/>
        <w:jc w:val="both"/>
        <w:rPr>
          <w:strike/>
          <w:sz w:val="24"/>
          <w:szCs w:val="24"/>
        </w:rPr>
      </w:pPr>
      <w:r>
        <w:rPr>
          <w:strike/>
          <w:sz w:val="24"/>
          <w:szCs w:val="24"/>
        </w:rPr>
      </w:r>
    </w:p>
    <w:p>
      <w:pPr>
        <w:pStyle w:val="Normal"/>
        <w:jc w:val="both"/>
        <w:rPr>
          <w:strike/>
          <w:sz w:val="24"/>
          <w:szCs w:val="24"/>
        </w:rPr>
      </w:pPr>
      <w:r>
        <w:rPr>
          <w:strike/>
          <w:sz w:val="24"/>
          <w:szCs w:val="24"/>
        </w:rPr>
      </w:r>
    </w:p>
    <w:p>
      <w:pPr>
        <w:pStyle w:val="Normal"/>
        <w:jc w:val="both"/>
        <w:rPr>
          <w:b/>
          <w:sz w:val="24"/>
          <w:szCs w:val="24"/>
        </w:rPr>
      </w:pPr>
      <w:r>
        <w:rPr>
          <w:b/>
          <w:sz w:val="24"/>
          <w:szCs w:val="24"/>
        </w:rPr>
      </w:r>
    </w:p>
    <w:p>
      <w:pPr>
        <w:pStyle w:val="Normal"/>
        <w:ind w:firstLine="851"/>
        <w:jc w:val="both"/>
        <w:rPr>
          <w:b/>
          <w:sz w:val="24"/>
          <w:szCs w:val="24"/>
        </w:rPr>
      </w:pPr>
      <w:r>
        <w:rPr>
          <w:b/>
          <w:sz w:val="24"/>
          <w:szCs w:val="24"/>
        </w:rPr>
      </w:r>
    </w:p>
    <w:tbl>
      <w:tblPr>
        <w:tblW w:w="5000" w:type="pct"/>
        <w:jc w:val="start"/>
        <w:tblInd w:w="103" w:type="dxa"/>
        <w:tblLayout w:type="fixed"/>
        <w:tblCellMar>
          <w:top w:w="0" w:type="dxa"/>
          <w:start w:w="108" w:type="dxa"/>
          <w:bottom w:w="0" w:type="dxa"/>
          <w:end w:w="108" w:type="dxa"/>
        </w:tblCellMar>
        <w:tblLook w:val="0000" w:firstRow="0" w:noVBand="0" w:lastRow="0" w:firstColumn="0" w:lastColumn="0" w:noHBand="0"/>
      </w:tblPr>
      <w:tblGrid>
        <w:gridCol w:w="9921"/>
      </w:tblGrid>
      <w:tr>
        <w:trPr/>
        <w:tc>
          <w:tcPr>
            <w:tcW w:w="9921" w:type="dxa"/>
            <w:tcBorders>
              <w:top w:val="single" w:sz="4" w:space="0" w:color="000000"/>
              <w:start w:val="single" w:sz="4" w:space="0" w:color="000000"/>
              <w:bottom w:val="single" w:sz="4" w:space="0" w:color="000000"/>
              <w:end w:val="single" w:sz="4" w:space="0" w:color="000000"/>
            </w:tcBorders>
            <w:shd w:color="auto" w:fill="auto" w:val="clear"/>
          </w:tcPr>
          <w:p>
            <w:pPr>
              <w:pStyle w:val="Normal"/>
              <w:ind w:firstLine="851"/>
              <w:jc w:val="both"/>
              <w:rPr>
                <w:sz w:val="24"/>
                <w:szCs w:val="24"/>
              </w:rPr>
            </w:pPr>
            <w:r>
              <w:rPr>
                <w:b/>
                <w:sz w:val="24"/>
                <w:szCs w:val="24"/>
              </w:rPr>
              <w:t>CLÁUSULA 1ª - DAS PARTES</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 Sr. </w:t>
      </w:r>
      <w:r>
        <w:rPr>
          <w:b/>
          <w:sz w:val="24"/>
          <w:szCs w:val="24"/>
        </w:rPr>
        <w:t>.............</w:t>
      </w:r>
      <w:r>
        <w:rPr>
          <w:sz w:val="24"/>
          <w:szCs w:val="24"/>
          <w:shd w:fill="FFFFFF" w:val="clear"/>
        </w:rPr>
        <w:t>, inscrito no CPF nº ........</w:t>
      </w:r>
      <w:r>
        <w:rPr>
          <w:sz w:val="24"/>
          <w:szCs w:val="24"/>
        </w:rPr>
        <w:t xml:space="preserve">, adiante, designada, simplesmente,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pPr>
        <w:pStyle w:val="Normal"/>
        <w:ind w:firstLine="851"/>
        <w:jc w:val="both"/>
        <w:rPr>
          <w:b/>
          <w:sz w:val="24"/>
          <w:szCs w:val="24"/>
        </w:rPr>
      </w:pPr>
      <w:r>
        <w:rPr>
          <w:b/>
          <w:sz w:val="24"/>
          <w:szCs w:val="24"/>
        </w:rPr>
      </w:r>
    </w:p>
    <w:tbl>
      <w:tblPr>
        <w:tblW w:w="5000" w:type="pct"/>
        <w:jc w:val="start"/>
        <w:tblInd w:w="103" w:type="dxa"/>
        <w:tblLayout w:type="fixed"/>
        <w:tblCellMar>
          <w:top w:w="0" w:type="dxa"/>
          <w:start w:w="108" w:type="dxa"/>
          <w:bottom w:w="0" w:type="dxa"/>
          <w:end w:w="108" w:type="dxa"/>
        </w:tblCellMar>
        <w:tblLook w:val="0000" w:firstRow="0" w:noVBand="0" w:lastRow="0" w:firstColumn="0" w:lastColumn="0" w:noHBand="0"/>
      </w:tblPr>
      <w:tblGrid>
        <w:gridCol w:w="9921"/>
      </w:tblGrid>
      <w:tr>
        <w:trPr/>
        <w:tc>
          <w:tcPr>
            <w:tcW w:w="9921" w:type="dxa"/>
            <w:tcBorders>
              <w:top w:val="single" w:sz="4" w:space="0" w:color="000000"/>
              <w:start w:val="single" w:sz="4" w:space="0" w:color="000000"/>
              <w:bottom w:val="single" w:sz="4" w:space="0" w:color="000000"/>
              <w:end w:val="single" w:sz="4" w:space="0" w:color="000000"/>
            </w:tcBorders>
            <w:shd w:color="auto" w:fill="auto" w:val="clear"/>
          </w:tcPr>
          <w:p>
            <w:pPr>
              <w:pStyle w:val="Normal"/>
              <w:ind w:firstLine="851"/>
              <w:jc w:val="both"/>
              <w:rPr>
                <w:sz w:val="24"/>
                <w:szCs w:val="24"/>
              </w:rPr>
            </w:pPr>
            <w:r>
              <w:rPr>
                <w:b/>
                <w:sz w:val="24"/>
                <w:szCs w:val="24"/>
              </w:rPr>
              <w:t>CLÁUSULA 2ª - DO OBJETO</w:t>
            </w:r>
          </w:p>
        </w:tc>
      </w:tr>
    </w:tbl>
    <w:p>
      <w:pPr>
        <w:pStyle w:val="Normal"/>
        <w:ind w:firstLine="851"/>
        <w:jc w:val="both"/>
        <w:rPr>
          <w:b/>
          <w:sz w:val="24"/>
          <w:szCs w:val="24"/>
        </w:rPr>
      </w:pPr>
      <w:r>
        <w:rPr>
          <w:b/>
          <w:sz w:val="24"/>
          <w:szCs w:val="24"/>
        </w:rPr>
      </w:r>
    </w:p>
    <w:p>
      <w:pPr>
        <w:pStyle w:val="BodyTextIndent"/>
        <w:ind w:firstLine="851"/>
        <w:rPr/>
      </w:pPr>
      <w:r>
        <w:rPr>
          <w:b/>
        </w:rPr>
        <w:t>2.1. A CONTRATADA se obriga a entrega parcelada dos itens ..... de tintas e materiais para pintura, conforme descrição detalhada constante do Edital da Ata de Registro de Preços nº .../2026, bem como seu Termo de Referência e ata de registro de preços, os quais ficam fazendo parte integrante do presente instrumento.</w:t>
      </w:r>
    </w:p>
    <w:p>
      <w:pPr>
        <w:pStyle w:val="Normal"/>
        <w:keepLines/>
        <w:ind w:firstLine="851"/>
        <w:jc w:val="both"/>
        <w:rPr>
          <w:b/>
          <w:sz w:val="24"/>
          <w:szCs w:val="24"/>
        </w:rPr>
      </w:pPr>
      <w:r>
        <w:rPr>
          <w:b/>
          <w:sz w:val="24"/>
          <w:szCs w:val="24"/>
        </w:rPr>
      </w:r>
    </w:p>
    <w:tbl>
      <w:tblPr>
        <w:tblW w:w="5000" w:type="pct"/>
        <w:jc w:val="start"/>
        <w:tblInd w:w="103" w:type="dxa"/>
        <w:tblLayout w:type="fixed"/>
        <w:tblCellMar>
          <w:top w:w="0" w:type="dxa"/>
          <w:start w:w="108" w:type="dxa"/>
          <w:bottom w:w="0" w:type="dxa"/>
          <w:end w:w="108" w:type="dxa"/>
        </w:tblCellMar>
        <w:tblLook w:val="0000" w:firstRow="0" w:noVBand="0" w:lastRow="0" w:firstColumn="0" w:lastColumn="0" w:noHBand="0"/>
      </w:tblPr>
      <w:tblGrid>
        <w:gridCol w:w="9921"/>
      </w:tblGrid>
      <w:tr>
        <w:trPr/>
        <w:tc>
          <w:tcPr>
            <w:tcW w:w="9921" w:type="dxa"/>
            <w:tcBorders>
              <w:top w:val="single" w:sz="4" w:space="0" w:color="000000"/>
              <w:start w:val="single" w:sz="4" w:space="0" w:color="000000"/>
              <w:bottom w:val="single" w:sz="4" w:space="0" w:color="000000"/>
              <w:end w:val="single" w:sz="4" w:space="0" w:color="000000"/>
            </w:tcBorders>
            <w:shd w:color="auto" w:fill="auto" w:val="clear"/>
          </w:tcPr>
          <w:p>
            <w:pPr>
              <w:pStyle w:val="Normal"/>
              <w:keepLines/>
              <w:ind w:firstLine="851"/>
              <w:jc w:val="both"/>
              <w:rPr>
                <w:sz w:val="24"/>
                <w:szCs w:val="24"/>
              </w:rPr>
            </w:pPr>
            <w:r>
              <w:rPr>
                <w:b/>
                <w:sz w:val="24"/>
                <w:szCs w:val="24"/>
              </w:rPr>
              <w:t>CLÁUSULA 3ª - DOS RECURSOS FINANCEIROS</w:t>
            </w:r>
          </w:p>
        </w:tc>
      </w:tr>
    </w:tbl>
    <w:p>
      <w:pPr>
        <w:pStyle w:val="BodyTextIndent"/>
        <w:ind w:firstLine="851"/>
        <w:rPr>
          <w:b/>
        </w:rPr>
      </w:pPr>
      <w:r>
        <w:rPr>
          <w:b/>
        </w:rPr>
      </w:r>
    </w:p>
    <w:p>
      <w:pPr>
        <w:pStyle w:val="Normal"/>
        <w:ind w:firstLine="851"/>
        <w:jc w:val="both"/>
        <w:rPr>
          <w:sz w:val="24"/>
          <w:szCs w:val="24"/>
        </w:rPr>
      </w:pPr>
      <w:r>
        <w:rPr>
          <w:b/>
          <w:sz w:val="24"/>
          <w:szCs w:val="24"/>
        </w:rPr>
        <w:t>3.1.</w:t>
      </w:r>
      <w:r>
        <w:rPr>
          <w:sz w:val="24"/>
          <w:szCs w:val="24"/>
        </w:rPr>
        <w:t xml:space="preserve"> A despesa supra será atendida pela dotação orçamentária nº ................................................., constante do exercício de 2026 e correspondente.</w:t>
      </w:r>
    </w:p>
    <w:p>
      <w:pPr>
        <w:pStyle w:val="Normal"/>
        <w:ind w:firstLine="851"/>
        <w:jc w:val="both"/>
        <w:rPr>
          <w:sz w:val="24"/>
          <w:szCs w:val="24"/>
        </w:rPr>
      </w:pPr>
      <w:r>
        <w:rPr>
          <w:sz w:val="24"/>
          <w:szCs w:val="24"/>
        </w:rPr>
      </w:r>
    </w:p>
    <w:tbl>
      <w:tblPr>
        <w:tblW w:w="5000" w:type="pct"/>
        <w:jc w:val="start"/>
        <w:tblInd w:w="103" w:type="dxa"/>
        <w:tblLayout w:type="fixed"/>
        <w:tblCellMar>
          <w:top w:w="0" w:type="dxa"/>
          <w:start w:w="108" w:type="dxa"/>
          <w:bottom w:w="0" w:type="dxa"/>
          <w:end w:w="108" w:type="dxa"/>
        </w:tblCellMar>
        <w:tblLook w:val="0000" w:firstRow="0" w:noVBand="0" w:lastRow="0" w:firstColumn="0" w:lastColumn="0" w:noHBand="0"/>
      </w:tblPr>
      <w:tblGrid>
        <w:gridCol w:w="9921"/>
      </w:tblGrid>
      <w:tr>
        <w:trPr/>
        <w:tc>
          <w:tcPr>
            <w:tcW w:w="9921" w:type="dxa"/>
            <w:tcBorders>
              <w:top w:val="single" w:sz="4" w:space="0" w:color="000000"/>
              <w:start w:val="single" w:sz="4" w:space="0" w:color="000000"/>
              <w:bottom w:val="single" w:sz="4" w:space="0" w:color="000000"/>
              <w:end w:val="single" w:sz="4" w:space="0" w:color="000000"/>
            </w:tcBorders>
            <w:shd w:color="auto" w:fill="auto" w:val="clear"/>
          </w:tcPr>
          <w:p>
            <w:pPr>
              <w:pStyle w:val="Normal"/>
              <w:keepLines/>
              <w:ind w:firstLine="851"/>
              <w:jc w:val="both"/>
              <w:rPr>
                <w:sz w:val="24"/>
                <w:szCs w:val="24"/>
              </w:rPr>
            </w:pPr>
            <w:r>
              <w:rPr>
                <w:b/>
                <w:sz w:val="24"/>
                <w:szCs w:val="24"/>
              </w:rPr>
              <w:t>CLÁUSULA 4ª – DO SUPORTE LEGAL</w:t>
            </w:r>
          </w:p>
        </w:tc>
      </w:tr>
    </w:tbl>
    <w:p>
      <w:pPr>
        <w:pStyle w:val="Normal"/>
        <w:ind w:firstLine="851"/>
        <w:jc w:val="both"/>
        <w:rPr>
          <w:sz w:val="24"/>
          <w:szCs w:val="24"/>
        </w:rPr>
      </w:pPr>
      <w:r>
        <w:rPr>
          <w:sz w:val="24"/>
          <w:szCs w:val="24"/>
        </w:rPr>
      </w:r>
    </w:p>
    <w:p>
      <w:pPr>
        <w:pStyle w:val="Normal"/>
        <w:keepLines/>
        <w:ind w:firstLine="851"/>
        <w:jc w:val="both"/>
        <w:rPr>
          <w:sz w:val="24"/>
          <w:szCs w:val="24"/>
        </w:rPr>
      </w:pPr>
      <w:r>
        <w:rPr>
          <w:b/>
          <w:sz w:val="24"/>
          <w:szCs w:val="24"/>
        </w:rPr>
        <w:t>4.1.</w:t>
      </w:r>
      <w:r>
        <w:rPr>
          <w:sz w:val="24"/>
          <w:szCs w:val="24"/>
        </w:rPr>
        <w:t xml:space="preserve"> Este contrato é regulado pelos seguintes dispositivos legais:</w:t>
      </w:r>
    </w:p>
    <w:p>
      <w:pPr>
        <w:pStyle w:val="Normal"/>
        <w:keepLines/>
        <w:ind w:firstLine="851"/>
        <w:jc w:val="both"/>
        <w:rPr>
          <w:sz w:val="24"/>
          <w:szCs w:val="24"/>
        </w:rPr>
      </w:pPr>
      <w:r>
        <w:rPr>
          <w:b/>
          <w:sz w:val="24"/>
          <w:szCs w:val="24"/>
        </w:rPr>
        <w:t>4.1.1.</w:t>
      </w:r>
      <w:r>
        <w:rPr>
          <w:sz w:val="24"/>
          <w:szCs w:val="24"/>
        </w:rPr>
        <w:t xml:space="preserve"> Constituição da República Federativa do Brasil;</w:t>
      </w:r>
    </w:p>
    <w:p>
      <w:pPr>
        <w:pStyle w:val="Normal"/>
        <w:keepLines/>
        <w:ind w:firstLine="851"/>
        <w:jc w:val="both"/>
        <w:rPr>
          <w:sz w:val="24"/>
          <w:szCs w:val="24"/>
        </w:rPr>
      </w:pPr>
      <w:r>
        <w:rPr>
          <w:b/>
          <w:sz w:val="24"/>
          <w:szCs w:val="24"/>
        </w:rPr>
        <w:t>4.1.2.</w:t>
      </w:r>
      <w:r>
        <w:rPr>
          <w:sz w:val="24"/>
          <w:szCs w:val="24"/>
        </w:rPr>
        <w:t xml:space="preserve"> Lei Orgânica do Município de Piracicaba;</w:t>
      </w:r>
    </w:p>
    <w:p>
      <w:pPr>
        <w:pStyle w:val="Normal"/>
        <w:keepLines/>
        <w:ind w:firstLine="851"/>
        <w:jc w:val="both"/>
        <w:rPr>
          <w:sz w:val="24"/>
          <w:szCs w:val="24"/>
        </w:rPr>
      </w:pPr>
      <w:r>
        <w:rPr>
          <w:b/>
          <w:sz w:val="24"/>
          <w:szCs w:val="24"/>
        </w:rPr>
        <w:t>4.1.3.</w:t>
      </w:r>
      <w:r>
        <w:rPr>
          <w:sz w:val="24"/>
          <w:szCs w:val="24"/>
        </w:rPr>
        <w:t xml:space="preserve"> Lei Federal nº 14.133, de 01/04/2021;</w:t>
      </w:r>
    </w:p>
    <w:p>
      <w:pPr>
        <w:pStyle w:val="Normal"/>
        <w:keepLines/>
        <w:ind w:firstLine="851"/>
        <w:jc w:val="both"/>
        <w:rPr>
          <w:sz w:val="24"/>
          <w:szCs w:val="24"/>
        </w:rPr>
      </w:pPr>
      <w:r>
        <w:rPr>
          <w:b/>
          <w:sz w:val="24"/>
          <w:szCs w:val="24"/>
        </w:rPr>
        <w:t>4.1.4.</w:t>
      </w:r>
      <w:r>
        <w:rPr>
          <w:sz w:val="24"/>
          <w:szCs w:val="24"/>
        </w:rPr>
        <w:t xml:space="preserve"> Decreto Municipal nº 17.640, de 30/10/2018;</w:t>
      </w:r>
    </w:p>
    <w:p>
      <w:pPr>
        <w:pStyle w:val="Normal"/>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pPr>
        <w:pStyle w:val="Normal"/>
        <w:keepLines/>
        <w:ind w:firstLine="851"/>
        <w:jc w:val="both"/>
        <w:rPr>
          <w:sz w:val="24"/>
          <w:szCs w:val="24"/>
        </w:rPr>
      </w:pPr>
      <w:r>
        <w:rPr>
          <w:sz w:val="24"/>
          <w:szCs w:val="24"/>
        </w:rPr>
      </w:r>
    </w:p>
    <w:tbl>
      <w:tblPr>
        <w:tblW w:w="5000" w:type="pct"/>
        <w:jc w:val="start"/>
        <w:tblInd w:w="103" w:type="dxa"/>
        <w:tblLayout w:type="fixed"/>
        <w:tblCellMar>
          <w:top w:w="0" w:type="dxa"/>
          <w:start w:w="108" w:type="dxa"/>
          <w:bottom w:w="0" w:type="dxa"/>
          <w:end w:w="108" w:type="dxa"/>
        </w:tblCellMar>
        <w:tblLook w:val="0000" w:firstRow="0" w:noVBand="0" w:lastRow="0" w:firstColumn="0" w:lastColumn="0" w:noHBand="0"/>
      </w:tblPr>
      <w:tblGrid>
        <w:gridCol w:w="9921"/>
      </w:tblGrid>
      <w:tr>
        <w:trPr/>
        <w:tc>
          <w:tcPr>
            <w:tcW w:w="9921" w:type="dxa"/>
            <w:tcBorders>
              <w:top w:val="single" w:sz="4" w:space="0" w:color="000000"/>
              <w:start w:val="single" w:sz="4" w:space="0" w:color="000000"/>
              <w:bottom w:val="single" w:sz="4" w:space="0" w:color="000000"/>
              <w:end w:val="single" w:sz="4" w:space="0" w:color="000000"/>
            </w:tcBorders>
            <w:shd w:color="auto" w:fill="auto" w:val="clear"/>
          </w:tcPr>
          <w:p>
            <w:pPr>
              <w:pStyle w:val="Normal"/>
              <w:ind w:firstLine="851"/>
              <w:jc w:val="both"/>
              <w:rPr>
                <w:sz w:val="24"/>
                <w:szCs w:val="24"/>
              </w:rPr>
            </w:pPr>
            <w:r>
              <w:rPr>
                <w:b/>
                <w:sz w:val="24"/>
                <w:szCs w:val="24"/>
              </w:rPr>
              <w:t>CLÁUSULA 5ª - DO PREÇO</w:t>
            </w:r>
          </w:p>
        </w:tc>
      </w:tr>
    </w:tbl>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pPr>
        <w:pStyle w:val="Normal"/>
        <w:ind w:firstLine="851"/>
        <w:jc w:val="both"/>
        <w:rPr>
          <w:b/>
          <w:sz w:val="24"/>
          <w:szCs w:val="24"/>
        </w:rPr>
      </w:pPr>
      <w:r>
        <w:rPr>
          <w:b/>
          <w:sz w:val="24"/>
          <w:szCs w:val="24"/>
        </w:rPr>
      </w:r>
    </w:p>
    <w:tbl>
      <w:tblPr>
        <w:tblW w:w="5000" w:type="pct"/>
        <w:jc w:val="start"/>
        <w:tblInd w:w="103" w:type="dxa"/>
        <w:tblLayout w:type="fixed"/>
        <w:tblCellMar>
          <w:top w:w="0" w:type="dxa"/>
          <w:start w:w="108" w:type="dxa"/>
          <w:bottom w:w="0" w:type="dxa"/>
          <w:end w:w="108" w:type="dxa"/>
        </w:tblCellMar>
        <w:tblLook w:val="0000" w:firstRow="0" w:noVBand="0" w:lastRow="0" w:firstColumn="0" w:lastColumn="0" w:noHBand="0"/>
      </w:tblPr>
      <w:tblGrid>
        <w:gridCol w:w="9921"/>
      </w:tblGrid>
      <w:tr>
        <w:trPr/>
        <w:tc>
          <w:tcPr>
            <w:tcW w:w="9921" w:type="dxa"/>
            <w:tcBorders>
              <w:top w:val="single" w:sz="4" w:space="0" w:color="000000"/>
              <w:start w:val="single" w:sz="4" w:space="0" w:color="000000"/>
              <w:bottom w:val="single" w:sz="4" w:space="0" w:color="000000"/>
              <w:end w:val="single" w:sz="4" w:space="0" w:color="000000"/>
            </w:tcBorders>
            <w:shd w:color="auto" w:fill="auto" w:val="clear"/>
          </w:tcPr>
          <w:p>
            <w:pPr>
              <w:pStyle w:val="Normal"/>
              <w:ind w:firstLine="851"/>
              <w:jc w:val="both"/>
              <w:rPr>
                <w:sz w:val="24"/>
                <w:szCs w:val="24"/>
              </w:rPr>
            </w:pPr>
            <w:r>
              <w:rPr>
                <w:b/>
                <w:sz w:val="24"/>
                <w:szCs w:val="24"/>
              </w:rPr>
              <w:t>CLÁUSULA 6ª - DOS PAGAMENTOS</w:t>
            </w:r>
          </w:p>
        </w:tc>
      </w:tr>
    </w:tbl>
    <w:p>
      <w:pPr>
        <w:pStyle w:val="Normal"/>
        <w:ind w:firstLine="851"/>
        <w:jc w:val="both"/>
        <w:rPr>
          <w:sz w:val="24"/>
          <w:szCs w:val="24"/>
        </w:rPr>
      </w:pPr>
      <w:r>
        <w:rPr>
          <w:sz w:val="24"/>
          <w:szCs w:val="24"/>
        </w:rPr>
      </w:r>
    </w:p>
    <w:p>
      <w:pPr>
        <w:pStyle w:val="Normal"/>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pPr>
        <w:pStyle w:val="Normal"/>
        <w:ind w:firstLine="850"/>
        <w:jc w:val="both"/>
        <w:rPr>
          <w:sz w:val="24"/>
          <w:szCs w:val="24"/>
        </w:rPr>
      </w:pPr>
      <w:r>
        <w:rPr>
          <w:sz w:val="24"/>
          <w:szCs w:val="24"/>
        </w:rPr>
      </w:r>
    </w:p>
    <w:p>
      <w:pPr>
        <w:pStyle w:val="Normal"/>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Obras e Zeladoria,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pPr>
        <w:pStyle w:val="Normal"/>
        <w:ind w:firstLine="850"/>
        <w:jc w:val="both"/>
        <w:rPr>
          <w:sz w:val="24"/>
          <w:szCs w:val="24"/>
        </w:rPr>
      </w:pPr>
      <w:r>
        <w:rPr>
          <w:sz w:val="24"/>
          <w:szCs w:val="24"/>
        </w:rPr>
      </w:r>
    </w:p>
    <w:p>
      <w:pPr>
        <w:pStyle w:val="Normal"/>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pPr>
        <w:pStyle w:val="Normal"/>
        <w:ind w:firstLine="850"/>
        <w:jc w:val="both"/>
        <w:rPr>
          <w:sz w:val="24"/>
          <w:szCs w:val="24"/>
        </w:rPr>
      </w:pPr>
      <w:r>
        <w:rPr>
          <w:sz w:val="24"/>
          <w:szCs w:val="24"/>
        </w:rPr>
        <w:t xml:space="preserve">E-mail para emissão da NF-e: </w:t>
      </w:r>
      <w:hyperlink r:id="rId11">
        <w:r>
          <w:rPr>
            <w:rStyle w:val="Hyperlink"/>
            <w:sz w:val="24"/>
            <w:szCs w:val="24"/>
          </w:rPr>
          <w:t>notafiscal@piracicaba.sp.gov.br</w:t>
        </w:r>
      </w:hyperlink>
    </w:p>
    <w:p>
      <w:pPr>
        <w:pStyle w:val="Normal"/>
        <w:jc w:val="both"/>
        <w:rPr>
          <w:b/>
          <w:sz w:val="24"/>
          <w:szCs w:val="24"/>
        </w:rPr>
      </w:pPr>
      <w:r>
        <w:rPr>
          <w:b/>
          <w:sz w:val="24"/>
          <w:szCs w:val="24"/>
        </w:rPr>
      </w:r>
    </w:p>
    <w:p>
      <w:pPr>
        <w:pStyle w:val="Normal"/>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pPr>
        <w:pStyle w:val="Normal"/>
        <w:ind w:firstLine="850"/>
        <w:jc w:val="both"/>
        <w:rPr>
          <w:sz w:val="24"/>
          <w:szCs w:val="24"/>
        </w:rPr>
      </w:pPr>
      <w:r>
        <w:rPr>
          <w:sz w:val="24"/>
          <w:szCs w:val="24"/>
        </w:rPr>
      </w:r>
    </w:p>
    <w:p>
      <w:pPr>
        <w:pStyle w:val="Normal"/>
        <w:ind w:firstLine="850"/>
        <w:jc w:val="both"/>
        <w:rPr>
          <w:sz w:val="24"/>
          <w:szCs w:val="24"/>
        </w:rPr>
      </w:pPr>
      <w:r>
        <w:rPr>
          <w:b/>
          <w:sz w:val="24"/>
          <w:szCs w:val="24"/>
        </w:rPr>
        <w:t xml:space="preserve">6.3.1. </w:t>
      </w:r>
      <w:r>
        <w:rPr>
          <w:sz w:val="24"/>
          <w:szCs w:val="24"/>
        </w:rPr>
        <w:t>Certidão de Regularidade perante a Fazenda Federal (INSS), com validade em vigor;</w:t>
      </w:r>
    </w:p>
    <w:p>
      <w:pPr>
        <w:pStyle w:val="Normal"/>
        <w:ind w:firstLine="850"/>
        <w:jc w:val="both"/>
        <w:rPr>
          <w:sz w:val="24"/>
          <w:szCs w:val="24"/>
        </w:rPr>
      </w:pPr>
      <w:r>
        <w:rPr>
          <w:sz w:val="24"/>
          <w:szCs w:val="24"/>
        </w:rPr>
      </w:r>
    </w:p>
    <w:p>
      <w:pPr>
        <w:pStyle w:val="Normal"/>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pPr>
        <w:pStyle w:val="Normal"/>
        <w:ind w:firstLine="850"/>
        <w:jc w:val="both"/>
        <w:rPr>
          <w:b/>
          <w:sz w:val="24"/>
          <w:szCs w:val="24"/>
        </w:rPr>
      </w:pPr>
      <w:r>
        <w:rPr>
          <w:b/>
          <w:sz w:val="24"/>
          <w:szCs w:val="24"/>
        </w:rPr>
      </w:r>
    </w:p>
    <w:p>
      <w:pPr>
        <w:pStyle w:val="Normal"/>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pPr>
        <w:pStyle w:val="Normal"/>
        <w:keepLines/>
        <w:ind w:firstLine="850"/>
        <w:jc w:val="both"/>
        <w:rPr>
          <w:sz w:val="24"/>
          <w:szCs w:val="24"/>
        </w:rPr>
      </w:pPr>
      <w:r>
        <w:rPr>
          <w:sz w:val="24"/>
          <w:szCs w:val="24"/>
        </w:rPr>
      </w:r>
    </w:p>
    <w:p>
      <w:pPr>
        <w:pStyle w:val="Normal"/>
        <w:keepLines/>
        <w:ind w:firstLine="850"/>
        <w:jc w:val="both"/>
        <w:rPr>
          <w:sz w:val="24"/>
          <w:szCs w:val="24"/>
        </w:rPr>
      </w:pPr>
      <w:r>
        <w:rPr>
          <w:b/>
          <w:sz w:val="24"/>
          <w:szCs w:val="24"/>
        </w:rPr>
        <w:t>6.3.4.</w:t>
      </w:r>
      <w:r>
        <w:rPr>
          <w:sz w:val="24"/>
          <w:szCs w:val="24"/>
        </w:rPr>
        <w:t xml:space="preserve"> Certidão Negativa de Débitos Trabalhistas (CNDT).</w:t>
      </w:r>
    </w:p>
    <w:p>
      <w:pPr>
        <w:pStyle w:val="Normal"/>
        <w:jc w:val="both"/>
        <w:rPr>
          <w:b/>
          <w:sz w:val="24"/>
          <w:szCs w:val="24"/>
        </w:rPr>
      </w:pPr>
      <w:r>
        <w:rPr>
          <w:b/>
          <w:sz w:val="24"/>
          <w:szCs w:val="24"/>
        </w:rPr>
      </w:r>
    </w:p>
    <w:p>
      <w:pPr>
        <w:pStyle w:val="Normal"/>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pPr>
        <w:pStyle w:val="Normal"/>
        <w:ind w:firstLine="850"/>
        <w:jc w:val="both"/>
        <w:rPr>
          <w:sz w:val="24"/>
          <w:szCs w:val="24"/>
        </w:rPr>
      </w:pPr>
      <w:r>
        <w:rPr>
          <w:sz w:val="24"/>
          <w:szCs w:val="24"/>
        </w:rPr>
      </w:r>
    </w:p>
    <w:p>
      <w:pPr>
        <w:pStyle w:val="Normal"/>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pPr>
        <w:pStyle w:val="Normal"/>
        <w:ind w:firstLine="851"/>
        <w:jc w:val="both"/>
        <w:rPr>
          <w:sz w:val="24"/>
          <w:szCs w:val="24"/>
        </w:rPr>
      </w:pPr>
      <w:r>
        <w:rPr>
          <w:sz w:val="24"/>
          <w:szCs w:val="24"/>
        </w:rPr>
      </w:r>
    </w:p>
    <w:tbl>
      <w:tblPr>
        <w:tblW w:w="8751" w:type="dxa"/>
        <w:jc w:val="start"/>
        <w:tblInd w:w="-14" w:type="dxa"/>
        <w:tblLayout w:type="fixed"/>
        <w:tblCellMar>
          <w:top w:w="0" w:type="dxa"/>
          <w:start w:w="108" w:type="dxa"/>
          <w:bottom w:w="0" w:type="dxa"/>
          <w:end w:w="108" w:type="dxa"/>
        </w:tblCellMar>
        <w:tblLook w:val="0000" w:firstRow="0" w:noVBand="0" w:lastRow="0" w:firstColumn="0" w:lastColumn="0" w:noHBand="0"/>
      </w:tblPr>
      <w:tblGrid>
        <w:gridCol w:w="8751"/>
      </w:tblGrid>
      <w:tr>
        <w:trPr/>
        <w:tc>
          <w:tcPr>
            <w:tcW w:w="8751" w:type="dxa"/>
            <w:tcBorders>
              <w:top w:val="single" w:sz="4" w:space="0" w:color="000000"/>
              <w:start w:val="single" w:sz="4" w:space="0" w:color="000000"/>
              <w:bottom w:val="single" w:sz="4" w:space="0" w:color="000000"/>
              <w:end w:val="single" w:sz="4" w:space="0" w:color="000000"/>
            </w:tcBorders>
            <w:shd w:color="auto" w:fill="auto" w:val="clear"/>
          </w:tcPr>
          <w:p>
            <w:pPr>
              <w:pStyle w:val="Normal"/>
              <w:ind w:firstLine="851"/>
              <w:jc w:val="both"/>
              <w:rPr>
                <w:sz w:val="24"/>
                <w:szCs w:val="24"/>
              </w:rPr>
            </w:pPr>
            <w:r>
              <w:rPr>
                <w:b/>
                <w:sz w:val="24"/>
                <w:szCs w:val="24"/>
              </w:rPr>
              <w:t>CLÁUSULA 7ª - DA FISCALIZAÇÃO</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7.1.</w:t>
      </w:r>
      <w:r>
        <w:rPr>
          <w:sz w:val="24"/>
          <w:szCs w:val="24"/>
        </w:rPr>
        <w:t xml:space="preserve"> A Secretaria Municipal de Obras e Zeladoria são os órgãos credenciados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pPr>
        <w:pStyle w:val="Normal"/>
        <w:ind w:firstLine="851"/>
        <w:jc w:val="both"/>
        <w:rPr>
          <w:b/>
          <w:sz w:val="24"/>
          <w:szCs w:val="24"/>
        </w:rPr>
      </w:pPr>
      <w:r>
        <w:rPr>
          <w:b/>
          <w:sz w:val="24"/>
          <w:szCs w:val="24"/>
        </w:rPr>
      </w:r>
    </w:p>
    <w:tbl>
      <w:tblPr>
        <w:tblW w:w="8751" w:type="dxa"/>
        <w:jc w:val="start"/>
        <w:tblInd w:w="-14" w:type="dxa"/>
        <w:tblLayout w:type="fixed"/>
        <w:tblCellMar>
          <w:top w:w="0" w:type="dxa"/>
          <w:start w:w="108" w:type="dxa"/>
          <w:bottom w:w="0" w:type="dxa"/>
          <w:end w:w="108" w:type="dxa"/>
        </w:tblCellMar>
        <w:tblLook w:val="0000" w:firstRow="0" w:noVBand="0" w:lastRow="0" w:firstColumn="0" w:lastColumn="0" w:noHBand="0"/>
      </w:tblPr>
      <w:tblGrid>
        <w:gridCol w:w="8751"/>
      </w:tblGrid>
      <w:tr>
        <w:trPr/>
        <w:tc>
          <w:tcPr>
            <w:tcW w:w="8751" w:type="dxa"/>
            <w:tcBorders>
              <w:top w:val="single" w:sz="4" w:space="0" w:color="000000"/>
              <w:start w:val="single" w:sz="4" w:space="0" w:color="000000"/>
              <w:bottom w:val="single" w:sz="4" w:space="0" w:color="000000"/>
              <w:end w:val="single" w:sz="4" w:space="0" w:color="000000"/>
            </w:tcBorders>
            <w:shd w:color="auto" w:fill="auto" w:val="clear"/>
          </w:tcPr>
          <w:p>
            <w:pPr>
              <w:pStyle w:val="Normal"/>
              <w:ind w:firstLine="851"/>
              <w:jc w:val="both"/>
              <w:rPr>
                <w:sz w:val="24"/>
                <w:szCs w:val="24"/>
              </w:rPr>
            </w:pPr>
            <w:r>
              <w:rPr>
                <w:b/>
                <w:sz w:val="24"/>
                <w:szCs w:val="24"/>
              </w:rPr>
              <w:t>CLÁUSULA 8ª - DO PRAZO DE VIGÊNCIA</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8.1.</w:t>
      </w:r>
      <w:r>
        <w:rPr>
          <w:sz w:val="24"/>
          <w:szCs w:val="24"/>
        </w:rPr>
        <w:t xml:space="preserve"> O presente contrato terá vigência até                            , a contar da data da Ordem de Fornecimento.</w:t>
      </w:r>
    </w:p>
    <w:p>
      <w:pPr>
        <w:pStyle w:val="Normal"/>
        <w:ind w:firstLine="851"/>
        <w:jc w:val="both"/>
        <w:rPr>
          <w:sz w:val="24"/>
          <w:szCs w:val="24"/>
        </w:rPr>
      </w:pPr>
      <w:r>
        <w:rPr>
          <w:sz w:val="24"/>
          <w:szCs w:val="24"/>
        </w:rPr>
      </w:r>
    </w:p>
    <w:tbl>
      <w:tblPr>
        <w:tblW w:w="8751" w:type="dxa"/>
        <w:jc w:val="start"/>
        <w:tblInd w:w="-14" w:type="dxa"/>
        <w:tblLayout w:type="fixed"/>
        <w:tblCellMar>
          <w:top w:w="0" w:type="dxa"/>
          <w:start w:w="108" w:type="dxa"/>
          <w:bottom w:w="0" w:type="dxa"/>
          <w:end w:w="108" w:type="dxa"/>
        </w:tblCellMar>
        <w:tblLook w:val="0000" w:firstRow="0" w:noVBand="0" w:lastRow="0" w:firstColumn="0" w:lastColumn="0" w:noHBand="0"/>
      </w:tblPr>
      <w:tblGrid>
        <w:gridCol w:w="8751"/>
      </w:tblGrid>
      <w:tr>
        <w:trPr/>
        <w:tc>
          <w:tcPr>
            <w:tcW w:w="8751" w:type="dxa"/>
            <w:tcBorders>
              <w:top w:val="single" w:sz="4" w:space="0" w:color="000000"/>
              <w:start w:val="single" w:sz="4" w:space="0" w:color="000000"/>
              <w:bottom w:val="single" w:sz="4" w:space="0" w:color="000000"/>
              <w:end w:val="single" w:sz="4" w:space="0" w:color="000000"/>
            </w:tcBorders>
            <w:shd w:color="auto" w:fill="auto" w:val="clear"/>
          </w:tcPr>
          <w:p>
            <w:pPr>
              <w:pStyle w:val="Normal"/>
              <w:ind w:firstLine="851"/>
              <w:jc w:val="both"/>
              <w:rPr>
                <w:sz w:val="24"/>
                <w:szCs w:val="24"/>
              </w:rPr>
            </w:pPr>
            <w:r>
              <w:rPr>
                <w:b/>
                <w:sz w:val="24"/>
                <w:szCs w:val="24"/>
              </w:rPr>
              <w:t>CLÁUSULA 9ª - DA EXTINÇÃO DO CONTRATO</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 e suas alterações.</w:t>
      </w:r>
    </w:p>
    <w:p>
      <w:pPr>
        <w:pStyle w:val="Normal"/>
        <w:ind w:firstLine="851"/>
        <w:jc w:val="both"/>
        <w:rPr>
          <w:sz w:val="24"/>
          <w:szCs w:val="24"/>
        </w:rPr>
      </w:pPr>
      <w:r>
        <w:rPr>
          <w:sz w:val="24"/>
          <w:szCs w:val="24"/>
        </w:rPr>
      </w:r>
    </w:p>
    <w:tbl>
      <w:tblPr>
        <w:tblW w:w="8751" w:type="dxa"/>
        <w:jc w:val="start"/>
        <w:tblInd w:w="-14" w:type="dxa"/>
        <w:tblLayout w:type="fixed"/>
        <w:tblCellMar>
          <w:top w:w="0" w:type="dxa"/>
          <w:start w:w="108" w:type="dxa"/>
          <w:bottom w:w="0" w:type="dxa"/>
          <w:end w:w="108" w:type="dxa"/>
        </w:tblCellMar>
        <w:tblLook w:val="0000" w:firstRow="0" w:noVBand="0" w:lastRow="0" w:firstColumn="0" w:lastColumn="0" w:noHBand="0"/>
      </w:tblPr>
      <w:tblGrid>
        <w:gridCol w:w="8751"/>
      </w:tblGrid>
      <w:tr>
        <w:trPr/>
        <w:tc>
          <w:tcPr>
            <w:tcW w:w="8751" w:type="dxa"/>
            <w:tcBorders>
              <w:top w:val="single" w:sz="4" w:space="0" w:color="000000"/>
              <w:start w:val="single" w:sz="4" w:space="0" w:color="000000"/>
              <w:bottom w:val="single" w:sz="4" w:space="0" w:color="000000"/>
              <w:end w:val="single" w:sz="4" w:space="0" w:color="000000"/>
            </w:tcBorders>
            <w:shd w:color="auto" w:fill="auto" w:val="clear"/>
          </w:tcPr>
          <w:p>
            <w:pPr>
              <w:pStyle w:val="Normal"/>
              <w:ind w:firstLine="851"/>
              <w:jc w:val="both"/>
              <w:rPr>
                <w:sz w:val="24"/>
                <w:szCs w:val="24"/>
              </w:rPr>
            </w:pPr>
            <w:r>
              <w:rPr>
                <w:b/>
                <w:sz w:val="24"/>
                <w:szCs w:val="24"/>
              </w:rPr>
              <w:t>CLÁUSULA 10. - DO RECEBIMENTO</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10.1.</w:t>
      </w:r>
      <w:r>
        <w:rPr>
          <w:sz w:val="24"/>
          <w:szCs w:val="24"/>
        </w:rPr>
        <w:t xml:space="preserve"> O objeto deste contrato será recebido por servidor a ser designado para o ato do recebimento, da seguinte forma:</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 xml:space="preserve">10.2. </w:t>
      </w:r>
      <w:r>
        <w:rPr>
          <w:sz w:val="24"/>
          <w:szCs w:val="24"/>
        </w:rPr>
        <w:t>O recebimento de que trata este item far-se-á mediante recibo.</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pPr>
        <w:pStyle w:val="Normal"/>
        <w:jc w:val="both"/>
        <w:rPr>
          <w:sz w:val="24"/>
          <w:szCs w:val="24"/>
        </w:rPr>
      </w:pPr>
      <w:r>
        <w:rPr>
          <w:sz w:val="24"/>
          <w:szCs w:val="24"/>
        </w:rPr>
      </w:r>
    </w:p>
    <w:tbl>
      <w:tblPr>
        <w:tblW w:w="8751" w:type="dxa"/>
        <w:jc w:val="start"/>
        <w:tblInd w:w="-14" w:type="dxa"/>
        <w:tblLayout w:type="fixed"/>
        <w:tblCellMar>
          <w:top w:w="0" w:type="dxa"/>
          <w:start w:w="108" w:type="dxa"/>
          <w:bottom w:w="0" w:type="dxa"/>
          <w:end w:w="108" w:type="dxa"/>
        </w:tblCellMar>
        <w:tblLook w:val="0000" w:firstRow="0" w:noVBand="0" w:lastRow="0" w:firstColumn="0" w:lastColumn="0" w:noHBand="0"/>
      </w:tblPr>
      <w:tblGrid>
        <w:gridCol w:w="8751"/>
      </w:tblGrid>
      <w:tr>
        <w:trPr/>
        <w:tc>
          <w:tcPr>
            <w:tcW w:w="8751" w:type="dxa"/>
            <w:tcBorders>
              <w:top w:val="single" w:sz="4" w:space="0" w:color="000000"/>
              <w:start w:val="single" w:sz="4" w:space="0" w:color="000000"/>
              <w:bottom w:val="single" w:sz="4" w:space="0" w:color="000000"/>
              <w:end w:val="single" w:sz="4" w:space="0" w:color="000000"/>
            </w:tcBorders>
            <w:shd w:color="auto" w:fill="auto" w:val="clear"/>
          </w:tcPr>
          <w:p>
            <w:pPr>
              <w:pStyle w:val="Normal"/>
              <w:keepLines/>
              <w:ind w:firstLine="851"/>
              <w:jc w:val="both"/>
              <w:rPr>
                <w:sz w:val="24"/>
                <w:szCs w:val="24"/>
              </w:rPr>
            </w:pPr>
            <w:r>
              <w:rPr>
                <w:b/>
                <w:sz w:val="24"/>
                <w:szCs w:val="24"/>
              </w:rPr>
              <w:t>CLÁUSULA 11. - DAS SANÇÕES ADMINISTRATIVAS</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w:t>
      </w:r>
      <w:r>
        <w:rPr>
          <w:sz w:val="24"/>
          <w:szCs w:val="24"/>
        </w:rPr>
        <w:t xml:space="preserve"> Comete infração administrativa, nos termos da lei, o licitante que, com dolo ou culpa: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11.1.2.1.</w:t>
      </w:r>
      <w:r>
        <w:rPr>
          <w:sz w:val="24"/>
          <w:szCs w:val="24"/>
        </w:rPr>
        <w:t xml:space="preserve"> Não enviar a proposta adequada ao último lance ofertado ou após a negociação;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11.1.2.2.</w:t>
      </w:r>
      <w:r>
        <w:rPr>
          <w:sz w:val="24"/>
          <w:szCs w:val="24"/>
        </w:rPr>
        <w:t xml:space="preserve"> Recusar-se a enviar o detalhamento da proposta quando exigível;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11.1.2.3.</w:t>
      </w:r>
      <w:r>
        <w:rPr>
          <w:sz w:val="24"/>
          <w:szCs w:val="24"/>
        </w:rPr>
        <w:t xml:space="preserve"> Pedir para ser desclassificado quando encerrada a etapa competitiva; </w:t>
      </w:r>
    </w:p>
    <w:p>
      <w:pPr>
        <w:pStyle w:val="Normal"/>
        <w:jc w:val="both"/>
        <w:rPr>
          <w:sz w:val="24"/>
          <w:szCs w:val="24"/>
        </w:rPr>
      </w:pPr>
      <w:r>
        <w:rPr>
          <w:sz w:val="24"/>
          <w:szCs w:val="24"/>
        </w:rPr>
      </w:r>
    </w:p>
    <w:p>
      <w:pPr>
        <w:pStyle w:val="Normal"/>
        <w:ind w:firstLine="851"/>
        <w:jc w:val="both"/>
        <w:rPr>
          <w:sz w:val="24"/>
          <w:szCs w:val="24"/>
        </w:rPr>
      </w:pPr>
      <w:r>
        <w:rPr>
          <w:b/>
          <w:sz w:val="24"/>
          <w:szCs w:val="24"/>
        </w:rPr>
        <w:t>11.1.2.4.</w:t>
      </w:r>
      <w:r>
        <w:rPr>
          <w:sz w:val="24"/>
          <w:szCs w:val="24"/>
        </w:rPr>
        <w:t xml:space="preserve"> Deixar de apresentar amostra;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11.1.2.5</w:t>
      </w:r>
      <w:r>
        <w:rPr>
          <w:sz w:val="24"/>
          <w:szCs w:val="24"/>
        </w:rPr>
        <w:t xml:space="preserve">. Apresentar proposta ou amostra em desacordo com as especificações do edital;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11.1.5.</w:t>
      </w:r>
      <w:r>
        <w:rPr>
          <w:sz w:val="24"/>
          <w:szCs w:val="24"/>
        </w:rPr>
        <w:t xml:space="preserve"> Fraudar a licitação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11.1.6.1.</w:t>
      </w:r>
      <w:r>
        <w:rPr>
          <w:sz w:val="24"/>
          <w:szCs w:val="24"/>
        </w:rPr>
        <w:t xml:space="preserve"> Agir em conluio ou em desconformidade com a lei;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11.1.6.2.</w:t>
      </w:r>
      <w:r>
        <w:rPr>
          <w:sz w:val="24"/>
          <w:szCs w:val="24"/>
        </w:rPr>
        <w:t xml:space="preserve"> Induzir deliberadamente a erro no julgamento;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11.1.6.3.</w:t>
      </w:r>
      <w:r>
        <w:rPr>
          <w:sz w:val="24"/>
          <w:szCs w:val="24"/>
        </w:rPr>
        <w:t xml:space="preserve"> Apresentar amostra falsificada ou deteriorada;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11.1.7.</w:t>
      </w:r>
      <w:r>
        <w:rPr>
          <w:sz w:val="24"/>
          <w:szCs w:val="24"/>
        </w:rPr>
        <w:t xml:space="preserve"> Praticar atos ilícitos com vistas a frustrar os objetivos da licitação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11.1.8.</w:t>
      </w:r>
      <w:r>
        <w:rPr>
          <w:sz w:val="24"/>
          <w:szCs w:val="24"/>
        </w:rPr>
        <w:t xml:space="preserve"> Praticar ato lesivo previsto no art. 5º da Lei n.º 12.846, de 2013. </w:t>
      </w:r>
    </w:p>
    <w:p>
      <w:pPr>
        <w:pStyle w:val="Normal"/>
        <w:ind w:firstLine="851"/>
        <w:jc w:val="both"/>
        <w:rPr>
          <w:sz w:val="16"/>
          <w:szCs w:val="16"/>
        </w:rPr>
      </w:pPr>
      <w:r>
        <w:rPr>
          <w:sz w:val="16"/>
          <w:szCs w:val="16"/>
        </w:rPr>
      </w:r>
    </w:p>
    <w:p>
      <w:pPr>
        <w:pStyle w:val="Normal"/>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pPr>
        <w:pStyle w:val="Normal"/>
        <w:ind w:firstLine="851"/>
        <w:jc w:val="both"/>
        <w:rPr>
          <w:b/>
          <w:sz w:val="16"/>
          <w:szCs w:val="16"/>
        </w:rPr>
      </w:pPr>
      <w:r>
        <w:rPr>
          <w:b/>
          <w:sz w:val="16"/>
          <w:szCs w:val="16"/>
        </w:rPr>
      </w:r>
    </w:p>
    <w:p>
      <w:pPr>
        <w:pStyle w:val="Normal"/>
        <w:ind w:firstLine="851"/>
        <w:jc w:val="both"/>
        <w:rPr>
          <w:sz w:val="24"/>
          <w:szCs w:val="24"/>
        </w:rPr>
      </w:pPr>
      <w:r>
        <w:rPr>
          <w:b/>
          <w:sz w:val="24"/>
          <w:szCs w:val="24"/>
        </w:rPr>
        <w:t>11.3.1.</w:t>
      </w:r>
      <w:r>
        <w:rPr>
          <w:sz w:val="24"/>
          <w:szCs w:val="24"/>
        </w:rPr>
        <w:t xml:space="preserve"> Advertência; </w:t>
      </w:r>
    </w:p>
    <w:p>
      <w:pPr>
        <w:pStyle w:val="Normal"/>
        <w:ind w:firstLine="851"/>
        <w:jc w:val="both"/>
        <w:rPr>
          <w:sz w:val="16"/>
          <w:szCs w:val="16"/>
        </w:rPr>
      </w:pPr>
      <w:r>
        <w:rPr>
          <w:sz w:val="16"/>
          <w:szCs w:val="16"/>
        </w:rPr>
      </w:r>
    </w:p>
    <w:p>
      <w:pPr>
        <w:pStyle w:val="Normal"/>
        <w:ind w:firstLine="851"/>
        <w:jc w:val="both"/>
        <w:rPr>
          <w:sz w:val="24"/>
          <w:szCs w:val="24"/>
        </w:rPr>
      </w:pPr>
      <w:r>
        <w:rPr>
          <w:b/>
          <w:sz w:val="24"/>
          <w:szCs w:val="24"/>
        </w:rPr>
        <w:t>11.3.2.</w:t>
      </w:r>
      <w:r>
        <w:rPr>
          <w:sz w:val="24"/>
          <w:szCs w:val="24"/>
        </w:rPr>
        <w:t xml:space="preserve"> Multa de mora;</w:t>
      </w:r>
    </w:p>
    <w:p>
      <w:pPr>
        <w:pStyle w:val="Normal"/>
        <w:ind w:firstLine="851"/>
        <w:jc w:val="both"/>
        <w:rPr>
          <w:sz w:val="16"/>
          <w:szCs w:val="16"/>
        </w:rPr>
      </w:pPr>
      <w:r>
        <w:rPr>
          <w:sz w:val="16"/>
          <w:szCs w:val="16"/>
        </w:rPr>
      </w:r>
    </w:p>
    <w:p>
      <w:pPr>
        <w:pStyle w:val="Normal"/>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pPr>
        <w:pStyle w:val="Normal"/>
        <w:ind w:firstLine="851"/>
        <w:jc w:val="both"/>
        <w:rPr>
          <w:sz w:val="16"/>
          <w:szCs w:val="16"/>
        </w:rPr>
      </w:pPr>
      <w:r>
        <w:rPr>
          <w:sz w:val="16"/>
          <w:szCs w:val="16"/>
        </w:rPr>
      </w:r>
    </w:p>
    <w:p>
      <w:pPr>
        <w:pStyle w:val="Normal"/>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11.3.2.5.</w:t>
      </w:r>
      <w:r>
        <w:rPr>
          <w:sz w:val="24"/>
          <w:szCs w:val="24"/>
        </w:rPr>
        <w:t xml:space="preserve"> Multa de 20% (vinte por cento) sobre o valor total do contrato, no caso recusa injustificada de assinar/receber o contrato.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11.5.</w:t>
      </w:r>
      <w:r>
        <w:rPr>
          <w:sz w:val="24"/>
          <w:szCs w:val="24"/>
        </w:rPr>
        <w:t xml:space="preserve"> Os prazos para defesa prévia serão de 15 (quinze) dias úteis. </w:t>
      </w:r>
    </w:p>
    <w:p>
      <w:pPr>
        <w:pStyle w:val="Normal"/>
        <w:ind w:firstLine="851"/>
        <w:jc w:val="both"/>
        <w:rPr>
          <w:b/>
          <w:sz w:val="16"/>
          <w:szCs w:val="16"/>
        </w:rPr>
      </w:pPr>
      <w:r>
        <w:rPr>
          <w:b/>
          <w:sz w:val="16"/>
          <w:szCs w:val="16"/>
        </w:rPr>
      </w:r>
    </w:p>
    <w:p>
      <w:pPr>
        <w:pStyle w:val="Normal"/>
        <w:ind w:firstLine="851"/>
        <w:jc w:val="both"/>
        <w:rPr>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pPr>
        <w:pStyle w:val="Normal"/>
        <w:ind w:firstLine="851"/>
        <w:jc w:val="both"/>
        <w:rPr>
          <w:sz w:val="24"/>
          <w:szCs w:val="24"/>
        </w:rPr>
      </w:pPr>
      <w:r>
        <w:rPr>
          <w:sz w:val="24"/>
          <w:szCs w:val="24"/>
        </w:rPr>
      </w:r>
    </w:p>
    <w:p>
      <w:pPr>
        <w:pStyle w:val="Normal"/>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pPr>
        <w:pStyle w:val="Normal"/>
        <w:ind w:firstLine="851"/>
        <w:jc w:val="both"/>
        <w:rPr>
          <w:sz w:val="24"/>
          <w:szCs w:val="24"/>
        </w:rPr>
      </w:pPr>
      <w:r>
        <w:rPr>
          <w:sz w:val="24"/>
          <w:szCs w:val="24"/>
        </w:rPr>
      </w:r>
    </w:p>
    <w:tbl>
      <w:tblPr>
        <w:tblW w:w="5000" w:type="pct"/>
        <w:jc w:val="start"/>
        <w:tblInd w:w="103" w:type="dxa"/>
        <w:tblLayout w:type="fixed"/>
        <w:tblCellMar>
          <w:top w:w="0" w:type="dxa"/>
          <w:start w:w="108" w:type="dxa"/>
          <w:bottom w:w="0" w:type="dxa"/>
          <w:end w:w="108" w:type="dxa"/>
        </w:tblCellMar>
        <w:tblLook w:val="0000" w:firstRow="0" w:noVBand="0" w:lastRow="0" w:firstColumn="0" w:lastColumn="0" w:noHBand="0"/>
      </w:tblPr>
      <w:tblGrid>
        <w:gridCol w:w="9921"/>
      </w:tblGrid>
      <w:tr>
        <w:trPr/>
        <w:tc>
          <w:tcPr>
            <w:tcW w:w="9921" w:type="dxa"/>
            <w:tcBorders>
              <w:top w:val="single" w:sz="4" w:space="0" w:color="000000"/>
              <w:start w:val="single" w:sz="4" w:space="0" w:color="000000"/>
              <w:bottom w:val="single" w:sz="4" w:space="0" w:color="000000"/>
              <w:end w:val="single" w:sz="4" w:space="0" w:color="000000"/>
            </w:tcBorders>
            <w:shd w:color="auto" w:fill="auto" w:val="clear"/>
          </w:tcPr>
          <w:p>
            <w:pPr>
              <w:pStyle w:val="Normal"/>
              <w:ind w:firstLine="851"/>
              <w:jc w:val="both"/>
              <w:rPr>
                <w:sz w:val="24"/>
                <w:szCs w:val="24"/>
              </w:rPr>
            </w:pPr>
            <w:r>
              <w:rPr>
                <w:b/>
                <w:sz w:val="24"/>
                <w:szCs w:val="24"/>
              </w:rPr>
              <w:t>CLÁUSULA 12. - DAS MEDIDAS ANTICORRUPÇÃO</w:t>
            </w:r>
          </w:p>
        </w:tc>
      </w:tr>
    </w:tbl>
    <w:p>
      <w:pPr>
        <w:pStyle w:val="Normal"/>
        <w:rPr>
          <w:b/>
          <w:sz w:val="24"/>
          <w:szCs w:val="24"/>
        </w:rPr>
      </w:pPr>
      <w:r>
        <w:rPr>
          <w:b/>
          <w:sz w:val="24"/>
          <w:szCs w:val="24"/>
        </w:rPr>
      </w:r>
    </w:p>
    <w:p>
      <w:pPr>
        <w:pStyle w:val="Normal"/>
        <w:ind w:firstLine="850"/>
        <w:jc w:val="both"/>
        <w:rPr>
          <w:sz w:val="24"/>
          <w:szCs w:val="24"/>
        </w:rPr>
      </w:pPr>
      <w:r>
        <w:rPr>
          <w:b/>
          <w:sz w:val="24"/>
          <w:szCs w:val="24"/>
          <w:shd w:fill="FFFFFF" w:val="clear"/>
        </w:rPr>
        <w:t>12.1.</w:t>
      </w:r>
      <w:r>
        <w:rPr>
          <w:sz w:val="24"/>
          <w:szCs w:val="24"/>
          <w:shd w:fill="FFFFFF" w:val="clear"/>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pPr>
        <w:pStyle w:val="Normal"/>
        <w:jc w:val="both"/>
        <w:rPr>
          <w:sz w:val="24"/>
          <w:szCs w:val="24"/>
        </w:rPr>
      </w:pPr>
      <w:r>
        <w:rPr>
          <w:sz w:val="24"/>
          <w:szCs w:val="24"/>
        </w:rPr>
      </w:r>
    </w:p>
    <w:tbl>
      <w:tblPr>
        <w:tblW w:w="5000" w:type="pct"/>
        <w:jc w:val="start"/>
        <w:tblInd w:w="103" w:type="dxa"/>
        <w:tblLayout w:type="fixed"/>
        <w:tblCellMar>
          <w:top w:w="0" w:type="dxa"/>
          <w:start w:w="108" w:type="dxa"/>
          <w:bottom w:w="0" w:type="dxa"/>
          <w:end w:w="108" w:type="dxa"/>
        </w:tblCellMar>
        <w:tblLook w:val="0000" w:firstRow="0" w:noVBand="0" w:lastRow="0" w:firstColumn="0" w:lastColumn="0" w:noHBand="0"/>
      </w:tblPr>
      <w:tblGrid>
        <w:gridCol w:w="9921"/>
      </w:tblGrid>
      <w:tr>
        <w:trPr/>
        <w:tc>
          <w:tcPr>
            <w:tcW w:w="9921" w:type="dxa"/>
            <w:tcBorders>
              <w:top w:val="single" w:sz="4" w:space="0" w:color="000000"/>
              <w:start w:val="single" w:sz="4" w:space="0" w:color="000000"/>
              <w:bottom w:val="single" w:sz="4" w:space="0" w:color="000000"/>
              <w:end w:val="single" w:sz="4" w:space="0" w:color="000000"/>
            </w:tcBorders>
            <w:shd w:color="auto" w:fill="auto" w:val="clear"/>
          </w:tcPr>
          <w:p>
            <w:pPr>
              <w:pStyle w:val="Normal"/>
              <w:ind w:firstLine="851"/>
              <w:jc w:val="both"/>
              <w:rPr>
                <w:sz w:val="24"/>
                <w:szCs w:val="24"/>
              </w:rPr>
            </w:pPr>
            <w:r>
              <w:rPr>
                <w:b/>
                <w:sz w:val="24"/>
                <w:szCs w:val="24"/>
              </w:rPr>
              <w:t>CLÁUSULA 13. - DAS DISPOSIÇÕES FINAIS</w:t>
            </w:r>
          </w:p>
        </w:tc>
      </w:tr>
    </w:tbl>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pPr>
        <w:pStyle w:val="Normal"/>
        <w:ind w:firstLine="851"/>
        <w:jc w:val="both"/>
        <w:rPr>
          <w:sz w:val="24"/>
          <w:szCs w:val="24"/>
        </w:rPr>
      </w:pPr>
      <w:r>
        <w:rPr>
          <w:sz w:val="24"/>
          <w:szCs w:val="24"/>
        </w:rPr>
      </w:r>
    </w:p>
    <w:p>
      <w:pPr>
        <w:pStyle w:val="Normal"/>
        <w:keepLines/>
        <w:ind w:firstLine="851"/>
        <w:jc w:val="both"/>
        <w:rPr>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pPr>
        <w:pStyle w:val="Normal"/>
        <w:keepLines/>
        <w:ind w:firstLine="851"/>
        <w:jc w:val="both"/>
        <w:rPr>
          <w:b/>
          <w:sz w:val="24"/>
          <w:szCs w:val="24"/>
        </w:rPr>
      </w:pPr>
      <w:r>
        <w:rPr>
          <w:b/>
          <w:sz w:val="24"/>
          <w:szCs w:val="24"/>
        </w:rPr>
      </w:r>
    </w:p>
    <w:p>
      <w:pPr>
        <w:pStyle w:val="Normal"/>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pPr>
        <w:pStyle w:val="Normal"/>
        <w:keepLines/>
        <w:ind w:firstLine="851"/>
        <w:jc w:val="both"/>
        <w:rPr>
          <w:sz w:val="24"/>
          <w:szCs w:val="24"/>
        </w:rPr>
      </w:pPr>
      <w:r>
        <w:rPr>
          <w:sz w:val="24"/>
          <w:szCs w:val="24"/>
        </w:rPr>
      </w:r>
    </w:p>
    <w:p>
      <w:pPr>
        <w:pStyle w:val="Normal"/>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pPr>
        <w:pStyle w:val="Normal"/>
        <w:keepLines/>
        <w:ind w:firstLine="851"/>
        <w:jc w:val="both"/>
        <w:rPr>
          <w:sz w:val="24"/>
          <w:szCs w:val="24"/>
        </w:rPr>
      </w:pPr>
      <w:r>
        <w:rPr>
          <w:sz w:val="24"/>
          <w:szCs w:val="24"/>
        </w:rPr>
      </w:r>
    </w:p>
    <w:p>
      <w:pPr>
        <w:pStyle w:val="Normal"/>
        <w:keepLines/>
        <w:ind w:firstLine="851"/>
        <w:jc w:val="both"/>
        <w:rPr>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pPr>
        <w:pStyle w:val="Normal"/>
        <w:keepLines/>
        <w:jc w:val="both"/>
        <w:rPr>
          <w:b/>
          <w:sz w:val="24"/>
          <w:szCs w:val="24"/>
        </w:rPr>
      </w:pPr>
      <w:r>
        <w:rPr>
          <w:b/>
          <w:sz w:val="24"/>
          <w:szCs w:val="24"/>
        </w:rPr>
      </w:r>
    </w:p>
    <w:p>
      <w:pPr>
        <w:pStyle w:val="Normal"/>
        <w:ind w:firstLine="851"/>
        <w:jc w:val="both"/>
        <w:rPr>
          <w:sz w:val="24"/>
          <w:szCs w:val="24"/>
        </w:rPr>
      </w:pPr>
      <w:r>
        <w:rPr>
          <w:b/>
          <w:sz w:val="24"/>
          <w:szCs w:val="24"/>
        </w:rPr>
        <w:t xml:space="preserve">13.6. </w:t>
      </w:r>
      <w:r>
        <w:rPr>
          <w:sz w:val="24"/>
          <w:szCs w:val="24"/>
        </w:rPr>
        <w:t>É vedada a subcontratação.</w:t>
      </w:r>
    </w:p>
    <w:p>
      <w:pPr>
        <w:pStyle w:val="Normal"/>
        <w:ind w:firstLine="851"/>
        <w:jc w:val="both"/>
        <w:rPr>
          <w:b/>
          <w:sz w:val="24"/>
          <w:szCs w:val="24"/>
        </w:rPr>
      </w:pPr>
      <w:r>
        <w:rPr>
          <w:b/>
          <w:sz w:val="24"/>
          <w:szCs w:val="24"/>
        </w:rPr>
      </w:r>
    </w:p>
    <w:p>
      <w:pPr>
        <w:pStyle w:val="Normal"/>
        <w:ind w:firstLine="851"/>
        <w:jc w:val="both"/>
        <w:rPr>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pPr>
        <w:pStyle w:val="Normal"/>
        <w:keepLines/>
        <w:jc w:val="both"/>
        <w:rPr>
          <w:b/>
          <w:sz w:val="24"/>
          <w:szCs w:val="24"/>
        </w:rPr>
      </w:pPr>
      <w:r>
        <w:rPr>
          <w:b/>
          <w:sz w:val="24"/>
          <w:szCs w:val="24"/>
        </w:rPr>
      </w:r>
    </w:p>
    <w:p>
      <w:pPr>
        <w:pStyle w:val="Normal"/>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pPr>
        <w:pStyle w:val="Normal"/>
        <w:keepLines/>
        <w:ind w:firstLine="851"/>
        <w:jc w:val="both"/>
        <w:rPr>
          <w:sz w:val="24"/>
          <w:szCs w:val="24"/>
        </w:rPr>
      </w:pPr>
      <w:r>
        <w:rPr>
          <w:sz w:val="24"/>
          <w:szCs w:val="24"/>
        </w:rPr>
      </w:r>
    </w:p>
    <w:p>
      <w:pPr>
        <w:pStyle w:val="Normal"/>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pPr>
        <w:pStyle w:val="Normal"/>
        <w:ind w:firstLine="851"/>
        <w:jc w:val="both"/>
        <w:rPr>
          <w:sz w:val="24"/>
          <w:szCs w:val="24"/>
        </w:rPr>
      </w:pPr>
      <w:r>
        <w:rPr>
          <w:sz w:val="24"/>
          <w:szCs w:val="24"/>
        </w:rPr>
      </w:r>
    </w:p>
    <w:p>
      <w:pPr>
        <w:pStyle w:val="Normal"/>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pPr>
        <w:pStyle w:val="Normal"/>
        <w:ind w:firstLine="851"/>
        <w:jc w:val="both"/>
        <w:rPr>
          <w:sz w:val="24"/>
          <w:szCs w:val="24"/>
        </w:rPr>
      </w:pPr>
      <w:r>
        <w:rPr>
          <w:sz w:val="24"/>
          <w:szCs w:val="24"/>
        </w:rPr>
      </w:r>
    </w:p>
    <w:p>
      <w:pPr>
        <w:pStyle w:val="Normal"/>
        <w:ind w:firstLine="851"/>
        <w:jc w:val="both"/>
        <w:rPr>
          <w:sz w:val="24"/>
          <w:szCs w:val="24"/>
        </w:rPr>
      </w:pPr>
      <w:r>
        <w:rPr>
          <w:sz w:val="24"/>
          <w:szCs w:val="24"/>
        </w:rPr>
        <w:t>Piracicaba, ..... de ........................... de 2026.</w:t>
      </w:r>
    </w:p>
    <w:p>
      <w:pPr>
        <w:pStyle w:val="Normal"/>
        <w:jc w:val="both"/>
        <w:rPr>
          <w:sz w:val="24"/>
          <w:szCs w:val="24"/>
        </w:rPr>
      </w:pPr>
      <w:r>
        <w:rPr>
          <w:sz w:val="24"/>
          <w:szCs w:val="24"/>
        </w:rPr>
      </w:r>
    </w:p>
    <w:tbl>
      <w:tblPr>
        <w:tblW w:w="5000" w:type="pct"/>
        <w:jc w:val="start"/>
        <w:tblInd w:w="103" w:type="dxa"/>
        <w:tblLayout w:type="fixed"/>
        <w:tblCellMar>
          <w:top w:w="0" w:type="dxa"/>
          <w:start w:w="108" w:type="dxa"/>
          <w:bottom w:w="0" w:type="dxa"/>
          <w:end w:w="108" w:type="dxa"/>
        </w:tblCellMar>
        <w:tblLook w:val="0000" w:firstRow="0" w:noVBand="0" w:lastRow="0" w:firstColumn="0" w:lastColumn="0" w:noHBand="0"/>
      </w:tblPr>
      <w:tblGrid>
        <w:gridCol w:w="4800"/>
        <w:gridCol w:w="321"/>
        <w:gridCol w:w="4800"/>
      </w:tblGrid>
      <w:tr>
        <w:trPr/>
        <w:tc>
          <w:tcPr>
            <w:tcW w:w="4800" w:type="dxa"/>
            <w:tcBorders>
              <w:top w:val="single" w:sz="4" w:space="0" w:color="000000"/>
              <w:start w:val="single" w:sz="4" w:space="0" w:color="000000"/>
              <w:bottom w:val="single" w:sz="4" w:space="0" w:color="000000"/>
            </w:tcBorders>
            <w:shd w:color="auto" w:fill="auto" w:val="clear"/>
          </w:tcPr>
          <w:p>
            <w:pPr>
              <w:pStyle w:val="Normal"/>
              <w:snapToGrid w:val="false"/>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rPr>
                <w:b/>
                <w:sz w:val="24"/>
                <w:szCs w:val="24"/>
              </w:rPr>
            </w:pPr>
            <w:r>
              <w:rPr>
                <w:b/>
                <w:sz w:val="24"/>
                <w:szCs w:val="24"/>
              </w:rPr>
            </w:r>
          </w:p>
          <w:p>
            <w:pPr>
              <w:pStyle w:val="Normal"/>
              <w:rPr>
                <w:b/>
                <w:sz w:val="24"/>
                <w:szCs w:val="24"/>
              </w:rPr>
            </w:pPr>
            <w:r>
              <w:rPr>
                <w:b/>
                <w:sz w:val="24"/>
                <w:szCs w:val="24"/>
              </w:rPr>
            </w:r>
          </w:p>
          <w:p>
            <w:pPr>
              <w:pStyle w:val="Normal"/>
              <w:jc w:val="center"/>
              <w:rPr>
                <w:sz w:val="24"/>
                <w:szCs w:val="24"/>
              </w:rPr>
            </w:pPr>
            <w:r>
              <w:rPr>
                <w:b/>
                <w:sz w:val="24"/>
                <w:szCs w:val="24"/>
              </w:rPr>
              <w:t>::: AUTORIDADE :::</w:t>
            </w:r>
          </w:p>
          <w:p>
            <w:pPr>
              <w:pStyle w:val="Normal"/>
              <w:jc w:val="center"/>
              <w:rPr>
                <w:sz w:val="24"/>
                <w:szCs w:val="24"/>
              </w:rPr>
            </w:pPr>
            <w:r>
              <w:rPr>
                <w:b/>
                <w:sz w:val="24"/>
                <w:szCs w:val="24"/>
              </w:rPr>
              <w:t>Secretário(a) Municipal de ....</w:t>
            </w:r>
          </w:p>
        </w:tc>
        <w:tc>
          <w:tcPr>
            <w:tcW w:w="321" w:type="dxa"/>
            <w:tcBorders>
              <w:start w:val="single" w:sz="4" w:space="0" w:color="000000"/>
            </w:tcBorders>
            <w:shd w:color="auto" w:fill="auto" w:val="clear"/>
          </w:tcPr>
          <w:p>
            <w:pPr>
              <w:pStyle w:val="Normal"/>
              <w:snapToGrid w:val="false"/>
              <w:jc w:val="both"/>
              <w:rPr>
                <w:sz w:val="24"/>
                <w:szCs w:val="24"/>
              </w:rPr>
            </w:pPr>
            <w:r>
              <w:rPr>
                <w:sz w:val="24"/>
                <w:szCs w:val="24"/>
              </w:rPr>
            </w:r>
          </w:p>
        </w:tc>
        <w:tc>
          <w:tcPr>
            <w:tcW w:w="4800" w:type="dxa"/>
            <w:tcBorders>
              <w:top w:val="single" w:sz="4" w:space="0" w:color="000000"/>
              <w:start w:val="single" w:sz="4" w:space="0" w:color="000000"/>
              <w:bottom w:val="single" w:sz="4" w:space="0" w:color="000000"/>
              <w:end w:val="single" w:sz="4" w:space="0" w:color="000000"/>
            </w:tcBorders>
            <w:shd w:color="auto" w:fill="auto" w:val="clear"/>
          </w:tcPr>
          <w:p>
            <w:pPr>
              <w:pStyle w:val="Normal"/>
              <w:snapToGrid w:val="false"/>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rPr>
                <w:b/>
                <w:sz w:val="24"/>
                <w:szCs w:val="24"/>
              </w:rPr>
            </w:pPr>
            <w:r>
              <w:rPr>
                <w:b/>
                <w:sz w:val="24"/>
                <w:szCs w:val="24"/>
              </w:rPr>
            </w:r>
          </w:p>
          <w:p>
            <w:pPr>
              <w:pStyle w:val="Normal"/>
              <w:jc w:val="center"/>
              <w:rPr>
                <w:sz w:val="24"/>
                <w:szCs w:val="24"/>
              </w:rPr>
            </w:pPr>
            <w:r>
              <w:rPr>
                <w:b/>
                <w:sz w:val="24"/>
                <w:szCs w:val="24"/>
              </w:rPr>
              <w:t>::: EMPRESA CONTRATADA :::</w:t>
            </w:r>
          </w:p>
          <w:p>
            <w:pPr>
              <w:pStyle w:val="Normal"/>
              <w:jc w:val="center"/>
              <w:rPr>
                <w:sz w:val="24"/>
                <w:szCs w:val="24"/>
              </w:rPr>
            </w:pPr>
            <w:r>
              <w:rPr>
                <w:b/>
                <w:sz w:val="24"/>
                <w:szCs w:val="24"/>
              </w:rPr>
              <w:t>Representante Legal</w:t>
            </w:r>
          </w:p>
        </w:tc>
      </w:tr>
    </w:tbl>
    <w:p>
      <w:pPr>
        <w:pStyle w:val="Normal"/>
        <w:rPr>
          <w:b/>
          <w:sz w:val="24"/>
          <w:szCs w:val="24"/>
        </w:rPr>
      </w:pPr>
      <w:r>
        <w:rPr>
          <w:b/>
          <w:sz w:val="24"/>
          <w:szCs w:val="24"/>
        </w:rPr>
      </w:r>
    </w:p>
    <w:p>
      <w:pPr>
        <w:pStyle w:val="Normal"/>
        <w:jc w:val="both"/>
        <w:rPr>
          <w:sz w:val="24"/>
          <w:szCs w:val="24"/>
        </w:rPr>
      </w:pPr>
      <w:r>
        <w:rPr>
          <w:b/>
          <w:sz w:val="24"/>
          <w:szCs w:val="24"/>
          <w:u w:val="single"/>
        </w:rPr>
        <w:t>TESTEMUNHAS:</w:t>
      </w:r>
    </w:p>
    <w:p>
      <w:pPr>
        <w:pStyle w:val="Normal"/>
        <w:jc w:val="both"/>
        <w:rPr>
          <w:b/>
          <w:sz w:val="24"/>
          <w:szCs w:val="24"/>
          <w:u w:val="single"/>
        </w:rPr>
      </w:pPr>
      <w:r>
        <w:rPr>
          <w:b/>
          <w:sz w:val="24"/>
          <w:szCs w:val="24"/>
          <w:u w:val="single"/>
        </w:rPr>
      </w:r>
    </w:p>
    <w:tbl>
      <w:tblPr>
        <w:tblW w:w="5000" w:type="pct"/>
        <w:jc w:val="start"/>
        <w:tblInd w:w="103" w:type="dxa"/>
        <w:tblLayout w:type="fixed"/>
        <w:tblCellMar>
          <w:top w:w="0" w:type="dxa"/>
          <w:start w:w="108" w:type="dxa"/>
          <w:bottom w:w="0" w:type="dxa"/>
          <w:end w:w="108" w:type="dxa"/>
        </w:tblCellMar>
        <w:tblLook w:val="0000" w:firstRow="0" w:noVBand="0" w:lastRow="0" w:firstColumn="0" w:lastColumn="0" w:noHBand="0"/>
      </w:tblPr>
      <w:tblGrid>
        <w:gridCol w:w="4800"/>
        <w:gridCol w:w="320"/>
        <w:gridCol w:w="4801"/>
      </w:tblGrid>
      <w:tr>
        <w:trPr>
          <w:trHeight w:val="1089" w:hRule="atLeast"/>
        </w:trPr>
        <w:tc>
          <w:tcPr>
            <w:tcW w:w="4800" w:type="dxa"/>
            <w:tcBorders>
              <w:top w:val="single" w:sz="4" w:space="0" w:color="000000"/>
              <w:start w:val="single" w:sz="4" w:space="0" w:color="000000"/>
              <w:bottom w:val="single" w:sz="4" w:space="0" w:color="000000"/>
            </w:tcBorders>
            <w:shd w:color="auto" w:fill="auto" w:val="clear"/>
          </w:tcPr>
          <w:p>
            <w:pPr>
              <w:pStyle w:val="Normal"/>
              <w:snapToGrid w:val="false"/>
              <w:rPr>
                <w:b/>
                <w:sz w:val="24"/>
                <w:szCs w:val="24"/>
              </w:rPr>
            </w:pPr>
            <w:r>
              <w:rPr>
                <w:b/>
                <w:sz w:val="24"/>
                <w:szCs w:val="24"/>
              </w:rPr>
            </w:r>
          </w:p>
          <w:p>
            <w:pPr>
              <w:pStyle w:val="Normal"/>
              <w:rPr>
                <w:b/>
                <w:sz w:val="24"/>
                <w:szCs w:val="24"/>
              </w:rPr>
            </w:pPr>
            <w:r>
              <w:rPr>
                <w:b/>
                <w:sz w:val="24"/>
                <w:szCs w:val="24"/>
              </w:rPr>
            </w:r>
          </w:p>
          <w:p>
            <w:pPr>
              <w:pStyle w:val="Normal"/>
              <w:rPr>
                <w:sz w:val="24"/>
                <w:szCs w:val="24"/>
              </w:rPr>
            </w:pPr>
            <w:r>
              <w:rPr>
                <w:b/>
                <w:sz w:val="24"/>
                <w:szCs w:val="24"/>
              </w:rPr>
              <w:t>_________________________</w:t>
            </w:r>
          </w:p>
          <w:p>
            <w:pPr>
              <w:pStyle w:val="Normal"/>
              <w:rPr>
                <w:sz w:val="24"/>
                <w:szCs w:val="24"/>
              </w:rPr>
            </w:pPr>
            <w:r>
              <w:rPr>
                <w:b/>
                <w:sz w:val="24"/>
                <w:szCs w:val="24"/>
              </w:rPr>
              <w:t>Nome:</w:t>
            </w:r>
          </w:p>
          <w:p>
            <w:pPr>
              <w:pStyle w:val="Normal"/>
              <w:rPr>
                <w:sz w:val="24"/>
                <w:szCs w:val="24"/>
              </w:rPr>
            </w:pPr>
            <w:r>
              <w:rPr>
                <w:b/>
                <w:sz w:val="24"/>
                <w:szCs w:val="24"/>
              </w:rPr>
              <w:t>CPF:</w:t>
            </w:r>
          </w:p>
        </w:tc>
        <w:tc>
          <w:tcPr>
            <w:tcW w:w="320" w:type="dxa"/>
            <w:tcBorders>
              <w:start w:val="single" w:sz="4" w:space="0" w:color="000000"/>
            </w:tcBorders>
            <w:shd w:color="auto" w:fill="auto" w:val="clear"/>
          </w:tcPr>
          <w:p>
            <w:pPr>
              <w:pStyle w:val="Normal"/>
              <w:snapToGrid w:val="false"/>
              <w:jc w:val="both"/>
              <w:rPr>
                <w:b/>
                <w:sz w:val="24"/>
                <w:szCs w:val="24"/>
              </w:rPr>
            </w:pPr>
            <w:r>
              <w:rPr>
                <w:b/>
                <w:sz w:val="24"/>
                <w:szCs w:val="24"/>
              </w:rPr>
            </w:r>
          </w:p>
        </w:tc>
        <w:tc>
          <w:tcPr>
            <w:tcW w:w="4801" w:type="dxa"/>
            <w:tcBorders>
              <w:top w:val="single" w:sz="4" w:space="0" w:color="000000"/>
              <w:start w:val="single" w:sz="4" w:space="0" w:color="000000"/>
              <w:bottom w:val="single" w:sz="4" w:space="0" w:color="000000"/>
              <w:end w:val="single" w:sz="4" w:space="0" w:color="000000"/>
            </w:tcBorders>
            <w:shd w:color="auto" w:fill="auto" w:val="clear"/>
          </w:tcPr>
          <w:p>
            <w:pPr>
              <w:pStyle w:val="Normal"/>
              <w:snapToGrid w:val="false"/>
              <w:rPr>
                <w:b/>
                <w:sz w:val="24"/>
                <w:szCs w:val="24"/>
              </w:rPr>
            </w:pPr>
            <w:r>
              <w:rPr>
                <w:b/>
                <w:sz w:val="24"/>
                <w:szCs w:val="24"/>
              </w:rPr>
            </w:r>
          </w:p>
          <w:p>
            <w:pPr>
              <w:pStyle w:val="Normal"/>
              <w:rPr>
                <w:b/>
                <w:sz w:val="24"/>
                <w:szCs w:val="24"/>
              </w:rPr>
            </w:pPr>
            <w:r>
              <w:rPr>
                <w:b/>
                <w:sz w:val="24"/>
                <w:szCs w:val="24"/>
              </w:rPr>
            </w:r>
          </w:p>
          <w:p>
            <w:pPr>
              <w:pStyle w:val="Normal"/>
              <w:rPr>
                <w:sz w:val="24"/>
                <w:szCs w:val="24"/>
              </w:rPr>
            </w:pPr>
            <w:r>
              <w:rPr>
                <w:b/>
                <w:sz w:val="24"/>
                <w:szCs w:val="24"/>
              </w:rPr>
              <w:t>__________________________</w:t>
            </w:r>
          </w:p>
          <w:p>
            <w:pPr>
              <w:pStyle w:val="Normal"/>
              <w:rPr>
                <w:sz w:val="24"/>
                <w:szCs w:val="24"/>
              </w:rPr>
            </w:pPr>
            <w:r>
              <w:rPr>
                <w:b/>
                <w:sz w:val="24"/>
                <w:szCs w:val="24"/>
              </w:rPr>
              <w:t>Nome:</w:t>
            </w:r>
          </w:p>
          <w:p>
            <w:pPr>
              <w:pStyle w:val="Normal"/>
              <w:jc w:val="both"/>
              <w:rPr>
                <w:sz w:val="24"/>
                <w:szCs w:val="24"/>
              </w:rPr>
            </w:pPr>
            <w:r>
              <w:rPr>
                <w:b/>
                <w:sz w:val="24"/>
                <w:szCs w:val="24"/>
              </w:rPr>
              <w:t>CPF:</w:t>
            </w:r>
          </w:p>
        </w:tc>
      </w:tr>
    </w:tbl>
    <w:p>
      <w:pPr>
        <w:pStyle w:val="Normal"/>
        <w:jc w:val="both"/>
        <w:rPr>
          <w:rFonts w:ascii="Arial" w:hAnsi="Arial" w:cs="Arial"/>
        </w:rPr>
      </w:pPr>
      <w:r>
        <w:rPr>
          <w:rFonts w:cs="Arial" w:ascii="Arial" w:hAnsi="Arial"/>
        </w:rPr>
      </w:r>
      <w:bookmarkStart w:id="10" w:name="art2§1"/>
      <w:bookmarkStart w:id="11" w:name="art1p"/>
      <w:bookmarkEnd w:id="10"/>
      <w:bookmarkEnd w:id="11"/>
    </w:p>
    <w:sectPr>
      <w:headerReference w:type="even" r:id="rId12"/>
      <w:headerReference w:type="default" r:id="rId13"/>
      <w:headerReference w:type="first" r:id="rId14"/>
      <w:footerReference w:type="even" r:id="rId15"/>
      <w:footerReference w:type="default" r:id="rId16"/>
      <w:footerReference w:type="first" r:id="rId17"/>
      <w:type w:val="nextPage"/>
      <w:pgSz w:w="11906" w:h="16838"/>
      <w:pgMar w:left="1134" w:right="851" w:gutter="0" w:header="283" w:top="1418" w:footer="284" w:bottom="567"/>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2"/>
    <w:family w:val="roman"/>
    <w:pitch w:val="variable"/>
  </w:font>
  <w:font w:name="Courier New">
    <w:charset w:val="00" w:characterSet="windows-1252"/>
    <w:family w:val="roman"/>
    <w:pitch w:val="variable"/>
  </w:font>
  <w:font w:name="Wingdings">
    <w:charset w:val="02"/>
    <w:family w:val="roman"/>
    <w:pitch w:val="variable"/>
  </w:font>
  <w:font w:name="Calibri">
    <w:charset w:val="00" w:characterSet="windows-1252"/>
    <w:family w:val="swiss"/>
    <w:pitch w:val="variable"/>
  </w:font>
  <w:font w:name="Liberation Sans">
    <w:altName w:val="Arial"/>
    <w:charset w:val="00" w:characterSet="windows-1252"/>
    <w:family w:val="swiss"/>
    <w:pitch w:val="variable"/>
  </w:font>
  <w:font w:name="Tahoma">
    <w:charset w:val="00" w:characterSet="windows-1252"/>
    <w:family w:val="swiss"/>
    <w:pitch w:val="variable"/>
  </w:font>
  <w:font w:name="Arial">
    <w:charset w:val="01"/>
    <w:family w:val="swiss"/>
    <w:pitch w:val="variable"/>
  </w:font>
  <w:font w:name="Book Antiqua">
    <w:charset w:val="00" w:characterSet="windows-1252"/>
    <w:family w:val="roman"/>
    <w:pitch w:val="variable"/>
  </w:font>
  <w:font w:name="Times New Roman">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start="3346"/>
      <w:rPr>
        <w:rFonts w:ascii="Arial" w:hAnsi="Arial" w:cs="Arial"/>
        <w:sz w:val="6"/>
        <w:szCs w:val="6"/>
      </w:rPr>
    </w:pPr>
    <w:r>
      <w:rPr>
        <w:rFonts w:cs="Arial" w:ascii="Arial" w:hAnsi="Arial"/>
        <w:sz w:val="6"/>
        <w:szCs w:val="6"/>
      </w:rPr>
    </w:r>
  </w:p>
  <w:p>
    <w:pPr>
      <w:pStyle w:val="Normal"/>
      <w:ind w:start="3346"/>
      <w:rPr>
        <w:rFonts w:ascii="Arial" w:hAnsi="Arial" w:cs="Arial"/>
        <w:sz w:val="16"/>
      </w:rPr>
    </w:pPr>
    <w:r>
      <w:rPr>
        <w:rFonts w:cs="Arial" w:ascii="Arial" w:hAnsi="Arial"/>
        <w:sz w:val="16"/>
      </w:rPr>
      <w:t xml:space="preserve">Pregão Eletrônico nº </w:t>
    </w:r>
    <w:r>
      <w:rPr>
        <w:rFonts w:cs="Arial" w:ascii="Arial" w:hAnsi="Arial"/>
        <w:sz w:val="16"/>
      </w:rPr>
      <w:t>187</w:t>
    </w:r>
    <w:r>
      <w:rPr>
        <w:rFonts w:cs="Arial" w:ascii="Arial" w:hAnsi="Arial"/>
        <w:sz w:val="16"/>
      </w:rPr>
      <w:t>/</w:t>
    </w:r>
    <w:r>
      <w:rPr>
        <w:rFonts w:cs="Arial" w:ascii="Arial" w:hAnsi="Arial"/>
        <w:sz w:val="16"/>
      </w:rPr>
      <w:t>2026</w:t>
    </w:r>
    <w:r>
      <w:rPr>
        <w:rFonts w:cs="Arial" w:ascii="Arial" w:hAnsi="Arial"/>
        <w:sz w:val="16"/>
      </w:rPr>
      <w:t xml:space="preserve"> - Página </w:t>
    </w:r>
    <w:r>
      <w:rPr>
        <w:rFonts w:cs="Arial" w:ascii="Arial" w:hAnsi="Arial"/>
        <w:b/>
        <w:sz w:val="16"/>
      </w:rPr>
      <w:fldChar w:fldCharType="begin"/>
    </w:r>
    <w:r>
      <w:rPr>
        <w:rFonts w:cs="Arial" w:ascii="Arial" w:hAnsi="Arial"/>
        <w:b/>
        <w:sz w:val="16"/>
      </w:rPr>
      <w:instrText xml:space="preserve"> PAGE \* ARABIC </w:instrText>
    </w:r>
    <w:r>
      <w:rPr>
        <w:rFonts w:cs="Arial" w:ascii="Arial" w:hAnsi="Arial"/>
        <w:b/>
        <w:sz w:val="16"/>
      </w:rPr>
      <w:fldChar w:fldCharType="separate"/>
    </w:r>
    <w:r>
      <w:rPr>
        <w:rFonts w:cs="Arial" w:ascii="Arial" w:hAnsi="Arial"/>
        <w:b/>
        <w:sz w:val="16"/>
      </w:rPr>
      <w:t>30</w:t>
    </w:r>
    <w:r>
      <w:rPr>
        <w:rFonts w:cs="Arial" w:ascii="Arial" w:hAnsi="Arial"/>
        <w:b/>
        <w:sz w:val="16"/>
      </w:rPr>
      <w:fldChar w:fldCharType="end"/>
    </w:r>
    <w:r>
      <w:rPr>
        <w:rFonts w:cs="Arial" w:ascii="Arial" w:hAnsi="Arial"/>
        <w:sz w:val="16"/>
      </w:rPr>
      <w:t xml:space="preserve"> de </w:t>
    </w:r>
    <w:r>
      <w:rPr>
        <w:rFonts w:cs="Arial" w:ascii="Arial" w:hAnsi="Arial"/>
        <w:b/>
        <w:sz w:val="16"/>
      </w:rPr>
      <w:fldChar w:fldCharType="begin"/>
    </w:r>
    <w:r>
      <w:rPr>
        <w:rFonts w:cs="Arial" w:ascii="Arial" w:hAnsi="Arial"/>
        <w:b/>
        <w:sz w:val="16"/>
      </w:rPr>
      <w:instrText xml:space="preserve"> NUMPAGES \* ARABIC </w:instrText>
    </w:r>
    <w:r>
      <w:rPr>
        <w:rFonts w:cs="Arial" w:ascii="Arial" w:hAnsi="Arial"/>
        <w:b/>
        <w:sz w:val="16"/>
      </w:rPr>
      <w:fldChar w:fldCharType="separate"/>
    </w:r>
    <w:r>
      <w:rPr>
        <w:rFonts w:cs="Arial" w:ascii="Arial" w:hAnsi="Arial"/>
        <w:b/>
        <w:sz w:val="16"/>
      </w:rPr>
      <w:t>30</w:t>
    </w:r>
    <w:r>
      <w:rPr>
        <w:rFonts w:cs="Arial" w:ascii="Arial" w:hAnsi="Arial"/>
        <w:b/>
        <w:sz w:val="16"/>
      </w:rPr>
      <w:fldChar w:fldCharType="end"/>
    </w:r>
  </w:p>
  <w:p>
    <w:pPr>
      <w:pStyle w:val="Normal"/>
      <w:ind w:star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start="3346"/>
      <w:rPr>
        <w:rFonts w:ascii="Arial" w:hAnsi="Arial" w:cs="Arial"/>
        <w:sz w:val="6"/>
        <w:szCs w:val="6"/>
      </w:rPr>
    </w:pPr>
    <w:r>
      <w:rPr>
        <w:rFonts w:cs="Arial" w:ascii="Arial" w:hAnsi="Arial"/>
        <w:sz w:val="6"/>
        <w:szCs w:val="6"/>
      </w:rPr>
    </w:r>
  </w:p>
  <w:p>
    <w:pPr>
      <w:pStyle w:val="Normal"/>
      <w:ind w:start="3346"/>
      <w:rPr>
        <w:rFonts w:ascii="Arial" w:hAnsi="Arial" w:cs="Arial"/>
        <w:sz w:val="16"/>
      </w:rPr>
    </w:pPr>
    <w:r>
      <w:rPr>
        <w:rFonts w:cs="Arial" w:ascii="Arial" w:hAnsi="Arial"/>
        <w:sz w:val="16"/>
      </w:rPr>
      <w:t xml:space="preserve">Pregão Eletrônico nº </w:t>
    </w:r>
    <w:r>
      <w:rPr>
        <w:rFonts w:cs="Arial" w:ascii="Arial" w:hAnsi="Arial"/>
        <w:sz w:val="16"/>
      </w:rPr>
      <w:t>187</w:t>
    </w:r>
    <w:r>
      <w:rPr>
        <w:rFonts w:cs="Arial" w:ascii="Arial" w:hAnsi="Arial"/>
        <w:sz w:val="16"/>
      </w:rPr>
      <w:t>/</w:t>
    </w:r>
    <w:r>
      <w:rPr>
        <w:rFonts w:cs="Arial" w:ascii="Arial" w:hAnsi="Arial"/>
        <w:sz w:val="16"/>
      </w:rPr>
      <w:t>2026</w:t>
    </w:r>
    <w:r>
      <w:rPr>
        <w:rFonts w:cs="Arial" w:ascii="Arial" w:hAnsi="Arial"/>
        <w:sz w:val="16"/>
      </w:rPr>
      <w:t xml:space="preserve"> - Página </w:t>
    </w:r>
    <w:r>
      <w:rPr>
        <w:rFonts w:cs="Arial" w:ascii="Arial" w:hAnsi="Arial"/>
        <w:b/>
        <w:sz w:val="16"/>
      </w:rPr>
      <w:fldChar w:fldCharType="begin"/>
    </w:r>
    <w:r>
      <w:rPr>
        <w:rFonts w:cs="Arial" w:ascii="Arial" w:hAnsi="Arial"/>
        <w:b/>
        <w:sz w:val="16"/>
      </w:rPr>
      <w:instrText xml:space="preserve"> PAGE \* ARABIC </w:instrText>
    </w:r>
    <w:r>
      <w:rPr>
        <w:rFonts w:cs="Arial" w:ascii="Arial" w:hAnsi="Arial"/>
        <w:b/>
        <w:sz w:val="16"/>
      </w:rPr>
      <w:fldChar w:fldCharType="separate"/>
    </w:r>
    <w:r>
      <w:rPr>
        <w:rFonts w:cs="Arial" w:ascii="Arial" w:hAnsi="Arial"/>
        <w:b/>
        <w:sz w:val="16"/>
      </w:rPr>
      <w:t>30</w:t>
    </w:r>
    <w:r>
      <w:rPr>
        <w:rFonts w:cs="Arial" w:ascii="Arial" w:hAnsi="Arial"/>
        <w:b/>
        <w:sz w:val="16"/>
      </w:rPr>
      <w:fldChar w:fldCharType="end"/>
    </w:r>
    <w:r>
      <w:rPr>
        <w:rFonts w:cs="Arial" w:ascii="Arial" w:hAnsi="Arial"/>
        <w:sz w:val="16"/>
      </w:rPr>
      <w:t xml:space="preserve"> de </w:t>
    </w:r>
    <w:r>
      <w:rPr>
        <w:rFonts w:cs="Arial" w:ascii="Arial" w:hAnsi="Arial"/>
        <w:b/>
        <w:sz w:val="16"/>
      </w:rPr>
      <w:fldChar w:fldCharType="begin"/>
    </w:r>
    <w:r>
      <w:rPr>
        <w:rFonts w:cs="Arial" w:ascii="Arial" w:hAnsi="Arial"/>
        <w:b/>
        <w:sz w:val="16"/>
      </w:rPr>
      <w:instrText xml:space="preserve"> NUMPAGES \* ARABIC </w:instrText>
    </w:r>
    <w:r>
      <w:rPr>
        <w:rFonts w:cs="Arial" w:ascii="Arial" w:hAnsi="Arial"/>
        <w:b/>
        <w:sz w:val="16"/>
      </w:rPr>
      <w:fldChar w:fldCharType="separate"/>
    </w:r>
    <w:r>
      <w:rPr>
        <w:rFonts w:cs="Arial" w:ascii="Arial" w:hAnsi="Arial"/>
        <w:b/>
        <w:sz w:val="16"/>
      </w:rPr>
      <w:t>30</w:t>
    </w:r>
    <w:r>
      <w:rPr>
        <w:rFonts w:cs="Arial" w:ascii="Arial" w:hAnsi="Arial"/>
        <w:b/>
        <w:sz w:val="16"/>
      </w:rPr>
      <w:fldChar w:fldCharType="end"/>
    </w:r>
  </w:p>
  <w:p>
    <w:pPr>
      <w:pStyle w:val="Normal"/>
      <w:ind w:start="3346"/>
      <w:rPr>
        <w:rFonts w:ascii="Arial" w:hAnsi="Arial" w:cs="Arial"/>
        <w:sz w:val="4"/>
        <w:szCs w:val="4"/>
      </w:rPr>
    </w:pPr>
    <w:r>
      <w:rPr>
        <w:rFonts w:cs="Arial" w:ascii="Arial" w:hAnsi="Arial"/>
        <w:sz w:val="4"/>
        <w:szCs w:val="4"/>
      </w:rPr>
    </w:r>
  </w:p>
  <w:p>
    <w:pPr>
      <w:pStyle w:val="Normal"/>
      <w:jc w:val="center"/>
      <w:rPr/>
    </w:pPr>
    <w:r>
      <w:rPr/>
      <w:drawing>
        <wp:inline distT="0" distB="0" distL="0" distR="0">
          <wp:extent cx="6111875" cy="511810"/>
          <wp:effectExtent l="0" t="0" r="0" b="0"/>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distT="0" distB="0" distL="114300" distR="114300" simplePos="0" relativeHeight="61"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distT="0" distB="0" distL="114935" distR="0" simplePos="0" relativeHeight="120" behindDoc="1" locked="0" layoutInCell="0" allowOverlap="1" wp14:anchorId="16AD9ECE">
              <wp:simplePos x="0" y="0"/>
              <wp:positionH relativeFrom="margin">
                <wp:align>right</wp:align>
              </wp:positionH>
              <wp:positionV relativeFrom="page">
                <wp:posOffset>76200</wp:posOffset>
              </wp:positionV>
              <wp:extent cx="4670425" cy="895350"/>
              <wp:effectExtent l="0" t="0" r="0" b="0"/>
              <wp:wrapThrough wrapText="bothSides">
                <wp:wrapPolygon edited="0">
                  <wp:start x="0" y="0"/>
                  <wp:lineTo x="0" y="21600"/>
                  <wp:lineTo x="21600" y="21600"/>
                  <wp:lineTo x="21600" y="0"/>
                </wp:wrapPolygon>
              </wp:wrapThrough>
              <wp:docPr id="2"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mallCaps/>
                              <w:sz w:val="36"/>
                              <w:szCs w:val="36"/>
                            </w:rPr>
                          </w:pPr>
                          <w:r>
                            <w:rPr>
                              <w:rFonts w:cs="Book Antiqua" w:ascii="Book Antiqua" w:hAnsi="Book Antiqua"/>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sz w:val="28"/>
                              <w:szCs w:val="28"/>
                            </w:rPr>
                            <w:t>Secretaria Municipal de Administração e Governo</w:t>
                          </w:r>
                        </w:p>
                        <w:p>
                          <w:pPr>
                            <w:pStyle w:val="Contedodoquadro"/>
                            <w:jc w:val="center"/>
                            <w:rPr>
                              <w:sz w:val="26"/>
                              <w:szCs w:val="26"/>
                            </w:rPr>
                          </w:pPr>
                          <w:r>
                            <w:rPr>
                              <w:sz w:val="26"/>
                              <w:szCs w:val="26"/>
                            </w:rPr>
                            <w:t>Divisão de Compras</w:t>
                          </w:r>
                        </w:p>
                      </w:txbxContent>
                    </wps:txbx>
                    <wps:bodyPr lIns="720" tIns="720" rIns="720" bIns="720" anchor="t" upright="1">
                      <a:noAutofit/>
                    </wps:bodyPr>
                  </wps:wsp>
                </a:graphicData>
              </a:graphic>
            </wp:anchor>
          </w:drawing>
        </mc:Choice>
        <mc:Fallback>
          <w:pict>
            <v:rect id="shape_0" fillcolor="white" stroked="f" o:allowincell="f" style="position:absolute;margin-left:128.25pt;margin-top:6pt;width:367.7pt;height:70.45pt;mso-wrap-style:square;v-text-anchor:top;mso-position-horizontal:right;mso-position-horizontal-relative:margin;mso-position-vertical-relative:page" wp14:anchorId="16AD9ECE">
              <v:fill o:detectmouseclick="t" type="solid" color2="black" opacity="0"/>
              <v:stroke color="#3465a4" joinstyle="round" endcap="flat"/>
              <v:textbox>
                <w:txbxContent>
                  <w:p>
                    <w:pPr>
                      <w:pStyle w:val="Contedodoquadro"/>
                      <w:jc w:val="center"/>
                      <w:rPr>
                        <w:rFonts w:ascii="Book Antiqua" w:hAnsi="Book Antiqua" w:cs="Book Antiqua"/>
                        <w:smallCaps/>
                        <w:sz w:val="36"/>
                        <w:szCs w:val="36"/>
                      </w:rPr>
                    </w:pPr>
                    <w:r>
                      <w:rPr>
                        <w:rFonts w:cs="Book Antiqua" w:ascii="Book Antiqua" w:hAnsi="Book Antiqua"/>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sz w:val="28"/>
                        <w:szCs w:val="28"/>
                      </w:rPr>
                      <w:t>Secretaria Municipal de Administração e Governo</w:t>
                    </w:r>
                  </w:p>
                  <w:p>
                    <w:pPr>
                      <w:pStyle w:val="Contedodoquadro"/>
                      <w:jc w:val="center"/>
                      <w:rPr>
                        <w:sz w:val="26"/>
                        <w:szCs w:val="26"/>
                      </w:rPr>
                    </w:pPr>
                    <w:r>
                      <w:rPr>
                        <w:sz w:val="26"/>
                        <w:szCs w:val="26"/>
                      </w:rPr>
                      <w:t>Divisão de Compras</w:t>
                    </w:r>
                  </w:p>
                </w:txbxContent>
              </v:textbox>
              <w10:wrap type="squar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12"/>
      </w:rPr>
    </w:pPr>
    <w:r>
      <w:rPr>
        <w:sz w:val="12"/>
      </w:rPr>
      <w:drawing>
        <wp:anchor distT="0" distB="0" distL="114300" distR="114300" simplePos="0" relativeHeight="61"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mc:AlternateContent>
        <mc:Choice Requires="wps">
          <w:drawing>
            <wp:anchor distT="0" distB="0" distL="114935" distR="0" simplePos="0" relativeHeight="120" behindDoc="1" locked="0" layoutInCell="0" allowOverlap="1" wp14:anchorId="16AD9ECE">
              <wp:simplePos x="0" y="0"/>
              <wp:positionH relativeFrom="margin">
                <wp:align>right</wp:align>
              </wp:positionH>
              <wp:positionV relativeFrom="page">
                <wp:posOffset>76200</wp:posOffset>
              </wp:positionV>
              <wp:extent cx="4670425" cy="895350"/>
              <wp:effectExtent l="0" t="0" r="0" b="0"/>
              <wp:wrapThrough wrapText="bothSides">
                <wp:wrapPolygon edited="0">
                  <wp:start x="0" y="0"/>
                  <wp:lineTo x="0" y="21600"/>
                  <wp:lineTo x="21600" y="21600"/>
                  <wp:lineTo x="21600" y="0"/>
                </wp:wrapPolygon>
              </wp:wrapThrough>
              <wp:docPr id="4" name="Caixa de Texto 3"/>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mallCaps/>
                              <w:sz w:val="36"/>
                              <w:szCs w:val="36"/>
                            </w:rPr>
                          </w:pPr>
                          <w:r>
                            <w:rPr>
                              <w:rFonts w:cs="Book Antiqua" w:ascii="Book Antiqua" w:hAnsi="Book Antiqua"/>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sz w:val="28"/>
                              <w:szCs w:val="28"/>
                            </w:rPr>
                            <w:t>Secretaria Municipal de Administração e Governo</w:t>
                          </w:r>
                        </w:p>
                        <w:p>
                          <w:pPr>
                            <w:pStyle w:val="Contedodoquadro"/>
                            <w:jc w:val="center"/>
                            <w:rPr>
                              <w:sz w:val="26"/>
                              <w:szCs w:val="26"/>
                            </w:rPr>
                          </w:pPr>
                          <w:r>
                            <w:rPr>
                              <w:sz w:val="26"/>
                              <w:szCs w:val="26"/>
                            </w:rPr>
                            <w:t>Divisão de Compras</w:t>
                          </w:r>
                        </w:p>
                      </w:txbxContent>
                    </wps:txbx>
                    <wps:bodyPr lIns="720" tIns="720" rIns="720" bIns="720" anchor="t" upright="1">
                      <a:noAutofit/>
                    </wps:bodyPr>
                  </wps:wsp>
                </a:graphicData>
              </a:graphic>
            </wp:anchor>
          </w:drawing>
        </mc:Choice>
        <mc:Fallback>
          <w:pict>
            <v:rect id="shape_0" fillcolor="white" stroked="f" o:allowincell="f" style="position:absolute;margin-left:128.25pt;margin-top:6pt;width:367.7pt;height:70.45pt;mso-wrap-style:square;v-text-anchor:top;mso-position-horizontal:right;mso-position-horizontal-relative:margin;mso-position-vertical-relative:page" wp14:anchorId="16AD9ECE">
              <v:fill o:detectmouseclick="t" type="solid" color2="black" opacity="0"/>
              <v:stroke color="#3465a4" joinstyle="round" endcap="flat"/>
              <v:textbox>
                <w:txbxContent>
                  <w:p>
                    <w:pPr>
                      <w:pStyle w:val="Contedodoquadro"/>
                      <w:jc w:val="center"/>
                      <w:rPr>
                        <w:rFonts w:ascii="Book Antiqua" w:hAnsi="Book Antiqua" w:cs="Book Antiqua"/>
                        <w:smallCaps/>
                        <w:sz w:val="36"/>
                        <w:szCs w:val="36"/>
                      </w:rPr>
                    </w:pPr>
                    <w:r>
                      <w:rPr>
                        <w:rFonts w:cs="Book Antiqua" w:ascii="Book Antiqua" w:hAnsi="Book Antiqua"/>
                        <w:sz w:val="36"/>
                        <w:szCs w:val="36"/>
                      </w:rPr>
                      <w:t>Prefeitura do Município de Piracicaba</w:t>
                    </w:r>
                  </w:p>
                  <w:p>
                    <w:pPr>
                      <w:pStyle w:val="Contedodoquadro"/>
                      <w:jc w:val="center"/>
                      <w:rPr>
                        <w:rFonts w:ascii="Book Antiqua" w:hAnsi="Book Antiqua" w:cs="Book Antiqua"/>
                        <w:sz w:val="28"/>
                        <w:szCs w:val="28"/>
                      </w:rPr>
                    </w:pPr>
                    <w:r>
                      <w:rPr>
                        <w:rFonts w:cs="Book Antiqua" w:ascii="Book Antiqua" w:hAnsi="Book Antiqua"/>
                        <w:smallCaps/>
                        <w:sz w:val="28"/>
                        <w:szCs w:val="28"/>
                      </w:rPr>
                      <w:t>Secretaria Municipal de Administração e Governo</w:t>
                    </w:r>
                  </w:p>
                  <w:p>
                    <w:pPr>
                      <w:pStyle w:val="Contedodoquadro"/>
                      <w:jc w:val="center"/>
                      <w:rPr>
                        <w:sz w:val="26"/>
                        <w:szCs w:val="26"/>
                      </w:rPr>
                    </w:pPr>
                    <w:r>
                      <w:rPr>
                        <w:sz w:val="26"/>
                        <w:szCs w:val="26"/>
                      </w:rPr>
                      <w:t>Divisão de Compras</w:t>
                    </w:r>
                  </w:p>
                </w:txbxContent>
              </v:textbox>
              <w10:wrap type="squar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432" w:hanging="432"/>
      </w:pPr>
      <w:rPr>
        <w:rFonts w:ascii="Times New Roman" w:hAnsi="Times New Roman" w:cs="Arial"/>
        <w:sz w:val="20"/>
        <w:szCs w:val="20"/>
      </w:rPr>
    </w:lvl>
    <w:lvl w:ilvl="1">
      <w:start w:val="1"/>
      <w:numFmt w:val="none"/>
      <w:suff w:val="nothing"/>
      <w:lvlText w:val=""/>
      <w:lvlJc w:val="start"/>
      <w:pPr>
        <w:tabs>
          <w:tab w:val="num" w:pos="0"/>
        </w:tabs>
        <w:ind w:start="576" w:hanging="576"/>
      </w:pPr>
      <w:rPr/>
    </w:lvl>
    <w:lvl w:ilvl="2">
      <w:start w:val="1"/>
      <w:numFmt w:val="none"/>
      <w:suff w:val="nothing"/>
      <w:lvlText w:val=""/>
      <w:lvlJc w:val="start"/>
      <w:pPr>
        <w:tabs>
          <w:tab w:val="num" w:pos="0"/>
        </w:tabs>
        <w:ind w:start="720" w:hanging="720"/>
      </w:pPr>
      <w:rPr/>
    </w:lvl>
    <w:lvl w:ilvl="3">
      <w:start w:val="1"/>
      <w:numFmt w:val="none"/>
      <w:suff w:val="nothing"/>
      <w:lvlText w:val=""/>
      <w:lvlJc w:val="start"/>
      <w:pPr>
        <w:tabs>
          <w:tab w:val="num" w:pos="0"/>
        </w:tabs>
        <w:ind w:start="864" w:hanging="864"/>
      </w:pPr>
      <w:rPr/>
    </w:lvl>
    <w:lvl w:ilvl="4">
      <w:start w:val="1"/>
      <w:numFmt w:val="none"/>
      <w:suff w:val="nothing"/>
      <w:lvlText w:val=""/>
      <w:lvlJc w:val="start"/>
      <w:pPr>
        <w:tabs>
          <w:tab w:val="num" w:pos="0"/>
        </w:tabs>
        <w:ind w:start="1008" w:hanging="1008"/>
      </w:pPr>
      <w:rPr/>
    </w:lvl>
    <w:lvl w:ilvl="5">
      <w:start w:val="1"/>
      <w:numFmt w:val="none"/>
      <w:suff w:val="nothing"/>
      <w:lvlText w:val=""/>
      <w:lvlJc w:val="start"/>
      <w:pPr>
        <w:tabs>
          <w:tab w:val="num" w:pos="0"/>
        </w:tabs>
        <w:ind w:start="1152" w:hanging="1152"/>
      </w:pPr>
      <w:rPr/>
    </w:lvl>
    <w:lvl w:ilvl="6">
      <w:start w:val="1"/>
      <w:numFmt w:val="none"/>
      <w:suff w:val="nothing"/>
      <w:lvlText w:val=""/>
      <w:lvlJc w:val="start"/>
      <w:pPr>
        <w:tabs>
          <w:tab w:val="num" w:pos="0"/>
        </w:tabs>
        <w:ind w:start="1296" w:hanging="1296"/>
      </w:pPr>
      <w:rPr/>
    </w:lvl>
    <w:lvl w:ilvl="7">
      <w:start w:val="1"/>
      <w:numFmt w:val="none"/>
      <w:suff w:val="nothing"/>
      <w:lvlText w:val=""/>
      <w:lvlJc w:val="start"/>
      <w:pPr>
        <w:tabs>
          <w:tab w:val="num" w:pos="0"/>
        </w:tabs>
        <w:ind w:start="1440" w:hanging="1440"/>
      </w:pPr>
      <w:rPr/>
    </w:lvl>
    <w:lvl w:ilvl="8">
      <w:start w:val="1"/>
      <w:numFmt w:val="none"/>
      <w:suff w:val="nothing"/>
      <w:lvlText w:val=""/>
      <w:lvlJc w:val="start"/>
      <w:pPr>
        <w:tabs>
          <w:tab w:val="num" w:pos="0"/>
        </w:tabs>
        <w:ind w:start="1584" w:hanging="1584"/>
      </w:pPr>
      <w:rPr/>
    </w:lvl>
  </w:abstractNum>
  <w:abstractNum w:abstractNumId="2">
    <w:lvl w:ilvl="0">
      <w:start w:val="1"/>
      <w:numFmt w:val="decimal"/>
      <w:lvlText w:val="%1."/>
      <w:lvlJc w:val="start"/>
      <w:pPr>
        <w:tabs>
          <w:tab w:val="num" w:pos="851"/>
        </w:tabs>
        <w:ind w:start="851" w:hanging="851"/>
      </w:pPr>
      <w:rPr>
        <w:rFonts w:ascii="Arial" w:hAnsi="Arial" w:cs="Arial"/>
        <w:i/>
        <w:sz w:val="20"/>
        <w:szCs w:val="20"/>
      </w:rPr>
    </w:lvl>
    <w:lvl w:ilvl="1">
      <w:start w:val="1"/>
      <w:numFmt w:val="decimal"/>
      <w:lvlText w:val="%1.%2."/>
      <w:lvlJc w:val="start"/>
      <w:pPr>
        <w:tabs>
          <w:tab w:val="num" w:pos="851"/>
        </w:tabs>
        <w:ind w:start="851" w:hanging="851"/>
      </w:pPr>
      <w:rPr>
        <w:rFonts w:ascii="Arial" w:hAnsi="Arial" w:cs="Arial"/>
        <w:color w:val="000000"/>
      </w:rPr>
    </w:lvl>
    <w:lvl w:ilvl="2">
      <w:start w:val="1"/>
      <w:numFmt w:val="decimal"/>
      <w:lvlText w:val="%1.%2.%3."/>
      <w:lvlJc w:val="start"/>
      <w:pPr>
        <w:tabs>
          <w:tab w:val="num" w:pos="851"/>
        </w:tabs>
        <w:ind w:start="851" w:hanging="851"/>
      </w:pPr>
      <w:rPr>
        <w:rFonts w:cs="Arial"/>
        <w:b/>
      </w:rPr>
    </w:lvl>
    <w:lvl w:ilvl="3">
      <w:start w:val="1"/>
      <w:numFmt w:val="decimal"/>
      <w:lvlText w:val="%1.%2.%3.%4."/>
      <w:lvlJc w:val="start"/>
      <w:pPr>
        <w:tabs>
          <w:tab w:val="num" w:pos="1800"/>
        </w:tabs>
        <w:ind w:start="1728" w:hanging="648"/>
      </w:pPr>
      <w:rPr/>
    </w:lvl>
    <w:lvl w:ilvl="4">
      <w:start w:val="1"/>
      <w:numFmt w:val="decimal"/>
      <w:lvlText w:val="%1.%2.%3.%4.%5."/>
      <w:lvlJc w:val="start"/>
      <w:pPr>
        <w:tabs>
          <w:tab w:val="num" w:pos="2520"/>
        </w:tabs>
        <w:ind w:start="2232" w:hanging="792"/>
      </w:pPr>
      <w:rPr/>
    </w:lvl>
    <w:lvl w:ilvl="5">
      <w:start w:val="1"/>
      <w:numFmt w:val="decimal"/>
      <w:lvlText w:val="%1.%2.%3.%4.%5.%6."/>
      <w:lvlJc w:val="start"/>
      <w:pPr>
        <w:tabs>
          <w:tab w:val="num" w:pos="2880"/>
        </w:tabs>
        <w:ind w:start="2736" w:hanging="936"/>
      </w:pPr>
      <w:rPr/>
    </w:lvl>
    <w:lvl w:ilvl="6">
      <w:start w:val="1"/>
      <w:numFmt w:val="decimal"/>
      <w:lvlText w:val="%1.%2.%3.%4.%5.%6.%7."/>
      <w:lvlJc w:val="start"/>
      <w:pPr>
        <w:tabs>
          <w:tab w:val="num" w:pos="3600"/>
        </w:tabs>
        <w:ind w:start="3240" w:hanging="1080"/>
      </w:pPr>
      <w:rPr/>
    </w:lvl>
    <w:lvl w:ilvl="7">
      <w:start w:val="1"/>
      <w:numFmt w:val="decimal"/>
      <w:lvlText w:val="%1.%2.%3.%4.%5.%6.%7.%8."/>
      <w:lvlJc w:val="start"/>
      <w:pPr>
        <w:tabs>
          <w:tab w:val="num" w:pos="3960"/>
        </w:tabs>
        <w:ind w:start="3744" w:hanging="1224"/>
      </w:pPr>
      <w:rPr/>
    </w:lvl>
    <w:lvl w:ilvl="8">
      <w:start w:val="1"/>
      <w:numFmt w:val="decimal"/>
      <w:lvlText w:val="%1.%2.%3.%4.%5.%6.%7.%8.%9."/>
      <w:lvlJc w:val="start"/>
      <w:pPr>
        <w:tabs>
          <w:tab w:val="num" w:pos="4680"/>
        </w:tabs>
        <w:ind w:start="4320" w:hanging="1440"/>
      </w:pPr>
      <w:rPr/>
    </w:lvl>
  </w:abstractNum>
  <w:abstractNum w:abstractNumId="3">
    <w:lvl w:ilvl="0">
      <w:start w:val="1"/>
      <w:numFmt w:val="none"/>
      <w:suff w:val="nothing"/>
      <w:lvlText w:val=""/>
      <w:lvlJc w:val="start"/>
      <w:pPr>
        <w:tabs>
          <w:tab w:val="num" w:pos="0"/>
        </w:tabs>
        <w:ind w:start="432" w:hanging="432"/>
      </w:pPr>
      <w:rPr>
        <w:rFonts w:ascii="Times New Roman" w:hAnsi="Times New Roman" w:cs="Arial"/>
        <w:sz w:val="20"/>
        <w:szCs w:val="20"/>
      </w:rPr>
    </w:lvl>
    <w:lvl w:ilvl="1">
      <w:start w:val="1"/>
      <w:numFmt w:val="none"/>
      <w:suff w:val="nothing"/>
      <w:lvlText w:val=""/>
      <w:lvlJc w:val="start"/>
      <w:pPr>
        <w:tabs>
          <w:tab w:val="num" w:pos="0"/>
        </w:tabs>
        <w:ind w:start="576" w:hanging="576"/>
      </w:pPr>
      <w:rPr/>
    </w:lvl>
    <w:lvl w:ilvl="2">
      <w:start w:val="1"/>
      <w:numFmt w:val="none"/>
      <w:suff w:val="nothing"/>
      <w:lvlText w:val=""/>
      <w:lvlJc w:val="start"/>
      <w:pPr>
        <w:tabs>
          <w:tab w:val="num" w:pos="0"/>
        </w:tabs>
        <w:ind w:start="720" w:hanging="720"/>
      </w:pPr>
      <w:rPr/>
    </w:lvl>
    <w:lvl w:ilvl="3">
      <w:start w:val="1"/>
      <w:numFmt w:val="none"/>
      <w:suff w:val="nothing"/>
      <w:lvlText w:val=""/>
      <w:lvlJc w:val="start"/>
      <w:pPr>
        <w:tabs>
          <w:tab w:val="num" w:pos="0"/>
        </w:tabs>
        <w:ind w:start="864" w:hanging="864"/>
      </w:pPr>
      <w:rPr/>
    </w:lvl>
    <w:lvl w:ilvl="4">
      <w:start w:val="1"/>
      <w:numFmt w:val="none"/>
      <w:suff w:val="nothing"/>
      <w:lvlText w:val=""/>
      <w:lvlJc w:val="start"/>
      <w:pPr>
        <w:tabs>
          <w:tab w:val="num" w:pos="0"/>
        </w:tabs>
        <w:ind w:start="1008" w:hanging="1008"/>
      </w:pPr>
      <w:rPr/>
    </w:lvl>
    <w:lvl w:ilvl="5">
      <w:start w:val="1"/>
      <w:numFmt w:val="none"/>
      <w:suff w:val="nothing"/>
      <w:lvlText w:val=""/>
      <w:lvlJc w:val="start"/>
      <w:pPr>
        <w:tabs>
          <w:tab w:val="num" w:pos="0"/>
        </w:tabs>
        <w:ind w:start="1152" w:hanging="1152"/>
      </w:pPr>
      <w:rPr/>
    </w:lvl>
    <w:lvl w:ilvl="6">
      <w:start w:val="1"/>
      <w:numFmt w:val="none"/>
      <w:suff w:val="nothing"/>
      <w:lvlText w:val=""/>
      <w:lvlJc w:val="start"/>
      <w:pPr>
        <w:tabs>
          <w:tab w:val="num" w:pos="0"/>
        </w:tabs>
        <w:ind w:start="1296" w:hanging="1296"/>
      </w:pPr>
      <w:rPr/>
    </w:lvl>
    <w:lvl w:ilvl="7">
      <w:start w:val="1"/>
      <w:numFmt w:val="none"/>
      <w:suff w:val="nothing"/>
      <w:lvlText w:val=""/>
      <w:lvlJc w:val="start"/>
      <w:pPr>
        <w:tabs>
          <w:tab w:val="num" w:pos="0"/>
        </w:tabs>
        <w:ind w:start="1440" w:hanging="1440"/>
      </w:pPr>
      <w:rPr/>
    </w:lvl>
    <w:lvl w:ilvl="8">
      <w:start w:val="1"/>
      <w:numFmt w:val="none"/>
      <w:suff w:val="nothing"/>
      <w:lvlText w:val=""/>
      <w:lvlJc w:val="start"/>
      <w:pPr>
        <w:tabs>
          <w:tab w:val="num" w:pos="0"/>
        </w:tabs>
        <w:ind w:start="1584" w:hanging="1584"/>
      </w:pPr>
      <w:rPr/>
    </w:lvl>
  </w:abstractNum>
  <w:abstractNum w:abstractNumId="4">
    <w:lvl w:ilvl="0">
      <w:start w:val="1"/>
      <w:numFmt w:val="lowerLetter"/>
      <w:lvlText w:val="%1)"/>
      <w:lvlJc w:val="start"/>
      <w:pPr>
        <w:tabs>
          <w:tab w:val="num" w:pos="0"/>
        </w:tabs>
        <w:ind w:start="720" w:hanging="360"/>
      </w:pPr>
      <w:rPr>
        <w:color w:val="auto"/>
      </w:rPr>
    </w:lvl>
    <w:lvl w:ilvl="1">
      <w:start w:val="1"/>
      <w:numFmt w:val="lowerLetter"/>
      <w:lvlText w:val="%2."/>
      <w:lvlJc w:val="start"/>
      <w:pPr>
        <w:tabs>
          <w:tab w:val="num" w:pos="0"/>
        </w:tabs>
        <w:ind w:start="1440" w:hanging="360"/>
      </w:pPr>
      <w:rPr/>
    </w:lvl>
    <w:lvl w:ilvl="2">
      <w:start w:val="1"/>
      <w:numFmt w:val="lowerRoman"/>
      <w:lvlText w:val="%3."/>
      <w:lvlJc w:val="end"/>
      <w:pPr>
        <w:tabs>
          <w:tab w:val="num" w:pos="0"/>
        </w:tabs>
        <w:ind w:start="2160" w:hanging="180"/>
      </w:pPr>
      <w:rPr/>
    </w:lvl>
    <w:lvl w:ilvl="3">
      <w:start w:val="1"/>
      <w:numFmt w:val="decimal"/>
      <w:lvlText w:val="%4."/>
      <w:lvlJc w:val="start"/>
      <w:pPr>
        <w:tabs>
          <w:tab w:val="num" w:pos="0"/>
        </w:tabs>
        <w:ind w:start="2880" w:hanging="360"/>
      </w:pPr>
      <w:rPr/>
    </w:lvl>
    <w:lvl w:ilvl="4">
      <w:start w:val="1"/>
      <w:numFmt w:val="lowerLetter"/>
      <w:lvlText w:val="%5."/>
      <w:lvlJc w:val="start"/>
      <w:pPr>
        <w:tabs>
          <w:tab w:val="num" w:pos="0"/>
        </w:tabs>
        <w:ind w:start="3600" w:hanging="360"/>
      </w:pPr>
      <w:rPr/>
    </w:lvl>
    <w:lvl w:ilvl="5">
      <w:start w:val="1"/>
      <w:numFmt w:val="lowerRoman"/>
      <w:lvlText w:val="%6."/>
      <w:lvlJc w:val="end"/>
      <w:pPr>
        <w:tabs>
          <w:tab w:val="num" w:pos="0"/>
        </w:tabs>
        <w:ind w:start="4320" w:hanging="180"/>
      </w:pPr>
      <w:rPr/>
    </w:lvl>
    <w:lvl w:ilvl="6">
      <w:start w:val="1"/>
      <w:numFmt w:val="decimal"/>
      <w:lvlText w:val="%7."/>
      <w:lvlJc w:val="start"/>
      <w:pPr>
        <w:tabs>
          <w:tab w:val="num" w:pos="0"/>
        </w:tabs>
        <w:ind w:start="5040" w:hanging="360"/>
      </w:pPr>
      <w:rPr/>
    </w:lvl>
    <w:lvl w:ilvl="7">
      <w:start w:val="1"/>
      <w:numFmt w:val="lowerLetter"/>
      <w:lvlText w:val="%8."/>
      <w:lvlJc w:val="start"/>
      <w:pPr>
        <w:tabs>
          <w:tab w:val="num" w:pos="0"/>
        </w:tabs>
        <w:ind w:start="5760" w:hanging="360"/>
      </w:pPr>
      <w:rPr/>
    </w:lvl>
    <w:lvl w:ilvl="8">
      <w:start w:val="1"/>
      <w:numFmt w:val="lowerRoman"/>
      <w:lvlText w:val="%9."/>
      <w:lvlJc w:val="end"/>
      <w:pPr>
        <w:tabs>
          <w:tab w:val="num" w:pos="0"/>
        </w:tabs>
        <w:ind w:start="6480" w:hanging="180"/>
      </w:pPr>
      <w:rPr/>
    </w:lvl>
  </w:abstractNum>
  <w:abstractNum w:abstractNumId="5">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6">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7">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8">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9">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10">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11">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12">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13">
    <w:lvl w:ilvl="0">
      <w:start w:val="1"/>
      <w:numFmt w:val="decimal"/>
      <w:lvlText w:val="%1."/>
      <w:lvlJc w:val="start"/>
      <w:pPr>
        <w:tabs>
          <w:tab w:val="num" w:pos="0"/>
        </w:tabs>
        <w:ind w:start="360" w:hanging="360"/>
      </w:pPr>
      <w:rPr>
        <w:b/>
      </w:rPr>
    </w:lvl>
    <w:lvl w:ilvl="1">
      <w:start w:val="1"/>
      <w:numFmt w:val="decimal"/>
      <w:lvlText w:val="%1.%2."/>
      <w:lvlJc w:val="start"/>
      <w:pPr>
        <w:tabs>
          <w:tab w:val="num" w:pos="0"/>
        </w:tabs>
        <w:ind w:start="4969" w:hanging="432"/>
      </w:pPr>
      <w:rPr>
        <w:b w:val="false"/>
        <w:i w:val="false"/>
        <w:strike w:val="false"/>
        <w:dstrike w:val="false"/>
        <w:color w:val="auto"/>
        <w:sz w:val="20"/>
        <w:szCs w:val="20"/>
        <w:u w:val="none"/>
      </w:rPr>
    </w:lvl>
    <w:lvl w:ilvl="2">
      <w:start w:val="1"/>
      <w:numFmt w:val="decimal"/>
      <w:lvlText w:val="%1.%2.%3."/>
      <w:lvlJc w:val="start"/>
      <w:pPr>
        <w:tabs>
          <w:tab w:val="num" w:pos="0"/>
        </w:tabs>
        <w:ind w:start="3198" w:hanging="504"/>
      </w:pPr>
      <w:rPr>
        <w:rFonts w:ascii="Arial" w:hAnsi="Arial"/>
        <w:b w:val="false"/>
        <w:i w:val="false"/>
        <w:strike w:val="false"/>
        <w:dstrike w:val="false"/>
        <w:color w:val="auto"/>
        <w:sz w:val="20"/>
        <w:szCs w:val="20"/>
      </w:rPr>
    </w:lvl>
    <w:lvl w:ilvl="3">
      <w:start w:val="1"/>
      <w:numFmt w:val="decimal"/>
      <w:lvlText w:val="%1.%2.%3.%4."/>
      <w:lvlJc w:val="start"/>
      <w:pPr>
        <w:tabs>
          <w:tab w:val="num" w:pos="0"/>
        </w:tabs>
        <w:ind w:start="2491" w:hanging="648"/>
      </w:pPr>
      <w:rPr/>
    </w:lvl>
    <w:lvl w:ilvl="4">
      <w:start w:val="1"/>
      <w:numFmt w:val="decimal"/>
      <w:lvlText w:val="%1.%2.%3.%4.%5."/>
      <w:lvlJc w:val="start"/>
      <w:pPr>
        <w:tabs>
          <w:tab w:val="num" w:pos="0"/>
        </w:tabs>
        <w:ind w:start="2232" w:hanging="792"/>
      </w:pPr>
      <w:rPr/>
    </w:lvl>
    <w:lvl w:ilvl="5">
      <w:start w:val="1"/>
      <w:numFmt w:val="decimal"/>
      <w:lvlText w:val="%1.%2.%3.%4.%5.%6."/>
      <w:lvlJc w:val="start"/>
      <w:pPr>
        <w:tabs>
          <w:tab w:val="num" w:pos="0"/>
        </w:tabs>
        <w:ind w:start="2736" w:hanging="936"/>
      </w:pPr>
      <w:rPr/>
    </w:lvl>
    <w:lvl w:ilvl="6">
      <w:start w:val="1"/>
      <w:numFmt w:val="decimal"/>
      <w:lvlText w:val="%1.%2.%3.%4.%5.%6.%7."/>
      <w:lvlJc w:val="start"/>
      <w:pPr>
        <w:tabs>
          <w:tab w:val="num" w:pos="0"/>
        </w:tabs>
        <w:ind w:start="3240" w:hanging="1080"/>
      </w:pPr>
      <w:rPr/>
    </w:lvl>
    <w:lvl w:ilvl="7">
      <w:start w:val="1"/>
      <w:numFmt w:val="decimal"/>
      <w:lvlText w:val="%1.%2.%3.%4.%5.%6.%7.%8."/>
      <w:lvlJc w:val="start"/>
      <w:pPr>
        <w:tabs>
          <w:tab w:val="num" w:pos="0"/>
        </w:tabs>
        <w:ind w:start="3744" w:hanging="1224"/>
      </w:pPr>
      <w:rPr/>
    </w:lvl>
    <w:lvl w:ilvl="8">
      <w:start w:val="1"/>
      <w:numFmt w:val="decimal"/>
      <w:lvlText w:val="%1.%2.%3.%4.%5.%6.%7.%8.%9."/>
      <w:lvlJc w:val="start"/>
      <w:pPr>
        <w:tabs>
          <w:tab w:val="num" w:pos="0"/>
        </w:tabs>
        <w:ind w:start="4320" w:hanging="1440"/>
      </w:pPr>
      <w:rPr/>
    </w:lvl>
  </w:abstractNum>
  <w:abstractNum w:abstractNumId="14">
    <w:lvl w:ilvl="0">
      <w:start w:val="1"/>
      <w:numFmt w:val="lowerLetter"/>
      <w:lvlText w:val="%1)"/>
      <w:lvlJc w:val="start"/>
      <w:pPr>
        <w:tabs>
          <w:tab w:val="num" w:pos="0"/>
        </w:tabs>
        <w:ind w:start="0" w:hanging="0"/>
      </w:pPr>
      <w:rPr>
        <w:rFonts w:ascii="Arial" w:hAnsi="Arial"/>
        <w:b/>
        <w:sz w:val="20"/>
      </w:rPr>
    </w:lvl>
    <w:lvl w:ilvl="1">
      <w:start w:val="1"/>
      <w:numFmt w:val="decimal"/>
      <w:lvlText w:val="%2."/>
      <w:lvlJc w:val="start"/>
      <w:pPr>
        <w:tabs>
          <w:tab w:val="num" w:pos="0"/>
        </w:tabs>
        <w:ind w:start="0" w:hanging="0"/>
      </w:pPr>
      <w:rPr>
        <w:rFonts w:ascii="Arial" w:hAnsi="Arial"/>
        <w:b/>
        <w:sz w:val="20"/>
      </w:rPr>
    </w:lvl>
    <w:lvl w:ilvl="2">
      <w:start w:val="1"/>
      <w:numFmt w:val="decimal"/>
      <w:lvlText w:val="%2.%3."/>
      <w:lvlJc w:val="start"/>
      <w:pPr>
        <w:tabs>
          <w:tab w:val="num" w:pos="0"/>
        </w:tabs>
        <w:ind w:start="0" w:hanging="0"/>
      </w:pPr>
      <w:rPr>
        <w:rFonts w:ascii="Arial" w:hAnsi="Arial"/>
        <w:b/>
        <w:sz w:val="20"/>
      </w:rPr>
    </w:lvl>
    <w:lvl w:ilvl="3">
      <w:start w:val="1"/>
      <w:numFmt w:val="decimal"/>
      <w:lvlText w:val="%2.%3.%4."/>
      <w:lvlJc w:val="start"/>
      <w:pPr>
        <w:tabs>
          <w:tab w:val="num" w:pos="0"/>
        </w:tabs>
        <w:ind w:start="0" w:hanging="0"/>
      </w:pPr>
      <w:rPr>
        <w:rFonts w:ascii="Arial" w:hAnsi="Arial"/>
        <w:b/>
        <w:sz w:val="20"/>
      </w:rPr>
    </w:lvl>
    <w:lvl w:ilvl="4">
      <w:start w:val="1"/>
      <w:numFmt w:val="decimal"/>
      <w:lvlText w:val="%2.%3.%4.%5."/>
      <w:lvlJc w:val="start"/>
      <w:pPr>
        <w:tabs>
          <w:tab w:val="num" w:pos="0"/>
        </w:tabs>
        <w:ind w:start="0" w:hanging="0"/>
      </w:pPr>
      <w:rPr>
        <w:rFonts w:ascii="Arial" w:hAnsi="Arial"/>
        <w:b/>
        <w:sz w:val="20"/>
      </w:rPr>
    </w:lvl>
    <w:lvl w:ilvl="5">
      <w:start w:val="1"/>
      <w:numFmt w:val="decimal"/>
      <w:lvlText w:val="%2.%3.%4.%5.%6."/>
      <w:lvlJc w:val="start"/>
      <w:pPr>
        <w:tabs>
          <w:tab w:val="num" w:pos="0"/>
        </w:tabs>
        <w:ind w:start="0" w:hanging="0"/>
      </w:pPr>
      <w:rPr>
        <w:rFonts w:ascii="Arial" w:hAnsi="Arial"/>
        <w:b/>
        <w:sz w:val="20"/>
      </w:rPr>
    </w:lvl>
    <w:lvl w:ilvl="6">
      <w:start w:val="1"/>
      <w:numFmt w:val="decimal"/>
      <w:lvlText w:val="%2.%3.%4.%5.%6.%7."/>
      <w:lvlJc w:val="start"/>
      <w:pPr>
        <w:tabs>
          <w:tab w:val="num" w:pos="0"/>
        </w:tabs>
        <w:ind w:start="0" w:hanging="0"/>
      </w:pPr>
      <w:rPr>
        <w:rFonts w:ascii="Arial" w:hAnsi="Arial"/>
        <w:b/>
        <w:sz w:val="20"/>
      </w:rPr>
    </w:lvl>
    <w:lvl w:ilvl="7">
      <w:start w:val="1"/>
      <w:numFmt w:val="decimal"/>
      <w:lvlText w:val="%2.%3.%4.%5.%6.%7.%8."/>
      <w:lvlJc w:val="start"/>
      <w:pPr>
        <w:tabs>
          <w:tab w:val="num" w:pos="0"/>
        </w:tabs>
        <w:ind w:start="0" w:hanging="0"/>
      </w:pPr>
      <w:rPr>
        <w:rFonts w:ascii="Arial" w:hAnsi="Arial"/>
        <w:b/>
        <w:sz w:val="20"/>
      </w:rPr>
    </w:lvl>
    <w:lvl w:ilvl="8">
      <w:start w:val="1"/>
      <w:numFmt w:val="upperRoman"/>
      <w:lvlText w:val="%9."/>
      <w:lvlJc w:val="end"/>
      <w:pPr>
        <w:tabs>
          <w:tab w:val="num" w:pos="0"/>
        </w:tabs>
        <w:ind w:start="0" w:hanging="0"/>
      </w:pPr>
      <w:rPr>
        <w:rFonts w:ascii="Arial" w:hAnsi="Arial"/>
        <w:b/>
        <w:sz w:val="20"/>
      </w:rPr>
    </w:lvl>
  </w:abstractNum>
  <w:abstractNum w:abstractNumId="15">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9"/>
    <w:lvlOverride w:ilvl="0">
      <w:startOverride w:val="1"/>
    </w:lvlOverride>
  </w:num>
  <w:num w:numId="17">
    <w:abstractNumId w:val="9"/>
    <w:lvlOverride w:ilvl="0">
      <w:startOverride w:val="1"/>
    </w:lvlOverride>
  </w:num>
  <w:num w:numId="18">
    <w:abstractNumId w:val="9"/>
    <w:lvlOverride w:ilvl="0">
      <w:startOverride w:val="1"/>
    </w:lvlOverride>
  </w:num>
  <w:num w:numId="19">
    <w:abstractNumId w:val="9"/>
    <w:lvlOverride w:ilvl="0">
      <w:startOverride w:val="1"/>
    </w:lvlOverride>
  </w:num>
  <w:num w:numId="20">
    <w:abstractNumId w:val="9"/>
    <w:lvlOverride w:ilvl="0">
      <w:startOverride w:val="1"/>
    </w:lvlOverride>
  </w:num>
  <w:num w:numId="21">
    <w:abstractNumId w:val="9"/>
    <w:lvlOverride w:ilvl="0">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bering>
</file>

<file path=word/settings.xml><?xml version="1.0" encoding="utf-8"?>
<w:settings xmlns:w="http://schemas.openxmlformats.org/wordprocessingml/2006/main">
  <w:zoom w:percent="180"/>
  <w:displayBackgroundShape/>
  <w:defaultTabStop w:val="709"/>
  <w:autoHyphenation w:val="true"/>
  <w:hyphenationZone w:val="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0" w:semiHidden="0" w:unhideWhenUsed="0" w:qFormat="1"/>
    <w:lsdException w:name="heading 5" w:uiPriority="0" w:semiHidden="0" w:unhideWhenUsed="0" w:qFormat="1"/>
    <w:lsdException w:name="heading 6" w:uiPriority="0" w:semiHidden="0" w:unhideWhenUsed="0" w:qFormat="1"/>
    <w:lsdException w:name="heading 7" w:uiPriority="0" w:semiHidden="0" w:unhideWhenUsed="0" w:qFormat="1"/>
    <w:lsdException w:name="heading 8" w:uiPriority="0" w:semiHidden="0" w:unhideWhenUsed="0" w:qFormat="1"/>
    <w:lsdException w:name="heading 9" w:uiPriority="0"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start"/>
    </w:pPr>
    <w:rPr>
      <w:rFonts w:ascii="Times New Roman" w:hAnsi="Times New Roman" w:eastAsia="Times New Roman" w:cs="Times New Roman"/>
      <w:color w:val="auto"/>
      <w:kern w:val="2"/>
      <w:sz w:val="20"/>
      <w:szCs w:val="20"/>
      <w:lang w:eastAsia="zh-CN" w:val="pt-BR" w:bidi="ar-SA"/>
    </w:rPr>
  </w:style>
  <w:style w:type="paragraph" w:styleId="Heading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Heading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Heading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numPr>
        <w:ilvl w:val="4"/>
        <w:numId w:val="1"/>
      </w:numPr>
      <w:jc w:val="center"/>
      <w:outlineLvl w:val="4"/>
    </w:pPr>
    <w:rPr>
      <w:b/>
      <w:sz w:val="28"/>
      <w:lang w:val="x-none"/>
    </w:rPr>
  </w:style>
  <w:style w:type="paragraph" w:styleId="Heading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Heading7">
    <w:name w:val="heading 7"/>
    <w:basedOn w:val="Normal"/>
    <w:next w:val="Normal"/>
    <w:qFormat/>
    <w:pPr>
      <w:keepNext w:val="true"/>
      <w:numPr>
        <w:ilvl w:val="6"/>
        <w:numId w:val="1"/>
      </w:numPr>
      <w:ind w:hanging="0" w:star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numPr>
        <w:ilvl w:val="7"/>
        <w:numId w:val="1"/>
      </w:numPr>
      <w:ind w:firstLine="561" w:start="0"/>
      <w:jc w:val="both"/>
      <w:outlineLvl w:val="7"/>
    </w:pPr>
    <w:rPr>
      <w:rFonts w:ascii="Arial" w:hAnsi="Arial"/>
      <w:b/>
      <w:bCs/>
      <w:sz w:val="22"/>
      <w:szCs w:val="22"/>
      <w:lang w:val="x-none"/>
    </w:rPr>
  </w:style>
  <w:style w:type="paragraph" w:styleId="Heading9">
    <w:name w:val="heading 9"/>
    <w:basedOn w:val="Normal"/>
    <w:next w:val="Normal"/>
    <w:qFormat/>
    <w:pPr>
      <w:keepNext w:val="true"/>
      <w:numPr>
        <w:ilvl w:val="8"/>
        <w:numId w:val="1"/>
      </w:numPr>
      <w:ind w:firstLine="561" w:start="0"/>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
    <w:name w:val="Hyperlink"/>
    <w:rPr>
      <w:color w:val="0000FF"/>
      <w:u w:val="single"/>
    </w:rPr>
  </w:style>
  <w:style w:type="character" w:styleId="PageNumber">
    <w:name w:val="page number"/>
    <w:basedOn w:val="Fontepargpadro1"/>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user" w:customStyle="1">
    <w:name w:val="Símbolos de numeração (user)"/>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Lucida Sans"/>
    </w:rPr>
  </w:style>
  <w:style w:type="paragraph" w:styleId="Ttulo21" w:customStyle="1">
    <w:name w:val="Título21"/>
    <w:basedOn w:val="Ttulo20"/>
    <w:next w:val="BodyText"/>
    <w:qFormat/>
    <w:pPr/>
    <w:rPr>
      <w:sz w:val="56"/>
      <w:szCs w:val="56"/>
    </w:rPr>
  </w:style>
  <w:style w:type="paragraph" w:styleId="ndiceuser" w:customStyle="1">
    <w:name w:val="Índice (user)"/>
    <w:basedOn w:val="Normal"/>
    <w:qFormat/>
    <w:pPr>
      <w:suppressLineNumbers/>
    </w:pPr>
    <w:rPr>
      <w:rFonts w:cs="Mangal"/>
    </w:rPr>
  </w:style>
  <w:style w:type="paragraph" w:styleId="Ttulo20" w:customStyle="1">
    <w:name w:val="Título20"/>
    <w:basedOn w:val="Normal"/>
    <w:next w:val="Subtitle"/>
    <w:qFormat/>
    <w:pPr>
      <w:overflowPunct w:val="true"/>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name w:val="Cabeçalho e rodapé"/>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overflowPunct w:val="true"/>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star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star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star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star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star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start="851"/>
      <w:jc w:val="both"/>
    </w:pPr>
    <w:rPr>
      <w:b/>
      <w:bCs/>
      <w:sz w:val="24"/>
      <w:szCs w:val="24"/>
    </w:rPr>
  </w:style>
  <w:style w:type="paragraph" w:styleId="Recuodecorpodetexto23" w:customStyle="1">
    <w:name w:val="Recuo de corpo de texto 23"/>
    <w:basedOn w:val="Normal"/>
    <w:qFormat/>
    <w:pPr>
      <w:spacing w:before="120" w:after="0"/>
      <w:ind w:hanging="284" w:star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start"/>
    </w:pPr>
    <w:rPr>
      <w:rFonts w:eastAsia="Calibri" w:ascii="Times New Roman" w:hAnsi="Times New Roman" w:cs="Times New Roman"/>
      <w:color w:val="000000"/>
      <w:kern w:val="2"/>
      <w:sz w:val="24"/>
      <w:szCs w:val="24"/>
      <w:lang w:eastAsia="zh-CN" w:val="pt-BR"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user" w:customStyle="1">
    <w:name w:val="Conteúdo da tabela (user)"/>
    <w:basedOn w:val="Normal"/>
    <w:qFormat/>
    <w:pPr>
      <w:suppressLineNumbers/>
    </w:pPr>
    <w:rPr/>
  </w:style>
  <w:style w:type="paragraph" w:styleId="Ttulodatabela" w:customStyle="1">
    <w:name w:val="Título da tabela"/>
    <w:basedOn w:val="Contedodatabelauser"/>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user" w:customStyle="1">
    <w:name w:val="Título de tabela (user)"/>
    <w:basedOn w:val="Contedodatabelauser"/>
    <w:qFormat/>
    <w:pPr>
      <w:jc w:val="center"/>
    </w:pPr>
    <w:rPr>
      <w:b/>
      <w:bCs/>
    </w:rPr>
  </w:style>
  <w:style w:type="paragraph" w:styleId="Contedodoquadrouser" w:customStyle="1">
    <w:name w:val="Conteúdo do quadro (user)"/>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start="283"/>
    </w:pPr>
    <w:rPr>
      <w:sz w:val="16"/>
      <w:szCs w:val="16"/>
      <w:lang w:val="x-none"/>
    </w:rPr>
  </w:style>
  <w:style w:type="paragraph" w:styleId="Standard" w:customStyle="1">
    <w:name w:val="Standard"/>
    <w:qFormat/>
    <w:pPr>
      <w:widowControl/>
      <w:suppressAutoHyphens w:val="true"/>
      <w:bidi w:val="0"/>
      <w:spacing w:before="0" w:after="0"/>
      <w:jc w:val="start"/>
      <w:textAlignment w:val="baseline"/>
    </w:pPr>
    <w:rPr>
      <w:rFonts w:ascii="Times New Roman" w:hAnsi="Times New Roman" w:eastAsia="Times New Roman" w:cs="Times New Roman"/>
      <w:color w:val="auto"/>
      <w:kern w:val="2"/>
      <w:sz w:val="20"/>
      <w:szCs w:val="20"/>
      <w:lang w:eastAsia="zh-CN" w:val="pt-BR" w:bidi="ar-SA"/>
    </w:rPr>
  </w:style>
  <w:style w:type="paragraph" w:styleId="Citaes" w:customStyle="1">
    <w:name w:val="Citações"/>
    <w:basedOn w:val="Normal"/>
    <w:qFormat/>
    <w:pPr>
      <w:spacing w:before="0" w:after="283"/>
      <w:ind w:start="567" w:end="567"/>
    </w:pPr>
    <w:rPr/>
  </w:style>
  <w:style w:type="paragraph" w:styleId="Title">
    <w:name w:val="Title"/>
    <w:basedOn w:val="Ttulo21"/>
    <w:next w:val="BodyText"/>
    <w:qFormat/>
    <w:pPr/>
    <w:rPr/>
  </w:style>
  <w:style w:type="paragraph" w:styleId="NoSpacing">
    <w:name w:val="No Spacing"/>
    <w:uiPriority w:val="1"/>
    <w:qFormat/>
    <w:rsid w:val="00fe4423"/>
    <w:pPr>
      <w:widowControl/>
      <w:suppressAutoHyphens w:val="true"/>
      <w:bidi w:val="0"/>
      <w:spacing w:before="0" w:after="0"/>
      <w:jc w:val="start"/>
    </w:pPr>
    <w:rPr>
      <w:rFonts w:ascii="Calibri" w:hAnsi="Calibri" w:eastAsia="Calibri" w:cs="Times New Roman"/>
      <w:color w:val="auto"/>
      <w:kern w:val="0"/>
      <w:sz w:val="22"/>
      <w:szCs w:val="22"/>
      <w:lang w:eastAsia="ar-SA" w:val="pt-BR"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numPr>
        <w:ilvl w:val="0"/>
        <w:numId w:val="13"/>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13"/>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13"/>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hanging="0" w:start="851"/>
    </w:pPr>
    <w:rPr>
      <w:color w:val="auto"/>
    </w:rPr>
  </w:style>
  <w:style w:type="paragraph" w:styleId="Nivel5" w:customStyle="1">
    <w:name w:val="Nivel 5"/>
    <w:basedOn w:val="Nivel4"/>
    <w:qFormat/>
    <w:rsid w:val="00ed126a"/>
    <w:pPr>
      <w:ind w:hanging="0" w:start="1276"/>
    </w:pPr>
    <w:rPr/>
  </w:style>
  <w:style w:type="paragraph" w:styleId="Contedodoquadro">
    <w:name w:val="Conteúdo do quadro"/>
    <w:basedOn w:val="Normal"/>
    <w:qFormat/>
    <w:pPr/>
    <w:rPr/>
  </w:style>
  <w:style w:type="numbering" w:styleId="Semlista" w:default="1">
    <w:name w:val="Sem lista"/>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https://bnccompras.com/" TargetMode="External"/><Relationship Id="rId7" Type="http://schemas.openxmlformats.org/officeDocument/2006/relationships/hyperlink" Target="https://bnccompras.co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mailto:notafiscal@piracicaba.sp.gov.br" TargetMode="External"/><Relationship Id="rId11" Type="http://schemas.openxmlformats.org/officeDocument/2006/relationships/hyperlink" Target="mailto:notafiscal@piracicaba.sp.gov.br"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oter" Target="footer3.xml"/><Relationship Id="rId18" Type="http://schemas.openxmlformats.org/officeDocument/2006/relationships/numbering" Target="numbering.xml"/><Relationship Id="rId19" Type="http://schemas.openxmlformats.org/officeDocument/2006/relationships/fontTable" Target="fontTable.xml"/><Relationship Id="rId20" Type="http://schemas.openxmlformats.org/officeDocument/2006/relationships/settings" Target="settings.xml"/><Relationship Id="rId21" Type="http://schemas.openxmlformats.org/officeDocument/2006/relationships/theme" Target="theme/theme1.xml"/><Relationship Id="rId22" Type="http://schemas.openxmlformats.org/officeDocument/2006/relationships/customXml" Target="../customXml/item1.xml"/><Relationship Id="rId23" Type="http://schemas.openxmlformats.org/officeDocument/2006/relationships/customXml" Target="../customXml/item2.xml"/><Relationship Id="rId24" Type="http://schemas.openxmlformats.org/officeDocument/2006/relationships/customXml" Target="../customXml/item3.xml"/><Relationship Id="rId25"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60198707-c4ff-4d5d-8bc5-5efdd47f407d"/>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0CBEF6FB-D0F5-4622-9E53-85F3E4111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Application>LibreOffice/26.2.4.2$Windows_X86_64 LibreOffice_project/0229ac93fcf0d7cbc6376066c6f35021cef002dc</Application>
  <AppVersion>15.0000</AppVersion>
  <Pages>30</Pages>
  <Words>11533</Words>
  <Characters>65356</Characters>
  <CharactersWithSpaces>76258</CharactersWithSpaces>
  <Paragraphs>734</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2026-06-22T11:07:00Z</dcterms:created>
  <dc:creator>Thiago Luiz Araujo Santos</dc:creator>
  <dc:description/>
  <dc:language>pt-BR</dc:language>
  <cp:lastModifiedBy/>
  <cp:lastPrinted>2026-06-29T08:06:12Z</cp:lastPrinted>
  <dcterms:modified xsi:type="dcterms:W3CDTF">2026-06-29T08:13:16Z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