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sz w:val="20"/>
          <w:szCs w:val="20"/>
        </w:rPr>
      </w:pPr>
      <w:r>
        <w:rPr>
          <w:b/>
          <w:sz w:val="20"/>
          <w:szCs w:val="20"/>
        </w:rPr>
        <w:t xml:space="preserve">EDITAL DE PREGÃO ELETRÔNICO </w:t>
      </w:r>
      <w:r>
        <w:rPr>
          <w:b/>
          <w:sz w:val="20"/>
          <w:szCs w:val="20"/>
          <w:lang w:val="pt-BR"/>
        </w:rPr>
        <w:t>nº 189/2026</w:t>
      </w:r>
      <w:r>
        <w:rPr>
          <w:b/>
          <w:sz w:val="20"/>
          <w:szCs w:val="20"/>
        </w:rPr>
        <w:t xml:space="preserve"> </w:t>
      </w:r>
    </w:p>
    <w:p>
      <w:pPr>
        <w:pStyle w:val="BodyTextIndent"/>
        <w:widowControl w:val="false"/>
        <w:shd w:val="clear" w:color="auto" w:fill="CCCCCC"/>
        <w:overflowPunct w:val="true"/>
        <w:spacing w:lineRule="auto" w:line="240"/>
        <w:jc w:val="center"/>
        <w:rPr>
          <w:b/>
          <w:sz w:val="20"/>
          <w:szCs w:val="20"/>
          <w:lang w:val="pt-BR"/>
        </w:rPr>
      </w:pPr>
      <w:r>
        <w:rPr>
          <w:b/>
          <w:sz w:val="20"/>
          <w:szCs w:val="20"/>
          <w:lang w:val="pt-BR"/>
        </w:rPr>
        <w:t>REGISTRO DE PREÇOS</w:t>
      </w:r>
    </w:p>
    <w:p>
      <w:pPr>
        <w:pStyle w:val="BodyTextIndent"/>
        <w:widowControl w:val="false"/>
        <w:overflowPunct w:val="true"/>
        <w:spacing w:lineRule="auto" w:line="240"/>
        <w:jc w:val="center"/>
        <w:rPr>
          <w:sz w:val="20"/>
          <w:szCs w:val="20"/>
          <w:lang w:val="pt-BR"/>
        </w:rPr>
      </w:pPr>
      <w:r>
        <w:rPr>
          <w:sz w:val="20"/>
          <w:szCs w:val="20"/>
          <w:lang w:val="pt-BR"/>
        </w:rPr>
      </w:r>
    </w:p>
    <w:p>
      <w:pPr>
        <w:pStyle w:val="BodyTextIndent"/>
        <w:widowControl w:val="false"/>
        <w:overflowPunct w:val="true"/>
        <w:spacing w:lineRule="auto" w:line="240"/>
        <w:jc w:val="center"/>
        <w:rPr>
          <w:b/>
          <w:bCs/>
          <w:sz w:val="20"/>
          <w:szCs w:val="20"/>
          <w:lang w:val="pt-BR"/>
        </w:rPr>
      </w:pPr>
      <w:r>
        <w:rPr>
          <w:b/>
          <w:bCs/>
          <w:sz w:val="20"/>
          <w:szCs w:val="20"/>
          <w:lang w:val="pt-BR"/>
        </w:rPr>
        <w:t>TERMO DE REFERÊNCIA</w:t>
      </w:r>
    </w:p>
    <w:p>
      <w:pPr>
        <w:pStyle w:val="BodyTextIndent"/>
        <w:widowControl w:val="false"/>
        <w:overflowPunct w:val="true"/>
        <w:spacing w:lineRule="auto" w:line="240"/>
        <w:jc w:val="center"/>
        <w:rPr>
          <w:sz w:val="20"/>
          <w:szCs w:val="20"/>
        </w:rPr>
      </w:pPr>
      <w:r>
        <w:rPr>
          <w:sz w:val="20"/>
          <w:szCs w:val="20"/>
        </w:rPr>
      </w:r>
    </w:p>
    <w:p>
      <w:pPr>
        <w:pStyle w:val="BodyTextIndent"/>
        <w:widowControl w:val="false"/>
        <w:shd w:val="clear" w:color="auto" w:fill="DDDDDD"/>
        <w:overflowPunct w:val="true"/>
        <w:spacing w:lineRule="auto" w:line="240"/>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5"/>
        </w:numPr>
        <w:tabs>
          <w:tab w:val="clear" w:pos="709"/>
          <w:tab w:val="left" w:pos="284" w:leader="none"/>
        </w:tabs>
        <w:overflowPunct w:val="tru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52.557/2026</w:t>
      </w:r>
    </w:p>
    <w:p>
      <w:pPr>
        <w:pStyle w:val="BodyTextIndent"/>
        <w:widowControl w:val="false"/>
        <w:numPr>
          <w:ilvl w:val="0"/>
          <w:numId w:val="5"/>
        </w:numPr>
        <w:tabs>
          <w:tab w:val="clear" w:pos="709"/>
          <w:tab w:val="left" w:pos="284" w:leader="none"/>
        </w:tabs>
        <w:overflowPunct w:val="tru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1</w:t>
      </w:r>
      <w:r>
        <w:rPr>
          <w:b/>
          <w:sz w:val="20"/>
          <w:szCs w:val="20"/>
          <w:lang w:val="pt-BR"/>
        </w:rPr>
        <w:t>6</w:t>
      </w:r>
      <w:r>
        <w:rPr>
          <w:b/>
          <w:sz w:val="20"/>
          <w:szCs w:val="20"/>
          <w:lang w:val="pt-BR"/>
        </w:rPr>
        <w:t xml:space="preserve">/07/2026 - 08 </w:t>
      </w:r>
      <w:r>
        <w:rPr>
          <w:b/>
          <w:sz w:val="20"/>
          <w:szCs w:val="20"/>
        </w:rPr>
        <w:t>horas</w:t>
      </w:r>
      <w:r>
        <w:rPr>
          <w:b/>
          <w:sz w:val="20"/>
          <w:szCs w:val="20"/>
          <w:lang w:val="pt-BR"/>
        </w:rPr>
        <w:t>;</w:t>
      </w:r>
    </w:p>
    <w:p>
      <w:pPr>
        <w:pStyle w:val="BodyTextIndent"/>
        <w:widowControl w:val="false"/>
        <w:numPr>
          <w:ilvl w:val="0"/>
          <w:numId w:val="5"/>
        </w:numPr>
        <w:tabs>
          <w:tab w:val="clear" w:pos="709"/>
          <w:tab w:val="left" w:pos="284" w:leader="none"/>
        </w:tabs>
        <w:overflowPunct w:val="tru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1</w:t>
      </w:r>
      <w:r>
        <w:rPr>
          <w:b/>
          <w:sz w:val="20"/>
          <w:szCs w:val="20"/>
          <w:lang w:val="pt-BR"/>
        </w:rPr>
        <w:t>6</w:t>
      </w:r>
      <w:r>
        <w:rPr>
          <w:b/>
          <w:sz w:val="20"/>
          <w:szCs w:val="20"/>
          <w:lang w:val="pt-BR"/>
        </w:rPr>
        <w:t>/07/2026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5"/>
        </w:numPr>
        <w:tabs>
          <w:tab w:val="clear" w:pos="709"/>
          <w:tab w:val="left" w:pos="284" w:leader="none"/>
        </w:tabs>
        <w:overflowPunct w:val="tru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true"/>
        <w:spacing w:lineRule="auto" w:line="240"/>
        <w:ind w:firstLine="561"/>
        <w:jc w:val="left"/>
        <w:rPr>
          <w:b/>
          <w:bCs/>
          <w:sz w:val="20"/>
          <w:szCs w:val="20"/>
          <w:highlight w:val="yellow"/>
          <w:lang w:val="pt-BR"/>
        </w:rPr>
      </w:pPr>
      <w:r>
        <w:rPr>
          <w:b/>
          <w:bCs/>
          <w:sz w:val="20"/>
          <w:szCs w:val="20"/>
          <w:highlight w:val="yellow"/>
          <w:lang w:val="pt-BR"/>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0"/>
        </w:numPr>
        <w:tabs>
          <w:tab w:val="clear" w:pos="709"/>
          <w:tab w:val="left" w:pos="284" w:leader="none"/>
        </w:tabs>
        <w:ind w:hanging="0" w:left="0"/>
        <w:jc w:val="both"/>
        <w:rPr>
          <w:rFonts w:ascii="Arial" w:hAnsi="Arial" w:cs="Arial"/>
          <w:b/>
        </w:rPr>
      </w:pPr>
      <w:r>
        <w:rPr>
          <w:rFonts w:cs="Arial" w:ascii="Arial" w:hAnsi="Arial"/>
          <w:b/>
          <w:bCs/>
        </w:rPr>
        <w:t>a)</w:t>
      </w:r>
      <w:r>
        <w:rPr>
          <w:rFonts w:cs="Arial" w:ascii="Arial" w:hAnsi="Arial"/>
        </w:rPr>
        <w:t xml:space="preserve"> Objeto:</w:t>
      </w:r>
      <w:r>
        <w:rPr>
          <w:rFonts w:cs="Arial" w:ascii="Arial" w:hAnsi="Arial"/>
          <w:b/>
        </w:rPr>
        <w:t xml:space="preserve"> Registro de Preços para Fornecimento de Tubos de Aço, Cantoneiras e Barras de Ferro Chato.</w:t>
      </w:r>
    </w:p>
    <w:p>
      <w:pPr>
        <w:pStyle w:val="Normal"/>
        <w:numPr>
          <w:ilvl w:val="0"/>
          <w:numId w:val="0"/>
        </w:numPr>
        <w:tabs>
          <w:tab w:val="clear" w:pos="709"/>
          <w:tab w:val="left" w:pos="284" w:leader="none"/>
        </w:tabs>
        <w:ind w:hanging="0" w:left="0"/>
        <w:jc w:val="both"/>
        <w:rPr>
          <w:rFonts w:ascii="Arial" w:hAnsi="Arial" w:cs="Arial"/>
          <w:b/>
        </w:rPr>
      </w:pPr>
      <w:r>
        <w:rPr>
          <w:rFonts w:cs="Arial" w:ascii="Arial" w:hAnsi="Arial"/>
          <w:b/>
        </w:rPr>
        <w:t>b)</w:t>
      </w:r>
      <w:r>
        <w:rPr>
          <w:rFonts w:cs="Arial" w:ascii="Arial" w:hAnsi="Arial"/>
        </w:rPr>
        <w:t xml:space="preserve">Unidade Requisitante: </w:t>
      </w:r>
      <w:r>
        <w:rPr>
          <w:rFonts w:cs="Arial" w:ascii="Arial" w:hAnsi="Arial"/>
          <w:b/>
        </w:rPr>
        <w:t>SECRETARIA MUNICIPAL DE OBRAS, INFRAESTRUTURA E SERVIÇOS PÚBLICOS</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c) </w:t>
      </w:r>
      <w:r>
        <w:rPr>
          <w:rFonts w:cs="Arial" w:ascii="Arial" w:hAnsi="Arial"/>
        </w:rPr>
        <w:t>Fonte de recursos: 0101011000</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d) </w:t>
      </w:r>
      <w:r>
        <w:rPr>
          <w:rFonts w:cs="Arial" w:ascii="Arial" w:hAnsi="Arial"/>
        </w:rPr>
        <w:t xml:space="preserve">Valor estimado da contratação: </w:t>
      </w:r>
      <w:r>
        <w:rPr>
          <w:rFonts w:cs="Arial" w:ascii="Arial" w:hAnsi="Arial"/>
          <w:b/>
        </w:rPr>
        <w:t>R$ 377.363,98 (Trezentos e setenta e sete mil, trezentos e sessenta e três reais e noventa e oito centavos)</w:t>
      </w:r>
      <w:r>
        <w:rPr>
          <w:rFonts w:cs="Arial" w:ascii="Arial" w:hAnsi="Arial"/>
        </w:rPr>
        <w:t>.</w:t>
      </w:r>
    </w:p>
    <w:p>
      <w:pPr>
        <w:pStyle w:val="Normal"/>
        <w:numPr>
          <w:ilvl w:val="0"/>
          <w:numId w:val="37"/>
        </w:numPr>
        <w:tabs>
          <w:tab w:val="clear" w:pos="709"/>
          <w:tab w:val="left" w:pos="284" w:leader="none"/>
        </w:tabs>
        <w:jc w:val="both"/>
        <w:rPr>
          <w:rFonts w:ascii="Arial" w:hAnsi="Arial" w:cs="Arial"/>
        </w:rPr>
      </w:pP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ind w:firstLine="561"/>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6"/>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rPr>
        <w:t>Modo de disputa: Aberto</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b/>
          <w:bCs/>
        </w:rPr>
        <w:t>A participação nesta licitação é exclusiva de Microempresas e Empresas de Pequeno Porte.</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a) </w:t>
      </w:r>
      <w:r>
        <w:rPr>
          <w:rFonts w:cs="Arial" w:ascii="Arial" w:hAnsi="Arial"/>
        </w:rPr>
        <w:t xml:space="preserve">Prazo de validade: </w:t>
      </w:r>
      <w:r>
        <w:rPr>
          <w:rFonts w:cs="Arial" w:ascii="Arial" w:hAnsi="Arial"/>
          <w:b/>
          <w:bCs/>
        </w:rPr>
        <w:t>90 (noventa) dias.</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b) </w:t>
      </w:r>
      <w:r>
        <w:rPr>
          <w:rFonts w:cs="Arial" w:ascii="Arial" w:hAnsi="Arial"/>
        </w:rPr>
        <w:t>Prazo de pagamento: 15 (quinze) dias úteis, contados da data do recebimento da nota fiscal, em atendimento ao Decreto Municipal Nº 17.640/18.</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c) </w:t>
      </w: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a </w:t>
      </w:r>
      <w:r>
        <w:rPr>
          <w:rFonts w:cs="Arial" w:ascii="Arial" w:hAnsi="Arial"/>
          <w:b/>
        </w:rPr>
        <w:t xml:space="preserve">marca e prazo de validade </w:t>
      </w:r>
      <w:r>
        <w:rPr>
          <w:rFonts w:cs="Arial" w:ascii="Arial" w:hAnsi="Arial"/>
        </w:rPr>
        <w:t>dos produtos cotados, sendo admitida apenas uma marca por item.</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d) </w:t>
      </w:r>
      <w:r>
        <w:rPr>
          <w:rFonts w:cs="Arial" w:ascii="Arial" w:hAnsi="Arial"/>
        </w:rPr>
        <w:t>Deverá ser anexado no sistema eletrônico, no campo denominado “Documentos Complementares”,</w:t>
      </w:r>
      <w:r>
        <w:rPr>
          <w:rFonts w:cs="Arial" w:ascii="Arial" w:hAnsi="Arial"/>
          <w:bCs/>
        </w:rPr>
        <w:t xml:space="preserve"> </w:t>
      </w:r>
      <w:r>
        <w:rPr>
          <w:rFonts w:cs="Arial" w:ascii="Arial" w:hAnsi="Arial"/>
        </w:rPr>
        <w:t>sob pena de desclassificação pelo não cumprimento:</w:t>
      </w:r>
    </w:p>
    <w:p>
      <w:pPr>
        <w:pStyle w:val="Normal"/>
        <w:numPr>
          <w:ilvl w:val="1"/>
          <w:numId w:val="38"/>
        </w:numPr>
        <w:tabs>
          <w:tab w:val="clear" w:pos="709"/>
          <w:tab w:val="left" w:pos="284" w:leader="none"/>
        </w:tabs>
        <w:jc w:val="both"/>
        <w:rPr>
          <w:rFonts w:ascii="Arial" w:hAnsi="Arial" w:cs="Arial"/>
        </w:rPr>
      </w:pPr>
      <w:r>
        <w:rPr>
          <w:rFonts w:cs="Arial" w:ascii="Arial" w:hAnsi="Arial"/>
        </w:rPr>
        <w:t>Catálogos técnicos contendo o descritivo/folder/foto do produto ofertado, comprovando as especificações técnicas exigidas no edital.</w:t>
      </w:r>
    </w:p>
    <w:p>
      <w:pPr>
        <w:pStyle w:val="Normal"/>
        <w:numPr>
          <w:ilvl w:val="0"/>
          <w:numId w:val="0"/>
        </w:numPr>
        <w:tabs>
          <w:tab w:val="clear" w:pos="709"/>
          <w:tab w:val="left" w:pos="284" w:leader="none"/>
        </w:tabs>
        <w:ind w:hanging="0" w:left="0"/>
        <w:jc w:val="both"/>
        <w:rPr>
          <w:rFonts w:ascii="Arial" w:hAnsi="Arial" w:eastAsia="Arial" w:cs="Arial"/>
        </w:rPr>
      </w:pPr>
      <w:r>
        <w:rPr>
          <w:rFonts w:cs="Arial" w:ascii="Arial" w:hAnsi="Arial"/>
          <w:b/>
          <w:bCs/>
        </w:rPr>
        <w:t xml:space="preserve">e) </w:t>
      </w: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170" w:hRule="atLeast"/>
        </w:trPr>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center"/>
              <w:rPr>
                <w:rFonts w:ascii="Arial" w:hAnsi="Arial" w:cs="Arial"/>
                <w:kern w:val="2"/>
              </w:rPr>
            </w:pPr>
            <w:r>
              <w:rPr>
                <w:rFonts w:cs="Arial" w:ascii="Arial" w:hAnsi="Arial"/>
                <w:b/>
              </w:rPr>
              <w:t>Descritivo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ascii="Arial" w:hAnsi="Arial"/>
                <w:b/>
                <w:sz w:val="18"/>
                <w:szCs w:val="18"/>
              </w:rPr>
              <w:t>01</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200</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Viga U de aço 3’’ x 1.1/2’’ x 2,65mm, barra de 6 metros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02</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150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Tubo de aço redondo com 6 metros de comprimento, sem emendas, bitola 1 polegadas com espessura de 2,65mm</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03</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100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Tubo de aço redondo com 6 metros de comprimento, sem emendas, bitola 1.1/4 polegadas com espessura de 2,65mm</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04</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120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Tubo de aço redondo com 6 metros de comprimento, sem emendas, bitola 1.1/2 polegadas com espessura de 2,65mm</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05</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100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Tubo de aço redondo com 6 metros de comprimento, sem emendas, bitola 2 polegadas com espessura de 2,65mm</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06</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10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Tubo de aço redondo com 6 metros de comprimento, sem emendas, bitola 3 polegadas com espessura de 2,65mm</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07</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10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Tubo de aço redondo com 6 metros de comprimento, sem emendas, bitola 4 polegadas com espessura de 2,65mm</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08</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50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Curva de aço curta 90° 2,65mm de espessura para tubo diâmetro de 2 polegadas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09</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50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Curva de aço curta 90° 2,65mm de espessura para tubo diâmetro de 1.1/2 polegadas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10</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50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Curva de aço longa corrimão 2,65mm de espessura para tubo de 2 polegadas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11</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85</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 cantoneira de aço abas iguais para serralheria dimensões 3/4 x 1/8 polegadas 6 mts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12</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75</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 cantoneira de aço abas iguais para serralheria dimensões 1/2 x 1/8 polegadas 6 mts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13</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50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 cantoneira de aço abas iguais para serralheria dimensões 7/8 x 1/8 polegadas 6 mts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14</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36</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Barras de ferro mecânico redondo – diâmetro 5/16 polegadas 6 mts comprimento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15</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20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Barras de ferro mecânico redondo – diâmetro 3/8 polegadas 6 mts comprimento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16</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20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Barras de ferro mecânico redondo – diâmetro 3/4 polegadas 6 mts comprimento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17</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20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Barras de ferro mecânico redondo – diâmetro 5/8 polegadas 6 mts comprimento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18</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90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 chata de aço para serralheria dimensões 1 x 1/ 8 polegadas 6 mts de comprimento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19</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85</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 chata de aço para serralheria dimensões 1/2 x 1/8 polegadas 6 mts de comprimento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20</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80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 chata de aço para serralheria dimensões 3 x 1/8 polegadas 6 mts de comprimento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21</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100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 chata de aço para serralheria dimensões 2 x 3/16 polegadas 6 mts de comprimento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22</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280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Tubo de aço-carbono retangular 50mm x 30mm x 3,00mm barra de 6 mts de comprimento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23</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70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 roscada aço galvanizado diâmetro 5/16 polegadas comprimento 100 cm – com 10 porcas e 10 arruelas para cada barra</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24</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210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 roscada aço galvanizado diâmetro 3/8 polegadas , comprimento 100 cm – com 10 porcas e 10 arruelas para cada barra</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25</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50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 roscada aço galvanizado diâmetro 1/2 polegadas , comprimento 100 cm – com 8 porcas e 8 arruelas para cada barra</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26</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110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Barra roscada aço galvanizado diâmetro 5/8 polegadas , comprimento 100 cm – com 8 porcas e 8 arruelas para cada barra</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27</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40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color w:val="000000"/>
                <w:sz w:val="18"/>
                <w:szCs w:val="18"/>
              </w:rPr>
              <w:t>Chapa de aço xadrez com 1,20 m de largura x 3 m de comprimento x 1/8” de espessura</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28</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130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sz w:val="18"/>
                <w:szCs w:val="18"/>
              </w:rPr>
              <w:t>Barra cantoneira de aço abas iguais para serralheria dimensões 1.1/2 x 1/8 polegadas 6 mts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29</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200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sz w:val="18"/>
                <w:szCs w:val="18"/>
              </w:rPr>
              <w:t>Barra cantoneira de aço abas iguais para serralheria dimensões 1.1/2 x 3/16 polegadas 6 mts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30</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100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sz w:val="18"/>
                <w:szCs w:val="18"/>
              </w:rPr>
              <w:t>Barra cantoneira de aço abas iguais para serralheria dimensões 1 x 1/8 polegadas 6 mts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31</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30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sz w:val="18"/>
                <w:szCs w:val="18"/>
              </w:rPr>
              <w:t>Barra cantoneira de aço abas iguais para serralheria dimensões 1.1/4 x 1/8 polegadas 6 mts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32</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50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sz w:val="18"/>
                <w:szCs w:val="18"/>
              </w:rPr>
              <w:t>Viga U de aço 2’’ x 1.1/2’’ x 1/8”, barra de 6 metros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33</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40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sz w:val="18"/>
                <w:szCs w:val="18"/>
              </w:rPr>
              <w:t>Viga U de aço 3’’ x 1.1/2’’ x 3/16”, barra de 6 metros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34</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70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sz w:val="18"/>
                <w:szCs w:val="18"/>
              </w:rPr>
              <w:t>Barra chata de aço para serralheria dimensões 1 x 3/16 polegadas 6 mts de comprimento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ascii="Arial" w:hAnsi="Arial"/>
                <w:b/>
                <w:sz w:val="18"/>
                <w:szCs w:val="18"/>
              </w:rPr>
              <w:t>35</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 w:val="18"/>
                <w:szCs w:val="18"/>
              </w:rPr>
              <w:t>70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ascii="Arial" w:hAnsi="Arial"/>
                <w:sz w:val="18"/>
                <w:szCs w:val="18"/>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both"/>
              <w:rPr>
                <w:rFonts w:ascii="Arial" w:hAnsi="Arial" w:cs="Arial"/>
              </w:rPr>
            </w:pPr>
            <w:r>
              <w:rPr>
                <w:rFonts w:ascii="Arial" w:hAnsi="Arial"/>
                <w:sz w:val="18"/>
                <w:szCs w:val="18"/>
              </w:rPr>
              <w:t>Barra chata de aço para serralheria dimensões 1.1/2 x 3/16 polegadas 6 mts de comprimento</w:t>
            </w:r>
          </w:p>
        </w:tc>
      </w:tr>
    </w:tbl>
    <w:p>
      <w:pPr>
        <w:pStyle w:val="Normal"/>
        <w:tabs>
          <w:tab w:val="clear" w:pos="709"/>
          <w:tab w:val="left" w:pos="2562" w:leader="none"/>
        </w:tabs>
        <w:jc w:val="both"/>
        <w:rPr>
          <w:rFonts w:ascii="Arial" w:hAnsi="Arial" w:eastAsia="Arial" w:cs="Arial"/>
          <w:sz w:val="10"/>
          <w:szCs w:val="10"/>
        </w:rPr>
      </w:pPr>
      <w:r>
        <w:rPr>
          <w:rFonts w:eastAsia="Arial" w:cs="Arial" w:ascii="Arial" w:hAnsi="Arial"/>
          <w:sz w:val="10"/>
          <w:szCs w:val="10"/>
        </w:rPr>
        <w:tab/>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ind w:firstLine="567"/>
        <w:rPr>
          <w:rFonts w:ascii="Arial" w:hAnsi="Arial" w:cs="Arial"/>
        </w:rPr>
      </w:pPr>
      <w:r>
        <w:rPr>
          <w:rFonts w:cs="Arial" w:ascii="Arial" w:hAnsi="Arial"/>
          <w:b/>
          <w:bCs/>
        </w:rPr>
        <w:t>5. DA EMBALAGEM:</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a) </w:t>
      </w:r>
      <w:r>
        <w:rPr>
          <w:rFonts w:cs="Arial" w:ascii="Arial" w:hAnsi="Arial"/>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rPr>
          <w:rFonts w:ascii="Arial" w:hAnsi="Arial" w:cs="Arial"/>
        </w:rPr>
      </w:pPr>
      <w:r>
        <w:rPr>
          <w:rFonts w:cs="Arial" w:ascii="Arial" w:hAnsi="Arial"/>
          <w:b/>
          <w:bCs/>
        </w:rPr>
        <w:t>6. DA ENTREGA:</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b/>
          <w:bCs/>
          <w:lang w:eastAsia="pt-BR"/>
        </w:rPr>
        <w:t xml:space="preserve">a) </w:t>
      </w:r>
      <w:r>
        <w:rPr>
          <w:rFonts w:cs="Arial" w:ascii="Arial" w:hAnsi="Arial"/>
          <w:lang w:eastAsia="pt-BR"/>
        </w:rPr>
        <w:t xml:space="preserve">Prazo de entrega: até o </w:t>
      </w:r>
      <w:r>
        <w:rPr>
          <w:rFonts w:cs="Arial" w:ascii="Arial" w:hAnsi="Arial"/>
          <w:b/>
          <w:lang w:eastAsia="pt-BR"/>
        </w:rPr>
        <w:t>máximo de 20 (vinte) dias corridos</w:t>
      </w:r>
      <w:r>
        <w:rPr>
          <w:rFonts w:cs="Arial" w:ascii="Arial" w:hAnsi="Arial"/>
          <w:lang w:eastAsia="pt-BR"/>
        </w:rPr>
        <w:t>, a contar da Ordem de Fornecimento, emitida pela Unidade Requisitante.</w:t>
      </w:r>
    </w:p>
    <w:p>
      <w:pPr>
        <w:pStyle w:val="Normal"/>
        <w:keepLines/>
        <w:numPr>
          <w:ilvl w:val="0"/>
          <w:numId w:val="0"/>
        </w:numPr>
        <w:tabs>
          <w:tab w:val="clear" w:pos="709"/>
          <w:tab w:val="left" w:pos="284" w:leader="none"/>
        </w:tabs>
        <w:ind w:hanging="0" w:left="0"/>
        <w:jc w:val="both"/>
        <w:rPr>
          <w:rFonts w:ascii="Arial" w:hAnsi="Arial" w:cs="Arial"/>
          <w:lang w:eastAsia="pt-BR"/>
        </w:rPr>
      </w:pPr>
      <w:r>
        <w:rPr>
          <w:rFonts w:cs="Arial" w:ascii="Arial" w:hAnsi="Arial"/>
          <w:b/>
          <w:bCs/>
          <w:lang w:eastAsia="pt-BR"/>
        </w:rPr>
        <w:t xml:space="preserve">b) </w:t>
      </w:r>
      <w:r>
        <w:rPr>
          <w:rFonts w:cs="Arial" w:ascii="Arial" w:hAnsi="Arial"/>
          <w:lang w:eastAsia="pt-BR"/>
        </w:rPr>
        <w:t>O local e horários de entrega serão informados na Ordem de Fornecimento, conforme necessidade da Unidade Requisitante, sendo que todas as entregas serão realizadas no perímetro do Município de Piracicaba.</w:t>
      </w:r>
    </w:p>
    <w:p>
      <w:pPr>
        <w:pStyle w:val="Normal"/>
        <w:keepLines/>
        <w:numPr>
          <w:ilvl w:val="0"/>
          <w:numId w:val="0"/>
        </w:numPr>
        <w:tabs>
          <w:tab w:val="clear" w:pos="709"/>
          <w:tab w:val="left" w:pos="284" w:leader="none"/>
        </w:tabs>
        <w:ind w:hanging="0" w:left="0"/>
        <w:jc w:val="both"/>
        <w:rPr>
          <w:rFonts w:ascii="Arial" w:hAnsi="Arial" w:cs="Arial"/>
          <w:lang w:eastAsia="pt-BR"/>
        </w:rPr>
      </w:pPr>
      <w:r>
        <w:rPr>
          <w:rFonts w:cs="Arial" w:ascii="Arial" w:hAnsi="Arial"/>
          <w:b/>
          <w:bCs/>
          <w:lang w:eastAsia="pt-BR"/>
        </w:rPr>
        <w:t xml:space="preserve">c) </w:t>
      </w:r>
      <w:r>
        <w:rPr>
          <w:rFonts w:cs="Arial" w:ascii="Arial" w:hAnsi="Arial"/>
          <w:lang w:eastAsia="pt-BR"/>
        </w:rPr>
        <w:t>A Contratada será responsável pelo transporte e descarregamento do produto em local físico a ser indicado por servidor da Unidade Requisitante no ato da entrega, devendo entregá-los em condições adequadas para o armazenamento.</w:t>
      </w:r>
    </w:p>
    <w:p>
      <w:pPr>
        <w:pStyle w:val="Normal"/>
        <w:keepLines/>
        <w:numPr>
          <w:ilvl w:val="0"/>
          <w:numId w:val="39"/>
        </w:numPr>
        <w:tabs>
          <w:tab w:val="clear" w:pos="709"/>
          <w:tab w:val="left" w:pos="284" w:leader="none"/>
        </w:tabs>
        <w:jc w:val="both"/>
        <w:rPr>
          <w:rFonts w:ascii="Arial" w:hAnsi="Arial" w:cs="Arial"/>
        </w:rPr>
      </w:pPr>
      <w:r>
        <w:rPr>
          <w:rFonts w:cs="Arial" w:ascii="Arial" w:hAnsi="Arial"/>
          <w:lang w:eastAsia="pt-BR"/>
        </w:rPr>
        <w:t xml:space="preserve">Se for constatada qualquer alteração na qualidade ou composição durante a validade dos produtos, a contratada se compromete a trocá-los sem ônus para a contratante, </w:t>
      </w:r>
      <w:r>
        <w:rPr>
          <w:rFonts w:cs="Arial" w:ascii="Arial" w:hAnsi="Arial"/>
          <w:b/>
          <w:lang w:eastAsia="pt-BR"/>
        </w:rPr>
        <w:t>no prazo máximo de 20 (dez) dias</w:t>
      </w:r>
      <w:r>
        <w:rPr>
          <w:rFonts w:cs="Arial" w:ascii="Arial" w:hAnsi="Arial"/>
          <w:lang w:eastAsia="pt-BR"/>
        </w:rPr>
        <w:t>, a contar da notificação.</w:t>
      </w:r>
    </w:p>
    <w:p>
      <w:pPr>
        <w:pStyle w:val="Normal"/>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7. DA GARANTIA E ASSISTÊNCIA TÉCNICA</w:t>
      </w:r>
      <w:r>
        <w:rPr>
          <w:rFonts w:eastAsia="Arial" w:cs="Arial" w:ascii="Arial" w:hAnsi="Arial"/>
          <w:b/>
          <w:color w:val="000000"/>
        </w:rPr>
        <w:t>:</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A garantia deverá ser de </w:t>
      </w:r>
      <w:r>
        <w:rPr>
          <w:rFonts w:cs="Arial" w:ascii="Arial" w:hAnsi="Arial"/>
          <w:b/>
        </w:rPr>
        <w:t>no mínimo 90 (noventa) dias corridos</w:t>
      </w:r>
      <w:r>
        <w:rPr>
          <w:rFonts w:cs="Arial" w:ascii="Arial" w:hAnsi="Arial"/>
        </w:rPr>
        <w:t>, contados da data de recebimento.</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b) Durante a vigência da garantia, a contratada deverá substituir, sem nenhum ônus adicional, produtos defeituosos ou com desgaste anormal, </w:t>
      </w:r>
      <w:r>
        <w:rPr>
          <w:rFonts w:cs="Arial" w:ascii="Arial" w:hAnsi="Arial"/>
          <w:b/>
        </w:rPr>
        <w:t>no prazo máximo de 20 (dez) dias</w:t>
      </w:r>
      <w:r>
        <w:rPr>
          <w:rFonts w:cs="Arial" w:ascii="Arial" w:hAnsi="Arial"/>
        </w:rPr>
        <w:t>, a contar da notificação.</w:t>
      </w:r>
    </w:p>
    <w:p>
      <w:pPr>
        <w:pStyle w:val="Normal"/>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8. DO FORNECIMENTO DE INFORMAÇÕES:</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a) </w:t>
      </w: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0"/>
        </w:numPr>
        <w:tabs>
          <w:tab w:val="clear" w:pos="709"/>
          <w:tab w:val="left" w:pos="284" w:leader="none"/>
        </w:tabs>
        <w:ind w:hanging="0" w:left="0"/>
        <w:jc w:val="both"/>
        <w:rPr>
          <w:rFonts w:ascii="Arial" w:hAnsi="Arial" w:cs="Arial"/>
          <w:color w:val="000000"/>
        </w:rPr>
      </w:pPr>
      <w:r>
        <w:rPr>
          <w:rFonts w:cs="Arial" w:ascii="Arial" w:hAnsi="Arial"/>
          <w:b/>
          <w:bCs/>
          <w:color w:val="000000"/>
        </w:rPr>
        <w:t>a) HABILITAÇÃO JURÍDICA</w:t>
      </w:r>
    </w:p>
    <w:p>
      <w:pPr>
        <w:pStyle w:val="Normal"/>
        <w:numPr>
          <w:ilvl w:val="1"/>
          <w:numId w:val="40"/>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b) REGULARIDADE FISCAL E TRABALHISTA</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color w:val="000000"/>
        </w:rPr>
        <w:t xml:space="preserve">1. </w:t>
      </w:r>
      <w:r>
        <w:rPr>
          <w:rFonts w:cs="Arial" w:ascii="Arial" w:hAnsi="Arial"/>
          <w:color w:val="000000"/>
        </w:rPr>
        <w:t>Inscrição no Cadastro Nacional de Pessoa Jurídica (CNPJ), do Ministério da Fazenda.</w:t>
      </w:r>
    </w:p>
    <w:p>
      <w:pPr>
        <w:pStyle w:val="Normal"/>
        <w:numPr>
          <w:ilvl w:val="1"/>
          <w:numId w:val="41"/>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42"/>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43"/>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44"/>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45"/>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c) QUALIFICAÇÃO ECONÔMICO-FINANCEIRA</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1. </w:t>
      </w: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1.1 </w:t>
      </w: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0"/>
        </w:numPr>
        <w:tabs>
          <w:tab w:val="clear" w:pos="709"/>
          <w:tab w:val="left" w:pos="284" w:leader="none"/>
          <w:tab w:val="left" w:pos="426" w:leader="none"/>
        </w:tabs>
        <w:ind w:hanging="0" w:left="0"/>
        <w:jc w:val="both"/>
        <w:rPr>
          <w:rFonts w:ascii="Arial" w:hAnsi="Arial" w:cs="Arial"/>
        </w:rPr>
      </w:pPr>
      <w:r>
        <w:rPr>
          <w:rFonts w:cs="Arial" w:ascii="Arial" w:hAnsi="Arial"/>
          <w:b/>
          <w:bCs/>
        </w:rPr>
        <w:t>d) DOCUMENTAÇÃO COMPLEMENTAR</w:t>
      </w:r>
    </w:p>
    <w:p>
      <w:pPr>
        <w:pStyle w:val="Normal"/>
        <w:numPr>
          <w:ilvl w:val="0"/>
          <w:numId w:val="0"/>
        </w:numPr>
        <w:tabs>
          <w:tab w:val="clear" w:pos="709"/>
          <w:tab w:val="left" w:pos="284" w:leader="none"/>
          <w:tab w:val="left" w:pos="426" w:leader="none"/>
        </w:tabs>
        <w:ind w:hanging="0" w:left="0"/>
        <w:jc w:val="both"/>
        <w:rPr>
          <w:rFonts w:ascii="Arial" w:hAnsi="Arial" w:cs="Arial"/>
        </w:rPr>
      </w:pPr>
      <w:r>
        <w:rPr>
          <w:rFonts w:cs="Arial" w:ascii="Arial" w:hAnsi="Arial"/>
          <w:b/>
          <w:bCs/>
        </w:rPr>
        <w:t xml:space="preserve">1. </w:t>
      </w: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0"/>
          <w:numId w:val="0"/>
        </w:numPr>
        <w:tabs>
          <w:tab w:val="clear" w:pos="709"/>
          <w:tab w:val="left" w:pos="284" w:leader="none"/>
          <w:tab w:val="left" w:pos="426" w:leader="none"/>
        </w:tabs>
        <w:ind w:hanging="0" w:left="0"/>
        <w:jc w:val="both"/>
        <w:rPr>
          <w:rFonts w:ascii="Arial" w:hAnsi="Arial" w:cs="Arial"/>
        </w:rPr>
      </w:pPr>
      <w:r>
        <w:rPr>
          <w:rFonts w:cs="Arial" w:ascii="Arial" w:hAnsi="Arial"/>
          <w:b/>
          <w:bCs/>
        </w:rPr>
        <w:t xml:space="preserve">2. </w:t>
      </w: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s>
        <w:ind w:hanging="0" w:left="0"/>
        <w:jc w:val="both"/>
        <w:rPr>
          <w:rFonts w:ascii="Arial" w:hAnsi="Arial" w:cs="Arial"/>
        </w:rPr>
      </w:pPr>
      <w:r>
        <w:rPr>
          <w:rFonts w:cs="Arial" w:ascii="Arial" w:hAnsi="Arial"/>
          <w:b/>
          <w:bCs/>
          <w:color w:val="000000"/>
        </w:rPr>
        <w:t xml:space="preserve">3. </w:t>
      </w: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0"/>
          <w:numId w:val="0"/>
        </w:numPr>
        <w:tabs>
          <w:tab w:val="clear" w:pos="709"/>
          <w:tab w:val="left" w:pos="284" w:leader="none"/>
          <w:tab w:val="left" w:pos="426" w:leader="none"/>
        </w:tabs>
        <w:ind w:hanging="0" w:left="0"/>
        <w:jc w:val="both"/>
        <w:rPr>
          <w:rFonts w:ascii="Arial" w:hAnsi="Arial" w:cs="Arial"/>
        </w:rPr>
      </w:pPr>
      <w:r>
        <w:rPr>
          <w:rFonts w:cs="Arial" w:ascii="Arial" w:hAnsi="Arial"/>
          <w:b/>
          <w:bCs/>
          <w:color w:val="000000"/>
        </w:rPr>
        <w:t xml:space="preserve">3.1. </w:t>
      </w: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0"/>
          <w:numId w:val="0"/>
        </w:numPr>
        <w:tabs>
          <w:tab w:val="clear" w:pos="709"/>
          <w:tab w:val="left" w:pos="284" w:leader="none"/>
          <w:tab w:val="left" w:pos="426" w:leader="none"/>
        </w:tabs>
        <w:ind w:hanging="0" w:left="0"/>
        <w:jc w:val="both"/>
        <w:rPr>
          <w:rFonts w:ascii="Arial" w:hAnsi="Arial" w:cs="Arial"/>
        </w:rPr>
      </w:pPr>
      <w:r>
        <w:rPr>
          <w:rFonts w:cs="Arial" w:ascii="Arial" w:hAnsi="Arial"/>
          <w:b/>
          <w:bCs/>
          <w:color w:val="000000"/>
        </w:rPr>
        <w:t xml:space="preserve">3.2. </w:t>
      </w: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0"/>
          <w:numId w:val="0"/>
        </w:numPr>
        <w:tabs>
          <w:tab w:val="clear" w:pos="709"/>
          <w:tab w:val="left" w:pos="284" w:leader="none"/>
          <w:tab w:val="left" w:pos="426" w:leader="none"/>
          <w:tab w:val="left" w:pos="567" w:leader="none"/>
        </w:tabs>
        <w:ind w:hanging="0" w:left="0"/>
        <w:jc w:val="both"/>
        <w:rPr>
          <w:rFonts w:ascii="Arial" w:hAnsi="Arial" w:cs="Arial"/>
        </w:rPr>
      </w:pPr>
      <w:r>
        <w:rPr>
          <w:rFonts w:cs="Arial" w:ascii="Arial" w:hAnsi="Arial"/>
          <w:b/>
          <w:bCs/>
          <w:color w:val="000000"/>
        </w:rPr>
        <w:t xml:space="preserve">3.2.1. </w:t>
      </w:r>
      <w:r>
        <w:rPr>
          <w:rFonts w:cs="Arial" w:ascii="Arial" w:hAnsi="Arial"/>
          <w:color w:val="000000"/>
        </w:rPr>
        <w:t>Certidão expedida pela Junta Comercial, caso exerçam atividade comercial, com data inferior a 180 dias.</w:t>
      </w:r>
    </w:p>
    <w:p>
      <w:pPr>
        <w:pStyle w:val="Normal"/>
        <w:numPr>
          <w:ilvl w:val="0"/>
          <w:numId w:val="0"/>
        </w:numPr>
        <w:tabs>
          <w:tab w:val="clear" w:pos="709"/>
          <w:tab w:val="left" w:pos="284" w:leader="none"/>
          <w:tab w:val="left" w:pos="426" w:leader="none"/>
          <w:tab w:val="left" w:pos="567" w:leader="none"/>
        </w:tabs>
        <w:ind w:hanging="0" w:left="0"/>
        <w:jc w:val="both"/>
        <w:rPr>
          <w:rFonts w:ascii="Arial" w:hAnsi="Arial" w:cs="Arial"/>
        </w:rPr>
      </w:pPr>
      <w:r>
        <w:rPr>
          <w:rFonts w:cs="Arial" w:ascii="Arial" w:hAnsi="Arial"/>
          <w:b/>
          <w:bCs/>
          <w:color w:val="000000"/>
        </w:rPr>
        <w:t xml:space="preserve">3.2.2. </w:t>
      </w:r>
      <w:r>
        <w:rPr>
          <w:rFonts w:cs="Arial" w:ascii="Arial" w:hAnsi="Arial"/>
          <w:color w:val="000000"/>
        </w:rPr>
        <w:t>Documento expedido pelo Registro Civil das Pessoas Jurídicas, caso atuem em outra área que não a comercial, com data inferior a 180 dias.</w:t>
      </w:r>
    </w:p>
    <w:p>
      <w:pPr>
        <w:pStyle w:val="Normal"/>
        <w:jc w:val="center"/>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Piracicaba, 01 de julho de 2026</w:t>
      </w:r>
    </w:p>
    <w:p>
      <w:pPr>
        <w:pStyle w:val="Normal"/>
        <w:ind w:firstLine="561"/>
        <w:jc w:val="both"/>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highlight w:val="yellow"/>
        </w:rPr>
      </w:pPr>
      <w:r>
        <w:rPr>
          <w:rFonts w:cs="Arial" w:ascii="Arial" w:hAnsi="Arial"/>
          <w:highlight w:val="yellow"/>
        </w:rPr>
      </w:r>
    </w:p>
    <w:p>
      <w:pPr>
        <w:pStyle w:val="Normal"/>
        <w:jc w:val="center"/>
        <w:rPr>
          <w:rFonts w:ascii="Arial" w:hAnsi="Arial" w:cs="Arial"/>
          <w:b/>
        </w:rPr>
      </w:pPr>
      <w:r>
        <w:rPr>
          <w:rFonts w:cs="Arial" w:ascii="Arial" w:hAnsi="Arial"/>
          <w:b/>
        </w:rPr>
        <w:t>Larissa Palomo Monferdini</w:t>
      </w:r>
    </w:p>
    <w:p>
      <w:pPr>
        <w:pStyle w:val="Normal"/>
        <w:jc w:val="center"/>
        <w:rPr>
          <w:rFonts w:ascii="Arial" w:hAnsi="Arial"/>
          <w:b/>
          <w:bCs/>
        </w:rPr>
      </w:pPr>
      <w:r>
        <w:rPr>
          <w:rFonts w:ascii="Arial" w:hAnsi="Arial"/>
          <w:b/>
          <w:bCs/>
        </w:rPr>
        <w:t>Chefe de Setor</w:t>
      </w:r>
      <w:r>
        <w:br w:type="page"/>
      </w:r>
    </w:p>
    <w:p>
      <w:pPr>
        <w:pStyle w:val="Heading2"/>
        <w:numPr>
          <w:ilvl w:val="1"/>
          <w:numId w:val="1"/>
        </w:numPr>
        <w:tabs>
          <w:tab w:val="clear" w:pos="709"/>
        </w:tabs>
        <w:spacing w:before="0" w:after="0"/>
        <w:ind w:hanging="0" w:left="0"/>
        <w:rPr/>
      </w:pPr>
      <w:r>
        <w:rPr/>
        <w:t>REGULAMENTO GERAL</w:t>
      </w:r>
    </w:p>
    <w:p>
      <w:pPr>
        <w:pStyle w:val="BodyText"/>
        <w:jc w:val="center"/>
        <w:rPr>
          <w:sz w:val="20"/>
          <w:szCs w:val="20"/>
          <w:lang w:val="pt-BR"/>
        </w:rPr>
      </w:pPr>
      <w:r>
        <w:rPr>
          <w:sz w:val="20"/>
          <w:szCs w:val="20"/>
          <w:lang w:val="pt-BR"/>
        </w:rPr>
      </w:r>
    </w:p>
    <w:p>
      <w:pPr>
        <w:pStyle w:val="Normal"/>
        <w:jc w:val="center"/>
        <w:rPr>
          <w:rFonts w:ascii="Arial" w:hAnsi="Arial" w:cs="Arial"/>
          <w:sz w:val="22"/>
          <w:szCs w:val="22"/>
        </w:rPr>
      </w:pPr>
      <w:r>
        <w:rPr>
          <w:rFonts w:cs="Arial" w:ascii="Arial" w:hAnsi="Arial"/>
          <w:sz w:val="22"/>
          <w:szCs w:val="22"/>
        </w:rPr>
        <w:t>Pregão Eletrônico – Registro de Preços – Aquisições</w:t>
      </w:r>
    </w:p>
    <w:p>
      <w:pPr>
        <w:pStyle w:val="Normal"/>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strike/>
        </w:rPr>
      </w:pPr>
      <w:r>
        <w:rPr>
          <w:rFonts w:cs="Arial" w:ascii="Arial" w:hAnsi="Arial"/>
          <w:strike/>
        </w:rPr>
      </w:r>
    </w:p>
    <w:p>
      <w:pPr>
        <w:pStyle w:val="Normal"/>
        <w:ind w:firstLine="284"/>
        <w:jc w:val="both"/>
        <w:rPr>
          <w:rFonts w:ascii="Arial" w:hAnsi="Arial" w:cs="Arial"/>
          <w:b/>
          <w:bCs/>
        </w:rPr>
      </w:pPr>
      <w:r>
        <w:rPr>
          <w:rFonts w:cs="Arial" w:ascii="Arial" w:hAnsi="Arial"/>
          <w:b/>
          <w:bCs/>
        </w:rPr>
        <w:t>5.2. A participação neste Pregão é exclusiva de empresas classificadas como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kern w:val="2"/>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tabs>
          <w:tab w:val="clear" w:pos="709"/>
          <w:tab w:val="left" w:pos="284" w:leader="none"/>
        </w:tabs>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highlight w:val="yellow"/>
        </w:rPr>
      </w:pPr>
      <w:r>
        <w:rPr>
          <w:rFonts w:cs="Arial" w:ascii="Arial" w:hAnsi="Arial"/>
          <w:highlight w:val="yellow"/>
        </w:rPr>
      </w:r>
    </w:p>
    <w:p>
      <w:pPr>
        <w:pStyle w:val="Heading9"/>
        <w:numPr>
          <w:ilvl w:val="8"/>
          <w:numId w:val="1"/>
        </w:numPr>
        <w:tabs>
          <w:tab w:val="clear" w:pos="709"/>
        </w:tabs>
        <w:ind w:firstLine="284" w:left="0"/>
        <w:rPr>
          <w:sz w:val="20"/>
          <w:szCs w:val="20"/>
        </w:rPr>
      </w:pPr>
      <w:r>
        <w:rPr>
          <w:i w:val="false"/>
          <w:iCs w:val="false"/>
          <w:sz w:val="20"/>
          <w:szCs w:val="20"/>
        </w:rPr>
        <w:t>7. participação</w:t>
      </w:r>
    </w:p>
    <w:p>
      <w:pPr>
        <w:pStyle w:val="Normal"/>
        <w:ind w:firstLine="284"/>
        <w:jc w:val="both"/>
        <w:rPr>
          <w:rFonts w:ascii="Arial" w:hAnsi="Arial" w:cs="Arial"/>
          <w:sz w:val="16"/>
        </w:rPr>
      </w:pPr>
      <w:r>
        <w:rPr>
          <w:rFonts w:cs="Arial" w:ascii="Arial" w:hAnsi="Arial"/>
          <w:sz w:val="16"/>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overflowPunct w:val="true"/>
        <w:spacing w:lineRule="auto" w:line="240"/>
        <w:ind w:firstLine="284"/>
        <w:textAlignment w:val="auto"/>
        <w:rPr>
          <w:sz w:val="20"/>
          <w:szCs w:val="20"/>
          <w:lang w:val="pt-BR"/>
        </w:rPr>
      </w:pPr>
      <w:r>
        <w:rPr>
          <w:sz w:val="20"/>
          <w:szCs w:val="20"/>
          <w:lang w:val="pt-BR"/>
        </w:rPr>
      </w:r>
    </w:p>
    <w:p>
      <w:pPr>
        <w:pStyle w:val="BodyTextIndent"/>
        <w:overflowPunct w:val="true"/>
        <w:spacing w:lineRule="auto" w:line="240"/>
        <w:ind w:firstLine="284"/>
        <w:textAlignment w:val="auto"/>
        <w:rPr>
          <w:sz w:val="20"/>
          <w:szCs w:val="20"/>
          <w:lang w:val="pt-BR"/>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overflowPunct w:val="true"/>
        <w:spacing w:lineRule="auto" w:line="240"/>
        <w:ind w:firstLine="284"/>
        <w:textAlignment w:val="auto"/>
        <w:rPr>
          <w:sz w:val="20"/>
          <w:szCs w:val="20"/>
        </w:rPr>
      </w:pPr>
      <w:r>
        <w:rPr>
          <w:sz w:val="20"/>
          <w:szCs w:val="20"/>
        </w:rPr>
      </w:r>
    </w:p>
    <w:p>
      <w:pPr>
        <w:pStyle w:val="BodyTextIndent"/>
        <w:overflowPunct w:val="true"/>
        <w:spacing w:lineRule="auto" w:line="240"/>
        <w:ind w:firstLine="284"/>
        <w:textAlignment w:val="auto"/>
        <w:rPr>
          <w:sz w:val="20"/>
          <w:szCs w:val="20"/>
          <w:lang w:val="pt-BR"/>
        </w:rPr>
      </w:pPr>
      <w:r>
        <w:rPr>
          <w:b/>
          <w:bCs/>
          <w:sz w:val="20"/>
          <w:szCs w:val="20"/>
        </w:rPr>
        <w:t>7.3.</w:t>
      </w:r>
      <w:r>
        <w:rPr>
          <w:sz w:val="20"/>
          <w:szCs w:val="20"/>
        </w:rPr>
        <w:t xml:space="preserve"> No caso de desconexão do </w:t>
      </w:r>
      <w:r>
        <w:rPr>
          <w:color w:val="auto"/>
          <w:sz w:val="20"/>
          <w:szCs w:val="20"/>
          <w:lang w:val="pt-BR"/>
        </w:rPr>
        <w:t>Agente de Contratação</w:t>
      </w:r>
      <w:r>
        <w:rPr>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sz w:val="20"/>
          <w:szCs w:val="20"/>
        </w:rPr>
        <w:t>, quando possível, sua atuação no certame sem prejuízo dos demais atos já praticados</w:t>
      </w:r>
      <w:r>
        <w:rPr>
          <w:sz w:val="20"/>
          <w:szCs w:val="20"/>
          <w:lang w:val="pt-BR"/>
        </w:rPr>
        <w:t>.</w:t>
      </w:r>
    </w:p>
    <w:p>
      <w:pPr>
        <w:pStyle w:val="BodyTextIndent"/>
        <w:overflowPunct w:val="true"/>
        <w:spacing w:lineRule="auto" w:line="240"/>
        <w:ind w:firstLine="284"/>
        <w:textAlignment w:val="auto"/>
        <w:rPr>
          <w:sz w:val="20"/>
          <w:szCs w:val="20"/>
        </w:rPr>
      </w:pPr>
      <w:r>
        <w:rPr>
          <w:sz w:val="20"/>
          <w:szCs w:val="20"/>
        </w:rPr>
      </w:r>
    </w:p>
    <w:p>
      <w:pPr>
        <w:pStyle w:val="BodyTextIndent"/>
        <w:overflowPunct w:val="true"/>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BodyTextIndent"/>
        <w:overflowPunct w:val="true"/>
        <w:spacing w:lineRule="auto" w:line="240"/>
        <w:ind w:firstLine="284"/>
        <w:textAlignment w:val="auto"/>
        <w:rPr>
          <w:sz w:val="20"/>
          <w:szCs w:val="20"/>
          <w:highlight w:val="yellow"/>
          <w:lang w:val="pt-BR"/>
        </w:rPr>
      </w:pPr>
      <w:r>
        <w:rPr>
          <w:sz w:val="20"/>
          <w:szCs w:val="20"/>
          <w:highlight w:val="yellow"/>
          <w:lang w:val="pt-BR"/>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rFonts w:ascii="Arial" w:hAnsi="Arial" w:cs="Arial"/>
          <w:b/>
          <w:bCs/>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rPr>
          <w:rFonts w:ascii="Arial" w:hAnsi="Arial" w:cs="Arial"/>
          <w:b/>
          <w:bCs/>
        </w:rPr>
      </w:pPr>
      <w:r>
        <w:rPr>
          <w:rFonts w:cs="Arial" w:ascii="Arial" w:hAnsi="Arial"/>
          <w:b/>
          <w:bCs/>
        </w:rPr>
        <w:t xml:space="preserve">8.5.1. </w:t>
      </w:r>
      <w:r>
        <w:rPr>
          <w:rFonts w:cs="Arial" w:ascii="Arial" w:hAnsi="Arial"/>
        </w:rPr>
        <w:t>O licitante NÃO poderá oferecer proposta em quantitativo inferior ao previsto para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8.8.</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t>8.8.2. A proposta readequada deverá seguir o modelo disponível no Anexo IV deste edital.</w:t>
      </w:r>
    </w:p>
    <w:p>
      <w:pPr>
        <w:pStyle w:val="Normal"/>
        <w:numPr>
          <w:ilvl w:val="0"/>
          <w:numId w:val="1"/>
        </w:numPr>
        <w:tabs>
          <w:tab w:val="clear" w:pos="709"/>
        </w:tabs>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highlight w:val="yellow"/>
        </w:rPr>
      </w:pPr>
      <w:r>
        <w:rPr>
          <w:rFonts w:cs="Arial" w:ascii="Arial" w:hAnsi="Arial"/>
          <w:highlight w:val="yellow"/>
        </w:rPr>
      </w:r>
    </w:p>
    <w:p>
      <w:pPr>
        <w:pStyle w:val="Heading8"/>
        <w:numPr>
          <w:ilvl w:val="7"/>
          <w:numId w:val="46"/>
        </w:numPr>
        <w:tabs>
          <w:tab w:val="clear" w:pos="709"/>
        </w:tabs>
        <w:ind w:firstLine="284" w:left="0"/>
        <w:rPr>
          <w:rFonts w:cs="Arial"/>
          <w:caps/>
          <w:kern w:val="2"/>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9.2.1.</w:t>
      </w:r>
      <w:r>
        <w:rPr>
          <w:rFonts w:cs="Arial" w:ascii="Arial" w:hAnsi="Arial"/>
        </w:rPr>
        <w:t xml:space="preserve"> 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strike/>
        </w:rPr>
      </w:pPr>
      <w:r>
        <w:rPr>
          <w:rFonts w:cs="Arial" w:ascii="Arial" w:hAnsi="Arial"/>
          <w:strike/>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9.4.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color w:val="00B050"/>
        </w:rPr>
      </w:pPr>
      <w:r>
        <w:rPr>
          <w:rFonts w:cs="Arial" w:ascii="Arial" w:hAnsi="Arial"/>
          <w:color w:val="00B050"/>
        </w:rPr>
      </w:r>
    </w:p>
    <w:p>
      <w:pPr>
        <w:pStyle w:val="Heading8"/>
        <w:numPr>
          <w:ilvl w:val="7"/>
          <w:numId w:val="47"/>
        </w:numPr>
        <w:tabs>
          <w:tab w:val="clear" w:pos="709"/>
        </w:tabs>
        <w:ind w:firstLine="284" w:left="0"/>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48"/>
        </w:numPr>
        <w:tabs>
          <w:tab w:val="clear" w:pos="709"/>
        </w:tabs>
        <w:ind w:firstLine="284" w:lef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49"/>
        </w:numPr>
        <w:tabs>
          <w:tab w:val="clear" w:pos="709"/>
        </w:tabs>
        <w:ind w:firstLine="284" w:left="0"/>
        <w:jc w:val="both"/>
        <w:rPr>
          <w:rFonts w:ascii="Arial" w:hAnsi="Arial" w:cs="Arial"/>
        </w:rPr>
      </w:pPr>
      <w:r>
        <w:rPr>
          <w:rFonts w:cs="Arial" w:ascii="Arial" w:hAnsi="Arial"/>
        </w:rPr>
      </w:r>
    </w:p>
    <w:p>
      <w:pPr>
        <w:pStyle w:val="Normal"/>
        <w:numPr>
          <w:ilvl w:val="0"/>
          <w:numId w:val="50"/>
        </w:numPr>
        <w:tabs>
          <w:tab w:val="clear" w:pos="709"/>
        </w:tabs>
        <w:ind w:firstLine="284" w:left="0"/>
        <w:jc w:val="both"/>
        <w:rPr>
          <w:rFonts w:ascii="Arial" w:hAnsi="Arial" w:cs="Arial"/>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51"/>
        </w:numPr>
        <w:tabs>
          <w:tab w:val="clear" w:pos="709"/>
        </w:tabs>
        <w:ind w:firstLine="284" w:left="0"/>
        <w:jc w:val="both"/>
        <w:rPr>
          <w:rFonts w:ascii="Arial" w:hAnsi="Arial" w:cs="Arial"/>
        </w:rPr>
      </w:pPr>
      <w:r>
        <w:rPr>
          <w:rFonts w:cs="Arial" w:ascii="Arial" w:hAnsi="Arial"/>
        </w:rPr>
      </w:r>
    </w:p>
    <w:p>
      <w:pPr>
        <w:pStyle w:val="Normal"/>
        <w:numPr>
          <w:ilvl w:val="0"/>
          <w:numId w:val="52"/>
        </w:numPr>
        <w:tabs>
          <w:tab w:val="clear" w:pos="709"/>
        </w:tabs>
        <w:ind w:firstLine="284" w:left="0"/>
        <w:jc w:val="both"/>
        <w:rPr>
          <w:rFonts w:ascii="Arial" w:hAnsi="Arial" w:cs="Arial"/>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53"/>
        </w:numPr>
        <w:tabs>
          <w:tab w:val="clear" w:pos="709"/>
        </w:tabs>
        <w:ind w:firstLine="284" w:left="0"/>
        <w:jc w:val="both"/>
        <w:rPr>
          <w:rFonts w:ascii="Arial" w:hAnsi="Arial" w:cs="Arial"/>
        </w:rPr>
      </w:pPr>
      <w:r>
        <w:rPr>
          <w:rFonts w:cs="Arial" w:ascii="Arial" w:hAnsi="Arial"/>
        </w:rPr>
      </w:r>
    </w:p>
    <w:p>
      <w:pPr>
        <w:pStyle w:val="Normal"/>
        <w:numPr>
          <w:ilvl w:val="0"/>
          <w:numId w:val="54"/>
        </w:numPr>
        <w:tabs>
          <w:tab w:val="clear" w:pos="709"/>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55"/>
        </w:numPr>
        <w:tabs>
          <w:tab w:val="clear" w:pos="709"/>
        </w:tabs>
        <w:ind w:firstLine="284" w:left="0"/>
        <w:jc w:val="both"/>
        <w:rPr>
          <w:rFonts w:ascii="Arial" w:hAnsi="Arial" w:cs="Arial"/>
        </w:rPr>
      </w:pPr>
      <w:r>
        <w:rPr>
          <w:rFonts w:cs="Arial" w:ascii="Arial" w:hAnsi="Arial"/>
        </w:rPr>
      </w:r>
    </w:p>
    <w:p>
      <w:pPr>
        <w:pStyle w:val="Normal"/>
        <w:numPr>
          <w:ilvl w:val="0"/>
          <w:numId w:val="56"/>
        </w:numPr>
        <w:tabs>
          <w:tab w:val="clear" w:pos="709"/>
        </w:tabs>
        <w:ind w:firstLine="284" w:left="0"/>
        <w:jc w:val="both"/>
        <w:rPr>
          <w:rFonts w:ascii="Arial" w:hAnsi="Arial" w:cs="Arial"/>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57"/>
        </w:numPr>
        <w:tabs>
          <w:tab w:val="clear" w:pos="709"/>
        </w:tabs>
        <w:ind w:firstLine="284" w:left="0"/>
        <w:jc w:val="both"/>
        <w:rPr>
          <w:rFonts w:ascii="Arial" w:hAnsi="Arial" w:cs="Arial"/>
        </w:rPr>
      </w:pPr>
      <w:r>
        <w:rPr>
          <w:rFonts w:cs="Arial" w:ascii="Arial" w:hAnsi="Arial"/>
        </w:rPr>
      </w:r>
    </w:p>
    <w:p>
      <w:pPr>
        <w:pStyle w:val="Normal"/>
        <w:numPr>
          <w:ilvl w:val="0"/>
          <w:numId w:val="58"/>
        </w:numPr>
        <w:tabs>
          <w:tab w:val="clear" w:pos="709"/>
        </w:tabs>
        <w:ind w:firstLine="284" w:left="0"/>
        <w:jc w:val="both"/>
        <w:rPr>
          <w:rFonts w:ascii="Arial" w:hAnsi="Arial" w:cs="Arial"/>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59"/>
        </w:numPr>
        <w:tabs>
          <w:tab w:val="clear" w:pos="709"/>
        </w:tabs>
        <w:ind w:firstLine="284" w:left="0"/>
        <w:jc w:val="both"/>
        <w:rPr>
          <w:rFonts w:ascii="Arial" w:hAnsi="Arial" w:cs="Arial"/>
        </w:rPr>
      </w:pPr>
      <w:r>
        <w:rPr>
          <w:rFonts w:cs="Arial" w:ascii="Arial" w:hAnsi="Arial"/>
        </w:rPr>
      </w:r>
    </w:p>
    <w:p>
      <w:pPr>
        <w:pStyle w:val="BodyText"/>
        <w:numPr>
          <w:ilvl w:val="0"/>
          <w:numId w:val="60"/>
        </w:numPr>
        <w:tabs>
          <w:tab w:val="clear" w:pos="709"/>
        </w:tabs>
        <w:ind w:firstLine="284" w:left="0"/>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BodyText"/>
        <w:ind w:firstLine="284"/>
        <w:rPr>
          <w:sz w:val="20"/>
          <w:szCs w:val="20"/>
          <w:highlight w:val="yellow"/>
        </w:rPr>
      </w:pPr>
      <w:r>
        <w:rPr>
          <w:sz w:val="20"/>
          <w:szCs w:val="20"/>
          <w:highlight w:val="yellow"/>
        </w:rPr>
      </w:r>
    </w:p>
    <w:p>
      <w:pPr>
        <w:pStyle w:val="BodyText"/>
        <w:numPr>
          <w:ilvl w:val="0"/>
          <w:numId w:val="61"/>
        </w:numPr>
        <w:tabs>
          <w:tab w:val="clear" w:pos="709"/>
          <w:tab w:val="left" w:pos="284" w:leader="none"/>
        </w:tabs>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pPr>
        <w:pStyle w:val="BodyText"/>
        <w:ind w:firstLine="284"/>
        <w:rPr>
          <w:sz w:val="20"/>
          <w:szCs w:val="20"/>
          <w:lang w:val="pt-BR"/>
        </w:rPr>
      </w:pPr>
      <w:r>
        <w:rPr>
          <w:sz w:val="20"/>
          <w:szCs w:val="20"/>
          <w:lang w:val="pt-BR"/>
        </w:rPr>
      </w:r>
    </w:p>
    <w:p>
      <w:pPr>
        <w:pStyle w:val="BodyText"/>
        <w:ind w:firstLine="284"/>
        <w:rPr>
          <w:sz w:val="18"/>
          <w:szCs w:val="20"/>
          <w:lang w:val="pt-BR"/>
        </w:rPr>
      </w:pPr>
      <w:r>
        <w:rPr>
          <w:b/>
          <w:bCs/>
          <w:sz w:val="20"/>
          <w:lang w:val="pt-BR"/>
        </w:rPr>
        <w:t>1</w:t>
      </w:r>
      <w:r>
        <w:rPr>
          <w:b/>
          <w:bCs/>
          <w:sz w:val="20"/>
        </w:rPr>
        <w:t>0.</w:t>
      </w:r>
      <w:r>
        <w:rPr>
          <w:b/>
          <w:bCs/>
          <w:sz w:val="20"/>
          <w:lang w:val="pt-BR"/>
        </w:rPr>
        <w:t>6</w:t>
      </w:r>
      <w:r>
        <w:rPr>
          <w:b/>
          <w:bCs/>
          <w:sz w:val="20"/>
        </w:rPr>
        <w:t xml:space="preserve">.1. </w:t>
      </w:r>
      <w:r>
        <w:rPr>
          <w:sz w:val="20"/>
        </w:rPr>
        <w:t>Não será admitida a previsão de preços diferentes em razão de local de entrega ou de acondicionamento, tamanho de lote ou qualquer outro motivo</w:t>
      </w:r>
      <w:r>
        <w:rPr>
          <w:sz w:val="20"/>
          <w:lang w:val="pt-BR"/>
        </w:rPr>
        <w:t>.</w:t>
      </w:r>
    </w:p>
    <w:p>
      <w:pPr>
        <w:pStyle w:val="BodyText"/>
        <w:numPr>
          <w:ilvl w:val="0"/>
          <w:numId w:val="62"/>
        </w:numPr>
        <w:ind w:firstLine="284" w:left="0"/>
        <w:rPr>
          <w:sz w:val="20"/>
          <w:szCs w:val="20"/>
        </w:rPr>
      </w:pPr>
      <w:r>
        <w:rPr>
          <w:sz w:val="20"/>
          <w:szCs w:val="20"/>
        </w:rPr>
      </w:r>
    </w:p>
    <w:p>
      <w:pPr>
        <w:pStyle w:val="BodyText"/>
        <w:numPr>
          <w:ilvl w:val="0"/>
          <w:numId w:val="63"/>
        </w:numPr>
        <w:tabs>
          <w:tab w:val="clear" w:pos="709"/>
          <w:tab w:val="left" w:pos="284" w:leader="none"/>
        </w:tabs>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20"/>
          <w:szCs w:val="20"/>
        </w:rPr>
        <w:t xml:space="preserve"> poderá negociar com a licitante para que seja obtido menor preço.</w:t>
      </w:r>
    </w:p>
    <w:p>
      <w:pPr>
        <w:pStyle w:val="BodyText"/>
        <w:numPr>
          <w:ilvl w:val="0"/>
          <w:numId w:val="64"/>
        </w:numPr>
        <w:tabs>
          <w:tab w:val="clear" w:pos="709"/>
          <w:tab w:val="left" w:pos="284" w:leader="none"/>
        </w:tabs>
        <w:ind w:firstLine="284" w:left="0"/>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w:t>
      </w:r>
      <w:r>
        <w:rPr>
          <w:rFonts w:cs="Arial" w:ascii="Arial" w:hAnsi="Arial"/>
          <w:sz w:val="18"/>
          <w:szCs w:val="19"/>
        </w:rPr>
        <w:t>apresentar desconformidade com quaisquer outras exigências do edital ou seus anexos, desde que insanável</w:t>
      </w:r>
      <w:r>
        <w:rPr>
          <w:rFonts w:cs="Arial" w:ascii="Arial" w:hAnsi="Arial"/>
        </w:rPr>
        <w:t>.</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rPr>
          <w:t>Lei nº 14.133, de 2021</w:t>
        </w:r>
      </w:hyperlink>
      <w:r>
        <w:rPr>
          <w:rFonts w:cs="Arial" w:ascii="Arial" w:hAnsi="Arial"/>
        </w:rPr>
        <w:t>, devendo protocolar o pedido até 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bookmarkStart w:id="5"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6" w:name="_Ref114668249"/>
      <w:bookmarkStart w:id="7"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7"/>
    </w:p>
    <w:p>
      <w:pPr>
        <w:pStyle w:val="Normal"/>
        <w:ind w:firstLine="284"/>
        <w:jc w:val="both"/>
        <w:rPr>
          <w:rFonts w:ascii="Arial" w:hAnsi="Arial" w:cs="Arial"/>
        </w:rPr>
      </w:pPr>
      <w:r>
        <w:rPr>
          <w:rFonts w:cs="Arial" w:ascii="Arial" w:hAnsi="Arial"/>
        </w:rPr>
      </w:r>
      <w:bookmarkStart w:id="8" w:name="_Ref114668245"/>
      <w:bookmarkStart w:id="9"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9"/>
    </w:p>
    <w:p>
      <w:pPr>
        <w:pStyle w:val="Normal"/>
        <w:ind w:firstLine="284"/>
        <w:jc w:val="both"/>
        <w:rPr>
          <w:rFonts w:ascii="Arial" w:hAnsi="Arial" w:cs="Arial"/>
        </w:rPr>
      </w:pPr>
      <w:r>
        <w:rPr>
          <w:rFonts w:cs="Arial" w:ascii="Arial" w:hAnsi="Arial"/>
        </w:rPr>
      </w:r>
      <w:bookmarkStart w:id="10" w:name="_Ref114668247"/>
      <w:bookmarkStart w:id="11"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1"/>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2" w:name="_Ref114668251"/>
      <w:bookmarkStart w:id="13"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3"/>
    </w:p>
    <w:p>
      <w:pPr>
        <w:pStyle w:val="Normal"/>
        <w:ind w:firstLine="284"/>
        <w:jc w:val="both"/>
        <w:rPr>
          <w:rFonts w:ascii="Arial" w:hAnsi="Arial" w:cs="Arial"/>
        </w:rPr>
      </w:pPr>
      <w:r>
        <w:rPr>
          <w:rFonts w:cs="Arial" w:ascii="Arial" w:hAnsi="Arial"/>
        </w:rPr>
      </w:r>
      <w:bookmarkStart w:id="14" w:name="_Ref114668252"/>
      <w:bookmarkStart w:id="15"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15"/>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kern w:val="2"/>
        </w:rPr>
      </w:pPr>
      <w:r>
        <w:rPr>
          <w:rFonts w:cs="Arial" w:ascii="Arial" w:hAnsi="Arial"/>
          <w:kern w:val="2"/>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ind w:firstLine="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9"/>
        <w:gridCol w:w="850"/>
        <w:gridCol w:w="4537"/>
        <w:gridCol w:w="1415"/>
        <w:gridCol w:w="1701"/>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Unid.</w:t>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kern w:val="2"/>
              </w:rPr>
            </w:pPr>
            <w:r>
              <w:rPr>
                <w:rFonts w:cs="Arial" w:ascii="Arial" w:hAnsi="Arial"/>
                <w:b/>
              </w:rPr>
              <w:t>Descritivo</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true"/>
        <w:spacing w:lineRule="auto" w:line="240"/>
        <w:jc w:val="center"/>
        <w:rPr>
          <w:color w:val="auto"/>
          <w:sz w:val="20"/>
          <w:szCs w:val="20"/>
        </w:rPr>
      </w:pPr>
      <w:r>
        <w:rPr>
          <w:color w:val="auto"/>
          <w:sz w:val="20"/>
          <w:szCs w:val="20"/>
        </w:rPr>
      </w:r>
      <w:r>
        <w:br w:type="page"/>
      </w:r>
    </w:p>
    <w:p>
      <w:pPr>
        <w:pStyle w:val="BodyTextIndent"/>
        <w:widowControl w:val="false"/>
        <w:overflowPunct w:val="true"/>
        <w:spacing w:lineRule="auto" w:line="240" w:before="0" w:after="0"/>
        <w:jc w:val="center"/>
        <w:rPr>
          <w:b/>
          <w:bCs/>
          <w:sz w:val="20"/>
          <w:szCs w:val="20"/>
          <w:shd w:fill="FFFFFF" w:val="clear"/>
          <w:lang w:val="pt-BR"/>
        </w:rPr>
      </w:pPr>
      <w:r>
        <w:rPr>
          <w:b/>
          <w:sz w:val="20"/>
          <w:szCs w:val="20"/>
        </w:rPr>
        <w:t>ANEXO V</w:t>
      </w:r>
    </w:p>
    <w:p>
      <w:pPr>
        <w:pStyle w:val="Normal"/>
        <w:jc w:val="center"/>
        <w:rPr>
          <w:rFonts w:ascii="Arial" w:hAnsi="Arial" w:cs="Arial"/>
          <w:b/>
          <w:bCs/>
        </w:rPr>
      </w:pPr>
      <w:r>
        <w:rPr>
          <w:rFonts w:cs="Arial" w:ascii="Arial" w:hAnsi="Arial"/>
          <w:color w:val="000000"/>
        </w:rPr>
        <w:t>====================================================================================</w:t>
      </w:r>
    </w:p>
    <w:p>
      <w:pPr>
        <w:pStyle w:val="Normal"/>
        <w:ind w:firstLine="284"/>
        <w:jc w:val="center"/>
        <w:rPr>
          <w:rFonts w:ascii="Arial" w:hAnsi="Arial" w:cs="Arial"/>
        </w:rPr>
      </w:pPr>
      <w:r>
        <w:rPr>
          <w:rFonts w:cs="Arial" w:ascii="Arial" w:hAnsi="Arial"/>
          <w:b/>
          <w:bCs/>
        </w:rPr>
        <w:t>MINUTA DA ATA DE REGISTRO DE PREÇOS</w:t>
      </w:r>
    </w:p>
    <w:p>
      <w:pPr>
        <w:pStyle w:val="Normal"/>
        <w:jc w:val="center"/>
        <w:rPr>
          <w:rFonts w:ascii="Arial" w:hAnsi="Arial" w:cs="Arial"/>
          <w:b/>
          <w:bCs/>
        </w:rPr>
      </w:pPr>
      <w:r>
        <w:rPr>
          <w:rFonts w:cs="Arial" w:ascii="Arial" w:hAnsi="Arial"/>
          <w:color w:val="000000"/>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Normal"/>
        <w:ind w:firstLine="284"/>
        <w:jc w:val="center"/>
        <w:rPr>
          <w:rFonts w:ascii="Arial" w:hAnsi="Arial" w:cs="Arial"/>
          <w:b/>
        </w:rPr>
      </w:pPr>
      <w:r>
        <w:rPr>
          <w:rFonts w:cs="Arial" w:ascii="Arial" w:hAnsi="Arial"/>
          <w:b/>
        </w:rPr>
        <w:t>ATA DE REGISTRO DE PREÇOS Nº 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PREGÃO ELETRÔNICO Nº ____/____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PROCESSO Nº ____/____</w:t>
      </w:r>
    </w:p>
    <w:p>
      <w:pPr>
        <w:pStyle w:val="Normal"/>
        <w:spacing w:before="240" w:after="0"/>
        <w:ind w:firstLine="284"/>
        <w:jc w:val="center"/>
        <w:rPr>
          <w:rFonts w:ascii="Arial" w:hAnsi="Arial" w:cs="Arial"/>
          <w:b/>
        </w:rPr>
      </w:pPr>
      <w:r>
        <w:rPr>
          <w:rFonts w:cs="Arial" w:ascii="Arial" w:hAnsi="Arial"/>
          <w:b/>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2.1. </w:t>
      </w:r>
      <w:r>
        <w:rPr>
          <w:rFonts w:cs="Arial" w:ascii="Arial" w:hAnsi="Arial"/>
        </w:rPr>
        <w:t>A presente Ata de registro de Preços terá a validade de 12 (doze) meses, a partir de sua assinatura,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20 (vinte)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firstLine="284"/>
        <w:jc w:val="both"/>
        <w:rPr>
          <w:rFonts w:ascii="Arial" w:hAnsi="Arial" w:eastAsia="Arial" w:cs="Arial"/>
        </w:rPr>
      </w:pPr>
      <w:r>
        <w:rPr>
          <w:rFonts w:eastAsia="Arial" w:cs="Arial" w:ascii="Arial" w:hAnsi="Arial"/>
        </w:rPr>
      </w:r>
    </w:p>
    <w:p>
      <w:pPr>
        <w:pStyle w:val="Normal"/>
        <w:ind w:firstLine="284"/>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overflowPunct w:val="true"/>
        <w:spacing w:lineRule="auto" w:line="240"/>
        <w:rPr>
          <w:b/>
          <w:bCs/>
          <w:sz w:val="20"/>
          <w:szCs w:val="20"/>
        </w:rPr>
      </w:pPr>
      <w:r>
        <w:rPr>
          <w:b/>
          <w:bCs/>
          <w:sz w:val="20"/>
          <w:szCs w:val="20"/>
        </w:rPr>
      </w:r>
      <w:r>
        <w:br w:type="page"/>
      </w:r>
    </w:p>
    <w:p>
      <w:pPr>
        <w:pStyle w:val="Normal"/>
        <w:spacing w:before="0" w:after="0"/>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9833" w:type="dxa"/>
        <w:jc w:val="left"/>
        <w:tblInd w:w="1" w:type="dxa"/>
        <w:tblLayout w:type="fixed"/>
        <w:tblCellMar>
          <w:top w:w="0" w:type="dxa"/>
          <w:left w:w="2" w:type="dxa"/>
          <w:bottom w:w="0" w:type="dxa"/>
          <w:right w:w="0" w:type="dxa"/>
        </w:tblCellMar>
        <w:tblLook w:firstRow="0" w:noVBand="0" w:lastRow="0" w:firstColumn="0" w:lastColumn="0" w:noHBand="0" w:val="0000"/>
      </w:tblPr>
      <w:tblGrid>
        <w:gridCol w:w="765"/>
        <w:gridCol w:w="889"/>
        <w:gridCol w:w="1078"/>
        <w:gridCol w:w="4938"/>
        <w:gridCol w:w="2163"/>
      </w:tblGrid>
      <w:tr>
        <w:trPr/>
        <w:tc>
          <w:tcPr>
            <w:tcW w:w="765"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Item</w:t>
            </w:r>
          </w:p>
        </w:tc>
        <w:tc>
          <w:tcPr>
            <w:tcW w:w="889"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Quant</w:t>
            </w:r>
          </w:p>
        </w:tc>
        <w:tc>
          <w:tcPr>
            <w:tcW w:w="1078"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Unids</w:t>
            </w:r>
          </w:p>
        </w:tc>
        <w:tc>
          <w:tcPr>
            <w:tcW w:w="4938" w:type="dxa"/>
            <w:tcBorders>
              <w:top w:val="single" w:sz="2" w:space="0" w:color="000000"/>
              <w:left w:val="single" w:sz="2" w:space="0" w:color="000000"/>
              <w:bottom w:val="single" w:sz="2" w:space="0" w:color="000000"/>
              <w:right w:val="single" w:sz="4" w:space="0" w:color="000000"/>
            </w:tcBorders>
            <w:shd w:color="auto" w:fill="DDDDDD" w:val="clear"/>
          </w:tcPr>
          <w:p>
            <w:pPr>
              <w:pStyle w:val="Contedodatabela"/>
              <w:jc w:val="center"/>
              <w:rPr>
                <w:rFonts w:ascii="Arial" w:hAnsi="Arial" w:cs="Arial"/>
                <w:b/>
              </w:rPr>
            </w:pPr>
            <w:r>
              <w:rPr>
                <w:rFonts w:cs="Arial" w:ascii="Arial" w:hAnsi="Arial"/>
                <w:b/>
              </w:rPr>
              <w:t>Descritivo</w:t>
            </w:r>
          </w:p>
        </w:tc>
        <w:tc>
          <w:tcPr>
            <w:tcW w:w="2163" w:type="dxa"/>
            <w:tcBorders>
              <w:top w:val="single" w:sz="4" w:space="0" w:color="000000"/>
              <w:left w:val="single" w:sz="4" w:space="0" w:color="000000"/>
              <w:bottom w:val="single" w:sz="4" w:space="0" w:color="000000"/>
              <w:right w:val="single" w:sz="4" w:space="0" w:color="000000"/>
            </w:tcBorders>
            <w:shd w:color="auto" w:fill="DDDDDD" w:val="clear"/>
          </w:tcPr>
          <w:p>
            <w:pPr>
              <w:pStyle w:val="Contedodatabela"/>
              <w:jc w:val="center"/>
              <w:rPr>
                <w:rFonts w:ascii="Arial" w:hAnsi="Arial" w:cs="Arial"/>
              </w:rPr>
            </w:pPr>
            <w:r>
              <w:rPr>
                <w:rFonts w:cs="Arial" w:ascii="Arial" w:hAnsi="Arial"/>
                <w:b/>
              </w:rPr>
              <w:t>Preço unitário</w:t>
            </w:r>
          </w:p>
        </w:tc>
      </w:tr>
      <w:tr>
        <w:trPr/>
        <w:tc>
          <w:tcPr>
            <w:tcW w:w="765" w:type="dxa"/>
            <w:tcBorders>
              <w:left w:val="single" w:sz="2" w:space="0" w:color="000000"/>
              <w:bottom w:val="single" w:sz="2" w:space="0" w:color="000000"/>
            </w:tcBorders>
            <w:shd w:color="auto" w:fill="auto" w:val="clear"/>
          </w:tcPr>
          <w:p>
            <w:pPr>
              <w:pStyle w:val="Normal"/>
              <w:snapToGrid w:val="false"/>
              <w:jc w:val="center"/>
              <w:rPr>
                <w:rFonts w:ascii="Arial" w:hAnsi="Arial" w:cs="Arial"/>
              </w:rPr>
            </w:pPr>
            <w:r>
              <w:rPr>
                <w:rFonts w:cs="Arial" w:ascii="Arial" w:hAnsi="Arial"/>
              </w:rPr>
            </w:r>
          </w:p>
        </w:tc>
        <w:tc>
          <w:tcPr>
            <w:tcW w:w="889"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rPr>
            </w:pPr>
            <w:r>
              <w:rPr>
                <w:rFonts w:cs="Arial" w:ascii="Arial" w:hAnsi="Arial"/>
              </w:rPr>
            </w:r>
          </w:p>
        </w:tc>
        <w:tc>
          <w:tcPr>
            <w:tcW w:w="1078"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rPr>
            </w:pPr>
            <w:r>
              <w:rPr>
                <w:rFonts w:cs="Arial" w:ascii="Arial" w:hAnsi="Arial"/>
              </w:rPr>
            </w:r>
          </w:p>
        </w:tc>
        <w:tc>
          <w:tcPr>
            <w:tcW w:w="4938" w:type="dxa"/>
            <w:tcBorders>
              <w:left w:val="single" w:sz="2" w:space="0" w:color="000000"/>
              <w:bottom w:val="single" w:sz="2" w:space="0" w:color="000000"/>
              <w:right w:val="single" w:sz="4" w:space="0" w:color="000000"/>
            </w:tcBorders>
            <w:shd w:color="auto" w:fill="auto" w:val="clear"/>
            <w:vAlign w:val="center"/>
          </w:tcPr>
          <w:p>
            <w:pPr>
              <w:pStyle w:val="Normal"/>
              <w:snapToGrid w:val="false"/>
              <w:jc w:val="both"/>
              <w:rPr>
                <w:rFonts w:ascii="Arial" w:hAnsi="Arial" w:cs="Arial"/>
                <w:color w:val="000000"/>
              </w:rPr>
            </w:pPr>
            <w:r>
              <w:rPr>
                <w:rFonts w:cs="Arial" w:ascii="Arial" w:hAnsi="Arial"/>
                <w:color w:val="000000"/>
              </w:rPr>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ind w:firstLine="284"/>
              <w:jc w:val="both"/>
              <w:rPr>
                <w:rFonts w:ascii="Arial" w:hAnsi="Arial" w:cs="Arial"/>
                <w:color w:val="000000"/>
              </w:rPr>
            </w:pPr>
            <w:r>
              <w:rPr>
                <w:rFonts w:cs="Arial" w:ascii="Arial" w:hAnsi="Arial"/>
                <w:color w:val="000000"/>
              </w:rPr>
            </w:r>
          </w:p>
        </w:tc>
      </w:tr>
    </w:tbl>
    <w:p>
      <w:pPr>
        <w:pStyle w:val="Normal"/>
        <w:widowControl w:val="false"/>
        <w:ind w:firstLine="284"/>
        <w:jc w:val="center"/>
        <w:rPr>
          <w:rFonts w:ascii="Arial" w:hAnsi="Arial" w:cs="Arial"/>
          <w:b/>
          <w:u w:val="single"/>
        </w:rPr>
      </w:pPr>
      <w:r>
        <w:rPr>
          <w:rFonts w:cs="Arial" w:ascii="Arial" w:hAnsi="Arial"/>
          <w:b/>
          <w:u w:val="single"/>
        </w:rPr>
      </w:r>
      <w:r>
        <w:br w:type="page"/>
      </w:r>
    </w:p>
    <w:p>
      <w:pPr>
        <w:pStyle w:val="BodyTextIndent"/>
        <w:widowControl w:val="false"/>
        <w:overflowPunct w:val="true"/>
        <w:spacing w:lineRule="auto" w:line="240" w:before="0" w:after="0"/>
        <w:jc w:val="center"/>
        <w:rPr>
          <w:b/>
          <w:bCs/>
          <w:sz w:val="20"/>
          <w:szCs w:val="20"/>
          <w:shd w:fill="FFFFFF" w:val="clear"/>
          <w:lang w:val="pt-BR"/>
        </w:rPr>
      </w:pPr>
      <w:r>
        <w:rPr>
          <w:b/>
          <w:sz w:val="20"/>
          <w:szCs w:val="20"/>
        </w:rPr>
        <w:t>ANEXO V</w:t>
      </w:r>
      <w:r>
        <w:rPr>
          <w:b/>
          <w:sz w:val="20"/>
          <w:szCs w:val="20"/>
          <w:lang w:val="pt-BR"/>
        </w:rPr>
        <w:t>I</w:t>
      </w:r>
    </w:p>
    <w:p>
      <w:pPr>
        <w:pStyle w:val="Normal"/>
        <w:jc w:val="center"/>
        <w:rPr>
          <w:rFonts w:ascii="Arial" w:hAnsi="Arial" w:cs="Arial"/>
          <w:b/>
          <w:bCs/>
        </w:rPr>
      </w:pPr>
      <w:r>
        <w:rPr>
          <w:rFonts w:cs="Arial" w:ascii="Arial" w:hAnsi="Arial"/>
          <w:color w:val="000000"/>
        </w:rPr>
        <w:t>====================================================================================</w:t>
      </w:r>
    </w:p>
    <w:p>
      <w:pPr>
        <w:pStyle w:val="Normal"/>
        <w:jc w:val="center"/>
        <w:rPr>
          <w:rFonts w:ascii="Arial" w:hAnsi="Arial" w:cs="Arial"/>
          <w:color w:val="000000"/>
          <w:kern w:val="2"/>
        </w:rPr>
      </w:pPr>
      <w:r>
        <w:rPr>
          <w:rFonts w:cs="Arial" w:ascii="Arial" w:hAnsi="Arial"/>
          <w:b/>
          <w:bCs/>
          <w:kern w:val="2"/>
        </w:rPr>
        <w:t>MINUTA DE CONTRATO OU TERMO EQUIVALENTE</w:t>
      </w:r>
    </w:p>
    <w:p>
      <w:pPr>
        <w:pStyle w:val="Normal"/>
        <w:jc w:val="center"/>
        <w:rPr>
          <w:rFonts w:ascii="Arial" w:hAnsi="Arial" w:cs="Arial"/>
          <w:b/>
          <w:bCs/>
        </w:rPr>
      </w:pPr>
      <w:r>
        <w:rPr>
          <w:rFonts w:cs="Arial" w:ascii="Arial" w:hAnsi="Arial"/>
          <w:color w:val="000000"/>
        </w:rPr>
        <w:t>====================================================================================</w:t>
      </w:r>
    </w:p>
    <w:p>
      <w:pPr>
        <w:pStyle w:val="Normal"/>
        <w:jc w:val="both"/>
        <w:rPr>
          <w:b/>
          <w:sz w:val="24"/>
          <w:szCs w:val="24"/>
          <w:u w:val="single"/>
        </w:rPr>
      </w:pPr>
      <w:r>
        <w:rPr>
          <w:b/>
          <w:sz w:val="24"/>
          <w:szCs w:val="24"/>
          <w:u w:val="single"/>
        </w:rPr>
        <w:t>CONTRATO QUE ENTRE SI FAZEM A PREFEITURA DO MUNICÍPIO DE PIRACICABA E ................................................, PARA O FORNECIMENTO PARCELADO DE TUBOS DE AÇO, CANTONEIRAS E BARRAS DE FERRO CHATO.</w:t>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sz w:val="24"/>
          <w:szCs w:val="24"/>
        </w:rPr>
      </w:pPr>
      <w:r>
        <w:rPr>
          <w:b/>
          <w:sz w:val="24"/>
          <w:szCs w:val="24"/>
        </w:rPr>
        <w:t>Data: ... de ................. de 2026.</w:t>
      </w:r>
    </w:p>
    <w:p>
      <w:pPr>
        <w:pStyle w:val="Normal"/>
        <w:jc w:val="both"/>
        <w:rPr>
          <w:sz w:val="24"/>
          <w:szCs w:val="24"/>
        </w:rPr>
      </w:pPr>
      <w:r>
        <w:rPr>
          <w:b/>
          <w:sz w:val="24"/>
          <w:szCs w:val="24"/>
        </w:rPr>
        <w:t>Prazo: até ... de ................. de 202..</w:t>
      </w:r>
    </w:p>
    <w:p>
      <w:pPr>
        <w:pStyle w:val="Normal"/>
        <w:jc w:val="both"/>
        <w:rPr>
          <w:sz w:val="24"/>
          <w:szCs w:val="24"/>
        </w:rPr>
      </w:pPr>
      <w:r>
        <w:rPr>
          <w:b/>
          <w:sz w:val="24"/>
          <w:szCs w:val="24"/>
        </w:rPr>
        <w:t>Valor: R$ ........ (............).</w:t>
      </w:r>
    </w:p>
    <w:p>
      <w:pPr>
        <w:pStyle w:val="Normal"/>
        <w:jc w:val="both"/>
        <w:rPr>
          <w:sz w:val="24"/>
          <w:szCs w:val="24"/>
        </w:rPr>
      </w:pPr>
      <w:r>
        <w:rPr>
          <w:b/>
          <w:sz w:val="24"/>
          <w:szCs w:val="24"/>
        </w:rPr>
        <w:t>Processo Administrativo nº 2026/52.557.</w:t>
      </w:r>
    </w:p>
    <w:p>
      <w:pPr>
        <w:pStyle w:val="Normal"/>
        <w:jc w:val="both"/>
        <w:rPr>
          <w:b/>
          <w:sz w:val="24"/>
          <w:szCs w:val="24"/>
        </w:rPr>
      </w:pPr>
      <w:r>
        <w:rPr>
          <w:b/>
          <w:sz w:val="24"/>
          <w:szCs w:val="24"/>
        </w:rPr>
        <w:t>Pregão Eletrônico n.º ..../2026.</w:t>
      </w:r>
    </w:p>
    <w:p>
      <w:pPr>
        <w:pStyle w:val="Normal"/>
        <w:jc w:val="both"/>
        <w:rPr>
          <w:sz w:val="24"/>
          <w:szCs w:val="24"/>
        </w:rPr>
      </w:pPr>
      <w:r>
        <w:rPr>
          <w:b/>
          <w:sz w:val="24"/>
          <w:szCs w:val="24"/>
        </w:rPr>
        <w:t>Ata de Registro de Preços nº .../2026 (válida até ... de ............ de 2027, prorrogável).</w:t>
      </w:r>
    </w:p>
    <w:p>
      <w:pPr>
        <w:pStyle w:val="Normal"/>
        <w:jc w:val="both"/>
        <w:rPr>
          <w:sz w:val="24"/>
          <w:szCs w:val="24"/>
        </w:rPr>
      </w:pPr>
      <w:r>
        <w:rPr>
          <w:b/>
          <w:sz w:val="24"/>
          <w:szCs w:val="24"/>
        </w:rPr>
        <w:t>Contrato n.º …./2026.</w:t>
      </w:r>
    </w:p>
    <w:p>
      <w:pPr>
        <w:pStyle w:val="Normal"/>
        <w:jc w:val="both"/>
        <w:rPr>
          <w:sz w:val="24"/>
          <w:szCs w:val="24"/>
        </w:rPr>
      </w:pPr>
      <w:r>
        <w:rPr>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ind w:firstLine="851"/>
        <w:jc w:val="both"/>
        <w:rPr>
          <w:b/>
          <w:sz w:val="24"/>
          <w:szCs w:val="24"/>
        </w:rPr>
      </w:pPr>
      <w:r>
        <w:rPr>
          <w:b/>
          <w:sz w:val="24"/>
          <w:szCs w:val="24"/>
        </w:rPr>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1ª - DAS PARTES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Obras, Infraestrutura e Serviços Públicos, Sr. </w:t>
      </w:r>
      <w:r>
        <w:rPr>
          <w:b/>
          <w:sz w:val="24"/>
          <w:szCs w:val="24"/>
        </w:rPr>
        <w:t>LUCIANO RODOVALDO CELÊNCIO</w:t>
      </w:r>
      <w:r>
        <w:rPr>
          <w:sz w:val="24"/>
          <w:szCs w:val="24"/>
          <w:shd w:fill="FFFFFF" w:val="clear"/>
        </w:rPr>
        <w:t>, inscrito no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2ª - DO OBJETO</w:t>
            </w:r>
          </w:p>
        </w:tc>
      </w:tr>
    </w:tbl>
    <w:p>
      <w:pPr>
        <w:pStyle w:val="Normal"/>
        <w:ind w:firstLine="851"/>
        <w:jc w:val="both"/>
        <w:rPr>
          <w:b/>
          <w:sz w:val="24"/>
          <w:szCs w:val="24"/>
        </w:rPr>
      </w:pPr>
      <w:r>
        <w:rPr>
          <w:b/>
          <w:sz w:val="24"/>
          <w:szCs w:val="24"/>
        </w:rPr>
      </w:r>
    </w:p>
    <w:p>
      <w:pPr>
        <w:pStyle w:val="BodyTextIndent"/>
        <w:ind w:firstLine="851"/>
        <w:rPr/>
      </w:pPr>
      <w:r>
        <w:rPr>
          <w:b/>
        </w:rPr>
        <w:t>2.1. A CONTRATADA se obriga a entrega parcelada do(s) item(ns) ..... de tubos de aço, cantoneiras e barras de ferro chato, conforme descrição detalhada constante do Edital da Ata de Registro de Preços nº .../2026, bem como seu Termo de Referência, o qual fica fazendo parte integrante do presente instrumento.</w:t>
      </w:r>
    </w:p>
    <w:p>
      <w:pPr>
        <w:pStyle w:val="Normal"/>
        <w:keepLines/>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b/>
                <w:sz w:val="24"/>
                <w:szCs w:val="24"/>
              </w:rPr>
              <w:t>CLÁUSULA 3ª - DOS RECURSOS FINANCEIROS</w:t>
            </w:r>
          </w:p>
        </w:tc>
      </w:tr>
    </w:tbl>
    <w:p>
      <w:pPr>
        <w:pStyle w:val="BodyTextIndent"/>
        <w:ind w:firstLine="851"/>
        <w:rPr>
          <w:b/>
        </w:rPr>
      </w:pPr>
      <w:r>
        <w:rPr>
          <w:b/>
        </w:rPr>
      </w:r>
    </w:p>
    <w:p>
      <w:pPr>
        <w:pStyle w:val="Normal"/>
        <w:ind w:firstLine="851"/>
        <w:jc w:val="both"/>
        <w:rPr>
          <w:sz w:val="24"/>
          <w:szCs w:val="24"/>
        </w:rPr>
      </w:pPr>
      <w:r>
        <w:rPr>
          <w:b/>
          <w:sz w:val="24"/>
          <w:szCs w:val="24"/>
        </w:rPr>
        <w:t>3.1.</w:t>
      </w:r>
      <w:r>
        <w:rPr>
          <w:sz w:val="24"/>
          <w:szCs w:val="24"/>
        </w:rPr>
        <w:t xml:space="preserve"> A despesa supra será atendida pela dotação orçamentária nº ............................................, constante do exercício de 2026.</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b/>
                <w:sz w:val="24"/>
                <w:szCs w:val="24"/>
              </w:rPr>
              <w:t>CLÁUSULA 4ª – DO SUPORTE LEGAL</w:t>
            </w:r>
          </w:p>
        </w:tc>
      </w:tr>
    </w:tbl>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4.1.</w:t>
      </w:r>
      <w:r>
        <w:rPr>
          <w:sz w:val="24"/>
          <w:szCs w:val="24"/>
        </w:rPr>
        <w:t xml:space="preserve"> Este contrato é regulado pelos seguintes dispositivos legais:</w:t>
      </w:r>
    </w:p>
    <w:p>
      <w:pPr>
        <w:pStyle w:val="Normal"/>
        <w:keepLines/>
        <w:ind w:firstLine="851"/>
        <w:jc w:val="both"/>
        <w:rPr>
          <w:sz w:val="24"/>
          <w:szCs w:val="24"/>
        </w:rPr>
      </w:pPr>
      <w:r>
        <w:rPr>
          <w:b/>
          <w:sz w:val="24"/>
          <w:szCs w:val="24"/>
        </w:rPr>
        <w:t>4.1.1.</w:t>
      </w:r>
      <w:r>
        <w:rPr>
          <w:sz w:val="24"/>
          <w:szCs w:val="24"/>
        </w:rPr>
        <w:t xml:space="preserve"> Constituição da República Federativa do Brasil;</w:t>
      </w:r>
    </w:p>
    <w:p>
      <w:pPr>
        <w:pStyle w:val="Normal"/>
        <w:keepLines/>
        <w:ind w:firstLine="851"/>
        <w:jc w:val="both"/>
        <w:rPr>
          <w:sz w:val="24"/>
          <w:szCs w:val="24"/>
        </w:rPr>
      </w:pPr>
      <w:r>
        <w:rPr>
          <w:b/>
          <w:sz w:val="24"/>
          <w:szCs w:val="24"/>
        </w:rPr>
        <w:t>4.1.2.</w:t>
      </w:r>
      <w:r>
        <w:rPr>
          <w:sz w:val="24"/>
          <w:szCs w:val="24"/>
        </w:rPr>
        <w:t xml:space="preserve"> Lei Orgânica do Município de Piracicaba;</w:t>
      </w:r>
    </w:p>
    <w:p>
      <w:pPr>
        <w:pStyle w:val="Normal"/>
        <w:keepLines/>
        <w:ind w:firstLine="851"/>
        <w:jc w:val="both"/>
        <w:rPr>
          <w:sz w:val="24"/>
          <w:szCs w:val="24"/>
        </w:rPr>
      </w:pPr>
      <w:r>
        <w:rPr>
          <w:b/>
          <w:sz w:val="24"/>
          <w:szCs w:val="24"/>
        </w:rPr>
        <w:t>4.1.3.</w:t>
      </w:r>
      <w:r>
        <w:rPr>
          <w:sz w:val="24"/>
          <w:szCs w:val="24"/>
        </w:rPr>
        <w:t xml:space="preserve"> Lei Federal nº 14.133, de 01/04/2021;</w:t>
      </w:r>
    </w:p>
    <w:p>
      <w:pPr>
        <w:pStyle w:val="Normal"/>
        <w:keepLines/>
        <w:ind w:firstLine="851"/>
        <w:jc w:val="both"/>
        <w:rPr>
          <w:sz w:val="24"/>
          <w:szCs w:val="24"/>
        </w:rPr>
      </w:pPr>
      <w:r>
        <w:rPr>
          <w:b/>
          <w:sz w:val="24"/>
          <w:szCs w:val="24"/>
        </w:rPr>
        <w:t>4.1.4.</w:t>
      </w:r>
      <w:r>
        <w:rPr>
          <w:sz w:val="24"/>
          <w:szCs w:val="24"/>
        </w:rPr>
        <w:t xml:space="preserve"> Decreto Municipal nº 17.640, de 30/10/2018;</w:t>
      </w:r>
    </w:p>
    <w:p>
      <w:pPr>
        <w:pStyle w:val="Normal"/>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5ª - DO PREÇO</w:t>
            </w:r>
          </w:p>
        </w:tc>
      </w:tr>
    </w:tbl>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6ª - DOS PAGAMENTOS</w:t>
            </w:r>
          </w:p>
        </w:tc>
      </w:tr>
    </w:tbl>
    <w:p>
      <w:pPr>
        <w:pStyle w:val="Normal"/>
        <w:ind w:firstLine="851"/>
        <w:jc w:val="both"/>
        <w:rPr>
          <w:sz w:val="24"/>
          <w:szCs w:val="24"/>
        </w:rPr>
      </w:pPr>
      <w:r>
        <w:rPr>
          <w:sz w:val="24"/>
          <w:szCs w:val="24"/>
        </w:rPr>
      </w:r>
    </w:p>
    <w:p>
      <w:pPr>
        <w:pStyle w:val="Normal"/>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Obras, Infraestrutura e Serviços Públicos, no prazo de até 15 (quinze) dias úteis, contados da data de recebimento da Nota Fiscal e depositados no banco e conta corrente indicados pela </w:t>
      </w:r>
      <w:r>
        <w:rPr>
          <w:b/>
          <w:sz w:val="24"/>
          <w:szCs w:val="24"/>
        </w:rPr>
        <w:t>CONTRATADA</w:t>
      </w:r>
      <w:r>
        <w:rPr>
          <w:sz w:val="24"/>
          <w:szCs w:val="24"/>
        </w:rPr>
        <w:t xml:space="preserve">. </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sz w:val="24"/>
          <w:szCs w:val="24"/>
        </w:rPr>
      </w:pPr>
      <w:r>
        <w:rPr>
          <w:sz w:val="24"/>
          <w:szCs w:val="24"/>
        </w:rPr>
      </w:r>
    </w:p>
    <w:p>
      <w:pPr>
        <w:pStyle w:val="Normal"/>
        <w:ind w:firstLine="850"/>
        <w:jc w:val="both"/>
        <w:rPr>
          <w:sz w:val="24"/>
          <w:szCs w:val="24"/>
        </w:rPr>
      </w:pPr>
      <w:r>
        <w:rPr>
          <w:sz w:val="24"/>
          <w:szCs w:val="24"/>
        </w:rPr>
        <w:t xml:space="preserve">E-mail para emissão da NF-e: </w:t>
      </w:r>
      <w:hyperlink r:id="rId11">
        <w:r>
          <w:rPr>
            <w:rStyle w:val="Hyperlink"/>
            <w:sz w:val="24"/>
            <w:szCs w:val="24"/>
          </w:rPr>
          <w:t>notafiscal@piracicaba.sp.gov.br</w:t>
        </w:r>
      </w:hyperlink>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ind w:firstLine="850"/>
        <w:jc w:val="both"/>
        <w:rPr>
          <w:b/>
          <w:sz w:val="24"/>
          <w:szCs w:val="24"/>
        </w:rPr>
      </w:pPr>
      <w:r>
        <w:rPr>
          <w:b/>
          <w:sz w:val="24"/>
          <w:szCs w:val="24"/>
        </w:rPr>
      </w:r>
    </w:p>
    <w:p>
      <w:pPr>
        <w:pStyle w:val="Normal"/>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pPr>
        <w:pStyle w:val="Normal"/>
        <w:keepLines/>
        <w:ind w:firstLine="850"/>
        <w:jc w:val="both"/>
        <w:rPr>
          <w:sz w:val="24"/>
          <w:szCs w:val="24"/>
        </w:rPr>
      </w:pPr>
      <w:r>
        <w:rPr>
          <w:sz w:val="24"/>
          <w:szCs w:val="24"/>
        </w:rPr>
      </w:r>
    </w:p>
    <w:p>
      <w:pPr>
        <w:pStyle w:val="Normal"/>
        <w:keepLines/>
        <w:ind w:firstLine="850"/>
        <w:jc w:val="both"/>
        <w:rPr>
          <w:sz w:val="24"/>
          <w:szCs w:val="24"/>
        </w:rPr>
      </w:pPr>
      <w:r>
        <w:rPr>
          <w:b/>
          <w:sz w:val="24"/>
          <w:szCs w:val="24"/>
        </w:rPr>
        <w:t>6.3.4.</w:t>
      </w:r>
      <w:r>
        <w:rPr>
          <w:sz w:val="24"/>
          <w:szCs w:val="24"/>
        </w:rPr>
        <w:t xml:space="preserve"> Certidão Negativa de Débitos Trabalhistas (CNDT).</w:t>
      </w:r>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7ª - DA FISCALIZAÇÃO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7.1.</w:t>
      </w:r>
      <w:r>
        <w:rPr>
          <w:sz w:val="24"/>
          <w:szCs w:val="24"/>
        </w:rPr>
        <w:t xml:space="preserve"> A Secretaria Municipal de Obras, Infraestrutura e Serviços Públicos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pPr>
        <w:pStyle w:val="Normal"/>
        <w:ind w:firstLine="851"/>
        <w:jc w:val="both"/>
        <w:rPr>
          <w:b/>
          <w:sz w:val="24"/>
          <w:szCs w:val="24"/>
        </w:rPr>
      </w:pPr>
      <w:r>
        <w:rPr>
          <w:b/>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8ª - DO PRAZO DE VIGÊNCIA</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8.1.</w:t>
      </w:r>
      <w:r>
        <w:rPr>
          <w:sz w:val="24"/>
          <w:szCs w:val="24"/>
        </w:rPr>
        <w:t xml:space="preserve"> O presente contrato terá vigência até ... de ............... de 202., a contar da data da Ordem de Fornecimento.</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9ª - DA EXTINÇÃO DO CONTRATO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10. - DO RECEBIMENTO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10.2. </w:t>
      </w:r>
      <w:r>
        <w:rPr>
          <w:sz w:val="24"/>
          <w:szCs w:val="24"/>
        </w:rPr>
        <w:t>O recebimento de que trata este item far-se-á mediante recibo.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b/>
                <w:sz w:val="24"/>
                <w:szCs w:val="24"/>
              </w:rPr>
              <w:t>CLÁUSULA 11. - DAS SANÇÕES ADMINISTRATIVAS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w:t>
      </w:r>
      <w:r>
        <w:rPr>
          <w:sz w:val="24"/>
          <w:szCs w:val="24"/>
        </w:rPr>
        <w:t xml:space="preserve"> Comete infração administrativa, nos termos da lei, o licitante que, com dolo ou culpa: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sz w:val="24"/>
          <w:szCs w:val="24"/>
        </w:rPr>
      </w:pPr>
      <w:r>
        <w:rPr>
          <w:b/>
          <w:sz w:val="24"/>
          <w:szCs w:val="24"/>
        </w:rPr>
        <w:t>11.1.2.4.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11.1.5.</w:t>
      </w:r>
      <w:r>
        <w:rPr>
          <w:sz w:val="24"/>
          <w:szCs w:val="24"/>
        </w:rPr>
        <w:t xml:space="preserve"> Fraudar a licitação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11.1.6.2.</w:t>
      </w:r>
      <w:r>
        <w:rPr>
          <w:sz w:val="24"/>
          <w:szCs w:val="24"/>
        </w:rPr>
        <w:t xml:space="preserve"> Induzir deliberadamente a erro no julgamento;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11.1.6.3.</w:t>
      </w:r>
      <w:r>
        <w:rPr>
          <w:sz w:val="24"/>
          <w:szCs w:val="24"/>
        </w:rPr>
        <w:t xml:space="preserve"> Apresentar amostra falsificada ou deteriorada;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11.1.8.</w:t>
      </w:r>
      <w:r>
        <w:rPr>
          <w:sz w:val="24"/>
          <w:szCs w:val="24"/>
        </w:rPr>
        <w:t xml:space="preserve"> Praticar ato lesivo previsto no art. 5º da Lei n.º 12.846, de 2013. </w:t>
      </w:r>
    </w:p>
    <w:p>
      <w:pPr>
        <w:pStyle w:val="Normal"/>
        <w:ind w:firstLine="851"/>
        <w:jc w:val="both"/>
        <w:rPr>
          <w:szCs w:val="16"/>
        </w:rPr>
      </w:pPr>
      <w:r>
        <w:rPr>
          <w:szCs w:val="16"/>
        </w:rPr>
      </w:r>
    </w:p>
    <w:p>
      <w:pPr>
        <w:pStyle w:val="Normal"/>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sz w:val="24"/>
          <w:szCs w:val="16"/>
        </w:rPr>
      </w:pPr>
      <w:r>
        <w:rPr>
          <w:b/>
          <w:sz w:val="24"/>
          <w:szCs w:val="16"/>
        </w:rPr>
      </w:r>
    </w:p>
    <w:p>
      <w:pPr>
        <w:pStyle w:val="Normal"/>
        <w:ind w:firstLine="851"/>
        <w:jc w:val="both"/>
        <w:rPr>
          <w:sz w:val="24"/>
          <w:szCs w:val="24"/>
        </w:rPr>
      </w:pPr>
      <w:r>
        <w:rPr>
          <w:b/>
          <w:sz w:val="24"/>
          <w:szCs w:val="24"/>
        </w:rPr>
        <w:t>11.3.1.</w:t>
      </w:r>
      <w:r>
        <w:rPr>
          <w:sz w:val="24"/>
          <w:szCs w:val="24"/>
        </w:rPr>
        <w:t xml:space="preserve"> Advertência; </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w:t>
      </w:r>
      <w:r>
        <w:rPr>
          <w:sz w:val="24"/>
          <w:szCs w:val="24"/>
        </w:rPr>
        <w:t xml:space="preserve"> Multa de mora;</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11.5.</w:t>
      </w:r>
      <w:r>
        <w:rPr>
          <w:sz w:val="24"/>
          <w:szCs w:val="24"/>
        </w:rPr>
        <w:t xml:space="preserve"> O prazo para defesa prévia será de 15 (quinze) dias úteis. </w:t>
      </w:r>
    </w:p>
    <w:p>
      <w:pPr>
        <w:pStyle w:val="Normal"/>
        <w:ind w:firstLine="851"/>
        <w:jc w:val="both"/>
        <w:rPr>
          <w:b/>
          <w:sz w:val="16"/>
          <w:szCs w:val="16"/>
        </w:rPr>
      </w:pPr>
      <w:r>
        <w:rPr>
          <w:b/>
          <w:sz w:val="16"/>
          <w:szCs w:val="16"/>
        </w:rPr>
      </w:r>
    </w:p>
    <w:p>
      <w:pPr>
        <w:pStyle w:val="Normal"/>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12. - DAS MEDIDAS ANTICORRUPÇÃO</w:t>
            </w:r>
          </w:p>
        </w:tc>
      </w:tr>
    </w:tbl>
    <w:p>
      <w:pPr>
        <w:pStyle w:val="Normal"/>
        <w:rPr>
          <w:b/>
          <w:sz w:val="24"/>
          <w:szCs w:val="24"/>
        </w:rPr>
      </w:pPr>
      <w:r>
        <w:rPr>
          <w:b/>
          <w:sz w:val="24"/>
          <w:szCs w:val="24"/>
        </w:rPr>
      </w:r>
    </w:p>
    <w:p>
      <w:pPr>
        <w:pStyle w:val="Normal"/>
        <w:ind w:firstLine="850"/>
        <w:jc w:val="both"/>
        <w:rPr>
          <w:sz w:val="24"/>
          <w:szCs w:val="24"/>
        </w:rPr>
      </w:pPr>
      <w:r>
        <w:rPr>
          <w:b/>
          <w:sz w:val="24"/>
          <w:szCs w:val="24"/>
          <w:shd w:fill="FFFFFF" w:val="clear"/>
        </w:rPr>
        <w:t>12.1.</w:t>
      </w:r>
      <w:r>
        <w:rPr>
          <w:sz w:val="24"/>
          <w:szCs w:val="24"/>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13. - DAS DISPOSIÇÕES FINAIS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sz w:val="24"/>
          <w:szCs w:val="24"/>
        </w:rPr>
      </w:pPr>
      <w:r>
        <w:rPr>
          <w:b/>
          <w:sz w:val="24"/>
          <w:szCs w:val="24"/>
        </w:rPr>
      </w:r>
    </w:p>
    <w:p>
      <w:pPr>
        <w:pStyle w:val="Normal"/>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sz w:val="24"/>
          <w:szCs w:val="24"/>
        </w:rPr>
      </w:pPr>
      <w:r>
        <w:rPr>
          <w:b/>
          <w:sz w:val="24"/>
          <w:szCs w:val="24"/>
        </w:rPr>
      </w:r>
    </w:p>
    <w:p>
      <w:pPr>
        <w:pStyle w:val="Normal"/>
        <w:ind w:firstLine="851"/>
        <w:jc w:val="both"/>
        <w:rPr>
          <w:sz w:val="24"/>
          <w:szCs w:val="24"/>
        </w:rPr>
      </w:pPr>
      <w:r>
        <w:rPr>
          <w:b/>
          <w:sz w:val="24"/>
          <w:szCs w:val="24"/>
        </w:rPr>
        <w:t xml:space="preserve">13.6. </w:t>
      </w:r>
      <w:r>
        <w:rPr>
          <w:sz w:val="24"/>
          <w:szCs w:val="24"/>
        </w:rPr>
        <w:t>É vedada a subcontratação.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pPr>
        <w:pStyle w:val="Normal"/>
        <w:keepLines/>
        <w:jc w:val="both"/>
        <w:rPr>
          <w:b/>
          <w:sz w:val="24"/>
          <w:szCs w:val="24"/>
        </w:rPr>
      </w:pPr>
      <w:r>
        <w:rPr>
          <w:b/>
          <w:sz w:val="24"/>
          <w:szCs w:val="24"/>
        </w:rPr>
      </w:r>
    </w:p>
    <w:p>
      <w:pPr>
        <w:pStyle w:val="Normal"/>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Piracicaba, ..... de ........................... de 2026.</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799"/>
        <w:gridCol w:w="322"/>
        <w:gridCol w:w="4800"/>
      </w:tblGrid>
      <w:tr>
        <w:trPr/>
        <w:tc>
          <w:tcPr>
            <w:tcW w:w="4799" w:type="dxa"/>
            <w:tcBorders>
              <w:top w:val="single" w:sz="4" w:space="0" w:color="000000"/>
              <w:left w:val="single" w:sz="4" w:space="0" w:color="000000"/>
              <w:bottom w:val="single" w:sz="4" w:space="0" w:color="000000"/>
            </w:tcBorders>
            <w:shd w:color="auto" w:fill="auto" w:val="clear"/>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LUCIANO RODOVALDO CELÊNCIO</w:t>
            </w:r>
          </w:p>
          <w:p>
            <w:pPr>
              <w:pStyle w:val="Normal"/>
              <w:jc w:val="center"/>
              <w:rPr>
                <w:b/>
                <w:sz w:val="24"/>
                <w:szCs w:val="24"/>
              </w:rPr>
            </w:pPr>
            <w:r>
              <w:rPr>
                <w:b/>
                <w:sz w:val="24"/>
                <w:szCs w:val="24"/>
              </w:rPr>
              <w:t>Secretário Municipal de Obras, Infraestrutura e Serviços Públicos</w:t>
            </w:r>
          </w:p>
          <w:p>
            <w:pPr>
              <w:pStyle w:val="Normal"/>
              <w:jc w:val="center"/>
              <w:rPr>
                <w:sz w:val="24"/>
                <w:szCs w:val="24"/>
              </w:rPr>
            </w:pPr>
            <w:r>
              <w:rPr>
                <w:sz w:val="24"/>
                <w:szCs w:val="24"/>
              </w:rPr>
            </w:r>
          </w:p>
        </w:tc>
        <w:tc>
          <w:tcPr>
            <w:tcW w:w="322" w:type="dxa"/>
            <w:tcBorders>
              <w:left w:val="single" w:sz="4" w:space="0" w:color="000000"/>
            </w:tcBorders>
            <w:shd w:color="auto" w:fill="auto" w:val="clear"/>
          </w:tcPr>
          <w:p>
            <w:pPr>
              <w:pStyle w:val="Normal"/>
              <w:snapToGrid w:val="false"/>
              <w:jc w:val="both"/>
              <w:rPr>
                <w:sz w:val="24"/>
                <w:szCs w:val="24"/>
              </w:rPr>
            </w:pPr>
            <w:r>
              <w:rPr>
                <w:sz w:val="24"/>
                <w:szCs w:val="24"/>
              </w:rPr>
            </w:r>
          </w:p>
        </w:tc>
        <w:tc>
          <w:tcPr>
            <w:tcW w:w="4800"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 EMPRESA CONTRATADA :::</w:t>
            </w:r>
          </w:p>
          <w:p>
            <w:pPr>
              <w:pStyle w:val="Normal"/>
              <w:jc w:val="center"/>
              <w:rPr>
                <w:sz w:val="24"/>
                <w:szCs w:val="24"/>
              </w:rPr>
            </w:pPr>
            <w:r>
              <w:rPr>
                <w:b/>
                <w:sz w:val="24"/>
                <w:szCs w:val="24"/>
              </w:rPr>
              <w:t>Representante Legal</w:t>
            </w:r>
          </w:p>
        </w:tc>
      </w:tr>
    </w:tbl>
    <w:p>
      <w:pPr>
        <w:pStyle w:val="Normal"/>
        <w:rPr>
          <w:b/>
          <w:sz w:val="24"/>
          <w:szCs w:val="24"/>
        </w:rPr>
      </w:pPr>
      <w:r>
        <w:rPr>
          <w:b/>
          <w:sz w:val="24"/>
          <w:szCs w:val="24"/>
        </w:rPr>
      </w:r>
    </w:p>
    <w:p>
      <w:pPr>
        <w:pStyle w:val="Normal"/>
        <w:jc w:val="both"/>
        <w:rPr>
          <w:sz w:val="24"/>
          <w:szCs w:val="24"/>
        </w:rPr>
      </w:pPr>
      <w:r>
        <w:rPr>
          <w:b/>
          <w:sz w:val="24"/>
          <w:szCs w:val="24"/>
          <w:u w:val="single"/>
        </w:rPr>
        <w:t>TESTEMUNHAS:</w:t>
      </w:r>
    </w:p>
    <w:p>
      <w:pPr>
        <w:pStyle w:val="Normal"/>
        <w:jc w:val="both"/>
        <w:rPr>
          <w:b/>
          <w:sz w:val="24"/>
          <w:szCs w:val="24"/>
          <w:u w:val="single"/>
        </w:rPr>
      </w:pPr>
      <w:r>
        <w:rPr>
          <w:b/>
          <w:sz w:val="24"/>
          <w:szCs w:val="24"/>
          <w:u w:val="single"/>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799"/>
        <w:gridCol w:w="321"/>
        <w:gridCol w:w="4801"/>
      </w:tblGrid>
      <w:tr>
        <w:trPr>
          <w:trHeight w:val="1089" w:hRule="atLeast"/>
        </w:trPr>
        <w:tc>
          <w:tcPr>
            <w:tcW w:w="4799" w:type="dxa"/>
            <w:tcBorders>
              <w:top w:val="single" w:sz="4" w:space="0" w:color="000000"/>
              <w:left w:val="single" w:sz="4" w:space="0" w:color="000000"/>
              <w:bottom w:val="single" w:sz="4" w:space="0" w:color="000000"/>
            </w:tcBorders>
            <w:shd w:color="auto" w:fill="auto" w:val="clear"/>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w:t>
            </w:r>
          </w:p>
          <w:p>
            <w:pPr>
              <w:pStyle w:val="Normal"/>
              <w:rPr>
                <w:sz w:val="24"/>
                <w:szCs w:val="24"/>
              </w:rPr>
            </w:pPr>
            <w:r>
              <w:rPr>
                <w:b/>
                <w:sz w:val="24"/>
                <w:szCs w:val="24"/>
              </w:rPr>
              <w:t>Nome:</w:t>
            </w:r>
          </w:p>
          <w:p>
            <w:pPr>
              <w:pStyle w:val="Normal"/>
              <w:rPr>
                <w:sz w:val="24"/>
                <w:szCs w:val="24"/>
              </w:rPr>
            </w:pPr>
            <w:r>
              <w:rPr>
                <w:b/>
                <w:sz w:val="24"/>
                <w:szCs w:val="24"/>
              </w:rPr>
              <w:t>CPF:</w:t>
            </w:r>
          </w:p>
        </w:tc>
        <w:tc>
          <w:tcPr>
            <w:tcW w:w="321" w:type="dxa"/>
            <w:tcBorders>
              <w:left w:val="single" w:sz="4" w:space="0" w:color="000000"/>
            </w:tcBorders>
            <w:shd w:color="auto" w:fill="auto" w:val="clear"/>
          </w:tcPr>
          <w:p>
            <w:pPr>
              <w:pStyle w:val="Normal"/>
              <w:snapToGrid w:val="false"/>
              <w:jc w:val="both"/>
              <w:rPr>
                <w:b/>
                <w:sz w:val="24"/>
                <w:szCs w:val="24"/>
              </w:rPr>
            </w:pPr>
            <w:r>
              <w:rPr>
                <w:b/>
                <w:sz w:val="24"/>
                <w:szCs w:val="24"/>
              </w:rPr>
            </w:r>
          </w:p>
        </w:tc>
        <w:tc>
          <w:tcPr>
            <w:tcW w:w="4801"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__________________________</w:t>
            </w:r>
          </w:p>
          <w:p>
            <w:pPr>
              <w:pStyle w:val="Normal"/>
              <w:rPr>
                <w:sz w:val="24"/>
                <w:szCs w:val="24"/>
              </w:rPr>
            </w:pPr>
            <w:r>
              <w:rPr>
                <w:b/>
                <w:sz w:val="24"/>
                <w:szCs w:val="24"/>
              </w:rPr>
              <w:t>Nome:</w:t>
            </w:r>
          </w:p>
          <w:p>
            <w:pPr>
              <w:pStyle w:val="Normal"/>
              <w:jc w:val="both"/>
              <w:rPr>
                <w:sz w:val="24"/>
                <w:szCs w:val="24"/>
              </w:rPr>
            </w:pPr>
            <w:r>
              <w:rPr>
                <w:b/>
                <w:sz w:val="24"/>
                <w:szCs w:val="24"/>
              </w:rPr>
              <w:t>CPF:</w:t>
            </w:r>
          </w:p>
        </w:tc>
      </w:tr>
    </w:tbl>
    <w:p>
      <w:pPr>
        <w:pStyle w:val="Normal"/>
        <w:jc w:val="both"/>
        <w:rPr>
          <w:rFonts w:ascii="Arial" w:hAnsi="Arial" w:cs="Arial"/>
        </w:rPr>
      </w:pPr>
      <w:r>
        <w:rPr>
          <w:rFonts w:cs="Arial" w:ascii="Arial" w:hAnsi="Arial"/>
        </w:rPr>
      </w:r>
      <w:bookmarkStart w:id="16" w:name="_GoBack"/>
      <w:bookmarkStart w:id="17" w:name="_GoBack"/>
      <w:bookmarkEnd w:id="17"/>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1" w:gutter="0" w:header="283" w:top="1418" w:footer="284" w:bottom="567"/>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189/2026 -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29</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29</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189/2026 -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29</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29</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30">
          <wp:simplePos x="0" y="0"/>
          <wp:positionH relativeFrom="column">
            <wp:posOffset>-41910</wp:posOffset>
          </wp:positionH>
          <wp:positionV relativeFrom="paragraph">
            <wp:posOffset>-172720</wp:posOffset>
          </wp:positionV>
          <wp:extent cx="1770380" cy="989965"/>
          <wp:effectExtent l="0" t="0" r="0" b="0"/>
          <wp:wrapTopAndBottom/>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2395" simplePos="0" locked="0" layoutInCell="0" allowOverlap="1" relativeHeight="116" wp14:anchorId="16AD9ECE">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3pt;margin-top:6pt;width:367.7pt;height:70.45pt;mso-wrap-style:square;v-text-anchor:top;mso-position-horizontal:right;mso-position-horizontal-relative:margin;mso-position-vertical-relative:page" wp14:anchorId="16AD9ECE">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30">
          <wp:simplePos x="0" y="0"/>
          <wp:positionH relativeFrom="column">
            <wp:posOffset>-41910</wp:posOffset>
          </wp:positionH>
          <wp:positionV relativeFrom="paragraph">
            <wp:posOffset>-172720</wp:posOffset>
          </wp:positionV>
          <wp:extent cx="1770380" cy="989965"/>
          <wp:effectExtent l="0" t="0" r="0" b="0"/>
          <wp:wrapTopAndBottom/>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2395" simplePos="0" locked="0" layoutInCell="0" allowOverlap="1" relativeHeight="116" wp14:anchorId="16AD9ECE">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3pt;margin-top:6pt;width:367.7pt;height:70.45pt;mso-wrap-style:square;v-text-anchor:top;mso-position-horizontal:right;mso-position-horizontal-relative:margin;mso-position-vertical-relative:page" wp14:anchorId="16AD9ECE">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5">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6">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5">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7">
    <w:abstractNumId w:val="1"/>
  </w:num>
  <w:num w:numId="48">
    <w:abstractNumId w:val="1"/>
  </w:num>
  <w:num w:numId="49">
    <w:abstractNumId w:val="1"/>
  </w:num>
  <w:num w:numId="50">
    <w:abstractNumId w:val="1"/>
  </w:num>
  <w:num w:numId="51">
    <w:abstractNumId w:val="1"/>
  </w:num>
  <w:num w:numId="52">
    <w:abstractNumId w:val="1"/>
  </w:num>
  <w:num w:numId="53">
    <w:abstractNumId w:val="1"/>
  </w:num>
  <w:num w:numId="54">
    <w:abstractNumId w:val="1"/>
  </w:num>
  <w:num w:numId="55">
    <w:abstractNumId w:val="1"/>
  </w:num>
  <w:num w:numId="56">
    <w:abstractNumId w:val="1"/>
  </w:num>
  <w:num w:numId="57">
    <w:abstractNumId w:val="1"/>
  </w:num>
  <w:num w:numId="58">
    <w:abstractNumId w:val="1"/>
  </w:num>
  <w:num w:numId="59">
    <w:abstractNumId w:val="1"/>
  </w:num>
  <w:num w:numId="60">
    <w:abstractNumId w:val="1"/>
  </w:num>
  <w:num w:numId="61">
    <w:abstractNumId w:val="1"/>
  </w:num>
  <w:num w:numId="62">
    <w:abstractNumId w:val="1"/>
  </w:num>
  <w:num w:numId="63">
    <w:abstractNumId w:val="1"/>
  </w:num>
  <w:num w:numId="64">
    <w:abstractNumId w:val="1"/>
  </w:num>
</w:numbering>
</file>

<file path=word/settings.xml><?xml version="1.0" encoding="utf-8"?>
<w:settings xmlns:w="http://schemas.openxmlformats.org/wordprocessingml/2006/main">
  <w:zoom w:percent="100"/>
  <w:displayBackgroundShape/>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uiPriority="0"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Arial Unicode MS"/>
      <w:sz w:val="28"/>
      <w:szCs w:val="28"/>
    </w:rPr>
  </w:style>
  <w:style w:type="paragraph" w:styleId="ndiceuser">
    <w:name w:val="Índice (user)"/>
    <w:basedOn w:val="Normal"/>
    <w:qFormat/>
    <w:pPr>
      <w:suppressLineNumbers/>
    </w:pPr>
    <w:rPr>
      <w:rFonts w:cs="Arial Unicode MS"/>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overflowPunct w:val="fals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fals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7"/>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schemas.openxmlformats.org/package/2006/metadata/core-properties"/>
    <ds:schemaRef ds:uri="http://purl.org/dc/terms/"/>
    <ds:schemaRef ds:uri="71763c0a-43a9-4215-9c1e-ac13867d38db"/>
    <ds:schemaRef ds:uri="http://schemas.microsoft.com/office/2006/documentManagement/types"/>
    <ds:schemaRef ds:uri="http://schemas.microsoft.com/office/infopath/2007/PartnerControls"/>
    <ds:schemaRef ds:uri="60198707-c4ff-4d5d-8bc5-5efdd47f407d"/>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71D16923-CF9A-454C-8047-833FB6B64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Application>LibreOffice/25.2.7.2$Windows_X86_64 LibreOffice_project/5cbfd1ab6520636bb5f7b99185aa69bd7456825d</Application>
  <AppVersion>15.0000</AppVersion>
  <Pages>29</Pages>
  <Words>10959</Words>
  <Characters>62877</Characters>
  <CharactersWithSpaces>73271</CharactersWithSpaces>
  <Paragraphs>686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2026-05-28T16:33:00Z</dcterms:created>
  <dc:creator>Thiago Luiz Araujo Santos</dc:creator>
  <dc:description/>
  <dc:language>pt-BR</dc:language>
  <cp:lastModifiedBy/>
  <cp:lastPrinted>2022-08-03T17:48:00Z</cp:lastPrinted>
  <dcterms:modified xsi:type="dcterms:W3CDTF">2026-07-01T12:17:41Z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