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207</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true"/>
        <w:spacing w:lineRule="auto" w:line="240"/>
        <w:jc w:val="center"/>
        <w:rPr>
          <w:b/>
          <w:sz w:val="20"/>
          <w:szCs w:val="20"/>
          <w:lang w:val="pt-BR"/>
        </w:rPr>
      </w:pPr>
      <w:r>
        <w:rPr>
          <w:b/>
          <w:sz w:val="20"/>
          <w:szCs w:val="20"/>
          <w:lang w:val="pt-BR"/>
        </w:rPr>
        <w:t>REGISTRO DE PREÇOS</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overflowPunct w:val="tru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true"/>
        <w:spacing w:lineRule="auto" w:line="240"/>
        <w:jc w:val="center"/>
        <w:rPr>
          <w:sz w:val="20"/>
          <w:szCs w:val="20"/>
          <w:lang w:val="pt-BR"/>
        </w:rPr>
      </w:pPr>
      <w:r>
        <w:rPr>
          <w:sz w:val="20"/>
          <w:szCs w:val="20"/>
          <w:lang w:val="pt-BR"/>
        </w:rPr>
      </w:r>
    </w:p>
    <w:p>
      <w:pPr>
        <w:pStyle w:val="BodyTextIndent"/>
        <w:widowControl w:val="false"/>
        <w:shd w:val="clear" w:color="auto" w:fill="DDDDDD"/>
        <w:overflowPunct w:val="true"/>
        <w:spacing w:lineRule="auto" w:line="240"/>
        <w:ind w:firstLine="561"/>
        <w:jc w:val="star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5"/>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56.742/2026</w:t>
      </w:r>
    </w:p>
    <w:p>
      <w:pPr>
        <w:pStyle w:val="BodyTextIndent"/>
        <w:widowControl w:val="false"/>
        <w:numPr>
          <w:ilvl w:val="0"/>
          <w:numId w:val="5"/>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05</w:t>
      </w:r>
      <w:r>
        <w:rPr>
          <w:b/>
          <w:sz w:val="20"/>
          <w:szCs w:val="20"/>
          <w:lang w:val="pt-BR"/>
        </w:rPr>
        <w:t>/</w:t>
      </w:r>
      <w:r>
        <w:rPr>
          <w:b/>
          <w:sz w:val="20"/>
          <w:szCs w:val="20"/>
          <w:lang w:val="pt-BR"/>
        </w:rPr>
        <w:t>08</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05</w:t>
      </w:r>
      <w:r>
        <w:rPr>
          <w:b/>
          <w:sz w:val="20"/>
          <w:szCs w:val="20"/>
          <w:lang w:val="pt-BR"/>
        </w:rPr>
        <w:t>/</w:t>
      </w:r>
      <w:r>
        <w:rPr>
          <w:b/>
          <w:sz w:val="20"/>
          <w:szCs w:val="20"/>
          <w:lang w:val="pt-BR"/>
        </w:rPr>
        <w:t>08</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ind w:firstLine="561"/>
        <w:jc w:val="star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5"/>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Registro de Preços para </w:t>
      </w:r>
      <w:r>
        <w:rPr>
          <w:rFonts w:cs="Arial" w:ascii="Arial" w:hAnsi="Arial"/>
          <w:b/>
          <w:color w:val="000000"/>
        </w:rPr>
        <w:t>fornecimento de ferramentas manuais.</w:t>
      </w:r>
    </w:p>
    <w:p>
      <w:pPr>
        <w:pStyle w:val="Normal"/>
        <w:numPr>
          <w:ilvl w:val="0"/>
          <w:numId w:val="5"/>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bCs/>
          <w:color w:val="000000"/>
        </w:rPr>
        <w:t>Secretaria Municipal de Obras, Infraestrutura e Serviços Públicos</w:t>
      </w:r>
    </w:p>
    <w:p>
      <w:pPr>
        <w:pStyle w:val="Normal"/>
        <w:numPr>
          <w:ilvl w:val="0"/>
          <w:numId w:val="5"/>
        </w:numPr>
        <w:tabs>
          <w:tab w:val="clear" w:pos="709"/>
          <w:tab w:val="left" w:pos="285" w:leader="none"/>
          <w:tab w:val="left" w:pos="450" w:leader="none"/>
        </w:tabs>
        <w:ind w:hanging="283" w:start="283"/>
        <w:jc w:val="both"/>
        <w:rPr>
          <w:rFonts w:ascii="Arial" w:hAnsi="Arial" w:cs="Arial"/>
        </w:rPr>
      </w:pPr>
      <w:r>
        <w:rPr>
          <w:rFonts w:cs="Arial" w:ascii="Arial" w:hAnsi="Arial"/>
        </w:rPr>
        <w:t xml:space="preserve">Fonte de recursos: </w:t>
      </w:r>
      <w:r>
        <w:rPr>
          <w:rFonts w:cs="Arial" w:ascii="Arial" w:hAnsi="Arial"/>
          <w:color w:val="000000"/>
        </w:rPr>
        <w:t xml:space="preserve">Tesouro – 0101011000 – Dotações orçamentárias: </w:t>
      </w:r>
    </w:p>
    <w:p>
      <w:pPr>
        <w:pStyle w:val="Normal"/>
        <w:tabs>
          <w:tab w:val="clear" w:pos="709"/>
          <w:tab w:val="left" w:pos="285" w:leader="none"/>
          <w:tab w:val="left" w:pos="450" w:leader="none"/>
        </w:tabs>
        <w:ind w:start="283"/>
        <w:jc w:val="both"/>
        <w:rPr>
          <w:rFonts w:ascii="Arial" w:hAnsi="Arial" w:cs="Arial"/>
        </w:rPr>
      </w:pPr>
      <w:bookmarkStart w:id="0" w:name="id_sc_field_f_programa_trabalho_formatad"/>
      <w:bookmarkEnd w:id="0"/>
      <w:r>
        <w:rPr>
          <w:rFonts w:ascii="Arial" w:hAnsi="Arial"/>
          <w:color w:val="000000"/>
        </w:rPr>
        <w:t xml:space="preserve">04.122.0001.2002.0000; </w:t>
      </w:r>
      <w:bookmarkStart w:id="1" w:name="id_sc_field_f_programa_trabalho_formata1"/>
      <w:bookmarkEnd w:id="1"/>
      <w:r>
        <w:rPr>
          <w:rFonts w:ascii="Arial" w:hAnsi="Arial"/>
          <w:color w:val="000000"/>
        </w:rPr>
        <w:t>18.541.0008.2061.0000;</w:t>
      </w:r>
      <w:bookmarkStart w:id="2" w:name="id_sc_field_f_programa_trabalho_formata2"/>
      <w:bookmarkEnd w:id="2"/>
      <w:r>
        <w:rPr>
          <w:rFonts w:ascii="Arial" w:hAnsi="Arial"/>
          <w:color w:val="000000"/>
        </w:rPr>
        <w:t xml:space="preserve"> 20.605.0008.2060.0000;</w:t>
      </w:r>
      <w:bookmarkStart w:id="3" w:name="id_sc_field_f_programa_trabalho_formata3"/>
      <w:bookmarkEnd w:id="3"/>
      <w:r>
        <w:rPr>
          <w:rFonts w:ascii="Arial" w:hAnsi="Arial"/>
          <w:color w:val="000000"/>
        </w:rPr>
        <w:t xml:space="preserve"> 08.122.0016.2064.0000; </w:t>
      </w:r>
      <w:bookmarkStart w:id="4" w:name="id_sc_field_f_programa_trabalho_formata4"/>
      <w:bookmarkEnd w:id="4"/>
      <w:r>
        <w:rPr>
          <w:rFonts w:ascii="Arial" w:hAnsi="Arial"/>
          <w:color w:val="000000"/>
        </w:rPr>
        <w:t xml:space="preserve">13.391.0013.2048.0000; </w:t>
      </w:r>
      <w:bookmarkStart w:id="5" w:name="id_sc_field_f_programa_trabalho_formata5"/>
      <w:bookmarkEnd w:id="5"/>
      <w:r>
        <w:rPr>
          <w:rFonts w:ascii="Arial" w:hAnsi="Arial"/>
          <w:color w:val="000000"/>
        </w:rPr>
        <w:t xml:space="preserve">12.361.0004.2024.0000; </w:t>
      </w:r>
      <w:bookmarkStart w:id="6" w:name="id_sc_field_f_programa_trabalho_formata6"/>
      <w:bookmarkEnd w:id="6"/>
      <w:r>
        <w:rPr>
          <w:rFonts w:ascii="Arial" w:hAnsi="Arial"/>
          <w:color w:val="000000"/>
        </w:rPr>
        <w:t xml:space="preserve">12.365.0004.2022.0000; </w:t>
      </w:r>
      <w:bookmarkStart w:id="7" w:name="id_sc_field_f_programa_trabalho_formata7"/>
      <w:bookmarkEnd w:id="7"/>
      <w:r>
        <w:rPr>
          <w:rFonts w:ascii="Arial" w:hAnsi="Arial"/>
          <w:color w:val="000000"/>
        </w:rPr>
        <w:t xml:space="preserve">27.812.0015.2050.0000; </w:t>
      </w:r>
      <w:bookmarkStart w:id="8" w:name="id_sc_field_f_programa_trabalho_formata8"/>
      <w:bookmarkEnd w:id="8"/>
      <w:r>
        <w:rPr>
          <w:rFonts w:ascii="Arial" w:hAnsi="Arial"/>
          <w:color w:val="000000"/>
        </w:rPr>
        <w:t xml:space="preserve">15.122.0006.2091.0000;  </w:t>
      </w:r>
      <w:bookmarkStart w:id="9" w:name="id_sc_field_f_programa_trabalho_formata9"/>
      <w:bookmarkEnd w:id="9"/>
      <w:r>
        <w:rPr>
          <w:rFonts w:ascii="Arial" w:hAnsi="Arial"/>
          <w:color w:val="000000"/>
        </w:rPr>
        <w:t xml:space="preserve">15.453.0003.2014.0000; </w:t>
      </w:r>
      <w:bookmarkStart w:id="10" w:name="id_sc_field_f_programa_trabalho_formataa"/>
      <w:bookmarkEnd w:id="10"/>
      <w:r>
        <w:rPr>
          <w:rFonts w:ascii="Arial" w:hAnsi="Arial"/>
        </w:rPr>
        <w:t>15.122.0003.2010.0000.</w:t>
      </w:r>
      <w:r>
        <w:rPr/>
        <w:t xml:space="preserve"> </w:t>
      </w:r>
    </w:p>
    <w:p>
      <w:pPr>
        <w:pStyle w:val="Normal"/>
        <w:numPr>
          <w:ilvl w:val="0"/>
          <w:numId w:val="5"/>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w:t>
      </w:r>
      <w:r>
        <w:rPr>
          <w:rFonts w:cs="Arial" w:ascii="Arial" w:hAnsi="Arial"/>
          <w:b/>
          <w:color w:val="000000"/>
        </w:rPr>
        <w:t>255.474,55 (duzentos e cinquenta e cinco mil quatrocentos e setenta e quatro reais e cinquenta e cinco centavos)</w:t>
      </w:r>
      <w:r>
        <w:rPr>
          <w:rFonts w:cs="Arial" w:ascii="Arial" w:hAnsi="Arial"/>
        </w:rPr>
        <w:t>.</w:t>
      </w:r>
    </w:p>
    <w:p>
      <w:pPr>
        <w:pStyle w:val="Normal"/>
        <w:numPr>
          <w:ilvl w:val="0"/>
          <w:numId w:val="5"/>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6"/>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5"/>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5"/>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marca do fabricante</w:t>
      </w:r>
      <w:r>
        <w:rPr>
          <w:rFonts w:cs="Arial" w:ascii="Arial" w:hAnsi="Arial"/>
        </w:rPr>
        <w:t xml:space="preserve"> do produto cotado, sendo admitida apenas uma marca por item.</w:t>
      </w:r>
    </w:p>
    <w:p>
      <w:pPr>
        <w:pStyle w:val="Normal"/>
        <w:numPr>
          <w:ilvl w:val="0"/>
          <w:numId w:val="5"/>
        </w:numPr>
        <w:tabs>
          <w:tab w:val="clear" w:pos="709"/>
          <w:tab w:val="left" w:pos="284" w:leader="none"/>
        </w:tabs>
        <w:jc w:val="both"/>
        <w:rPr>
          <w:rFonts w:ascii="Arial" w:hAnsi="Arial" w:cs="Arial"/>
        </w:rPr>
      </w:pP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5"/>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5"/>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850"/>
        <w:gridCol w:w="904"/>
        <w:gridCol w:w="796"/>
        <w:gridCol w:w="7370"/>
      </w:tblGrid>
      <w:tr>
        <w:trPr>
          <w:tblHeader w:val="true"/>
          <w:trHeight w:val="227" w:hRule="atLeast"/>
        </w:trPr>
        <w:tc>
          <w:tcPr>
            <w:tcW w:w="850"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Item</w:t>
            </w:r>
          </w:p>
        </w:tc>
        <w:tc>
          <w:tcPr>
            <w:tcW w:w="904"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Quant.</w:t>
            </w:r>
          </w:p>
        </w:tc>
        <w:tc>
          <w:tcPr>
            <w:tcW w:w="796" w:type="dxa"/>
            <w:tcBorders>
              <w:top w:val="single" w:sz="4" w:space="0" w:color="000000"/>
              <w:star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
              <w:jc w:val="center"/>
              <w:rPr>
                <w:rFonts w:ascii="Arial" w:hAnsi="Arial" w:cs="Arial"/>
              </w:rPr>
            </w:pPr>
            <w:r>
              <w:rPr>
                <w:rFonts w:cs="Arial" w:ascii="Arial" w:hAnsi="Arial"/>
                <w:b/>
              </w:rPr>
              <w:t>Descritivo</w:t>
            </w:r>
          </w:p>
        </w:tc>
      </w:tr>
      <w:tr>
        <w:trPr>
          <w:trHeight w:val="227"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01</w:t>
            </w:r>
          </w:p>
        </w:tc>
        <w:tc>
          <w:tcPr>
            <w:tcW w:w="904" w:type="dxa"/>
            <w:tcBorders>
              <w:top w:val="single" w:sz="4" w:space="0" w:color="000000"/>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top w:val="single" w:sz="4" w:space="0" w:color="000000"/>
              <w:start w:val="single" w:sz="4" w:space="0" w:color="000000"/>
              <w:bottom w:val="single" w:sz="4" w:space="0" w:color="000000"/>
            </w:tcBorders>
            <w:vAlign w:val="center"/>
          </w:tcPr>
          <w:p>
            <w:pPr>
              <w:pStyle w:val="Contedodatabela"/>
              <w:widowControl w:val="false"/>
              <w:jc w:val="center"/>
              <w:rPr/>
            </w:pPr>
            <w:r>
              <w:rPr>
                <w:rFonts w:ascii="Arial" w:hAnsi="Arial"/>
                <w:color w:val="000000"/>
              </w:rPr>
              <w:t>28</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Trena/medidor de roda com medidor/contador analógico de 4 dígitos, para medições em sistema métrico, fabricada em alumínio, 01 (uma) roda com 32cm de diâmetro revestida com borracha, eixo telescópico e mochila para acondicionamento e transporte.</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02</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67</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Lanterna recarregável 12 leds, material: ABS, Cobre, PS, não utiliza pilhas, recarregável (rede elétrica), bivolt (127V / 220V), plugue de acordo com o padrão brasileiro,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03</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85</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Carrinho de mão, caçamba dimensões (cm) 57,5 (L) x 18,0 (A) x 82,0(C) Capacidade mínima. (liquido) aprox, 45 lts, com pneu C/ Câmara 3,25 x 8", caçamba chapa 0,75 (22 USG), varal : chapa 1,20 mm (18 USG), pé: 2,00 mm (14 USG) e roda: roda com eixo de 1’’.</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04</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108</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Trena de 10 metros, fita de aço, largura da fita 25mm com sistema de trava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05</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33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Trena métrica de fibra de vidro carretel aberto 50m de comprimento 13mm de largura da fita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06</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78</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Turquesa de 12 polegadas, feito em aço carbono especial, revestida com pintura protetiva em epóxi</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07</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51</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Desempenadeira plástica, corrugada estriada 15x26 cm, para acabamentos em reboco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08</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50</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Chibanca com cabo, fabricada em aço carbono,lamina tamanho 3, cabo de Madeira de 90 cm</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09</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71</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Picareta com cabo, fabricada em aço carbono ponta e pá estreita, cabo de madeira,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10</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102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Colher de pedreiro 8”, cabo de madeira, tipo reta, temperada em todo o corpo da peça, fabricada em aço carbono especial de alta qualidade, pintura eletrostática a pó, com cabo madeira com acabamento envernizado, haste é soldada através do processo TIG, guarnição metálica de proteção do cabo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11</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Pé de cabra sextavado em aço especial, 3/4 de espessura, comprimento 60 cm, ponta alavanca chata e ponta encaixe em V (unha)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12</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Alavanca redonda lisa, possui uma Ponta tipo ponteiro a outra ponta Tipo talhadeira de 3 polegadas, 1'' x 1,80 mts</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13</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104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Garrafão térmico 5 litros, P/ conservar Líquidos quentes ou frio, C/ espuma Interna em poliuterano.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14</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60</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Marreta 1kg com cabo de madeira oitavada em aço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15</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Marreta 2kg com cabo de madeira oitavada em aço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16</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Marreta de 5kg com cabo de madeira oitavada em aço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17</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39</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Régua de alumínio lisa, 3 metros de comprimento, 4,5 cm de altura, 2 cm de largura, 3mm de espessura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18</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49</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Régua de alumínio lisa, 2 metros de comprimento, 4,5 cm de altura, 2 cm de largura, 3mm de espessura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19</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29</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Mangueira de nível de silicone cristal transparente, comprimento de 10 metros, diâmetro interno de 5/16" e espessura de 1,0 mm.</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20</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45</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Metro Sueco dobrável de madeira com dobradiça em aço, comprimento (aberto): 2 metros, largura:17mm Quantidade de dobras: 10</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21</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117</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Martelo de unha, 27mm cromado Cabo de madeira Aço SAE 1045/1050 forjado e temperado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22</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54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Martelo de pedreiro de 2 corte, possui cabeça forjada em aço especial, cabo de madeira, dimensões (A x L x C): 4,70 x 20,50 x 33,50 cm</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23</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87</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Talhadeira manual, corpo em aço especial tipo redondo liso, diâmetro ½” comprimento 12”</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24</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78</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Ponteiro manual, corpo em aço especial tipo redondo liso, diâmetro ½” comprimento 12”</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25</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94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Cabo oval para picareta em madeira 90 cm, com acabamento em verniz, com bucha plastica para maior fixação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26</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Conjunto de brocas pra metal de aço rápido com liga de cobalto HSS-Co, com no mínimo uma peça de cada uma das seguintes medições: ½”, ¾”, 3/8”, 5/16” e ¼”</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27</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Conjunto de brocas para concreto , com ponta de metal duro, com acabamento niquelado, com no mínimo uma peça de cada uma das seguintes medições: ½”, ¾”, 3/8”, 5/16” e ¼”</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28</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4</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Alicate universal 8 polegadas Isolado, 1000 V, Corpo forjado em aço-carbono especial e temperado, com cabo de plástico ergonômico que evita que os dedos escorreguem da ferramenta. O cabo também oferece proteção contra correntes elétricas de até 1.000 V em corrente alternada, possui têmpera especial no gume de corte e mandíbulas, acabamento fosfatizado.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29</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Torquês armador 13 Polegadas, em aço-carbono especial com têmpera especial no gume de corte e mandíbulas, cabeça polida, acabamento com pintura eletrostática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30</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Macaco hidráulico tipo garrafa para até 10 toneladas de peso</w:t>
              <w:br/>
              <w:t>Acompanha: 1 alavanca de acionamento</w:t>
              <w:br/>
              <w:t>Com válvula de segurança para evitar elevação superior à sua capacidade, fuso de elevação com rosca para maior elevação e facilitar o ajuste no momento da aplicação e alça para facilitar o manuseio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31</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Adesivo veda calha, bisnaga com aproximadamente 280 g, incolor, para uso interno e externo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32</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Chave teste com ponta chata 1/8x3” em aço especial temperado com acabamento niquelado, capacidade de 80-50 V, compatível com a marca Tramontina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33</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Bomba manual para graxa capacidade 1 kg</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34</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Passa fio plástico com alma de aço reforçada com ponta metálica arredondada, 10 metros</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35</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12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Carrinho de Mão 50 L Azul, acabamento com pintura eletroestática a pó e fabricando segundo os padrões da NBR 16269</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36</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Caixa baú para ferramentas com compartimento superior e inferior, com dimensões mínimas de 580 mm de comprimento, 300 mm de largura e 420 mm de altura, com capacidade mínima de carga de 30 kgf e massa máxima de 5 kg, com fechamento por travas e com alça para carregamento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37</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Jogo de soquetes sextavados de cromo-vanádio com 12 peças de 10-24 mm com chave de catraca reversível e extensor</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38</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Alicate de pressão curvo de 9 polegadas de aço-carbono com cabo emborrachado</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39</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2</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Escada de alumínio extensivo 10x10 degraus</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40</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6</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Jogo de chaves de fenda isoladas profissional para eletricista de cromo-vanádio com isolação de 1000 V, contendo no mínimo as chaves de fenda ponta chata 3x75, 5x100 e 6x150 mm e chaves de fenda de ponta cruzada 3x150, 5x100 e 6x150 mm, em embalagem única</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41</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Alicate de corte diagonal profissional para eletricista de aço isolado 6 ½” com isolação de 1000 V</w:t>
            </w:r>
          </w:p>
        </w:tc>
      </w:tr>
      <w:tr>
        <w:trPr>
          <w:trHeight w:val="227" w:hRule="atLeast"/>
        </w:trPr>
        <w:tc>
          <w:tcPr>
            <w:tcW w:w="850" w:type="dxa"/>
            <w:tcBorders>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42</w:t>
            </w:r>
          </w:p>
        </w:tc>
        <w:tc>
          <w:tcPr>
            <w:tcW w:w="904" w:type="dxa"/>
            <w:tcBorders>
              <w:start w:val="single" w:sz="4" w:space="0" w:color="000000"/>
              <w:bottom w:val="single" w:sz="4" w:space="0" w:color="000000"/>
            </w:tcBorders>
            <w:vAlign w:val="center"/>
          </w:tcPr>
          <w:p>
            <w:pPr>
              <w:pStyle w:val="Contedodatabela"/>
              <w:widowControl w:val="false"/>
              <w:jc w:val="center"/>
              <w:rPr/>
            </w:pPr>
            <w:r>
              <w:rPr>
                <w:rFonts w:ascii="Arial" w:hAnsi="Arial"/>
              </w:rPr>
              <w:t>Unidade</w:t>
            </w:r>
          </w:p>
        </w:tc>
        <w:tc>
          <w:tcPr>
            <w:tcW w:w="796" w:type="dxa"/>
            <w:tcBorders>
              <w:start w:val="single" w:sz="4" w:space="0" w:color="000000"/>
              <w:bottom w:val="single" w:sz="4" w:space="0" w:color="000000"/>
            </w:tcBorders>
            <w:vAlign w:val="center"/>
          </w:tcPr>
          <w:p>
            <w:pPr>
              <w:pStyle w:val="Contedodatabela"/>
              <w:widowControl w:val="false"/>
              <w:jc w:val="center"/>
              <w:rPr/>
            </w:pPr>
            <w:r>
              <w:rPr>
                <w:rFonts w:ascii="Arial" w:hAnsi="Arial"/>
                <w:color w:val="000000"/>
              </w:rPr>
              <w:t>3</w:t>
            </w:r>
          </w:p>
        </w:tc>
        <w:tc>
          <w:tcPr>
            <w:tcW w:w="7370" w:type="dxa"/>
            <w:tcBorders>
              <w:start w:val="single" w:sz="4" w:space="0" w:color="000000"/>
              <w:bottom w:val="single" w:sz="4" w:space="0" w:color="000000"/>
              <w:end w:val="single" w:sz="4" w:space="0" w:color="000000"/>
            </w:tcBorders>
            <w:vAlign w:val="center"/>
          </w:tcPr>
          <w:p>
            <w:pPr>
              <w:pStyle w:val="Contedodatabela"/>
              <w:widowControl w:val="false"/>
              <w:jc w:val="both"/>
              <w:rPr/>
            </w:pPr>
            <w:r>
              <w:rPr>
                <w:rFonts w:ascii="Arial" w:hAnsi="Arial"/>
                <w:color w:val="000000"/>
              </w:rPr>
              <w:t>Alicate de bico reto profissional para eletricistas de 6 ½” com isolação de 1000 V</w:t>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ind w:firstLine="567"/>
        <w:rPr>
          <w:rFonts w:ascii="Arial" w:hAnsi="Arial" w:cs="Arial"/>
        </w:rPr>
      </w:pPr>
      <w:r>
        <w:rPr>
          <w:rFonts w:cs="Arial" w:ascii="Arial" w:hAnsi="Arial"/>
          <w:b/>
          <w:bCs/>
        </w:rPr>
        <w:t>5. DA EMBALAGEM:</w:t>
      </w:r>
    </w:p>
    <w:p>
      <w:pPr>
        <w:pStyle w:val="Normal"/>
        <w:numPr>
          <w:ilvl w:val="0"/>
          <w:numId w:val="17"/>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18"/>
        </w:numPr>
        <w:tabs>
          <w:tab w:val="clear" w:pos="709"/>
          <w:tab w:val="left" w:pos="284" w:leader="none"/>
        </w:tabs>
        <w:jc w:val="both"/>
        <w:rPr>
          <w:rFonts w:ascii="Arial" w:hAnsi="Arial" w:cs="Arial"/>
          <w:lang w:eastAsia="pt-BR"/>
        </w:rPr>
      </w:pPr>
      <w:r>
        <w:rPr>
          <w:rFonts w:cs="Arial" w:ascii="Arial" w:hAnsi="Arial"/>
          <w:lang w:eastAsia="pt-BR"/>
        </w:rPr>
        <w:t>Prazo de entrega: Até o máximo de 20 (vinte) dias, a contar da Ordem de Fornecimento, emitida pela Unidade Requisitante.</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numPr>
          <w:ilvl w:val="0"/>
          <w:numId w:val="5"/>
        </w:numPr>
        <w:tabs>
          <w:tab w:val="clear" w:pos="709"/>
          <w:tab w:val="left" w:pos="284" w:leader="none"/>
        </w:tabs>
        <w:jc w:val="both"/>
        <w:rPr>
          <w:rFonts w:ascii="Arial" w:hAnsi="Arial" w:cs="Arial"/>
        </w:rPr>
      </w:pPr>
      <w:r>
        <w:rPr>
          <w:rFonts w:cs="Arial" w:ascii="Arial" w:hAnsi="Arial"/>
          <w:lang w:eastAsia="pt-BR"/>
        </w:rPr>
        <w:t xml:space="preserve">Local de entrega: Conforme Ordens de Fornecimento, devendo a contratada realizar as entregas dos materiais nos dias, horários e endereços, no perímetro do município de Piracicaba. </w:t>
      </w:r>
    </w:p>
    <w:p>
      <w:pPr>
        <w:pStyle w:val="Normal"/>
        <w:numPr>
          <w:ilvl w:val="0"/>
          <w:numId w:val="5"/>
        </w:numPr>
        <w:tabs>
          <w:tab w:val="clear" w:pos="709"/>
          <w:tab w:val="left" w:pos="284" w:leader="none"/>
        </w:tabs>
        <w:jc w:val="both"/>
        <w:rPr>
          <w:rFonts w:ascii="Arial" w:hAnsi="Arial" w:cs="Arial"/>
        </w:rPr>
      </w:pPr>
      <w:r>
        <w:rPr>
          <w:rFonts w:cs="Arial" w:ascii="Arial" w:hAnsi="Arial"/>
          <w:lang w:eastAsia="pt-BR"/>
        </w:rPr>
        <w:t xml:space="preserve">Os produtos entregues deverão ser das mesmas marcas e modelos apresentados na proposta. </w:t>
      </w:r>
    </w:p>
    <w:p>
      <w:pPr>
        <w:pStyle w:val="Normal"/>
        <w:numPr>
          <w:ilvl w:val="0"/>
          <w:numId w:val="5"/>
        </w:numPr>
        <w:tabs>
          <w:tab w:val="clear" w:pos="709"/>
          <w:tab w:val="left" w:pos="284" w:leader="none"/>
        </w:tabs>
        <w:jc w:val="both"/>
        <w:rPr>
          <w:rFonts w:ascii="Arial" w:hAnsi="Arial" w:cs="Arial"/>
        </w:rPr>
      </w:pPr>
      <w:r>
        <w:rPr>
          <w:rFonts w:cs="Arial" w:ascii="Arial" w:hAnsi="Arial"/>
          <w:lang w:eastAsia="pt-BR"/>
        </w:rPr>
        <w:t>A Contratada será responsável pelo descarregamento dos produtos, devendo ser acondicionados em local próprio para armazenamento a ser indicado pelos servidores da Unidade Requisitante no ato da entrega</w:t>
      </w:r>
    </w:p>
    <w:p>
      <w:pPr>
        <w:pStyle w:val="Normal"/>
        <w:keepLines/>
        <w:numPr>
          <w:ilvl w:val="0"/>
          <w:numId w:val="5"/>
        </w:numPr>
        <w:tabs>
          <w:tab w:val="clear" w:pos="709"/>
          <w:tab w:val="left" w:pos="284" w:leader="none"/>
        </w:tabs>
        <w:jc w:val="both"/>
        <w:rPr>
          <w:rFonts w:ascii="Arial" w:hAnsi="Arial" w:cs="Arial"/>
        </w:rPr>
      </w:pPr>
      <w:r>
        <w:rPr>
          <w:rFonts w:cs="Arial" w:ascii="Arial" w:hAnsi="Arial"/>
        </w:rPr>
        <w:t>No ato da entrega a Contratante fará o recebimento provisório dos materiais, mediante cessão ou assinatura de comprovante de entrega, recibo ou documento similar, sendo que a Contratante rerá um prazo de 5 (cinco) dias úteis para realização do recebimento definitivo, podendo nesse prazo notificar a Contratada quanto a desconformidades quantitativas na entrega ou a desvios de qualidade, de responsabilidades atribuíveis ao fornecedor.</w:t>
      </w:r>
    </w:p>
    <w:p>
      <w:pPr>
        <w:pStyle w:val="Normal"/>
        <w:keepLines/>
        <w:numPr>
          <w:ilvl w:val="0"/>
          <w:numId w:val="5"/>
        </w:numPr>
        <w:tabs>
          <w:tab w:val="clear" w:pos="709"/>
          <w:tab w:val="left" w:pos="284" w:leader="none"/>
        </w:tabs>
        <w:jc w:val="both"/>
        <w:rPr>
          <w:color w:val="000000"/>
        </w:rPr>
      </w:pPr>
      <w:r>
        <w:rPr>
          <w:rFonts w:cs="Arial" w:ascii="Arial" w:hAnsi="Arial"/>
          <w:color w:val="000000"/>
        </w:rPr>
        <w:t>Os produtos deverão ser entregues em perfeitas condições, sem violações, garantindo sua integridade durante o transporte, armazenamento e uso, bem como em conformidade com parâmetros técnicos padronizados do fabricante.</w:t>
      </w:r>
    </w:p>
    <w:p>
      <w:pPr>
        <w:pStyle w:val="Normal"/>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w:t>
      </w:r>
      <w:r>
        <w:rPr>
          <w:rFonts w:eastAsia="Arial" w:cs="Arial" w:ascii="Arial" w:hAnsi="Arial"/>
          <w:b/>
          <w:color w:val="000000"/>
        </w:rPr>
        <w:t>:</w:t>
      </w:r>
    </w:p>
    <w:p>
      <w:pPr>
        <w:pStyle w:val="Normal"/>
        <w:numPr>
          <w:ilvl w:val="0"/>
          <w:numId w:val="4"/>
        </w:numPr>
        <w:tabs>
          <w:tab w:val="clear" w:pos="709"/>
          <w:tab w:val="left" w:pos="284" w:leader="none"/>
        </w:tabs>
        <w:ind w:end="-1"/>
        <w:jc w:val="both"/>
        <w:rPr>
          <w:rFonts w:ascii="Arial" w:hAnsi="Arial" w:cs="Arial"/>
        </w:rPr>
      </w:pPr>
      <w:r>
        <w:rPr>
          <w:rFonts w:cs="Arial" w:ascii="Arial" w:hAnsi="Arial"/>
        </w:rPr>
        <w:t>A garantia do produto deverá ser de no mínimo 90 (noventa) dias, contados da data de recebimento.</w:t>
      </w:r>
    </w:p>
    <w:p>
      <w:pPr>
        <w:pStyle w:val="Normal"/>
        <w:numPr>
          <w:ilvl w:val="0"/>
          <w:numId w:val="4"/>
        </w:numPr>
        <w:tabs>
          <w:tab w:val="clear" w:pos="709"/>
          <w:tab w:val="left" w:pos="284" w:leader="none"/>
        </w:tabs>
        <w:ind w:end="-1"/>
        <w:jc w:val="both"/>
        <w:rPr>
          <w:rFonts w:ascii="Arial" w:hAnsi="Arial" w:cs="Arial"/>
        </w:rPr>
      </w:pPr>
      <w:r>
        <w:rPr>
          <w:rFonts w:cs="Arial" w:ascii="Arial" w:hAnsi="Arial"/>
        </w:rPr>
        <w:t>Durante a vigência da garantia, a contratada deverá substituir, sem nenhum ônus adicional, produtos defeituosos ou com desgaste anormal, no prazo máximo de 20 (vinte) dias úteis, a contar da notificação.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19"/>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20"/>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5"/>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5"/>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5"/>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5"/>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5"/>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 w:val="left" w:pos="426" w:leader="none"/>
        </w:tabs>
        <w:jc w:val="both"/>
        <w:rPr>
          <w:rFonts w:ascii="Arial" w:hAnsi="Arial" w:cs="Arial"/>
        </w:rPr>
      </w:pPr>
      <w:r>
        <w:rPr>
          <w:rFonts w:cs="Arial" w:ascii="Arial" w:hAnsi="Arial"/>
          <w:color w:val="000000"/>
        </w:rPr>
      </w:r>
    </w:p>
    <w:p>
      <w:pPr>
        <w:pStyle w:val="Normal"/>
        <w:tabs>
          <w:tab w:val="clear" w:pos="709"/>
          <w:tab w:val="left" w:pos="284" w:leader="none"/>
          <w:tab w:val="left" w:pos="426" w:leader="none"/>
        </w:tabs>
        <w:jc w:val="both"/>
        <w:rPr>
          <w:rFonts w:ascii="Arial" w:hAnsi="Arial" w:cs="Arial"/>
        </w:rPr>
      </w:pPr>
      <w:r>
        <w:rPr>
          <w:rFonts w:cs="Arial" w:ascii="Arial" w:hAnsi="Arial"/>
          <w:color w:val="000000"/>
        </w:rPr>
      </w:r>
    </w:p>
    <w:p>
      <w:pPr>
        <w:pStyle w:val="Normal"/>
        <w:numPr>
          <w:ilvl w:val="3"/>
          <w:numId w:val="5"/>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5"/>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highlight w:val="yellow"/>
        </w:rPr>
      </w:pPr>
      <w:r>
        <w:rPr>
          <w:rFonts w:cs="Arial" w:ascii="Arial" w:hAnsi="Arial"/>
          <w:highlight w:val="yellow"/>
        </w:rPr>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22 de julho de 2026</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b/>
          <w:bCs/>
        </w:rPr>
      </w:pPr>
      <w:r>
        <w:rPr>
          <w:rFonts w:cs="Arial" w:ascii="Arial" w:hAnsi="Arial"/>
          <w:b/>
          <w:bCs/>
        </w:rPr>
        <w:t>Priscila Camargo Rodrigues Grecchi</w:t>
      </w:r>
    </w:p>
    <w:p>
      <w:pPr>
        <w:pStyle w:val="Normal"/>
        <w:ind w:firstLine="561"/>
        <w:jc w:val="center"/>
        <w:rPr>
          <w:rFonts w:ascii="Arial" w:hAnsi="Arial" w:cs="Arial"/>
          <w:b/>
          <w:bCs/>
        </w:rPr>
      </w:pPr>
      <w:r>
        <w:rPr>
          <w:rFonts w:cs="Arial" w:ascii="Arial" w:hAnsi="Arial"/>
          <w:b/>
          <w:bCs/>
        </w:rPr>
        <w:t>Chefe da Divisão</w:t>
      </w:r>
    </w:p>
    <w:p>
      <w:pPr>
        <w:pStyle w:val="Normal"/>
        <w:jc w:val="center"/>
        <w:rPr>
          <w:rFonts w:ascii="Arial" w:hAnsi="Arial" w:cs="Arial"/>
          <w:b/>
          <w:bCs/>
        </w:rPr>
      </w:pPr>
      <w:r>
        <w:rPr>
          <w:rFonts w:cs="Arial" w:ascii="Arial" w:hAnsi="Arial"/>
          <w:b/>
          <w:bCs/>
        </w:rPr>
      </w:r>
    </w:p>
    <w:p>
      <w:pPr>
        <w:pStyle w:val="BodyText"/>
        <w:ind w:start="3969"/>
        <w:jc w:val="center"/>
        <w:rPr>
          <w:sz w:val="20"/>
          <w:szCs w:val="20"/>
          <w:highlight w:val="yellow"/>
        </w:rPr>
      </w:pPr>
      <w:r>
        <w:rPr>
          <w:sz w:val="20"/>
          <w:szCs w:val="20"/>
          <w:highlight w:val="yellow"/>
        </w:rPr>
      </w:r>
      <w:r>
        <w:br w:type="page"/>
      </w:r>
    </w:p>
    <w:p>
      <w:pPr>
        <w:pStyle w:val="Heading2"/>
        <w:numPr>
          <w:ilvl w:val="1"/>
          <w:numId w:val="1"/>
        </w:numPr>
        <w:spacing w:before="0" w:after="0"/>
        <w:ind w:hanging="0" w:start="0"/>
        <w:rPr/>
      </w:pPr>
      <w:r>
        <w:rPr/>
        <w:t>REGULAMENTO GERAL</w:t>
      </w:r>
    </w:p>
    <w:p>
      <w:pPr>
        <w:pStyle w:val="BodyText"/>
        <w:jc w:val="center"/>
        <w:rPr>
          <w:sz w:val="20"/>
          <w:szCs w:val="20"/>
          <w:lang w:val="pt-BR"/>
        </w:rPr>
      </w:pPr>
      <w:r>
        <w:rPr>
          <w:sz w:val="20"/>
          <w:szCs w:val="20"/>
          <w:lang w:val="pt-BR"/>
        </w:rPr>
      </w:r>
    </w:p>
    <w:p>
      <w:pPr>
        <w:pStyle w:val="Normal"/>
        <w:jc w:val="center"/>
        <w:rPr/>
      </w:pPr>
      <w:r>
        <w:rPr>
          <w:rFonts w:cs="Arial" w:ascii="Arial" w:hAnsi="Arial"/>
        </w:rPr>
        <w:t>Pregão Eletrônico – Registro de Preços – Aquisições</w:t>
      </w:r>
    </w:p>
    <w:p>
      <w:pPr>
        <w:pStyle w:val="Normal"/>
        <w:jc w:val="center"/>
        <w:rPr/>
      </w:pPr>
      <w:r>
        <w:rPr>
          <w:rFonts w:cs="Arial" w:ascii="Arial" w:hAnsi="Arial"/>
        </w:rPr>
        <w:tab/>
      </w:r>
    </w:p>
    <w:p>
      <w:pPr>
        <w:pStyle w:val="Normal"/>
        <w:ind w:firstLine="284"/>
        <w:jc w:val="both"/>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5.3.6. </w:t>
      </w: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pPr>
      <w:r>
        <w:rPr>
          <w:rFonts w:cs="Arial" w:ascii="Arial" w:hAnsi="Arial"/>
        </w:rPr>
        <w:tab/>
      </w:r>
    </w:p>
    <w:p>
      <w:pPr>
        <w:pStyle w:val="Normal"/>
        <w:tabs>
          <w:tab w:val="clear" w:pos="709"/>
          <w:tab w:val="left" w:pos="284" w:leader="none"/>
        </w:tabs>
        <w:ind w:firstLine="284"/>
        <w:jc w:val="both"/>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ind w:firstLine="284" w:star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true"/>
        <w:spacing w:lineRule="auto" w:line="240"/>
        <w:ind w:firstLine="284"/>
        <w:textAlignment w:val="auto"/>
        <w:rPr>
          <w:sz w:val="20"/>
          <w:szCs w:val="20"/>
          <w:lang w:val="pt-BR"/>
        </w:rPr>
      </w:pPr>
      <w:r>
        <w:rPr>
          <w:sz w:val="20"/>
          <w:szCs w:val="20"/>
          <w:lang w:val="pt-BR"/>
        </w:rPr>
      </w:r>
    </w:p>
    <w:p>
      <w:pPr>
        <w:pStyle w:val="BodyTextIndent"/>
        <w:overflowPunct w:val="true"/>
        <w:spacing w:lineRule="auto" w:line="240"/>
        <w:ind w:firstLine="284"/>
        <w:textAlignment w:val="auto"/>
        <w:rPr>
          <w:sz w:val="20"/>
          <w:szCs w:val="20"/>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color w:themeColor="text1" w:val="000000"/>
          <w:sz w:val="20"/>
          <w:szCs w:val="20"/>
        </w:rPr>
        <w:t>7.4.</w:t>
      </w:r>
      <w:r>
        <w:rPr>
          <w:color w:themeColor="text1" w:val="000000"/>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pPr>
      <w:r>
        <w:rPr>
          <w:rFonts w:cs="Arial" w:ascii="Arial" w:hAnsi="Arial"/>
          <w:b/>
        </w:rPr>
        <w:t>8.8.2. A proposta readequada deverá seguir o modelo disponível no Anexo IV deste edital.</w:t>
      </w:r>
    </w:p>
    <w:p>
      <w:pPr>
        <w:pStyle w:val="Normal"/>
        <w:numPr>
          <w:ilvl w:val="0"/>
          <w:numId w:val="1"/>
        </w:numPr>
        <w:ind w:firstLine="284" w:start="0"/>
        <w:jc w:val="both"/>
        <w:rPr>
          <w:rFonts w:ascii="Arial" w:hAnsi="Arial" w:cs="Arial"/>
          <w:b/>
        </w:rPr>
      </w:pPr>
      <w:r>
        <w:rPr>
          <w:rFonts w:cs="Arial" w:ascii="Arial" w:hAnsi="Arial"/>
          <w:b/>
        </w:rPr>
      </w:r>
    </w:p>
    <w:p>
      <w:pPr>
        <w:pStyle w:val="Normal"/>
        <w:ind w:firstLine="284"/>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21"/>
        </w:numPr>
        <w:ind w:firstLine="284" w:start="0"/>
        <w:rPr>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pPr>
      <w:r>
        <w:rPr>
          <w:rFonts w:cs="Arial" w:ascii="Arial" w:hAnsi="Arial"/>
          <w:b/>
          <w:bCs/>
        </w:rPr>
        <w:t xml:space="preserve">9.1. </w:t>
      </w:r>
      <w:r>
        <w:rPr>
          <w:rFonts w:cs="Arial" w:ascii="Arial" w:hAnsi="Arial"/>
        </w:rPr>
        <w:t xml:space="preserve">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pPr>
      <w:r>
        <w:rPr>
          <w:rFonts w:eastAsia="Arial" w:cs="Arial" w:ascii="Arial" w:hAnsi="Arial"/>
        </w:rPr>
        <w:t xml:space="preserve"> </w:t>
      </w:r>
    </w:p>
    <w:p>
      <w:pPr>
        <w:pStyle w:val="BodyTextIndent"/>
        <w:ind w:firstLine="284"/>
        <w:rPr>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rPr>
      </w:pPr>
      <w:r>
        <w:rPr>
          <w:rFonts w:cs="Arial" w:ascii="Arial" w:hAnsi="Arial"/>
          <w:color w:val="00B050"/>
        </w:rPr>
      </w:r>
    </w:p>
    <w:p>
      <w:pPr>
        <w:pStyle w:val="Heading8"/>
        <w:numPr>
          <w:ilvl w:val="7"/>
          <w:numId w:val="1"/>
        </w:numPr>
        <w:ind w:firstLine="284" w:start="0"/>
        <w:rPr>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ind w:firstLine="284" w:start="0"/>
        <w:jc w:val="both"/>
        <w:rPr>
          <w:rFonts w:ascii="Arial" w:hAnsi="Arial" w:cs="Arial"/>
        </w:rPr>
      </w:pPr>
      <w:r>
        <w:rPr>
          <w:rFonts w:cs="Arial" w:ascii="Arial" w:hAnsi="Arial"/>
        </w:rPr>
      </w:r>
    </w:p>
    <w:p>
      <w:pPr>
        <w:pStyle w:val="Normal"/>
        <w:numPr>
          <w:ilvl w:val="0"/>
          <w:numId w:val="1"/>
        </w:numPr>
        <w:ind w:firstLine="284" w:start="0"/>
        <w:jc w:val="both"/>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ind w:firstLine="284" w:start="0"/>
        <w:jc w:val="both"/>
        <w:rPr>
          <w:rFonts w:ascii="Arial" w:hAnsi="Arial" w:cs="Arial"/>
        </w:rPr>
      </w:pPr>
      <w:r>
        <w:rPr>
          <w:rFonts w:cs="Arial" w:ascii="Arial" w:hAnsi="Arial"/>
        </w:rPr>
      </w:r>
    </w:p>
    <w:p>
      <w:pPr>
        <w:pStyle w:val="BodyText"/>
        <w:numPr>
          <w:ilvl w:val="0"/>
          <w:numId w:val="1"/>
        </w:numPr>
        <w:ind w:firstLine="284" w:star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1"/>
        </w:numPr>
        <w:tabs>
          <w:tab w:val="clear" w:pos="709"/>
          <w:tab w:val="left" w:pos="284" w:leader="none"/>
        </w:tabs>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Agente de Contratação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20"/>
          <w:szCs w:val="20"/>
        </w:rPr>
      </w:pPr>
      <w:r>
        <w:rPr>
          <w:b/>
          <w:bCs/>
          <w:sz w:val="20"/>
          <w:szCs w:val="20"/>
          <w:lang w:val="pt-BR"/>
        </w:rPr>
        <w:t>1</w:t>
      </w:r>
      <w:r>
        <w:rPr>
          <w:b/>
          <w:bCs/>
          <w:sz w:val="20"/>
          <w:szCs w:val="20"/>
        </w:rPr>
        <w:t>0.</w:t>
      </w:r>
      <w:r>
        <w:rPr>
          <w:b/>
          <w:bCs/>
          <w:sz w:val="20"/>
          <w:szCs w:val="20"/>
          <w:lang w:val="pt-BR"/>
        </w:rPr>
        <w:t>6</w:t>
      </w:r>
      <w:r>
        <w:rPr>
          <w:b/>
          <w:bCs/>
          <w:sz w:val="20"/>
          <w:szCs w:val="20"/>
        </w:rPr>
        <w:t xml:space="preserve">.1. </w:t>
      </w:r>
      <w:r>
        <w:rPr>
          <w:sz w:val="20"/>
          <w:szCs w:val="20"/>
        </w:rPr>
        <w:t>Não será admitida a previsão de preços diferentes em razão de local de entrega ou de acondicionamento, tamanho de lote ou qualquer outro motivo</w:t>
      </w:r>
      <w:r>
        <w:rPr>
          <w:sz w:val="20"/>
          <w:szCs w:val="20"/>
          <w:lang w:val="pt-BR"/>
        </w:rPr>
        <w:t>.</w:t>
      </w:r>
    </w:p>
    <w:p>
      <w:pPr>
        <w:pStyle w:val="BodyText"/>
        <w:numPr>
          <w:ilvl w:val="0"/>
          <w:numId w:val="1"/>
        </w:numPr>
        <w:ind w:firstLine="284" w:start="0"/>
        <w:rPr>
          <w:sz w:val="20"/>
          <w:szCs w:val="20"/>
        </w:rPr>
      </w:pPr>
      <w:r>
        <w:rPr>
          <w:sz w:val="20"/>
          <w:szCs w:val="20"/>
        </w:rPr>
      </w:r>
    </w:p>
    <w:p>
      <w:pPr>
        <w:pStyle w:val="BodyText"/>
        <w:numPr>
          <w:ilvl w:val="0"/>
          <w:numId w:val="1"/>
        </w:numPr>
        <w:tabs>
          <w:tab w:val="clear" w:pos="709"/>
          <w:tab w:val="left" w:pos="284" w:leader="none"/>
        </w:tabs>
        <w:ind w:firstLine="284" w:start="0"/>
        <w:rPr>
          <w:sz w:val="20"/>
          <w:szCs w:val="20"/>
        </w:rPr>
      </w:pPr>
      <w:r>
        <w:rPr>
          <w:b/>
          <w:bCs/>
          <w:sz w:val="20"/>
          <w:szCs w:val="20"/>
          <w:lang w:val="pt-BR"/>
        </w:rPr>
        <w:t>10.7.</w:t>
      </w:r>
      <w:r>
        <w:rPr>
          <w:sz w:val="20"/>
          <w:szCs w:val="20"/>
          <w:lang w:val="pt-BR"/>
        </w:rPr>
        <w:t xml:space="preserve"> Quando a proposta ou o lance de menor valor não for aceitável, ou se a licitante não atender às exigências e condições para sua habilitação, o Agente de Contratação examinará a proposta ou o lance subsequente, verificando a sua compatibilidade e habilitação, na ordem de classificação e assim sucessivamente, até a apuração de proposta ou lance que atenda o Edital. Também nessa etapa o Agente de Contratação poderá negociar com a licitante para que seja obtido menor preço.</w:t>
      </w:r>
    </w:p>
    <w:p>
      <w:pPr>
        <w:pStyle w:val="BodyText"/>
        <w:ind w:firstLine="284"/>
        <w:rPr>
          <w:sz w:val="20"/>
          <w:szCs w:val="20"/>
        </w:rPr>
      </w:pPr>
      <w:r>
        <w:rPr>
          <w:sz w:val="20"/>
          <w:szCs w:val="20"/>
        </w:rPr>
      </w:r>
    </w:p>
    <w:p>
      <w:pPr>
        <w:pStyle w:val="Normal"/>
        <w:ind w:firstLine="284"/>
        <w:jc w:val="both"/>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pPr>
      <w:r>
        <w:rPr>
          <w:rFonts w:cs="Arial" w:ascii="Arial" w:hAnsi="Arial"/>
          <w:b/>
        </w:rPr>
        <w:t>I</w:t>
      </w:r>
      <w:r>
        <w:rPr>
          <w:rFonts w:cs="Arial" w:ascii="Arial" w:hAnsi="Arial"/>
        </w:rPr>
        <w:t xml:space="preserve"> – contiver vícios insanáveis;</w:t>
      </w:r>
    </w:p>
    <w:p>
      <w:pPr>
        <w:pStyle w:val="Normal"/>
        <w:ind w:firstLine="284"/>
        <w:jc w:val="both"/>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pPr>
      <w:r>
        <w:rPr>
          <w:rFonts w:cs="Arial" w:ascii="Arial" w:hAnsi="Arial"/>
          <w:b/>
          <w:bCs/>
        </w:rPr>
        <w:t xml:space="preserve">V – </w:t>
      </w:r>
      <w:r>
        <w:rPr>
          <w:rFonts w:cs="Arial" w:ascii="Arial" w:hAnsi="Arial"/>
        </w:rPr>
        <w:t>apresentar desconformidade com quaisquer outras exigências do edital ou seus anexos, desde que insanável.</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1" w:name="_Ref114668085"/>
      <w:r>
        <w:rPr>
          <w:rFonts w:cs="Arial" w:ascii="Arial" w:hAnsi="Arial"/>
        </w:rPr>
        <w:t>deixar de entregar a documentação exigida para o certame ou não entregar qualquer documento que tenha sido solicitado pelo/a pregoeiro/a durante o certame;</w:t>
      </w:r>
      <w:bookmarkEnd w:id="11"/>
    </w:p>
    <w:p>
      <w:pPr>
        <w:pStyle w:val="Normal"/>
        <w:ind w:firstLine="284"/>
        <w:jc w:val="both"/>
        <w:rPr>
          <w:rFonts w:ascii="Arial" w:hAnsi="Arial" w:cs="Arial"/>
        </w:rPr>
      </w:pPr>
      <w:r>
        <w:rPr>
          <w:rFonts w:cs="Arial" w:ascii="Arial" w:hAnsi="Arial"/>
        </w:rPr>
      </w:r>
      <w:bookmarkStart w:id="12"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12"/>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13"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1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14"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14"/>
    </w:p>
    <w:p>
      <w:pPr>
        <w:pStyle w:val="Normal"/>
        <w:ind w:firstLine="284"/>
        <w:jc w:val="both"/>
        <w:rPr>
          <w:rFonts w:ascii="Arial" w:hAnsi="Arial" w:cs="Arial"/>
        </w:rPr>
      </w:pPr>
      <w:r>
        <w:rPr>
          <w:rFonts w:cs="Arial" w:ascii="Arial" w:hAnsi="Arial"/>
        </w:rPr>
      </w:r>
      <w:bookmarkStart w:id="15" w:name="_Ref114668245"/>
    </w:p>
    <w:p>
      <w:pPr>
        <w:pStyle w:val="Normal"/>
        <w:ind w:firstLine="284"/>
        <w:jc w:val="both"/>
        <w:rPr>
          <w:rFonts w:ascii="Arial" w:hAnsi="Arial" w:cs="Arial"/>
        </w:rPr>
      </w:pPr>
      <w:r>
        <w:rPr>
          <w:rFonts w:cs="Arial" w:ascii="Arial" w:hAnsi="Arial"/>
          <w:b/>
          <w:bCs/>
        </w:rPr>
        <w:t xml:space="preserve">13.1.5. </w:t>
      </w:r>
      <w:r>
        <w:rPr>
          <w:rFonts w:cs="Arial" w:ascii="Arial" w:hAnsi="Arial"/>
        </w:rPr>
        <w:t>fraudar a licitação</w:t>
      </w:r>
      <w:bookmarkStart w:id="16" w:name="_Hlk114652595"/>
      <w:bookmarkEnd w:id="15"/>
    </w:p>
    <w:p>
      <w:pPr>
        <w:pStyle w:val="Normal"/>
        <w:ind w:firstLine="284"/>
        <w:jc w:val="both"/>
        <w:rPr>
          <w:rFonts w:ascii="Arial" w:hAnsi="Arial" w:cs="Arial"/>
        </w:rPr>
      </w:pPr>
      <w:r>
        <w:rPr>
          <w:rFonts w:cs="Arial" w:ascii="Arial" w:hAnsi="Arial"/>
        </w:rPr>
      </w:r>
      <w:bookmarkStart w:id="17"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8"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8"/>
    </w:p>
    <w:p>
      <w:pPr>
        <w:pStyle w:val="Normal"/>
        <w:ind w:firstLine="284"/>
        <w:jc w:val="both"/>
        <w:rPr>
          <w:rFonts w:ascii="Arial" w:hAnsi="Arial" w:cs="Arial"/>
        </w:rPr>
      </w:pPr>
      <w:r>
        <w:rPr>
          <w:rFonts w:cs="Arial" w:ascii="Arial" w:hAnsi="Arial"/>
        </w:rPr>
      </w:r>
      <w:bookmarkStart w:id="19"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9"/>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bookmarkEnd w:id="16"/>
      <w:bookmarkEnd w:id="17"/>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sua assinatura, podendo ser prorrogado, por igual período, renovadas as quantidades, desde que comprovado o preço vantajoso, conforme previsto no artigo 84 da Lei 14.133, de 2021.por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star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567"/>
        <w:gridCol w:w="848"/>
        <w:gridCol w:w="850"/>
        <w:gridCol w:w="4537"/>
        <w:gridCol w:w="1415"/>
        <w:gridCol w:w="1703"/>
      </w:tblGrid>
      <w:tr>
        <w:trPr>
          <w:trHeight w:val="283" w:hRule="atLeast"/>
        </w:trPr>
        <w:tc>
          <w:tcPr>
            <w:tcW w:w="567"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Item</w:t>
            </w:r>
          </w:p>
        </w:tc>
        <w:tc>
          <w:tcPr>
            <w:tcW w:w="848"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star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Unid.</w:t>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rPr>
            </w:pPr>
            <w:r>
              <w:rPr>
                <w:rFonts w:cs="Arial" w:ascii="Arial" w:hAnsi="Arial"/>
                <w:b/>
              </w:rPr>
              <w:t>Descritivo</w:t>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7"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true"/>
        <w:spacing w:lineRule="auto" w:line="240"/>
        <w:rPr>
          <w:b/>
          <w:bCs/>
          <w:sz w:val="20"/>
          <w:szCs w:val="20"/>
        </w:rPr>
      </w:pPr>
      <w:r>
        <w:rPr>
          <w:b/>
          <w:bCs/>
          <w:sz w:val="20"/>
          <w:szCs w:val="20"/>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start"/>
        <w:tblInd w:w="1" w:type="dxa"/>
        <w:tblLayout w:type="fixed"/>
        <w:tblCellMar>
          <w:top w:w="0" w:type="dxa"/>
          <w:start w:w="2" w:type="dxa"/>
          <w:bottom w:w="0" w:type="dxa"/>
          <w:end w:w="0" w:type="dxa"/>
        </w:tblCellMar>
        <w:tblLook w:val="04a0" w:firstRow="1" w:noVBand="1" w:lastRow="0" w:firstColumn="1" w:lastColumn="0" w:noHBand="0"/>
      </w:tblPr>
      <w:tblGrid>
        <w:gridCol w:w="765"/>
        <w:gridCol w:w="889"/>
        <w:gridCol w:w="1078"/>
        <w:gridCol w:w="4938"/>
        <w:gridCol w:w="2163"/>
      </w:tblGrid>
      <w:tr>
        <w:trPr/>
        <w:tc>
          <w:tcPr>
            <w:tcW w:w="765" w:type="dxa"/>
            <w:tcBorders>
              <w:top w:val="single" w:sz="2" w:space="0" w:color="000000"/>
              <w:star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89" w:type="dxa"/>
            <w:tcBorders>
              <w:top w:val="single" w:sz="2" w:space="0" w:color="000000"/>
              <w:star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8" w:type="dxa"/>
            <w:tcBorders>
              <w:top w:val="single" w:sz="2" w:space="0" w:color="000000"/>
              <w:star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38" w:type="dxa"/>
            <w:tcBorders>
              <w:top w:val="single" w:sz="2" w:space="0" w:color="000000"/>
              <w:start w:val="single" w:sz="2" w:space="0" w:color="000000"/>
              <w:bottom w:val="single" w:sz="2" w:space="0" w:color="000000"/>
              <w:end w:val="single" w:sz="4"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63" w:type="dxa"/>
            <w:tcBorders>
              <w:top w:val="single" w:sz="4" w:space="0" w:color="000000"/>
              <w:start w:val="single" w:sz="4" w:space="0" w:color="000000"/>
              <w:bottom w:val="single" w:sz="4" w:space="0" w:color="000000"/>
              <w:end w:val="single" w:sz="4" w:space="0" w:color="000000"/>
            </w:tcBorders>
            <w:shd w:color="auto" w:fill="DDDDDD" w:val="clear"/>
          </w:tcPr>
          <w:p>
            <w:pPr>
              <w:pStyle w:val="Contedodatabela"/>
              <w:jc w:val="center"/>
              <w:rPr>
                <w:rFonts w:ascii="Arial" w:hAnsi="Arial" w:cs="Arial"/>
              </w:rPr>
            </w:pPr>
            <w:r>
              <w:rPr>
                <w:rFonts w:cs="Arial" w:ascii="Arial" w:hAnsi="Arial"/>
                <w:b/>
              </w:rPr>
              <w:t>Preço unitário</w:t>
            </w:r>
          </w:p>
        </w:tc>
      </w:tr>
      <w:tr>
        <w:trPr/>
        <w:tc>
          <w:tcPr>
            <w:tcW w:w="765" w:type="dxa"/>
            <w:tcBorders>
              <w:start w:val="single" w:sz="2" w:space="0" w:color="000000"/>
              <w:bottom w:val="single" w:sz="2" w:space="0" w:color="000000"/>
            </w:tcBorders>
          </w:tcPr>
          <w:p>
            <w:pPr>
              <w:pStyle w:val="Normal"/>
              <w:snapToGrid w:val="false"/>
              <w:jc w:val="center"/>
              <w:rPr>
                <w:rFonts w:ascii="Arial" w:hAnsi="Arial" w:cs="Arial"/>
              </w:rPr>
            </w:pPr>
            <w:r>
              <w:rPr>
                <w:rFonts w:cs="Arial" w:ascii="Arial" w:hAnsi="Arial"/>
              </w:rPr>
            </w:r>
          </w:p>
        </w:tc>
        <w:tc>
          <w:tcPr>
            <w:tcW w:w="889" w:type="dxa"/>
            <w:tcBorders>
              <w:start w:val="single" w:sz="2" w:space="0" w:color="000000"/>
              <w:bottom w:val="single" w:sz="2" w:space="0" w:color="000000"/>
            </w:tcBorders>
            <w:vAlign w:val="center"/>
          </w:tcPr>
          <w:p>
            <w:pPr>
              <w:pStyle w:val="Normal"/>
              <w:snapToGrid w:val="false"/>
              <w:jc w:val="center"/>
              <w:rPr>
                <w:rFonts w:ascii="Arial" w:hAnsi="Arial" w:cs="Arial"/>
              </w:rPr>
            </w:pPr>
            <w:r>
              <w:rPr>
                <w:rFonts w:cs="Arial" w:ascii="Arial" w:hAnsi="Arial"/>
              </w:rPr>
            </w:r>
          </w:p>
        </w:tc>
        <w:tc>
          <w:tcPr>
            <w:tcW w:w="1078" w:type="dxa"/>
            <w:tcBorders>
              <w:start w:val="single" w:sz="2" w:space="0" w:color="000000"/>
              <w:bottom w:val="single" w:sz="2" w:space="0" w:color="000000"/>
            </w:tcBorders>
            <w:vAlign w:val="center"/>
          </w:tcPr>
          <w:p>
            <w:pPr>
              <w:pStyle w:val="Normal"/>
              <w:snapToGrid w:val="false"/>
              <w:jc w:val="center"/>
              <w:rPr>
                <w:rFonts w:ascii="Arial" w:hAnsi="Arial" w:cs="Arial"/>
              </w:rPr>
            </w:pPr>
            <w:r>
              <w:rPr>
                <w:rFonts w:cs="Arial" w:ascii="Arial" w:hAnsi="Arial"/>
              </w:rPr>
            </w:r>
          </w:p>
        </w:tc>
        <w:tc>
          <w:tcPr>
            <w:tcW w:w="4938" w:type="dxa"/>
            <w:tcBorders>
              <w:start w:val="single" w:sz="2" w:space="0" w:color="000000"/>
              <w:bottom w:val="single" w:sz="2" w:space="0" w:color="000000"/>
              <w:end w:val="single" w:sz="4" w:space="0" w:color="000000"/>
            </w:tcBorders>
            <w:vAlign w:val="center"/>
          </w:tcPr>
          <w:p>
            <w:pPr>
              <w:pStyle w:val="Normal"/>
              <w:snapToGrid w:val="false"/>
              <w:jc w:val="both"/>
              <w:rPr>
                <w:rFonts w:ascii="Arial" w:hAnsi="Arial" w:cs="Arial"/>
                <w:color w:val="000000"/>
              </w:rPr>
            </w:pPr>
            <w:r>
              <w:rPr>
                <w:rFonts w:cs="Arial" w:ascii="Arial" w:hAnsi="Arial"/>
                <w:color w:val="000000"/>
              </w:rPr>
            </w:r>
          </w:p>
        </w:tc>
        <w:tc>
          <w:tcPr>
            <w:tcW w:w="2163" w:type="dxa"/>
            <w:tcBorders>
              <w:top w:val="single" w:sz="4" w:space="0" w:color="000000"/>
              <w:start w:val="single" w:sz="4" w:space="0" w:color="000000"/>
              <w:bottom w:val="single" w:sz="4" w:space="0" w:color="000000"/>
              <w:end w:val="single" w:sz="4" w:space="0" w:color="000000"/>
            </w:tcBorders>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 xml:space="preserve">MINUTA DE CONTRATO </w:t>
      </w:r>
    </w:p>
    <w:p>
      <w:pPr>
        <w:pStyle w:val="Normal"/>
        <w:jc w:val="center"/>
        <w:rPr>
          <w:rFonts w:ascii="Arial" w:hAnsi="Arial" w:cs="Arial"/>
          <w:b/>
          <w:bCs/>
        </w:rPr>
      </w:pPr>
      <w:r>
        <w:rPr>
          <w:rFonts w:cs="Arial" w:ascii="Arial" w:hAnsi="Arial"/>
          <w:color w:val="000000"/>
        </w:rPr>
        <w:t>====================================================================================</w:t>
      </w:r>
    </w:p>
    <w:p>
      <w:pPr>
        <w:pStyle w:val="Normal"/>
        <w:jc w:val="both"/>
        <w:rPr>
          <w:b/>
          <w:sz w:val="24"/>
          <w:szCs w:val="24"/>
          <w:u w:val="single"/>
        </w:rPr>
      </w:pPr>
      <w:r>
        <w:rPr>
          <w:b/>
          <w:sz w:val="24"/>
          <w:szCs w:val="24"/>
          <w:u w:val="single"/>
        </w:rPr>
        <w:t>CONTRATO QUE ENTRE SI FAZEM A PREFEITURA DO MUNICÍPIO DE PIRACICABA E ................................................, PARA O FORNECIMENTO DE FERRAMENTAS MANUAIS.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2026/056742.</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Ata de Registro de Preços nº .../2026 (válida até ... de ................ de 202..).</w:t>
      </w:r>
    </w:p>
    <w:p>
      <w:pPr>
        <w:pStyle w:val="Normal"/>
        <w:jc w:val="both"/>
        <w:rPr>
          <w:sz w:val="24"/>
          <w:szCs w:val="24"/>
        </w:rPr>
      </w:pPr>
      <w:r>
        <w:rPr>
          <w:b/>
          <w:sz w:val="24"/>
          <w:szCs w:val="24"/>
        </w:rPr>
        <w:t>Contrato n.º …./2026.</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 Sr. </w:t>
      </w:r>
      <w:r>
        <w:rPr>
          <w:b/>
          <w:sz w:val="24"/>
          <w:szCs w:val="24"/>
        </w:rPr>
        <w:t>.............</w:t>
      </w:r>
      <w:r>
        <w:rPr>
          <w:sz w:val="24"/>
          <w:szCs w:val="24"/>
          <w:shd w:fill="FFFFFF" w:val="clear"/>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pPr>
      <w:r>
        <w:rPr>
          <w:b/>
        </w:rPr>
        <w:t>2.1. A CONTRATADA se obriga a entrega parcelada dos itens .... de Ferramentas Manuais, conforme descrição detalhada constante do Edital da Ata de Registro de Preços nº .../2026,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 e correspondentes.</w:t>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e Zeladoria,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Obras e Zeladoria são os órgãos credenciados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b/>
          <w:sz w:val="24"/>
          <w:szCs w:val="24"/>
        </w:rPr>
      </w:pPr>
      <w:r>
        <w:rPr>
          <w:b/>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12 (doze) meses, a contar da ordem de fornecimento,  podendo  ser  prorrogado,  por  igual  período, renovadas  as  quantidades,  desde  que  comprovado  o  preço  vantajoso,  conforme  previsto  no  artigo  84  da  Lei 14.133, de 2021.</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4a0" w:firstRow="1" w:noVBand="1" w:lastRow="0" w:firstColumn="1"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15 (quinze) dias úteis.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9922"/>
      </w:tblGrid>
      <w:tr>
        <w:trPr/>
        <w:tc>
          <w:tcPr>
            <w:tcW w:w="9922" w:type="dxa"/>
            <w:tcBorders>
              <w:top w:val="single" w:sz="4" w:space="0" w:color="000000"/>
              <w:start w:val="single" w:sz="4" w:space="0" w:color="000000"/>
              <w:bottom w:val="single" w:sz="4" w:space="0" w:color="000000"/>
              <w:end w:val="single" w:sz="4" w:space="0" w:color="000000"/>
            </w:tcBorders>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800"/>
        <w:gridCol w:w="321"/>
        <w:gridCol w:w="4801"/>
      </w:tblGrid>
      <w:tr>
        <w:trPr/>
        <w:tc>
          <w:tcPr>
            <w:tcW w:w="4800" w:type="dxa"/>
            <w:tcBorders>
              <w:top w:val="single" w:sz="4" w:space="0" w:color="000000"/>
              <w:start w:val="single" w:sz="4" w:space="0" w:color="000000"/>
              <w:bottom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bookmarkStart w:id="20" w:name="_GoBack"/>
            <w:bookmarkEnd w:id="20"/>
          </w:p>
          <w:p>
            <w:pPr>
              <w:pStyle w:val="Normal"/>
              <w:rPr>
                <w:b/>
                <w:sz w:val="24"/>
                <w:szCs w:val="24"/>
              </w:rPr>
            </w:pPr>
            <w:r>
              <w:rPr>
                <w:b/>
                <w:sz w:val="24"/>
                <w:szCs w:val="24"/>
              </w:rPr>
            </w:r>
          </w:p>
          <w:p>
            <w:pPr>
              <w:pStyle w:val="Normal"/>
              <w:jc w:val="center"/>
              <w:rPr>
                <w:sz w:val="24"/>
                <w:szCs w:val="24"/>
              </w:rPr>
            </w:pPr>
            <w:r>
              <w:rPr>
                <w:b/>
                <w:sz w:val="24"/>
                <w:szCs w:val="24"/>
              </w:rPr>
              <w:t>::: AUTORIDADE :::</w:t>
            </w:r>
          </w:p>
          <w:p>
            <w:pPr>
              <w:pStyle w:val="Normal"/>
              <w:jc w:val="center"/>
              <w:rPr>
                <w:sz w:val="24"/>
                <w:szCs w:val="24"/>
              </w:rPr>
            </w:pPr>
            <w:r>
              <w:rPr>
                <w:b/>
                <w:sz w:val="24"/>
                <w:szCs w:val="24"/>
              </w:rPr>
              <w:t>Secretário(a) Municipal de ....</w:t>
            </w:r>
          </w:p>
        </w:tc>
        <w:tc>
          <w:tcPr>
            <w:tcW w:w="321" w:type="dxa"/>
            <w:tcBorders>
              <w:start w:val="single" w:sz="4" w:space="0" w:color="000000"/>
            </w:tcBorders>
          </w:tcPr>
          <w:p>
            <w:pPr>
              <w:pStyle w:val="Normal"/>
              <w:snapToGrid w:val="false"/>
              <w:jc w:val="both"/>
              <w:rPr>
                <w:sz w:val="24"/>
                <w:szCs w:val="24"/>
              </w:rPr>
            </w:pPr>
            <w:r>
              <w:rPr>
                <w:sz w:val="24"/>
                <w:szCs w:val="24"/>
              </w:rPr>
            </w:r>
          </w:p>
        </w:tc>
        <w:tc>
          <w:tcPr>
            <w:tcW w:w="4801" w:type="dxa"/>
            <w:tcBorders>
              <w:top w:val="single" w:sz="4" w:space="0" w:color="000000"/>
              <w:start w:val="single" w:sz="4" w:space="0" w:color="000000"/>
              <w:bottom w:val="single" w:sz="4" w:space="0" w:color="000000"/>
              <w:end w:val="single" w:sz="4" w:space="0" w:color="000000"/>
            </w:tcBorders>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start"/>
        <w:tblInd w:w="103" w:type="dxa"/>
        <w:tblLayout w:type="fixed"/>
        <w:tblCellMar>
          <w:top w:w="0" w:type="dxa"/>
          <w:start w:w="108" w:type="dxa"/>
          <w:bottom w:w="0" w:type="dxa"/>
          <w:end w:w="108" w:type="dxa"/>
        </w:tblCellMar>
        <w:tblLook w:val="04a0" w:firstRow="1" w:noVBand="1" w:lastRow="0" w:firstColumn="1" w:lastColumn="0" w:noHBand="0"/>
      </w:tblPr>
      <w:tblGrid>
        <w:gridCol w:w="4801"/>
        <w:gridCol w:w="320"/>
        <w:gridCol w:w="4801"/>
      </w:tblGrid>
      <w:tr>
        <w:trPr>
          <w:trHeight w:val="1089" w:hRule="atLeast"/>
        </w:trPr>
        <w:tc>
          <w:tcPr>
            <w:tcW w:w="4801" w:type="dxa"/>
            <w:tcBorders>
              <w:top w:val="single" w:sz="4" w:space="0" w:color="000000"/>
              <w:start w:val="single" w:sz="4" w:space="0" w:color="000000"/>
              <w:bottom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0" w:type="dxa"/>
            <w:tcBorders>
              <w:start w:val="single" w:sz="4" w:space="0" w:color="000000"/>
            </w:tcBorders>
          </w:tcPr>
          <w:p>
            <w:pPr>
              <w:pStyle w:val="Normal"/>
              <w:snapToGrid w:val="false"/>
              <w:jc w:val="both"/>
              <w:rPr>
                <w:b/>
                <w:sz w:val="24"/>
                <w:szCs w:val="24"/>
              </w:rPr>
            </w:pPr>
            <w:r>
              <w:rPr>
                <w:b/>
                <w:sz w:val="24"/>
                <w:szCs w:val="24"/>
              </w:rPr>
            </w:r>
          </w:p>
        </w:tc>
        <w:tc>
          <w:tcPr>
            <w:tcW w:w="4801" w:type="dxa"/>
            <w:tcBorders>
              <w:top w:val="single" w:sz="4" w:space="0" w:color="000000"/>
              <w:start w:val="single" w:sz="4" w:space="0" w:color="000000"/>
              <w:bottom w:val="single" w:sz="4" w:space="0" w:color="000000"/>
              <w:end w:val="single" w:sz="4" w:space="0" w:color="000000"/>
            </w:tcBorders>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jc w:val="both"/>
        <w:rPr>
          <w:rFonts w:ascii="Arial" w:hAnsi="Arial" w:cs="Arial"/>
        </w:rPr>
      </w:pPr>
      <w:r>
        <w:rPr>
          <w:rFonts w:cs="Arial" w:ascii="Arial" w:hAnsi="Arial"/>
        </w:rPr>
      </w:r>
      <w:bookmarkStart w:id="21" w:name="art2§1"/>
      <w:bookmarkStart w:id="22" w:name="art1p"/>
      <w:bookmarkEnd w:id="21"/>
      <w:bookmarkEnd w:id="22"/>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Courier New">
    <w:charset w:val="00" w:characterSet="windows-1252"/>
    <w:family w:val="roman"/>
    <w:pitch w:val="variable"/>
  </w:font>
  <w:font w:name="Wingdings">
    <w:charset w:val="02"/>
    <w:family w:val="roman"/>
    <w:pitch w:val="variable"/>
  </w:font>
  <w:font w:name="Calibri">
    <w:charset w:val="00" w:characterSet="windows-1252"/>
    <w:family w:val="swiss"/>
    <w:pitch w:val="variable"/>
  </w:font>
  <w:font w:name="Liberation Sans">
    <w:altName w:val="Arial"/>
    <w:charset w:val="00" w:characterSet="windows-1252"/>
    <w:family w:val="swiss"/>
    <w:pitch w:val="variable"/>
  </w:font>
  <w:font w:name="Tahoma">
    <w:charset w:val="00" w:characterSet="windows-1252"/>
    <w:family w:val="swiss"/>
    <w:pitch w:val="variable"/>
  </w:font>
  <w:font w:name="Book Antiqua">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w:t>
    </w:r>
    <w:r>
      <w:rPr>
        <w:rFonts w:cs="Arial" w:ascii="Arial" w:hAnsi="Arial"/>
        <w:sz w:val="16"/>
      </w:rPr>
      <w:t>207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w:t>
    </w:r>
    <w:r>
      <w:rPr>
        <w:rFonts w:cs="Arial" w:ascii="Arial" w:hAnsi="Arial"/>
        <w:sz w:val="16"/>
      </w:rPr>
      <w:t>207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61"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20" behindDoc="1" locked="0" layoutInCell="0" allowOverlap="1"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545E676D">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61"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20" behindDoc="1" locked="0" layoutInCell="0" allowOverlap="1" wp14:anchorId="545E676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3pt;margin-top:6.75pt;width:367.7pt;height:70.45pt;mso-wrap-style:square;v-text-anchor:top;mso-position-horizontal:right;mso-position-horizontal-relative:margin;mso-position-vertical-relative:page" wp14:anchorId="545E676D">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decimal"/>
      <w:lvlText w:val="%1."/>
      <w:lvlJc w:val="start"/>
      <w:pPr>
        <w:tabs>
          <w:tab w:val="num" w:pos="851"/>
        </w:tabs>
        <w:ind w:start="851" w:hanging="851"/>
      </w:pPr>
      <w:rPr>
        <w:rFonts w:ascii="Arial" w:hAnsi="Arial" w:cs="Arial"/>
        <w:i/>
        <w:sz w:val="20"/>
        <w:szCs w:val="20"/>
      </w:rPr>
    </w:lvl>
    <w:lvl w:ilvl="1">
      <w:start w:val="1"/>
      <w:numFmt w:val="decimal"/>
      <w:lvlText w:val="%1.%2."/>
      <w:lvlJc w:val="start"/>
      <w:pPr>
        <w:tabs>
          <w:tab w:val="num" w:pos="851"/>
        </w:tabs>
        <w:ind w:start="851" w:hanging="851"/>
      </w:pPr>
      <w:rPr>
        <w:rFonts w:ascii="Arial" w:hAnsi="Arial" w:cs="Arial"/>
        <w:color w:val="000000"/>
      </w:rPr>
    </w:lvl>
    <w:lvl w:ilvl="2">
      <w:start w:val="1"/>
      <w:numFmt w:val="decimal"/>
      <w:lvlText w:val="%1.%2.%3."/>
      <w:lvlJc w:val="start"/>
      <w:pPr>
        <w:tabs>
          <w:tab w:val="num" w:pos="851"/>
        </w:tabs>
        <w:ind w:start="851" w:hanging="851"/>
      </w:pPr>
      <w:rPr>
        <w:rFonts w:cs="Arial"/>
        <w:b/>
      </w:rPr>
    </w:lvl>
    <w:lvl w:ilvl="3">
      <w:start w:val="1"/>
      <w:numFmt w:val="decimal"/>
      <w:lvlText w:val="%1.%2.%3.%4."/>
      <w:lvlJc w:val="start"/>
      <w:pPr>
        <w:tabs>
          <w:tab w:val="num" w:pos="180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288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3960"/>
        </w:tabs>
        <w:ind w:start="3744" w:hanging="1224"/>
      </w:pPr>
      <w:rPr/>
    </w:lvl>
    <w:lvl w:ilvl="8">
      <w:start w:val="1"/>
      <w:numFmt w:val="decimal"/>
      <w:lvlText w:val="%1.%2.%3.%4.%5.%6.%7.%8.%9."/>
      <w:lvlJc w:val="start"/>
      <w:pPr>
        <w:tabs>
          <w:tab w:val="num" w:pos="4680"/>
        </w:tabs>
        <w:ind w:start="4320" w:hanging="1440"/>
      </w:pPr>
      <w:rPr/>
    </w:lvl>
  </w:abstractNum>
  <w:abstractNum w:abstractNumId="3">
    <w:lvl w:ilvl="0">
      <w:start w:val="1"/>
      <w:numFmt w:val="lowerLetter"/>
      <w:lvlText w:val="%1)"/>
      <w:lvlJc w:val="start"/>
      <w:pPr>
        <w:tabs>
          <w:tab w:val="num" w:pos="0"/>
        </w:tabs>
        <w:ind w:start="720" w:hanging="360"/>
      </w:pPr>
      <w:rPr>
        <w:color w:val="auto"/>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5">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6">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7">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969"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8">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9">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0">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1">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2">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3">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1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5"/>
    <w:lvlOverride w:ilvl="0">
      <w:startOverride w:val="1"/>
    </w:lvlOverride>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star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star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star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le">
    <w:name w:val="Title"/>
    <w:basedOn w:val="Ttulo21"/>
    <w:next w:val="BodyText"/>
    <w:qFormat/>
    <w:pPr/>
    <w:rPr/>
  </w:style>
  <w:style w:type="paragraph" w:styleId="ndiceuser" w:customStyle="1">
    <w:name w:val="Índice (user)"/>
    <w:basedOn w:val="Normal"/>
    <w:qFormat/>
    <w:pPr>
      <w:suppressLineNumbers/>
    </w:pPr>
    <w:rPr>
      <w:rFonts w:cs="Lucida San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star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star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star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star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star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start="851"/>
      <w:jc w:val="both"/>
    </w:pPr>
    <w:rPr>
      <w:b/>
      <w:bCs/>
      <w:sz w:val="24"/>
      <w:szCs w:val="24"/>
    </w:rPr>
  </w:style>
  <w:style w:type="paragraph" w:styleId="Recuodecorpodetexto23" w:customStyle="1">
    <w:name w:val="Recuo de corpo de texto 23"/>
    <w:basedOn w:val="Normal"/>
    <w:qFormat/>
    <w:pPr>
      <w:spacing w:before="120" w:after="0"/>
      <w:ind w:hanging="284" w:star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star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start="283"/>
    </w:pPr>
    <w:rPr>
      <w:sz w:val="16"/>
      <w:szCs w:val="16"/>
      <w:lang w:val="x-none"/>
    </w:rPr>
  </w:style>
  <w:style w:type="paragraph" w:styleId="Standard" w:customStyle="1">
    <w:name w:val="Standard"/>
    <w:qFormat/>
    <w:pPr>
      <w:widowControl/>
      <w:suppressAutoHyphens w:val="true"/>
      <w:bidi w:val="0"/>
      <w:spacing w:before="0" w:after="0"/>
      <w:jc w:val="star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start="567" w:end="567"/>
    </w:pPr>
    <w:rPr/>
  </w:style>
  <w:style w:type="paragraph" w:styleId="NoSpacing">
    <w:name w:val="No Spacing"/>
    <w:uiPriority w:val="1"/>
    <w:qFormat/>
    <w:rsid w:val="00fe4423"/>
    <w:pPr>
      <w:widowControl/>
      <w:suppressAutoHyphens w:val="true"/>
      <w:bidi w:val="0"/>
      <w:spacing w:before="0" w:after="0"/>
      <w:jc w:val="star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start="851"/>
    </w:pPr>
    <w:rPr>
      <w:color w:val="auto"/>
    </w:rPr>
  </w:style>
  <w:style w:type="paragraph" w:styleId="Nivel5" w:customStyle="1">
    <w:name w:val="Nivel 5"/>
    <w:basedOn w:val="Nivel4"/>
    <w:qFormat/>
    <w:rsid w:val="00ed126a"/>
    <w:pPr>
      <w:ind w:start="1276"/>
    </w:pPr>
    <w:rPr/>
  </w:style>
  <w:style w:type="paragraph" w:styleId="Contedodoquadrouser" w:customStyle="1">
    <w:name w:val="Conteúdo do quadro (user)"/>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CD5D79F-921E-4361-B114-FB2FC41C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Application>LibreOffice/26.2.4.2$Windows_X86_64 LibreOffice_project/0229ac93fcf0d7cbc6376066c6f35021cef002dc</Application>
  <AppVersion>15.0000</AppVersion>
  <Pages>30</Pages>
  <Words>11431</Words>
  <Characters>65685</Characters>
  <CharactersWithSpaces>76503</CharactersWithSpaces>
  <Paragraphs>717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2024-09-09T13:31:00Z</dcterms:created>
  <dc:creator>Thiago Luiz Araujo Santos</dc:creator>
  <dc:description/>
  <dc:language>pt-BR</dc:language>
  <cp:lastModifiedBy/>
  <cp:lastPrinted>2026-07-22T10:03:59Z</cp:lastPrinted>
  <dcterms:modified xsi:type="dcterms:W3CDTF">2026-07-22T10:05:35Z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