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spacing w:lineRule="auto" w:line="240"/>
        <w:jc w:val="center"/>
        <w:rPr>
          <w:b/>
          <w:sz w:val="20"/>
          <w:szCs w:val="20"/>
          <w:lang w:val="pt-BR"/>
        </w:rPr>
      </w:pPr>
      <w:r>
        <w:rPr>
          <w:b/>
          <w:sz w:val="20"/>
          <w:szCs w:val="20"/>
        </w:rPr>
        <w:t xml:space="preserve">EDITAL DE PREGÃO ELETRÔNICO </w:t>
      </w:r>
      <w:r>
        <w:rPr>
          <w:b/>
          <w:sz w:val="20"/>
          <w:szCs w:val="20"/>
          <w:lang w:val="pt-BR"/>
        </w:rPr>
        <w:t xml:space="preserve">nº </w:t>
      </w:r>
      <w:r>
        <w:rPr>
          <w:b/>
          <w:sz w:val="20"/>
          <w:szCs w:val="20"/>
          <w:lang w:val="pt-BR"/>
        </w:rPr>
        <w:t>261</w:t>
      </w:r>
      <w:r>
        <w:rPr>
          <w:b/>
          <w:sz w:val="20"/>
          <w:szCs w:val="20"/>
          <w:lang w:val="pt-BR"/>
        </w:rPr>
        <w:t>/</w:t>
      </w:r>
      <w:r>
        <w:rPr>
          <w:b/>
          <w:sz w:val="20"/>
          <w:szCs w:val="20"/>
          <w:lang w:val="pt-BR"/>
        </w:rPr>
        <w:t>2026</w:t>
      </w:r>
      <w:r>
        <w:rPr>
          <w:b/>
          <w:sz w:val="20"/>
          <w:szCs w:val="20"/>
        </w:rPr>
        <w:t xml:space="preserve"> </w:t>
      </w:r>
    </w:p>
    <w:p>
      <w:pPr>
        <w:pStyle w:val="BodyTextIndent"/>
        <w:widowControl w:val="false"/>
        <w:spacing w:lineRule="auto" w:line="240"/>
        <w:rPr>
          <w:b/>
          <w:sz w:val="20"/>
          <w:szCs w:val="20"/>
          <w:lang w:val="pt-BR"/>
        </w:rPr>
      </w:pPr>
      <w:r>
        <w:rPr>
          <w:b/>
          <w:sz w:val="20"/>
          <w:szCs w:val="20"/>
          <w:lang w:val="pt-BR"/>
        </w:rPr>
      </w:r>
    </w:p>
    <w:p>
      <w:pPr>
        <w:pStyle w:val="BodyTextIndent"/>
        <w:widowControl w:val="false"/>
        <w:spacing w:lineRule="auto" w:line="240"/>
        <w:jc w:val="center"/>
        <w:rPr>
          <w:b/>
          <w:sz w:val="20"/>
          <w:szCs w:val="20"/>
          <w:lang w:val="pt-BR"/>
        </w:rPr>
      </w:pPr>
      <w:r>
        <w:rPr>
          <w:b/>
          <w:sz w:val="20"/>
          <w:szCs w:val="20"/>
          <w:lang w:val="pt-BR"/>
        </w:rPr>
        <w:t>TERMO DE REFERÊNCIA</w:t>
      </w:r>
    </w:p>
    <w:p>
      <w:pPr>
        <w:pStyle w:val="BodyTextIndent"/>
        <w:widowControl w:val="false"/>
        <w:spacing w:lineRule="auto" w:line="240"/>
        <w:rPr>
          <w:b/>
          <w:sz w:val="20"/>
          <w:szCs w:val="20"/>
          <w:lang w:val="pt-BR"/>
        </w:rPr>
      </w:pPr>
      <w:r>
        <w:rPr>
          <w:b/>
          <w:sz w:val="20"/>
          <w:szCs w:val="20"/>
          <w:lang w:val="pt-BR"/>
        </w:rPr>
      </w:r>
    </w:p>
    <w:p>
      <w:pPr>
        <w:pStyle w:val="BodyTextIndent"/>
        <w:widowControl w:val="false"/>
        <w:shd w:val="clear" w:color="auto" w:fill="DDDDDD"/>
        <w:spacing w:lineRule="auto" w:line="240"/>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3"/>
        </w:numPr>
        <w:tabs>
          <w:tab w:val="clear" w:pos="709"/>
          <w:tab w:val="left" w:pos="284" w:leader="none"/>
        </w:tabs>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111.149/2026</w:t>
      </w:r>
    </w:p>
    <w:p>
      <w:pPr>
        <w:pStyle w:val="BodyTextIndent"/>
        <w:widowControl w:val="false"/>
        <w:numPr>
          <w:ilvl w:val="0"/>
          <w:numId w:val="3"/>
        </w:numPr>
        <w:tabs>
          <w:tab w:val="clear" w:pos="709"/>
          <w:tab w:val="left" w:pos="284" w:leader="none"/>
        </w:tabs>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22</w:t>
      </w:r>
      <w:r>
        <w:rPr>
          <w:b/>
          <w:sz w:val="20"/>
          <w:szCs w:val="20"/>
          <w:lang w:val="pt-BR"/>
        </w:rPr>
        <w:t>/</w:t>
      </w:r>
      <w:r>
        <w:rPr>
          <w:b/>
          <w:sz w:val="20"/>
          <w:szCs w:val="20"/>
          <w:lang w:val="pt-BR"/>
        </w:rPr>
        <w:t>09</w:t>
      </w:r>
      <w:r>
        <w:rPr>
          <w:b/>
          <w:sz w:val="20"/>
          <w:szCs w:val="20"/>
          <w:lang w:val="pt-BR"/>
        </w:rPr>
        <w:t>/</w:t>
      </w:r>
      <w:r>
        <w:rPr>
          <w:b/>
          <w:sz w:val="20"/>
          <w:szCs w:val="20"/>
          <w:lang w:val="pt-BR"/>
        </w:rPr>
        <w:t>2026</w:t>
      </w:r>
      <w:r>
        <w:rPr>
          <w:b/>
          <w:sz w:val="20"/>
          <w:szCs w:val="20"/>
          <w:lang w:val="pt-BR"/>
        </w:rPr>
        <w:t xml:space="preserve"> - 08 </w:t>
      </w:r>
      <w:r>
        <w:rPr>
          <w:b/>
          <w:sz w:val="20"/>
          <w:szCs w:val="20"/>
        </w:rPr>
        <w:t>horas</w:t>
      </w:r>
      <w:r>
        <w:rPr>
          <w:b/>
          <w:sz w:val="20"/>
          <w:szCs w:val="20"/>
          <w:lang w:val="pt-BR"/>
        </w:rPr>
        <w:t>;</w:t>
      </w:r>
    </w:p>
    <w:p>
      <w:pPr>
        <w:pStyle w:val="BodyTextIndent"/>
        <w:widowControl w:val="false"/>
        <w:numPr>
          <w:ilvl w:val="0"/>
          <w:numId w:val="3"/>
        </w:numPr>
        <w:tabs>
          <w:tab w:val="clear" w:pos="709"/>
          <w:tab w:val="left" w:pos="284" w:leader="none"/>
        </w:tabs>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22</w:t>
      </w:r>
      <w:r>
        <w:rPr>
          <w:b/>
          <w:sz w:val="20"/>
          <w:szCs w:val="20"/>
          <w:lang w:val="pt-BR"/>
        </w:rPr>
        <w:t>/</w:t>
      </w:r>
      <w:r>
        <w:rPr>
          <w:b/>
          <w:sz w:val="20"/>
          <w:szCs w:val="20"/>
          <w:lang w:val="pt-BR"/>
        </w:rPr>
        <w:t>09</w:t>
      </w:r>
      <w:r>
        <w:rPr>
          <w:b/>
          <w:sz w:val="20"/>
          <w:szCs w:val="20"/>
          <w:lang w:val="pt-BR"/>
        </w:rPr>
        <w:t>/</w:t>
      </w:r>
      <w:r>
        <w:rPr>
          <w:b/>
          <w:sz w:val="20"/>
          <w:szCs w:val="20"/>
          <w:lang w:val="pt-BR"/>
        </w:rPr>
        <w:t>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3"/>
        </w:numPr>
        <w:tabs>
          <w:tab w:val="clear" w:pos="709"/>
          <w:tab w:val="left" w:pos="284" w:leader="none"/>
        </w:tabs>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spacing w:lineRule="auto" w:line="240"/>
        <w:ind w:firstLine="561"/>
        <w:jc w:val="left"/>
        <w:rPr>
          <w:b/>
          <w:bCs/>
          <w:sz w:val="20"/>
          <w:szCs w:val="20"/>
        </w:rPr>
      </w:pPr>
      <w:r>
        <w:rPr>
          <w:b/>
          <w:bCs/>
          <w:sz w:val="20"/>
          <w:szCs w:val="20"/>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14"/>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Serviços gráficos, para impressão de folder</w:t>
      </w:r>
    </w:p>
    <w:p>
      <w:pPr>
        <w:pStyle w:val="Normal"/>
        <w:numPr>
          <w:ilvl w:val="0"/>
          <w:numId w:val="3"/>
        </w:numPr>
        <w:tabs>
          <w:tab w:val="clear" w:pos="709"/>
          <w:tab w:val="left" w:pos="284" w:leader="none"/>
        </w:tabs>
        <w:jc w:val="both"/>
        <w:rPr>
          <w:rFonts w:ascii="Arial" w:hAnsi="Arial" w:cs="Arial"/>
        </w:rPr>
      </w:pPr>
      <w:r>
        <w:rPr>
          <w:rFonts w:cs="Arial" w:ascii="Arial" w:hAnsi="Arial"/>
        </w:rPr>
        <w:t xml:space="preserve">Unidade Requisitante: </w:t>
      </w:r>
      <w:r>
        <w:rPr>
          <w:rFonts w:cs="Arial" w:ascii="Arial" w:hAnsi="Arial"/>
          <w:b/>
          <w:bCs/>
        </w:rPr>
        <w:t>Secretaria Municipal de Trabalho Emprego e Renda.</w:t>
      </w:r>
    </w:p>
    <w:p>
      <w:pPr>
        <w:pStyle w:val="Normal"/>
        <w:numPr>
          <w:ilvl w:val="0"/>
          <w:numId w:val="3"/>
        </w:numPr>
        <w:tabs>
          <w:tab w:val="clear" w:pos="709"/>
          <w:tab w:val="left" w:pos="284" w:leader="none"/>
        </w:tabs>
        <w:jc w:val="both"/>
        <w:rPr>
          <w:rFonts w:ascii="Arial" w:hAnsi="Arial" w:cs="Arial"/>
        </w:rPr>
      </w:pPr>
      <w:r>
        <w:rPr>
          <w:rFonts w:cs="Arial" w:ascii="Arial" w:hAnsi="Arial"/>
        </w:rPr>
        <w:t>Fonte de recursos: Tesouro: 0101011000 - 11.332.0007.2034.0000</w:t>
      </w:r>
    </w:p>
    <w:p>
      <w:pPr>
        <w:pStyle w:val="Normal"/>
        <w:numPr>
          <w:ilvl w:val="0"/>
          <w:numId w:val="3"/>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R$ 4.350,00 (Quatro mil, trezentos e cinquenta reais);</w:t>
      </w:r>
    </w:p>
    <w:p>
      <w:pPr>
        <w:pStyle w:val="Normal"/>
        <w:numPr>
          <w:ilvl w:val="0"/>
          <w:numId w:val="3"/>
        </w:numPr>
        <w:tabs>
          <w:tab w:val="clear" w:pos="709"/>
          <w:tab w:val="left" w:pos="284" w:leader="none"/>
        </w:tabs>
        <w:jc w:val="both"/>
        <w:rPr>
          <w:rFonts w:ascii="Arial" w:hAnsi="Arial" w:cs="Arial"/>
        </w:rPr>
      </w:pPr>
      <w:r>
        <w:rPr>
          <w:rFonts w:cs="Arial" w:ascii="Arial" w:hAnsi="Arial"/>
        </w:rPr>
        <w:t>Prazo de vigência do contrato: Até 31/12/2026.</w:t>
      </w:r>
    </w:p>
    <w:p>
      <w:pPr>
        <w:pStyle w:val="Normal"/>
        <w:ind w:firstLine="561"/>
        <w:rPr>
          <w:rFonts w:ascii="Arial" w:hAnsi="Arial" w:cs="Arial"/>
        </w:rPr>
      </w:pPr>
      <w:r>
        <w:rPr>
          <w:rFonts w:cs="Arial" w:ascii="Arial" w:hAnsi="Arial"/>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4"/>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4"/>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4"/>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numPr>
          <w:ilvl w:val="0"/>
          <w:numId w:val="4"/>
        </w:numPr>
        <w:tabs>
          <w:tab w:val="clear" w:pos="709"/>
          <w:tab w:val="left" w:pos="284" w:leader="none"/>
        </w:tabs>
        <w:jc w:val="both"/>
        <w:rPr>
          <w:rFonts w:ascii="Arial" w:hAnsi="Arial" w:cs="Arial"/>
          <w:b/>
        </w:rPr>
      </w:pPr>
      <w:r>
        <w:rPr>
          <w:rFonts w:cs="Arial" w:ascii="Arial" w:hAnsi="Arial"/>
          <w:b/>
          <w:bCs/>
        </w:rPr>
        <w:t>A participação nesta licitação é exclusiva de Microempresas e Empresas de Pequeno Porte.</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15"/>
        </w:numPr>
        <w:tabs>
          <w:tab w:val="clear" w:pos="709"/>
          <w:tab w:val="left" w:pos="284" w:leader="none"/>
        </w:tabs>
        <w:jc w:val="both"/>
        <w:rPr>
          <w:rFonts w:ascii="Arial" w:hAnsi="Arial" w:cs="Arial"/>
        </w:rPr>
      </w:pPr>
      <w:r>
        <w:rPr>
          <w:rFonts w:cs="Arial" w:ascii="Arial" w:hAnsi="Arial"/>
        </w:rPr>
        <w:t xml:space="preserve">Prazo de validade: </w:t>
      </w:r>
      <w:r>
        <w:rPr>
          <w:rFonts w:cs="Arial" w:ascii="Arial" w:hAnsi="Arial"/>
          <w:b/>
          <w:bCs/>
        </w:rPr>
        <w:t>90 (noventa) dias</w:t>
      </w:r>
      <w:r>
        <w:rPr>
          <w:rFonts w:cs="Arial" w:ascii="Arial" w:hAnsi="Arial"/>
        </w:rPr>
        <w:t>;</w:t>
      </w:r>
    </w:p>
    <w:p>
      <w:pPr>
        <w:pStyle w:val="Normal"/>
        <w:numPr>
          <w:ilvl w:val="0"/>
          <w:numId w:val="3"/>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3"/>
        </w:numPr>
        <w:tabs>
          <w:tab w:val="clear" w:pos="709"/>
          <w:tab w:val="left" w:pos="284" w:leader="none"/>
        </w:tabs>
        <w:jc w:val="both"/>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expresso em moeda corrente nacional </w:t>
      </w:r>
    </w:p>
    <w:p>
      <w:pPr>
        <w:pStyle w:val="Normal"/>
        <w:numPr>
          <w:ilvl w:val="0"/>
          <w:numId w:val="3"/>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965"/>
        <w:gridCol w:w="735"/>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rPr>
            </w:pPr>
            <w:r>
              <w:rPr>
                <w:rFonts w:cs="Arial" w:ascii="Arial" w:hAnsi="Arial"/>
                <w:b/>
              </w:rPr>
              <w:t>Item</w:t>
            </w:r>
          </w:p>
        </w:tc>
        <w:tc>
          <w:tcPr>
            <w:tcW w:w="965"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rPr>
            </w:pPr>
            <w:r>
              <w:rPr>
                <w:rFonts w:cs="Arial" w:ascii="Arial" w:hAnsi="Arial"/>
                <w:b/>
              </w:rPr>
              <w:t>Quant.</w:t>
            </w:r>
          </w:p>
        </w:tc>
        <w:tc>
          <w:tcPr>
            <w:tcW w:w="735"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01</w:t>
            </w:r>
          </w:p>
        </w:tc>
        <w:tc>
          <w:tcPr>
            <w:tcW w:w="965"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10.000</w:t>
            </w:r>
          </w:p>
        </w:tc>
        <w:tc>
          <w:tcPr>
            <w:tcW w:w="735"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rPr>
                <w:rFonts w:ascii="Arial" w:hAnsi="Arial" w:cs="Arial"/>
              </w:rPr>
            </w:pPr>
            <w:r>
              <w:rPr>
                <w:rFonts w:cs="Arial" w:ascii="Arial" w:hAnsi="Arial"/>
              </w:rPr>
              <w:t>Folder tamanho A4 (210x297mm), com uma dobra, 4 cores, papel couchê 115g, impressão frente e verso</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3"/>
        </w:numPr>
        <w:tabs>
          <w:tab w:val="clear" w:pos="709"/>
          <w:tab w:val="left" w:pos="284" w:leader="none"/>
        </w:tabs>
        <w:jc w:val="both"/>
        <w:rPr>
          <w:rFonts w:ascii="Arial" w:hAnsi="Arial" w:eastAsia="Arial" w:cs="Arial"/>
        </w:rPr>
      </w:pPr>
      <w:r>
        <w:rPr>
          <w:rFonts w:cs="Arial" w:ascii="Arial" w:hAnsi="Arial"/>
        </w:rPr>
        <w:t>Descritivo técnico:</w:t>
      </w:r>
    </w:p>
    <w:p>
      <w:pPr>
        <w:pStyle w:val="Normal"/>
        <w:tabs>
          <w:tab w:val="clear" w:pos="709"/>
          <w:tab w:val="left" w:pos="284" w:leader="none"/>
        </w:tabs>
        <w:jc w:val="both"/>
        <w:rPr>
          <w:rFonts w:ascii="Arial" w:hAnsi="Arial" w:eastAsia="Arial" w:cs="Arial"/>
          <w:b/>
          <w:bCs/>
        </w:rPr>
      </w:pPr>
      <w:r>
        <w:rPr>
          <w:rFonts w:eastAsia="Arial" w:cs="Arial" w:ascii="Arial" w:hAnsi="Arial"/>
          <w:b/>
          <w:bCs/>
        </w:rPr>
        <w:t xml:space="preserve">Item 01: </w:t>
      </w:r>
      <w:r>
        <w:rPr>
          <w:rFonts w:eastAsia="Arial" w:cs="Arial" w:ascii="Arial" w:hAnsi="Arial"/>
        </w:rPr>
        <w:t>Contratação de empresa especializada para impressão de folders institucionais, em papel couché brilho 115 g/m², formato aberto 210 x 297 mm (A4), impressão colorida 4x4 cores, com uma dobra central, acabamento refilado, conforme arte fornecida pela Secretaria. Quantidade estimada: 10.000 unidades. Os materiais deverão apresentar qualidade de impressão uniforme, sem manchas, borrões ou desalinhamentos, e ser entregues devidamente acondicionados em caixas apropriadas.</w:t>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5. DA EXECUÇÃO DOS SERVIÇOS</w:t>
      </w:r>
    </w:p>
    <w:p>
      <w:pPr>
        <w:pStyle w:val="Normal"/>
        <w:numPr>
          <w:ilvl w:val="0"/>
          <w:numId w:val="16"/>
        </w:numPr>
        <w:tabs>
          <w:tab w:val="clear" w:pos="709"/>
          <w:tab w:val="left" w:pos="284" w:leader="none"/>
        </w:tabs>
        <w:jc w:val="both"/>
        <w:rPr>
          <w:rFonts w:ascii="Arial" w:hAnsi="Arial" w:cs="Arial"/>
        </w:rPr>
      </w:pPr>
      <w:r>
        <w:rPr>
          <w:rFonts w:cs="Arial" w:ascii="Arial" w:hAnsi="Arial"/>
        </w:rPr>
        <w:t>O serviço deverá ser realizado de forma parcelada de acordo com a necessidade da secretaria, tendo como prazo final da contratação 31/12/2026, mediante chamada técnica (Ordem de Serviço) e atendido no prazo máximo de 5 (cinco) dias úteis independente da quantidade, a contar da data da Ordem de Serviço emitida pela Unidade Requisitante e deverá ser agendado através do e-mail: naa.semtre@gmail.com.</w:t>
      </w:r>
    </w:p>
    <w:p>
      <w:pPr>
        <w:pStyle w:val="Normal"/>
        <w:numPr>
          <w:ilvl w:val="0"/>
          <w:numId w:val="3"/>
        </w:numPr>
        <w:tabs>
          <w:tab w:val="clear" w:pos="709"/>
          <w:tab w:val="left" w:pos="284" w:leader="none"/>
        </w:tabs>
        <w:jc w:val="both"/>
        <w:rPr>
          <w:rFonts w:ascii="Arial" w:hAnsi="Arial" w:cs="Arial"/>
        </w:rPr>
      </w:pPr>
      <w:r>
        <w:rPr>
          <w:rFonts w:cs="Arial" w:ascii="Arial" w:hAnsi="Arial"/>
        </w:rPr>
        <w:t>Local e horário para execução dos serviços:</w:t>
      </w:r>
    </w:p>
    <w:p>
      <w:pPr>
        <w:pStyle w:val="Normal"/>
        <w:tabs>
          <w:tab w:val="clear" w:pos="709"/>
          <w:tab w:val="left" w:pos="284" w:leader="none"/>
        </w:tabs>
        <w:ind w:firstLine="283"/>
        <w:jc w:val="both"/>
        <w:rPr>
          <w:b/>
          <w:bCs/>
        </w:rPr>
      </w:pPr>
      <w:r>
        <w:rPr>
          <w:rFonts w:cs="Arial" w:ascii="Arial" w:hAnsi="Arial"/>
          <w:b/>
          <w:bCs/>
        </w:rPr>
        <w:t>Secretaria de Trabalho Emprego e Renda</w:t>
      </w:r>
    </w:p>
    <w:p>
      <w:pPr>
        <w:pStyle w:val="Normal"/>
        <w:tabs>
          <w:tab w:val="clear" w:pos="709"/>
          <w:tab w:val="left" w:pos="284" w:leader="none"/>
        </w:tabs>
        <w:ind w:firstLine="283"/>
        <w:jc w:val="both"/>
        <w:rPr>
          <w:rFonts w:ascii="Arial" w:hAnsi="Arial" w:cs="Arial"/>
          <w:b/>
          <w:bCs/>
        </w:rPr>
      </w:pPr>
      <w:r>
        <w:rPr>
          <w:rFonts w:cs="Arial" w:ascii="Arial" w:hAnsi="Arial"/>
          <w:b/>
          <w:bCs/>
        </w:rPr>
        <w:t>Rua Antônio Correa Barbosa nº 2233 – 5º andar</w:t>
      </w:r>
    </w:p>
    <w:p>
      <w:pPr>
        <w:pStyle w:val="Normal"/>
        <w:tabs>
          <w:tab w:val="clear" w:pos="709"/>
          <w:tab w:val="left" w:pos="284" w:leader="none"/>
        </w:tabs>
        <w:ind w:firstLine="283"/>
        <w:jc w:val="both"/>
        <w:rPr>
          <w:rFonts w:ascii="Arial" w:hAnsi="Arial" w:cs="Arial"/>
          <w:b/>
          <w:bCs/>
        </w:rPr>
      </w:pPr>
      <w:r>
        <w:rPr>
          <w:rFonts w:cs="Arial" w:ascii="Arial" w:hAnsi="Arial"/>
          <w:b/>
          <w:bCs/>
        </w:rPr>
        <w:t>Bairro Chácara Nazareth – CEP: 13400-900</w:t>
      </w:r>
    </w:p>
    <w:p>
      <w:pPr>
        <w:pStyle w:val="Normal"/>
        <w:tabs>
          <w:tab w:val="clear" w:pos="709"/>
          <w:tab w:val="left" w:pos="284" w:leader="none"/>
        </w:tabs>
        <w:ind w:firstLine="283"/>
        <w:jc w:val="both"/>
        <w:rPr>
          <w:rFonts w:ascii="Arial" w:hAnsi="Arial" w:cs="Arial"/>
          <w:b/>
          <w:bCs/>
        </w:rPr>
      </w:pPr>
      <w:r>
        <w:rPr>
          <w:rFonts w:cs="Arial" w:ascii="Arial" w:hAnsi="Arial"/>
          <w:b/>
          <w:bCs/>
        </w:rPr>
        <w:t>Das: 08h00 ás 16h00, de segunda a sexta-feira.</w:t>
      </w:r>
    </w:p>
    <w:p>
      <w:pPr>
        <w:pStyle w:val="Normal"/>
        <w:tabs>
          <w:tab w:val="clear" w:pos="709"/>
          <w:tab w:val="left" w:pos="284" w:leader="none"/>
        </w:tabs>
        <w:ind w:firstLine="283"/>
        <w:jc w:val="both"/>
        <w:rPr>
          <w:rFonts w:ascii="Arial" w:hAnsi="Arial" w:cs="Arial"/>
          <w:b/>
          <w:bCs/>
        </w:rPr>
      </w:pPr>
      <w:r>
        <w:rPr>
          <w:rFonts w:cs="Arial" w:ascii="Arial" w:hAnsi="Arial"/>
          <w:b/>
          <w:bCs/>
        </w:rPr>
      </w:r>
    </w:p>
    <w:p>
      <w:pPr>
        <w:pStyle w:val="Normal"/>
        <w:numPr>
          <w:ilvl w:val="0"/>
          <w:numId w:val="3"/>
        </w:numPr>
        <w:tabs>
          <w:tab w:val="clear" w:pos="709"/>
          <w:tab w:val="left" w:pos="284" w:leader="none"/>
        </w:tabs>
        <w:jc w:val="both"/>
        <w:rPr>
          <w:rFonts w:ascii="Arial" w:hAnsi="Arial" w:cs="Arial"/>
        </w:rPr>
      </w:pPr>
      <w:r>
        <w:rPr>
          <w:rFonts w:cs="Arial" w:ascii="Arial" w:hAnsi="Arial"/>
        </w:rPr>
        <w:t>A Secretaria de Trabalho Emprego e Renda reservam-se ao direito de efetuar vistoria nos serviços realizados, aplicando as penalidades previstas no Contrato, caso seja constatada a prática de procedimentos equivocados, técnica inadequada ou serviços não recomendados pelo fabricante.</w:t>
      </w:r>
    </w:p>
    <w:p>
      <w:pPr>
        <w:pStyle w:val="Normal"/>
        <w:numPr>
          <w:ilvl w:val="0"/>
          <w:numId w:val="3"/>
        </w:numPr>
        <w:tabs>
          <w:tab w:val="clear" w:pos="709"/>
          <w:tab w:val="left" w:pos="284" w:leader="none"/>
        </w:tabs>
        <w:jc w:val="both"/>
        <w:rPr>
          <w:rStyle w:val="Fontepargpadro1"/>
          <w:rFonts w:ascii="Arial" w:hAnsi="Arial" w:cs="Arial"/>
        </w:rPr>
      </w:pPr>
      <w:r>
        <w:rPr>
          <w:rStyle w:val="Fontepargpadro1"/>
          <w:rFonts w:cs="Arial" w:ascii="Arial" w:hAnsi="Arial"/>
        </w:rPr>
        <w:t>A cada atendimento fora do prazo estabelecido, fica a contratada obrigada a comunicar formalmente com as devidas justificativas, independente das multas e sanções previstas em Contrato.</w:t>
      </w:r>
    </w:p>
    <w:p>
      <w:pPr>
        <w:pStyle w:val="Normal"/>
        <w:tabs>
          <w:tab w:val="clear" w:pos="709"/>
          <w:tab w:val="left" w:pos="284" w:leader="none"/>
        </w:tabs>
        <w:jc w:val="both"/>
        <w:rPr>
          <w:rStyle w:val="Fontepargpadro1"/>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6. DA SUBCONTRATAÇÃO</w:t>
      </w:r>
    </w:p>
    <w:p>
      <w:pPr>
        <w:pStyle w:val="Normal"/>
        <w:numPr>
          <w:ilvl w:val="0"/>
          <w:numId w:val="17"/>
        </w:numPr>
        <w:tabs>
          <w:tab w:val="clear" w:pos="709"/>
          <w:tab w:val="left" w:pos="284" w:leader="none"/>
        </w:tabs>
        <w:jc w:val="both"/>
        <w:rPr>
          <w:rFonts w:ascii="Arial" w:hAnsi="Arial" w:cs="Arial"/>
        </w:rPr>
      </w:pPr>
      <w:r>
        <w:rPr>
          <w:rStyle w:val="Fontepargpadro1"/>
          <w:rFonts w:cs="Arial" w:ascii="Arial" w:hAnsi="Arial"/>
        </w:rPr>
        <w:t>Não é admitida a subcontratação do objeto contratual.</w:t>
      </w:r>
    </w:p>
    <w:p>
      <w:pPr>
        <w:pStyle w:val="Normal"/>
        <w:tabs>
          <w:tab w:val="clear" w:pos="709"/>
          <w:tab w:val="left" w:pos="284" w:leader="none"/>
        </w:tabs>
        <w:jc w:val="both"/>
        <w:rPr>
          <w:rStyle w:val="Fontepargpadro1"/>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 xml:space="preserve">7. DA GARANTIA </w:t>
      </w:r>
    </w:p>
    <w:p>
      <w:pPr>
        <w:pStyle w:val="Normal"/>
        <w:numPr>
          <w:ilvl w:val="0"/>
          <w:numId w:val="18"/>
        </w:numPr>
        <w:tabs>
          <w:tab w:val="clear" w:pos="709"/>
          <w:tab w:val="left" w:pos="284" w:leader="none"/>
        </w:tabs>
        <w:jc w:val="both"/>
        <w:rPr/>
      </w:pPr>
      <w:r>
        <w:rPr>
          <w:rFonts w:cs="Arial" w:ascii="Arial" w:hAnsi="Arial"/>
        </w:rPr>
        <w:t>A contratada será responsável pela reexecução , sem qualquer ônus adicional para a Administração, os serviços que apresentarem defeitos de impressão, falhas de acabamento ou que estejam em desacordo com a arte e as especificações fornecidas pela Secretaria, observando os padrões de qualidade exigidos no Termo de Referência.</w:t>
      </w:r>
    </w:p>
    <w:p>
      <w:pPr>
        <w:pStyle w:val="Normal"/>
        <w:numPr>
          <w:ilvl w:val="0"/>
          <w:numId w:val="3"/>
        </w:numPr>
        <w:tabs>
          <w:tab w:val="clear" w:pos="709"/>
          <w:tab w:val="left" w:pos="284" w:leader="none"/>
        </w:tabs>
        <w:jc w:val="both"/>
        <w:rPr/>
      </w:pPr>
      <w:r>
        <w:rPr>
          <w:rFonts w:cs="Arial" w:ascii="Arial" w:hAnsi="Arial"/>
        </w:rPr>
        <w:t>O prazo para entrega dos serviços refeitos com as devidas correções e/ou alterações, serão de 72 horas a parte da data da comunicação, que será feita através do email.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5"/>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5"/>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5"/>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5"/>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5"/>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5"/>
        </w:numPr>
        <w:tabs>
          <w:tab w:val="clear" w:pos="709"/>
          <w:tab w:val="left" w:pos="284" w:leader="none"/>
          <w:tab w:val="left" w:pos="426" w:leader="none"/>
        </w:tabs>
        <w:jc w:val="both"/>
        <w:rPr/>
      </w:pPr>
      <w:r>
        <w:rPr>
          <w:rFonts w:cs="Arial" w:ascii="Arial" w:hAnsi="Arial"/>
          <w:color w:val="000000"/>
        </w:rPr>
        <w:t>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numPr>
          <w:ilvl w:val="1"/>
          <w:numId w:val="5"/>
        </w:numPr>
        <w:tabs>
          <w:tab w:val="clear" w:pos="709"/>
          <w:tab w:val="left" w:pos="284" w:leader="none"/>
          <w:tab w:val="left" w:pos="426" w:leader="none"/>
        </w:tabs>
        <w:jc w:val="both"/>
        <w:rPr/>
      </w:pPr>
      <w:r>
        <w:rPr>
          <w:rFonts w:cs="Arial" w:ascii="Arial" w:hAnsi="Arial"/>
          <w:color w:val="000000"/>
        </w:rPr>
        <w:t xml:space="preserve">Certidão de regularidade de débito para com o Fundo de Garantia por Tempo de Serviço (FGTS); </w:t>
      </w:r>
    </w:p>
    <w:p>
      <w:pPr>
        <w:pStyle w:val="Normal"/>
        <w:numPr>
          <w:ilvl w:val="1"/>
          <w:numId w:val="5"/>
        </w:numPr>
        <w:tabs>
          <w:tab w:val="clear" w:pos="709"/>
          <w:tab w:val="left" w:pos="284" w:leader="none"/>
          <w:tab w:val="left" w:pos="426" w:leader="none"/>
        </w:tabs>
        <w:jc w:val="both"/>
        <w:rPr/>
      </w:pPr>
      <w:r>
        <w:rPr>
          <w:rFonts w:cs="Arial" w:ascii="Arial" w:hAnsi="Arial"/>
          <w:color w:val="000000"/>
        </w:rPr>
        <w:t>Certidão Negativa de Débitos Trabalhistas ou Positiva de Débitos Trabalhistas com Efeito de Negativa.</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5"/>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5"/>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5"/>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5"/>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5"/>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5"/>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5"/>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5"/>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5"/>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5"/>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5"/>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t xml:space="preserve">Piracicaba, </w:t>
      </w:r>
      <w:r>
        <w:rPr>
          <w:rFonts w:cs="Arial" w:ascii="Arial" w:hAnsi="Arial"/>
        </w:rPr>
        <w:t>03 de setembro de 2026</w:t>
      </w:r>
    </w:p>
    <w:p>
      <w:pPr>
        <w:pStyle w:val="Normal"/>
        <w:jc w:val="center"/>
        <w:rPr>
          <w:rFonts w:ascii="Arial" w:hAnsi="Arial" w:cs="Arial"/>
          <w:b/>
        </w:rPr>
      </w:pPr>
      <w:r>
        <w:rPr>
          <w:rFonts w:cs="Arial" w:ascii="Arial" w:hAnsi="Arial"/>
          <w:b/>
        </w:rPr>
      </w:r>
    </w:p>
    <w:p>
      <w:pPr>
        <w:pStyle w:val="Normal"/>
        <w:jc w:val="center"/>
        <w:rPr>
          <w:rFonts w:ascii="Arial" w:hAnsi="Arial"/>
        </w:rPr>
      </w:pPr>
      <w:r>
        <w:rPr>
          <w:rFonts w:cs="Arial" w:ascii="Arial" w:hAnsi="Arial"/>
          <w:b/>
        </w:rPr>
        <w:t>Larissa Palomo Monferdini</w:t>
      </w:r>
    </w:p>
    <w:p>
      <w:pPr>
        <w:pStyle w:val="Normal"/>
        <w:jc w:val="center"/>
        <w:rPr>
          <w:rFonts w:ascii="Arial" w:hAnsi="Arial"/>
        </w:rPr>
      </w:pPr>
      <w:r>
        <w:rPr>
          <w:rFonts w:ascii="Arial" w:hAnsi="Arial"/>
        </w:rPr>
        <w:t>Chefe de Setor</w:t>
      </w:r>
    </w:p>
    <w:p>
      <w:pPr>
        <w:pStyle w:val="Normal"/>
        <w:jc w:val="center"/>
        <w:rPr>
          <w:rFonts w:ascii="Arial" w:hAnsi="Arial" w:cs="Arial"/>
          <w:b/>
        </w:rPr>
      </w:pPr>
      <w:r>
        <w:rPr>
          <w:rFonts w:cs="Arial" w:ascii="Arial" w:hAnsi="Arial"/>
          <w:b/>
        </w:rPr>
      </w:r>
      <w:r>
        <w:br w:type="page"/>
      </w:r>
    </w:p>
    <w:p>
      <w:pPr>
        <w:pStyle w:val="Heading2"/>
        <w:numPr>
          <w:ilvl w:val="1"/>
          <w:numId w:val="1"/>
        </w:numPr>
        <w:spacing w:before="0" w:after="0"/>
        <w:ind w:hanging="0" w:left="0"/>
        <w:rPr>
          <w:sz w:val="22"/>
        </w:rPr>
      </w:pPr>
      <w:r>
        <w:rPr>
          <w:sz w:val="22"/>
        </w:rPr>
      </w:r>
    </w:p>
    <w:p>
      <w:pPr>
        <w:pStyle w:val="Heading2"/>
        <w:numPr>
          <w:ilvl w:val="1"/>
          <w:numId w:val="1"/>
        </w:numPr>
        <w:ind w:hanging="0" w:left="0"/>
        <w:rPr>
          <w:sz w:val="22"/>
        </w:rPr>
      </w:pPr>
      <w:r>
        <w:rPr>
          <w:szCs w:val="28"/>
        </w:rPr>
        <w:t>REGULAMENTO GERAL</w:t>
      </w:r>
    </w:p>
    <w:p>
      <w:pPr>
        <w:pStyle w:val="BodyText"/>
        <w:jc w:val="center"/>
        <w:rPr>
          <w:sz w:val="20"/>
          <w:lang w:val="pt-BR"/>
        </w:rPr>
      </w:pPr>
      <w:r>
        <w:rPr>
          <w:sz w:val="20"/>
          <w:lang w:val="pt-BR"/>
        </w:rPr>
      </w:r>
    </w:p>
    <w:p>
      <w:pPr>
        <w:pStyle w:val="Normal"/>
        <w:jc w:val="center"/>
        <w:rPr>
          <w:rFonts w:ascii="Arial" w:hAnsi="Arial" w:cs="Arial"/>
          <w:sz w:val="22"/>
          <w:szCs w:val="24"/>
        </w:rPr>
      </w:pPr>
      <w:r>
        <w:rPr>
          <w:rFonts w:cs="Arial" w:ascii="Arial" w:hAnsi="Arial"/>
          <w:sz w:val="22"/>
          <w:szCs w:val="24"/>
        </w:rPr>
        <w:t>Pregão Eletrônico - Serviços</w:t>
      </w:r>
    </w:p>
    <w:p>
      <w:pPr>
        <w:pStyle w:val="Normal"/>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4.1. </w:t>
      </w:r>
      <w:r>
        <w:rPr>
          <w:rFonts w:cs="Arial" w:ascii="Arial" w:hAnsi="Arial"/>
        </w:rPr>
        <w:t>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5.2. A participação neste Pregão é exclusiva de empresas classificadas como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426"/>
        <w:jc w:val="both"/>
        <w:rPr>
          <w:color w:val="000000"/>
        </w:rPr>
      </w:pPr>
      <w:r>
        <w:rPr>
          <w:rFonts w:cs="Arial" w:ascii="Arial" w:hAnsi="Arial"/>
          <w:color w:val="000000"/>
        </w:rPr>
        <w:t xml:space="preserve">5.4. No caso de participação de consórcios, deverá ser observado o atendimento às condições previstas no artigo 15 da Lei Federal nº 14.133/21 e, em especial, às seguintes regras: </w:t>
      </w:r>
    </w:p>
    <w:p>
      <w:pPr>
        <w:pStyle w:val="Normal"/>
        <w:ind w:firstLine="426"/>
        <w:jc w:val="both"/>
        <w:rPr>
          <w:rFonts w:ascii="Arial" w:hAnsi="Arial" w:cs="Arial"/>
          <w:color w:val="000000"/>
        </w:rPr>
      </w:pPr>
      <w:r>
        <w:rPr>
          <w:rFonts w:cs="Arial" w:ascii="Arial" w:hAnsi="Arial"/>
          <w:color w:val="000000"/>
        </w:rPr>
      </w:r>
    </w:p>
    <w:p>
      <w:pPr>
        <w:pStyle w:val="Normal"/>
        <w:ind w:firstLine="426"/>
        <w:jc w:val="both"/>
        <w:rPr>
          <w:color w:val="000000"/>
        </w:rPr>
      </w:pPr>
      <w:r>
        <w:rPr>
          <w:rFonts w:cs="Arial" w:ascii="Arial" w:hAnsi="Arial"/>
          <w:color w:val="000000"/>
        </w:rPr>
        <w:t>5.4.1. Comprovação do compromisso público ou particular de constituição do consórcio, subscrito pelos consorciados;</w:t>
      </w:r>
    </w:p>
    <w:p>
      <w:pPr>
        <w:pStyle w:val="Normal"/>
        <w:ind w:firstLine="426"/>
        <w:jc w:val="both"/>
        <w:rPr>
          <w:rFonts w:ascii="Arial" w:hAnsi="Arial" w:cs="Arial"/>
          <w:color w:val="000000"/>
        </w:rPr>
      </w:pPr>
      <w:r>
        <w:rPr>
          <w:rFonts w:cs="Arial" w:ascii="Arial" w:hAnsi="Arial"/>
          <w:color w:val="000000"/>
        </w:rPr>
      </w:r>
    </w:p>
    <w:p>
      <w:pPr>
        <w:pStyle w:val="Normal"/>
        <w:ind w:firstLine="426"/>
        <w:jc w:val="both"/>
        <w:rPr>
          <w:color w:val="000000"/>
        </w:rPr>
      </w:pPr>
      <w:r>
        <w:rPr>
          <w:rFonts w:cs="Arial" w:ascii="Arial" w:hAnsi="Arial"/>
          <w:color w:val="000000"/>
        </w:rPr>
        <w:t>5.4.2. Indicação da empresa líder do consórcio, que será responsável por sua representação perante a Administração;</w:t>
      </w:r>
    </w:p>
    <w:p>
      <w:pPr>
        <w:pStyle w:val="Normal"/>
        <w:ind w:firstLine="426"/>
        <w:jc w:val="both"/>
        <w:rPr>
          <w:rFonts w:ascii="Arial" w:hAnsi="Arial" w:cs="Arial"/>
          <w:color w:val="000000"/>
        </w:rPr>
      </w:pPr>
      <w:r>
        <w:rPr>
          <w:rFonts w:cs="Arial" w:ascii="Arial" w:hAnsi="Arial"/>
          <w:color w:val="000000"/>
        </w:rPr>
      </w:r>
    </w:p>
    <w:p>
      <w:pPr>
        <w:pStyle w:val="Normal"/>
        <w:ind w:firstLine="426"/>
        <w:jc w:val="both"/>
        <w:rPr>
          <w:color w:val="000000"/>
        </w:rPr>
      </w:pPr>
      <w:r>
        <w:rPr>
          <w:rFonts w:cs="Arial" w:ascii="Arial" w:hAnsi="Arial"/>
          <w:color w:val="000000"/>
        </w:rPr>
        <w:t>5.4.3. Admissão, para efeito de habilitação técnica, do somatório dos quantitativos de cada consorciado e, para efeito de habilitação econômico-financeira, do somatório dos valores de cada consorciado;</w:t>
      </w:r>
    </w:p>
    <w:p>
      <w:pPr>
        <w:pStyle w:val="Normal"/>
        <w:ind w:firstLine="426"/>
        <w:jc w:val="both"/>
        <w:rPr>
          <w:rFonts w:ascii="Arial" w:hAnsi="Arial" w:cs="Arial"/>
          <w:color w:val="000000"/>
        </w:rPr>
      </w:pPr>
      <w:r>
        <w:rPr>
          <w:rFonts w:cs="Arial" w:ascii="Arial" w:hAnsi="Arial"/>
          <w:color w:val="000000"/>
        </w:rPr>
      </w:r>
    </w:p>
    <w:p>
      <w:pPr>
        <w:pStyle w:val="Normal"/>
        <w:ind w:firstLine="426"/>
        <w:jc w:val="both"/>
        <w:rPr>
          <w:color w:val="000000"/>
        </w:rPr>
      </w:pPr>
      <w:r>
        <w:rPr>
          <w:rFonts w:cs="Arial" w:ascii="Arial" w:hAnsi="Arial"/>
          <w:color w:val="000000"/>
        </w:rPr>
        <w:t>5.4.4. Responsabilidade solidária dos integrantes pelos atos praticados em consórcio, tanto na fase de licitação quanto na de execução do contrato.</w:t>
      </w:r>
    </w:p>
    <w:p>
      <w:pPr>
        <w:pStyle w:val="Normal"/>
        <w:ind w:firstLine="426"/>
        <w:jc w:val="both"/>
        <w:rPr>
          <w:rFonts w:ascii="Arial" w:hAnsi="Arial" w:cs="Arial"/>
          <w:color w:val="000000"/>
        </w:rPr>
      </w:pPr>
      <w:r>
        <w:rPr>
          <w:rFonts w:cs="Arial" w:ascii="Arial" w:hAnsi="Arial"/>
          <w:color w:val="000000"/>
        </w:rPr>
      </w:r>
    </w:p>
    <w:p>
      <w:pPr>
        <w:pStyle w:val="Normal"/>
        <w:ind w:firstLine="426"/>
        <w:jc w:val="both"/>
        <w:rPr>
          <w:color w:val="000000"/>
        </w:rPr>
      </w:pPr>
      <w:r>
        <w:rPr>
          <w:rFonts w:cs="Arial" w:ascii="Arial" w:hAnsi="Arial"/>
          <w:color w:val="000000"/>
        </w:rPr>
        <w:t xml:space="preserve">5.4.5. Procuração das consorciadas, outorgando à empresa líder poderes para representá-las perante a Contratante, em juízo ou fora dele. </w:t>
      </w:r>
    </w:p>
    <w:p>
      <w:pPr>
        <w:pStyle w:val="Normal"/>
        <w:ind w:firstLine="426"/>
        <w:jc w:val="both"/>
        <w:rPr>
          <w:rFonts w:ascii="Arial" w:hAnsi="Arial" w:cs="Arial"/>
          <w:color w:val="000000"/>
        </w:rPr>
      </w:pPr>
      <w:r>
        <w:rPr>
          <w:rFonts w:cs="Arial" w:ascii="Arial" w:hAnsi="Arial"/>
          <w:color w:val="000000"/>
        </w:rPr>
      </w:r>
    </w:p>
    <w:p>
      <w:pPr>
        <w:pStyle w:val="Normal"/>
        <w:ind w:firstLine="284"/>
        <w:jc w:val="both"/>
        <w:rPr>
          <w:color w:val="000000"/>
        </w:rPr>
      </w:pPr>
      <w:r>
        <w:rPr>
          <w:rFonts w:cs="Arial" w:ascii="Arial" w:hAnsi="Arial"/>
          <w:color w:val="000000"/>
        </w:rPr>
        <w:t>5.4.6. É vedada a participação de empresa consorciada no presente certame, através de mais de um consórcio ou isoladamente.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tabs>
          <w:tab w:val="clear" w:pos="709"/>
          <w:tab w:val="left" w:pos="284" w:leader="none"/>
        </w:tabs>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6.5.</w:t>
      </w:r>
      <w:r>
        <w:rPr>
          <w:rFonts w:cs="Arial" w:ascii="Arial" w:hAnsi="Arial"/>
        </w:rPr>
        <w:t xml:space="preserve"> 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rPr>
      </w:pPr>
      <w:r>
        <w:rPr>
          <w:rFonts w:cs="Arial" w:ascii="Arial" w:hAnsi="Arial"/>
        </w:rPr>
      </w:r>
    </w:p>
    <w:p>
      <w:pPr>
        <w:pStyle w:val="Heading9"/>
        <w:numPr>
          <w:ilvl w:val="8"/>
          <w:numId w:val="1"/>
        </w:numPr>
        <w:ind w:firstLine="284" w:left="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tabs>
          <w:tab w:val="clear" w:pos="709"/>
          <w:tab w:val="left" w:pos="284" w:leader="none"/>
        </w:tabs>
        <w:spacing w:lineRule="auto" w:line="240"/>
        <w:ind w:firstLine="284"/>
        <w:textAlignment w:val="auto"/>
        <w:rPr>
          <w:color w:val="auto"/>
          <w:sz w:val="20"/>
          <w:szCs w:val="20"/>
          <w:lang w:val="pt-BR"/>
        </w:rPr>
      </w:pPr>
      <w:r>
        <w:rPr>
          <w:color w:val="auto"/>
          <w:sz w:val="20"/>
          <w:szCs w:val="20"/>
          <w:lang w:val="pt-BR"/>
        </w:rPr>
      </w:r>
    </w:p>
    <w:p>
      <w:pPr>
        <w:pStyle w:val="BodyTextIndent"/>
        <w:tabs>
          <w:tab w:val="clear" w:pos="709"/>
          <w:tab w:val="left" w:pos="284" w:leader="none"/>
        </w:tabs>
        <w:spacing w:lineRule="auto" w:line="240"/>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pPr>
        <w:pStyle w:val="BodyTextIndent"/>
        <w:tabs>
          <w:tab w:val="clear" w:pos="709"/>
          <w:tab w:val="left" w:pos="284" w:leader="none"/>
        </w:tabs>
        <w:spacing w:lineRule="auto" w:line="240"/>
        <w:ind w:firstLine="284"/>
        <w:textAlignment w:val="auto"/>
        <w:rPr>
          <w:color w:val="auto"/>
          <w:sz w:val="20"/>
          <w:szCs w:val="20"/>
        </w:rPr>
      </w:pPr>
      <w:r>
        <w:rPr>
          <w:color w:val="auto"/>
          <w:sz w:val="20"/>
          <w:szCs w:val="20"/>
        </w:rPr>
      </w:r>
    </w:p>
    <w:p>
      <w:pPr>
        <w:pStyle w:val="BodyTextIndent"/>
        <w:tabs>
          <w:tab w:val="clear" w:pos="709"/>
          <w:tab w:val="left" w:pos="284" w:leader="none"/>
        </w:tabs>
        <w:spacing w:lineRule="auto" w:line="240"/>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tabs>
          <w:tab w:val="clear" w:pos="709"/>
          <w:tab w:val="left" w:pos="284" w:leader="none"/>
        </w:tabs>
        <w:spacing w:lineRule="auto" w:line="240"/>
        <w:ind w:firstLine="284"/>
        <w:textAlignment w:val="auto"/>
        <w:rPr>
          <w:color w:val="auto"/>
          <w:sz w:val="20"/>
          <w:szCs w:val="20"/>
          <w:lang w:val="pt-BR"/>
        </w:rPr>
      </w:pPr>
      <w:r>
        <w:rPr>
          <w:color w:val="auto"/>
          <w:sz w:val="20"/>
          <w:szCs w:val="20"/>
          <w:lang w:val="pt-BR"/>
        </w:rPr>
      </w:r>
    </w:p>
    <w:p>
      <w:pPr>
        <w:pStyle w:val="BodyTextIndent"/>
        <w:spacing w:lineRule="auto" w:line="240"/>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pPr>
        <w:pStyle w:val="BodyTextIndent"/>
        <w:spacing w:lineRule="auto" w:line="240"/>
        <w:ind w:firstLine="284"/>
        <w:textAlignment w:val="auto"/>
        <w:rPr>
          <w:color w:val="auto"/>
          <w:sz w:val="20"/>
          <w:szCs w:val="20"/>
        </w:rPr>
      </w:pPr>
      <w:r>
        <w:rPr>
          <w:color w:val="auto"/>
          <w:sz w:val="20"/>
          <w:szCs w:val="20"/>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 xml:space="preserve">8.1. </w:t>
      </w:r>
      <w:r>
        <w:rPr>
          <w:rFonts w:cs="Arial" w:ascii="Arial" w:hAnsi="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8.2. </w:t>
      </w:r>
      <w:r>
        <w:rPr>
          <w:rFonts w:cs="Arial" w:ascii="Arial" w:hAnsi="Arial"/>
        </w:rPr>
        <w:t>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8.3.</w:t>
      </w:r>
      <w:r>
        <w:rPr>
          <w:rFonts w:cs="Arial" w:ascii="Arial" w:hAnsi="Arial"/>
        </w:rPr>
        <w:t xml:space="preserve"> As licitantes deverão declarar sua condição de Microempresa ou Empresa de Pequeno Porte, ao selecionar se são ou não beneficiárias da Lei Complementar n.º 123/2006 alterada pela Lei Complementar nº 147/2014.</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8.5.</w:t>
      </w:r>
      <w:r>
        <w:rPr>
          <w:rFonts w:cs="Arial" w:ascii="Arial" w:hAnsi="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8.7.</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8.7.1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8.7.2. A proposta readequada deverá seguir o modelo disponível no Anexo IV deste edital.</w:t>
      </w:r>
    </w:p>
    <w:p>
      <w:pPr>
        <w:pStyle w:val="Normal"/>
        <w:numPr>
          <w:ilvl w:val="0"/>
          <w:numId w:val="1"/>
        </w:numPr>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8.8.</w:t>
      </w:r>
      <w:r>
        <w:rPr>
          <w:rFonts w:cs="Arial" w:ascii="Arial" w:hAnsi="Arial"/>
        </w:rPr>
        <w:t xml:space="preserve"> O licitante poderá suprir ou sanear eventuais omissões ou falhas relativas ao cumprimento dos requisitos do item 8.7.,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8.9.</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pPr>
      <w:r>
        <w:rPr/>
      </w:r>
    </w:p>
    <w:p>
      <w:pPr>
        <w:pStyle w:val="Heading8"/>
        <w:numPr>
          <w:ilvl w:val="7"/>
          <w:numId w:val="19"/>
        </w:numPr>
        <w:ind w:firstLine="284" w:left="0"/>
        <w:rPr>
          <w:caps/>
          <w:sz w:val="20"/>
          <w:szCs w:val="20"/>
        </w:rPr>
      </w:pPr>
      <w:r>
        <w:rPr>
          <w:caps/>
          <w:sz w:val="20"/>
          <w:szCs w:val="20"/>
        </w:rPr>
        <w:t>9</w:t>
      </w:r>
      <w:r>
        <w:rPr>
          <w:caps/>
          <w:sz w:val="20"/>
          <w:szCs w:val="20"/>
          <w:lang w:val="pt-BR"/>
        </w:rPr>
        <w:t>.</w:t>
      </w:r>
      <w:r>
        <w:rPr>
          <w:caps/>
          <w:sz w:val="20"/>
          <w:szCs w:val="20"/>
        </w:rPr>
        <w:t xml:space="preserve"> ENVIO DA DOCUMENTAÇÃO DE HABILITAÇÃO </w:t>
      </w:r>
    </w:p>
    <w:p>
      <w:pPr>
        <w:pStyle w:val="Normal"/>
        <w:ind w:firstLine="284"/>
        <w:rPr>
          <w:b/>
        </w:rPr>
      </w:pPr>
      <w:r>
        <w:rPr>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9.2.1. </w:t>
      </w:r>
      <w:r>
        <w:rPr>
          <w:rFonts w:cs="Arial" w:ascii="Arial" w:hAnsi="Arial"/>
        </w:rPr>
        <w:t>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bCs/>
        </w:rPr>
      </w:pPr>
      <w:r>
        <w:rPr>
          <w:rFonts w:cs="Arial" w:ascii="Arial" w:hAnsi="Arial"/>
          <w:bCs/>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9.3.1.</w:t>
      </w:r>
      <w:r>
        <w:rPr>
          <w:rFonts w:cs="Arial" w:ascii="Arial" w:hAnsi="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9.3.2.</w:t>
      </w:r>
      <w:r>
        <w:rPr>
          <w:rFonts w:cs="Arial" w:ascii="Arial" w:hAnsi="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9.4.</w:t>
      </w:r>
      <w:r>
        <w:rPr>
          <w:rFonts w:cs="Arial" w:ascii="Arial" w:hAnsi="Arial"/>
        </w:rPr>
        <w:t xml:space="preserve"> Os documentos que compõem a habilitação do licitante melhor classificado somente serão disponibilizados para avaliação do pregoeiro e para acesso público após o encerramento do envio de lances.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9.5.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color w:val="00B050"/>
        </w:rPr>
      </w:pPr>
      <w:r>
        <w:rPr>
          <w:rFonts w:cs="Arial" w:ascii="Arial" w:hAnsi="Arial"/>
          <w:color w:val="00B050"/>
        </w:rPr>
      </w:r>
    </w:p>
    <w:p>
      <w:pPr>
        <w:pStyle w:val="Normal"/>
        <w:ind w:firstLine="284"/>
        <w:jc w:val="both"/>
        <w:rPr>
          <w:rFonts w:ascii="Arial" w:hAnsi="Arial" w:cs="Arial"/>
        </w:rPr>
      </w:pPr>
      <w:r>
        <w:rPr>
          <w:rFonts w:cs="Arial" w:ascii="Arial" w:hAnsi="Arial"/>
          <w:b/>
          <w:bCs/>
        </w:rPr>
        <w:t>9.5.2.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rPr>
      </w:pPr>
      <w:r>
        <w:rPr>
          <w:rFonts w:cs="Arial" w:ascii="Arial" w:hAnsi="Arial"/>
        </w:rPr>
      </w:r>
    </w:p>
    <w:p>
      <w:pPr>
        <w:pStyle w:val="Heading8"/>
        <w:numPr>
          <w:ilvl w:val="7"/>
          <w:numId w:val="1"/>
        </w:numPr>
        <w:ind w:firstLine="284" w:left="0"/>
        <w:rPr/>
      </w:pPr>
      <w:r>
        <w:rPr>
          <w:caps/>
          <w:sz w:val="20"/>
          <w:szCs w:val="20"/>
        </w:rPr>
        <w:t>10</w:t>
      </w:r>
      <w:r>
        <w:rPr>
          <w:caps/>
          <w:sz w:val="20"/>
          <w:szCs w:val="20"/>
          <w:lang w:val="pt-BR"/>
        </w:rPr>
        <w:t>.</w:t>
      </w:r>
      <w:r>
        <w:rPr>
          <w:caps/>
          <w:sz w:val="20"/>
          <w:szCs w:val="20"/>
        </w:rPr>
        <w:t xml:space="preserve"> abertura</w:t>
      </w:r>
    </w:p>
    <w:p>
      <w:pPr>
        <w:pStyle w:val="Normal"/>
        <w:ind w:firstLine="284"/>
        <w:jc w:val="both"/>
        <w:rPr>
          <w:rFonts w:ascii="Arial" w:hAnsi="Arial" w:cs="Arial"/>
          <w:sz w:val="22"/>
        </w:rPr>
      </w:pPr>
      <w:r>
        <w:rPr>
          <w:rFonts w:cs="Arial" w:ascii="Arial" w:hAnsi="Arial"/>
          <w:sz w:val="22"/>
        </w:rPr>
      </w:r>
    </w:p>
    <w:p>
      <w:pPr>
        <w:pStyle w:val="Normal"/>
        <w:numPr>
          <w:ilvl w:val="0"/>
          <w:numId w:val="1"/>
        </w:numPr>
        <w:ind w:firstLine="284" w:left="0"/>
        <w:jc w:val="both"/>
        <w:rPr>
          <w:rFonts w:ascii="Arial" w:hAnsi="Arial" w:cs="Arial"/>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1"/>
        </w:numPr>
        <w:ind w:firstLine="284" w:left="0"/>
        <w:jc w:val="both"/>
        <w:rPr>
          <w:rFonts w:ascii="Arial" w:hAnsi="Arial" w:cs="Arial"/>
          <w:sz w:val="22"/>
        </w:rPr>
      </w:pPr>
      <w:r>
        <w:rPr>
          <w:rFonts w:cs="Arial" w:ascii="Arial" w:hAnsi="Arial"/>
          <w:sz w:val="22"/>
        </w:rPr>
      </w:r>
    </w:p>
    <w:p>
      <w:pPr>
        <w:pStyle w:val="Normal"/>
        <w:numPr>
          <w:ilvl w:val="0"/>
          <w:numId w:val="1"/>
        </w:numPr>
        <w:ind w:firstLine="284" w:left="0"/>
        <w:jc w:val="both"/>
        <w:rPr>
          <w:rFonts w:ascii="Arial" w:hAnsi="Arial" w:cs="Arial"/>
        </w:rPr>
      </w:pPr>
      <w:r>
        <w:rPr>
          <w:rFonts w:cs="Arial" w:ascii="Arial" w:hAnsi="Arial"/>
          <w:b/>
          <w:bCs/>
        </w:rPr>
        <w:t xml:space="preserve">10.2. </w:t>
      </w:r>
      <w:r>
        <w:rPr>
          <w:rFonts w:cs="Arial" w:ascii="Arial" w:hAnsi="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1"/>
        </w:numPr>
        <w:ind w:firstLine="284" w:left="0"/>
        <w:jc w:val="both"/>
        <w:rPr>
          <w:rFonts w:ascii="Arial" w:hAnsi="Arial" w:cs="Arial"/>
          <w:sz w:val="22"/>
        </w:rPr>
      </w:pPr>
      <w:r>
        <w:rPr>
          <w:rFonts w:cs="Arial" w:ascii="Arial" w:hAnsi="Arial"/>
          <w:sz w:val="22"/>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10.2.1.</w:t>
      </w:r>
      <w:r>
        <w:rPr>
          <w:rFonts w:cs="Arial" w:ascii="Arial" w:hAnsi="Arial"/>
        </w:rPr>
        <w:t xml:space="preserve"> Não serão aceitos dois ou mais lances de mesmo valor, prevalecendo aquele que for recebido e registrado em primeiro lugar.</w:t>
      </w:r>
    </w:p>
    <w:p>
      <w:pPr>
        <w:pStyle w:val="Normal"/>
        <w:numPr>
          <w:ilvl w:val="0"/>
          <w:numId w:val="1"/>
        </w:numPr>
        <w:ind w:firstLine="284" w:left="0"/>
        <w:jc w:val="both"/>
        <w:rPr>
          <w:rFonts w:ascii="Arial" w:hAnsi="Arial" w:cs="Arial"/>
          <w:sz w:val="22"/>
        </w:rPr>
      </w:pPr>
      <w:r>
        <w:rPr>
          <w:rFonts w:cs="Arial" w:ascii="Arial" w:hAnsi="Arial"/>
          <w:sz w:val="22"/>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1"/>
        </w:numPr>
        <w:ind w:firstLine="284" w:left="0"/>
        <w:jc w:val="both"/>
        <w:rPr>
          <w:rFonts w:ascii="Arial" w:hAnsi="Arial" w:cs="Arial"/>
          <w:sz w:val="22"/>
        </w:rPr>
      </w:pPr>
      <w:r>
        <w:rPr>
          <w:rFonts w:cs="Arial" w:ascii="Arial" w:hAnsi="Arial"/>
          <w:sz w:val="22"/>
        </w:rPr>
      </w:r>
    </w:p>
    <w:p>
      <w:pPr>
        <w:pStyle w:val="Normal"/>
        <w:numPr>
          <w:ilvl w:val="0"/>
          <w:numId w:val="1"/>
        </w:numPr>
        <w:ind w:firstLine="284" w:left="0"/>
        <w:jc w:val="both"/>
        <w:rPr>
          <w:rFonts w:ascii="Arial" w:hAnsi="Arial" w:cs="Arial"/>
        </w:rPr>
      </w:pPr>
      <w:r>
        <w:rPr>
          <w:rFonts w:cs="Arial" w:ascii="Arial" w:hAnsi="Arial"/>
          <w:b/>
          <w:bCs/>
        </w:rPr>
        <w:t>10.3.</w:t>
      </w:r>
      <w:r>
        <w:rPr>
          <w:rFonts w:cs="Arial" w:ascii="Arial" w:hAnsi="Arial"/>
        </w:rPr>
        <w:t xml:space="preserve"> Durante o transcurso da sessão pública, as licitantes serão informadas, em tempo real, do valor do menor lance registrado. O sistema eletrônico não identificará a autora dos lances às demais licitantes.</w:t>
      </w:r>
    </w:p>
    <w:p>
      <w:pPr>
        <w:pStyle w:val="Normal"/>
        <w:numPr>
          <w:ilvl w:val="0"/>
          <w:numId w:val="1"/>
        </w:numPr>
        <w:ind w:firstLine="284" w:left="0"/>
        <w:jc w:val="both"/>
        <w:rPr>
          <w:rFonts w:ascii="Arial" w:hAnsi="Arial" w:cs="Arial"/>
          <w:sz w:val="22"/>
        </w:rPr>
      </w:pPr>
      <w:r>
        <w:rPr>
          <w:rFonts w:cs="Arial" w:ascii="Arial" w:hAnsi="Arial"/>
          <w:sz w:val="22"/>
        </w:rPr>
      </w:r>
    </w:p>
    <w:p>
      <w:pPr>
        <w:pStyle w:val="Normal"/>
        <w:numPr>
          <w:ilvl w:val="0"/>
          <w:numId w:val="1"/>
        </w:numPr>
        <w:ind w:firstLine="284" w:left="0"/>
        <w:jc w:val="both"/>
        <w:rPr>
          <w:rFonts w:ascii="Arial" w:hAnsi="Arial" w:cs="Arial"/>
        </w:rPr>
      </w:pPr>
      <w:r>
        <w:rPr>
          <w:rFonts w:cs="Arial" w:ascii="Arial" w:hAnsi="Arial"/>
          <w:b/>
          <w:bCs/>
        </w:rPr>
        <w:t>10.4.</w:t>
      </w:r>
      <w:r>
        <w:rPr>
          <w:rFonts w:cs="Arial" w:ascii="Arial" w:hAnsi="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1"/>
        </w:numPr>
        <w:ind w:firstLine="284" w:left="0"/>
        <w:jc w:val="both"/>
        <w:rPr>
          <w:rFonts w:ascii="Arial" w:hAnsi="Arial" w:cs="Arial"/>
          <w:sz w:val="22"/>
        </w:rPr>
      </w:pPr>
      <w:r>
        <w:rPr>
          <w:rFonts w:cs="Arial" w:ascii="Arial" w:hAnsi="Arial"/>
          <w:sz w:val="22"/>
        </w:rPr>
      </w:r>
    </w:p>
    <w:p>
      <w:pPr>
        <w:pStyle w:val="BodyText"/>
        <w:numPr>
          <w:ilvl w:val="0"/>
          <w:numId w:val="1"/>
        </w:numPr>
        <w:ind w:firstLine="284" w:left="0"/>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pPr>
        <w:pStyle w:val="BodyText"/>
        <w:numPr>
          <w:ilvl w:val="0"/>
          <w:numId w:val="1"/>
        </w:numPr>
        <w:ind w:firstLine="284" w:left="0"/>
        <w:rPr>
          <w:szCs w:val="20"/>
        </w:rPr>
      </w:pPr>
      <w:r>
        <w:rPr>
          <w:szCs w:val="20"/>
        </w:rPr>
      </w:r>
    </w:p>
    <w:p>
      <w:pPr>
        <w:pStyle w:val="BodyText"/>
        <w:numPr>
          <w:ilvl w:val="0"/>
          <w:numId w:val="1"/>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pPr>
        <w:pStyle w:val="BodyText"/>
        <w:numPr>
          <w:ilvl w:val="0"/>
          <w:numId w:val="1"/>
        </w:numPr>
        <w:ind w:firstLine="284" w:left="0"/>
        <w:rPr>
          <w:szCs w:val="20"/>
        </w:rPr>
      </w:pPr>
      <w:r>
        <w:rPr>
          <w:szCs w:val="20"/>
        </w:rPr>
      </w:r>
    </w:p>
    <w:p>
      <w:pPr>
        <w:pStyle w:val="BodyText"/>
        <w:numPr>
          <w:ilvl w:val="0"/>
          <w:numId w:val="1"/>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t>Agente de Contratação</w:t>
      </w:r>
      <w:r>
        <w:rPr>
          <w:sz w:val="20"/>
          <w:szCs w:val="20"/>
        </w:rPr>
        <w:t xml:space="preserve"> poderá negociar com a licitante para que seja obtido menor preço.</w:t>
      </w:r>
    </w:p>
    <w:p>
      <w:pPr>
        <w:pStyle w:val="BodyText"/>
        <w:numPr>
          <w:ilvl w:val="0"/>
          <w:numId w:val="1"/>
        </w:numPr>
        <w:ind w:firstLine="284" w:left="0"/>
        <w:rPr>
          <w:szCs w:val="20"/>
        </w:rPr>
      </w:pPr>
      <w:r>
        <w:rPr>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sz w:val="22"/>
        </w:rPr>
      </w:pPr>
      <w:r>
        <w:rPr>
          <w:rFonts w:cs="Arial" w:ascii="Arial" w:hAnsi="Arial"/>
          <w:b/>
          <w:bCs/>
          <w:sz w:val="22"/>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sz w:val="22"/>
        </w:rPr>
      </w:pPr>
      <w:r>
        <w:rPr>
          <w:rFonts w:cs="Arial" w:ascii="Arial" w:hAnsi="Arial"/>
          <w:sz w:val="22"/>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sz w:val="22"/>
        </w:rPr>
      </w:pPr>
      <w:r>
        <w:rPr>
          <w:rFonts w:cs="Arial" w:ascii="Arial" w:hAnsi="Arial"/>
          <w:sz w:val="22"/>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sz w:val="22"/>
        </w:rPr>
      </w:pPr>
      <w:r>
        <w:rPr>
          <w:rFonts w:cs="Arial" w:ascii="Arial" w:hAnsi="Arial"/>
          <w:sz w:val="22"/>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Cs/>
          <w:sz w:val="22"/>
        </w:rPr>
      </w:pPr>
      <w:r>
        <w:rPr>
          <w:rFonts w:cs="Arial" w:ascii="Arial" w:hAnsi="Arial"/>
          <w:b/>
          <w:bCs/>
          <w:sz w:val="22"/>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14.1.2.</w:t>
      </w:r>
      <w:r>
        <w:rPr>
          <w:rFonts w:cs="Arial" w:ascii="Arial" w:hAnsi="Arial"/>
        </w:rPr>
        <w:t xml:space="preserve"> E-mail para envio da NF-e: </w:t>
      </w:r>
      <w:hyperlink r:id="rId10">
        <w:r>
          <w:rPr>
            <w:rStyle w:val="Hyperlink"/>
            <w:rFonts w:cs="Arial" w:ascii="Arial" w:hAnsi="Arial"/>
            <w:color w:val="auto"/>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15. FORMALIZAÇÃO DO INSTRUMENTO CONTRATUAL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15.1.</w:t>
      </w:r>
      <w:r>
        <w:rPr>
          <w:rFonts w:cs="Arial" w:ascii="Arial" w:hAnsi="Arial"/>
        </w:rPr>
        <w:t xml:space="preserve"> Homologada a licitação pela autoridade competente, a PREFEITURA MUNICIPAL DE PIRACICABA firmará contrato específico com a ADJUDICATÁRIA visando à execução do objeto desta licitação.</w:t>
      </w:r>
    </w:p>
    <w:p>
      <w:pPr>
        <w:pStyle w:val="Normal"/>
        <w:ind w:firstLine="284"/>
        <w:jc w:val="both"/>
        <w:rPr>
          <w:rFonts w:ascii="Arial" w:hAnsi="Arial" w:cs="Arial"/>
          <w:highlight w:val="yellow"/>
        </w:rPr>
      </w:pPr>
      <w:r>
        <w:rPr>
          <w:rFonts w:cs="Arial" w:ascii="Arial" w:hAnsi="Arial"/>
          <w:highlight w:val="yellow"/>
        </w:rPr>
      </w:r>
    </w:p>
    <w:p>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pPr>
        <w:pStyle w:val="Normal"/>
        <w:ind w:firstLine="284"/>
        <w:rPr>
          <w:rFonts w:ascii="Arial" w:hAnsi="Arial" w:cs="Arial"/>
        </w:rPr>
      </w:pPr>
      <w:r>
        <w:rPr>
          <w:rFonts w:cs="Arial" w:ascii="Arial" w:hAnsi="Arial"/>
        </w:rPr>
      </w:r>
    </w:p>
    <w:p>
      <w:pPr>
        <w:pStyle w:val="BodyText"/>
        <w:ind w:firstLine="284"/>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pPr>
        <w:pStyle w:val="Corpodetexto31"/>
        <w:ind w:firstLine="284"/>
        <w:rPr>
          <w:color w:val="auto"/>
        </w:rPr>
      </w:pPr>
      <w:r>
        <w:rPr>
          <w:color w:val="auto"/>
        </w:rPr>
      </w:r>
    </w:p>
    <w:p>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pPr>
        <w:pStyle w:val="Corpodetexto31"/>
        <w:ind w:firstLine="284"/>
        <w:rPr>
          <w:color w:val="auto"/>
        </w:rPr>
      </w:pPr>
      <w:r>
        <w:rPr>
          <w:color w:val="auto"/>
        </w:rPr>
      </w:r>
    </w:p>
    <w:p>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pPr>
        <w:pStyle w:val="Corpodetexto31"/>
        <w:ind w:firstLine="284"/>
        <w:rPr>
          <w:color w:val="auto"/>
        </w:rPr>
      </w:pPr>
      <w:r>
        <w:rPr>
          <w:color w:val="auto"/>
        </w:rPr>
      </w:r>
    </w:p>
    <w:p>
      <w:pPr>
        <w:pStyle w:val="Corpodetexto31"/>
        <w:ind w:firstLine="284"/>
        <w:rPr>
          <w:color w:val="auto"/>
        </w:rPr>
      </w:pPr>
      <w:r>
        <w:rPr>
          <w:b/>
          <w:bCs/>
          <w:color w:val="auto"/>
        </w:rPr>
        <w:t>15.6.</w:t>
      </w:r>
      <w:r>
        <w:rPr>
          <w:color w:val="auto"/>
        </w:rPr>
        <w:t xml:space="preserve"> A Contratada fica obrigada a aceitar, nas mesmas condições iniciais, acréscimos ou supressões, do objeto contratual, até o limite de 25% (vinte e cinco por cento) do valor inicial do contrato.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16.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16.1. </w:t>
      </w:r>
      <w:r>
        <w:rPr>
          <w:rFonts w:cs="Arial" w:ascii="Arial" w:hAnsi="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 </w:t>
      </w:r>
      <w:r>
        <w:rPr>
          <w:rFonts w:cs="Arial" w:ascii="Arial" w:hAnsi="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 </w:t>
      </w:r>
      <w:r>
        <w:rPr>
          <w:rFonts w:cs="Arial" w:ascii="Arial" w:hAnsi="Arial"/>
        </w:rPr>
        <w:t>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16.5. </w:t>
      </w:r>
      <w:r>
        <w:rPr>
          <w:rFonts w:cs="Arial" w:ascii="Arial" w:hAnsi="Arial"/>
        </w:rPr>
        <w:t>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16.6. </w:t>
      </w:r>
      <w:r>
        <w:rPr>
          <w:rFonts w:cs="Arial" w:ascii="Arial" w:hAnsi="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16.7. </w:t>
      </w:r>
      <w:r>
        <w:rPr>
          <w:rFonts w:cs="Arial" w:ascii="Arial" w:hAnsi="Arial"/>
        </w:rPr>
        <w:t>As licitantes intimadas para prestar qualquer esclarecimento adicional deverão fazê-lo no prazo determinado pelo Pregoeiro, sob pena de desclassificação/inabilitação.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tabs>
          <w:tab w:val="clear" w:pos="709"/>
          <w:tab w:val="left" w:pos="284" w:leader="none"/>
        </w:tabs>
        <w:ind w:firstLine="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2"/>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7"/>
        <w:gridCol w:w="850"/>
        <w:gridCol w:w="4538"/>
        <w:gridCol w:w="1414"/>
        <w:gridCol w:w="1703"/>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Item</w:t>
            </w:r>
          </w:p>
        </w:tc>
        <w:tc>
          <w:tcPr>
            <w:tcW w:w="847"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Unid.</w:t>
            </w:r>
          </w:p>
        </w:tc>
        <w:tc>
          <w:tcPr>
            <w:tcW w:w="4538"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b/>
              </w:rPr>
              <w:t>Descritivo</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Unitário</w:t>
            </w:r>
          </w:p>
        </w:tc>
        <w:tc>
          <w:tcPr>
            <w:tcW w:w="1703"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spacing w:lineRule="auto" w:line="240"/>
        <w:jc w:val="center"/>
        <w:rPr>
          <w:color w:val="auto"/>
          <w:sz w:val="20"/>
          <w:szCs w:val="20"/>
        </w:rPr>
      </w:pPr>
      <w:r>
        <w:rPr>
          <w:color w:val="auto"/>
          <w:sz w:val="20"/>
          <w:szCs w:val="20"/>
        </w:rPr>
      </w:r>
      <w:r>
        <w:br w:type="page"/>
      </w:r>
    </w:p>
    <w:p>
      <w:pPr>
        <w:pStyle w:val="BodyTextIndent"/>
        <w:widowControl w:val="false"/>
        <w:tabs>
          <w:tab w:val="clear" w:pos="709"/>
          <w:tab w:val="left" w:pos="284" w:leader="none"/>
        </w:tabs>
        <w:spacing w:lineRule="auto" w:line="240" w:before="0" w:after="0"/>
        <w:jc w:val="center"/>
        <w:rPr>
          <w:b/>
          <w:bCs/>
          <w:color w:val="auto"/>
          <w:sz w:val="20"/>
          <w:szCs w:val="20"/>
          <w:shd w:fill="FFFFFF" w:val="clear"/>
          <w:lang w:val="pt-BR"/>
        </w:rPr>
      </w:pPr>
      <w:r>
        <w:rPr>
          <w:b/>
          <w:color w:val="auto"/>
          <w:sz w:val="20"/>
          <w:szCs w:val="20"/>
        </w:rPr>
        <w:t>ANEXO V</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rPr>
      </w:pPr>
      <w:r>
        <w:rPr>
          <w:rFonts w:cs="Arial" w:ascii="Arial" w:hAnsi="Arial"/>
          <w:b/>
          <w:bCs/>
        </w:rPr>
        <w:t>MINUTA DE CONTRATO OU TERMO EQUIVALENTE</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jc w:val="both"/>
        <w:rPr>
          <w:b/>
          <w:sz w:val="24"/>
          <w:szCs w:val="24"/>
          <w:u w:val="single"/>
        </w:rPr>
      </w:pPr>
      <w:r>
        <w:rPr>
          <w:b/>
          <w:sz w:val="24"/>
          <w:szCs w:val="24"/>
          <w:u w:val="single"/>
        </w:rPr>
        <w:t>CONTRATO QUE ENTRE SI FAZEM A PREFEITURA DO MUNICÍPIO DE PIRACICABA E ................................................, PARA A REALIZAÇÃO DE SERVIÇOS GRÁFICOS.</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sz w:val="24"/>
          <w:szCs w:val="24"/>
        </w:rPr>
      </w:pPr>
      <w:r>
        <w:rPr>
          <w:b/>
          <w:sz w:val="24"/>
          <w:szCs w:val="24"/>
        </w:rPr>
        <w:t>Data: ... de ................. de 2026.</w:t>
      </w:r>
    </w:p>
    <w:p>
      <w:pPr>
        <w:pStyle w:val="Normal"/>
        <w:jc w:val="both"/>
        <w:rPr>
          <w:sz w:val="24"/>
          <w:szCs w:val="24"/>
        </w:rPr>
      </w:pPr>
      <w:r>
        <w:rPr>
          <w:b/>
          <w:sz w:val="24"/>
          <w:szCs w:val="24"/>
        </w:rPr>
        <w:t>Prazo: até 31/12/2026.</w:t>
      </w:r>
    </w:p>
    <w:p>
      <w:pPr>
        <w:pStyle w:val="Normal"/>
        <w:jc w:val="both"/>
        <w:rPr>
          <w:sz w:val="24"/>
          <w:szCs w:val="24"/>
        </w:rPr>
      </w:pPr>
      <w:r>
        <w:rPr>
          <w:b/>
          <w:sz w:val="24"/>
          <w:szCs w:val="24"/>
        </w:rPr>
        <w:t>Valor: R$ ........ (............).</w:t>
      </w:r>
    </w:p>
    <w:p>
      <w:pPr>
        <w:pStyle w:val="Normal"/>
        <w:jc w:val="both"/>
        <w:rPr>
          <w:sz w:val="24"/>
          <w:szCs w:val="24"/>
        </w:rPr>
      </w:pPr>
      <w:r>
        <w:rPr>
          <w:b/>
          <w:sz w:val="24"/>
          <w:szCs w:val="24"/>
        </w:rPr>
        <w:t>Processo Administrativo nº 2026/111149.</w:t>
      </w:r>
    </w:p>
    <w:p>
      <w:pPr>
        <w:pStyle w:val="Normal"/>
        <w:jc w:val="both"/>
        <w:rPr>
          <w:b/>
          <w:sz w:val="24"/>
          <w:szCs w:val="24"/>
        </w:rPr>
      </w:pPr>
      <w:r>
        <w:rPr>
          <w:b/>
          <w:sz w:val="24"/>
          <w:szCs w:val="24"/>
        </w:rPr>
        <w:t>Pregão Eletrônico n.º ..../2026.</w:t>
      </w:r>
    </w:p>
    <w:p>
      <w:pPr>
        <w:pStyle w:val="Normal"/>
        <w:jc w:val="both"/>
        <w:rPr>
          <w:sz w:val="24"/>
          <w:szCs w:val="24"/>
        </w:rPr>
      </w:pPr>
      <w:r>
        <w:rPr>
          <w:b/>
          <w:sz w:val="24"/>
          <w:szCs w:val="24"/>
        </w:rPr>
        <w:t>Contrato n.º …./2026.</w:t>
      </w:r>
    </w:p>
    <w:p>
      <w:pPr>
        <w:pStyle w:val="Normal"/>
        <w:jc w:val="both"/>
        <w:rPr>
          <w:sz w:val="24"/>
          <w:szCs w:val="24"/>
        </w:rPr>
      </w:pPr>
      <w:r>
        <w:rPr>
          <w:sz w:val="24"/>
          <w:szCs w:val="24"/>
        </w:rPr>
      </w:r>
    </w:p>
    <w:p>
      <w:pPr>
        <w:pStyle w:val="Normal"/>
        <w:jc w:val="both"/>
        <w:rPr>
          <w:strike/>
          <w:sz w:val="24"/>
          <w:szCs w:val="24"/>
        </w:rPr>
      </w:pPr>
      <w:r>
        <w:rPr>
          <w:strike/>
          <w:sz w:val="24"/>
          <w:szCs w:val="24"/>
        </w:rPr>
      </w:r>
    </w:p>
    <w:p>
      <w:pPr>
        <w:pStyle w:val="Normal"/>
        <w:ind w:firstLine="851"/>
        <w:jc w:val="both"/>
        <w:rPr>
          <w:b/>
          <w:sz w:val="24"/>
          <w:szCs w:val="24"/>
        </w:rPr>
      </w:pPr>
      <w:r>
        <w:rPr>
          <w:b/>
          <w:sz w:val="24"/>
          <w:szCs w:val="24"/>
        </w:rPr>
      </w:r>
    </w:p>
    <w:p>
      <w:pPr>
        <w:pStyle w:val="Normal"/>
        <w:ind w:firstLine="851"/>
        <w:jc w:val="both"/>
        <w:rPr>
          <w:b/>
          <w:sz w:val="24"/>
          <w:szCs w:val="24"/>
        </w:rPr>
      </w:pPr>
      <w:r>
        <w:rPr>
          <w:b/>
          <w:sz w:val="24"/>
          <w:szCs w:val="24"/>
        </w:rPr>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sz w:val="24"/>
                <w:szCs w:val="24"/>
              </w:rPr>
            </w:pPr>
            <w:r>
              <w:rPr>
                <w:b/>
                <w:sz w:val="24"/>
                <w:szCs w:val="24"/>
              </w:rPr>
              <w:t>CLÁUSULA 1ª - DAS PARTES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 Sr.                               </w:t>
      </w:r>
      <w:r>
        <w:rPr>
          <w:b/>
          <w:sz w:val="24"/>
          <w:szCs w:val="24"/>
        </w:rPr>
        <w:t>,</w:t>
      </w:r>
      <w:r>
        <w:rPr>
          <w:sz w:val="24"/>
          <w:szCs w:val="24"/>
          <w:shd w:fill="FFFFFF" w:val="clear"/>
        </w:rPr>
        <w:t xml:space="preserve">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sz w:val="24"/>
                <w:szCs w:val="24"/>
              </w:rPr>
            </w:pPr>
            <w:r>
              <w:rPr>
                <w:b/>
                <w:sz w:val="24"/>
                <w:szCs w:val="24"/>
              </w:rPr>
              <w:t>CLÁUSULA 2ª - DO OBJETO</w:t>
            </w:r>
          </w:p>
        </w:tc>
      </w:tr>
    </w:tbl>
    <w:p>
      <w:pPr>
        <w:pStyle w:val="Normal"/>
        <w:ind w:firstLine="851"/>
        <w:jc w:val="both"/>
        <w:rPr>
          <w:b/>
          <w:sz w:val="24"/>
          <w:szCs w:val="24"/>
        </w:rPr>
      </w:pPr>
      <w:r>
        <w:rPr>
          <w:b/>
          <w:sz w:val="24"/>
          <w:szCs w:val="24"/>
        </w:rPr>
      </w:r>
    </w:p>
    <w:p>
      <w:pPr>
        <w:pStyle w:val="BodyTextIndent"/>
        <w:ind w:firstLine="851"/>
        <w:rPr>
          <w:b/>
        </w:rPr>
      </w:pPr>
      <w:r>
        <w:rPr>
          <w:b/>
        </w:rPr>
        <w:t>2.1. A CONTRATADA se obriga a entrega dos item(ns) .... de serviços gráficos, conforme descrição detalhada constante do Edital, bem como seu Termo de Referência, o qual fica fazendo parte integrante do presente instrumento.</w:t>
      </w:r>
    </w:p>
    <w:p>
      <w:pPr>
        <w:pStyle w:val="Normal"/>
        <w:keepLines/>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sz w:val="24"/>
                <w:szCs w:val="24"/>
              </w:rPr>
            </w:pPr>
            <w:r>
              <w:rPr>
                <w:b/>
                <w:sz w:val="24"/>
                <w:szCs w:val="24"/>
              </w:rPr>
              <w:t>CLÁUSULA 3ª - DOS RECURSOS FINANCEIROS</w:t>
            </w:r>
          </w:p>
        </w:tc>
      </w:tr>
    </w:tbl>
    <w:p>
      <w:pPr>
        <w:pStyle w:val="BodyTextIndent"/>
        <w:ind w:firstLine="851"/>
        <w:rPr>
          <w:b/>
        </w:rPr>
      </w:pPr>
      <w:r>
        <w:rPr>
          <w:b/>
        </w:rPr>
      </w:r>
    </w:p>
    <w:p>
      <w:pPr>
        <w:pStyle w:val="Normal"/>
        <w:ind w:firstLine="851"/>
        <w:jc w:val="both"/>
        <w:rPr>
          <w:sz w:val="24"/>
          <w:szCs w:val="24"/>
        </w:rPr>
      </w:pPr>
      <w:r>
        <w:rPr>
          <w:b/>
          <w:sz w:val="24"/>
          <w:szCs w:val="24"/>
        </w:rPr>
        <w:t>3.1.</w:t>
      </w:r>
      <w:r>
        <w:rPr>
          <w:sz w:val="24"/>
          <w:szCs w:val="24"/>
        </w:rPr>
        <w:t xml:space="preserve"> A despesa supra será atendida pela dotação orçamentária nº ..........................................., constante do exercício de 2026.</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sz w:val="24"/>
                <w:szCs w:val="24"/>
              </w:rPr>
            </w:pPr>
            <w:r>
              <w:rPr>
                <w:b/>
                <w:sz w:val="24"/>
                <w:szCs w:val="24"/>
              </w:rPr>
              <w:t>CLÁUSULA 4ª – DO SUPORTE LEGAL</w:t>
            </w:r>
          </w:p>
        </w:tc>
      </w:tr>
    </w:tbl>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4.1.</w:t>
      </w:r>
      <w:r>
        <w:rPr>
          <w:sz w:val="24"/>
          <w:szCs w:val="24"/>
        </w:rPr>
        <w:t xml:space="preserve"> Este contrato é regulado pelos seguintes dispositivos legais:</w:t>
      </w:r>
    </w:p>
    <w:p>
      <w:pPr>
        <w:pStyle w:val="Normal"/>
        <w:keepLines/>
        <w:ind w:firstLine="851"/>
        <w:jc w:val="both"/>
        <w:rPr>
          <w:sz w:val="24"/>
          <w:szCs w:val="24"/>
        </w:rPr>
      </w:pPr>
      <w:r>
        <w:rPr>
          <w:b/>
          <w:sz w:val="24"/>
          <w:szCs w:val="24"/>
        </w:rPr>
        <w:t>4.1.1.</w:t>
      </w:r>
      <w:r>
        <w:rPr>
          <w:sz w:val="24"/>
          <w:szCs w:val="24"/>
        </w:rPr>
        <w:t xml:space="preserve"> Constituição da República Federativa do Brasil;</w:t>
      </w:r>
    </w:p>
    <w:p>
      <w:pPr>
        <w:pStyle w:val="Normal"/>
        <w:keepLines/>
        <w:ind w:firstLine="851"/>
        <w:jc w:val="both"/>
        <w:rPr>
          <w:sz w:val="24"/>
          <w:szCs w:val="24"/>
        </w:rPr>
      </w:pPr>
      <w:r>
        <w:rPr>
          <w:b/>
          <w:sz w:val="24"/>
          <w:szCs w:val="24"/>
        </w:rPr>
        <w:t>4.1.2.</w:t>
      </w:r>
      <w:r>
        <w:rPr>
          <w:sz w:val="24"/>
          <w:szCs w:val="24"/>
        </w:rPr>
        <w:t xml:space="preserve"> Lei Orgânica do Município de Piracicaba;</w:t>
      </w:r>
    </w:p>
    <w:p>
      <w:pPr>
        <w:pStyle w:val="Normal"/>
        <w:keepLines/>
        <w:ind w:firstLine="851"/>
        <w:jc w:val="both"/>
        <w:rPr>
          <w:sz w:val="24"/>
          <w:szCs w:val="24"/>
        </w:rPr>
      </w:pPr>
      <w:r>
        <w:rPr>
          <w:b/>
          <w:sz w:val="24"/>
          <w:szCs w:val="24"/>
        </w:rPr>
        <w:t>4.1.3.</w:t>
      </w:r>
      <w:r>
        <w:rPr>
          <w:sz w:val="24"/>
          <w:szCs w:val="24"/>
        </w:rPr>
        <w:t xml:space="preserve"> Lei Federal nº 14.133, de 01/04/2021;</w:t>
      </w:r>
    </w:p>
    <w:p>
      <w:pPr>
        <w:pStyle w:val="Normal"/>
        <w:keepLines/>
        <w:ind w:firstLine="851"/>
        <w:jc w:val="both"/>
        <w:rPr>
          <w:sz w:val="24"/>
          <w:szCs w:val="24"/>
        </w:rPr>
      </w:pPr>
      <w:r>
        <w:rPr>
          <w:b/>
          <w:sz w:val="24"/>
          <w:szCs w:val="24"/>
        </w:rPr>
        <w:t>4.1.4.</w:t>
      </w:r>
      <w:r>
        <w:rPr>
          <w:sz w:val="24"/>
          <w:szCs w:val="24"/>
        </w:rPr>
        <w:t xml:space="preserve"> Decreto Municipal nº 17.640, de 30/10/2018;</w:t>
      </w:r>
    </w:p>
    <w:p>
      <w:pPr>
        <w:pStyle w:val="Normal"/>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sz w:val="24"/>
                <w:szCs w:val="24"/>
              </w:rPr>
            </w:pPr>
            <w:r>
              <w:rPr>
                <w:b/>
                <w:sz w:val="24"/>
                <w:szCs w:val="24"/>
              </w:rPr>
              <w:t>CLÁUSULA 5ª - DO PREÇO</w:t>
            </w:r>
          </w:p>
        </w:tc>
      </w:tr>
    </w:tbl>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sz w:val="24"/>
                <w:szCs w:val="24"/>
              </w:rPr>
            </w:pPr>
            <w:r>
              <w:rPr>
                <w:b/>
                <w:sz w:val="24"/>
                <w:szCs w:val="24"/>
              </w:rPr>
              <w:t>CLÁUSULA 6ª - DOS PAGAMENTOS</w:t>
            </w:r>
          </w:p>
        </w:tc>
      </w:tr>
    </w:tbl>
    <w:p>
      <w:pPr>
        <w:pStyle w:val="Normal"/>
        <w:ind w:firstLine="851"/>
        <w:jc w:val="both"/>
        <w:rPr>
          <w:sz w:val="24"/>
          <w:szCs w:val="24"/>
        </w:rPr>
      </w:pPr>
      <w:r>
        <w:rPr>
          <w:sz w:val="24"/>
          <w:szCs w:val="24"/>
        </w:rPr>
      </w:r>
    </w:p>
    <w:p>
      <w:pPr>
        <w:pStyle w:val="Normal"/>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Trabalho, Emprego e Renda,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r>
    </w:p>
    <w:p>
      <w:pPr>
        <w:pStyle w:val="Normal"/>
        <w:ind w:firstLine="850"/>
        <w:jc w:val="both"/>
        <w:rPr>
          <w:sz w:val="24"/>
          <w:szCs w:val="24"/>
        </w:rPr>
      </w:pPr>
      <w:r>
        <w:rPr>
          <w:sz w:val="24"/>
          <w:szCs w:val="24"/>
        </w:rPr>
        <w:t xml:space="preserve">E-mail para emissão da NF-e: </w:t>
      </w:r>
      <w:hyperlink r:id="rId11">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sz w:val="24"/>
          <w:szCs w:val="24"/>
        </w:rPr>
      </w:pPr>
      <w:r>
        <w:rPr>
          <w:b/>
          <w:sz w:val="24"/>
          <w:szCs w:val="24"/>
        </w:rPr>
      </w:r>
    </w:p>
    <w:p>
      <w:pPr>
        <w:pStyle w:val="Normal"/>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pPr>
        <w:pStyle w:val="Normal"/>
        <w:keepLines/>
        <w:ind w:firstLine="850"/>
        <w:jc w:val="both"/>
        <w:rPr>
          <w:sz w:val="24"/>
          <w:szCs w:val="24"/>
        </w:rPr>
      </w:pPr>
      <w:r>
        <w:rPr>
          <w:sz w:val="24"/>
          <w:szCs w:val="24"/>
        </w:rPr>
      </w:r>
    </w:p>
    <w:p>
      <w:pPr>
        <w:pStyle w:val="Normal"/>
        <w:keepLines/>
        <w:ind w:firstLine="850"/>
        <w:jc w:val="both"/>
        <w:rPr>
          <w:sz w:val="24"/>
          <w:szCs w:val="24"/>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tcPr>
          <w:p>
            <w:pPr>
              <w:pStyle w:val="Normal"/>
              <w:ind w:firstLine="851"/>
              <w:jc w:val="both"/>
              <w:rPr>
                <w:sz w:val="24"/>
                <w:szCs w:val="24"/>
              </w:rPr>
            </w:pPr>
            <w:r>
              <w:rPr>
                <w:b/>
                <w:sz w:val="24"/>
                <w:szCs w:val="24"/>
              </w:rPr>
              <w:t>CLÁUSULA 7ª - DA FISCALIZAÇÃO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7.1.</w:t>
      </w:r>
      <w:r>
        <w:rPr>
          <w:sz w:val="24"/>
          <w:szCs w:val="24"/>
        </w:rPr>
        <w:t xml:space="preserve"> A Secretaria Municipal de Trabalho, Emprego e Renda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e fiscal do presente instrumento, respectivamente.</w:t>
      </w:r>
    </w:p>
    <w:p>
      <w:pPr>
        <w:pStyle w:val="Normal"/>
        <w:ind w:firstLine="851"/>
        <w:jc w:val="both"/>
        <w:rPr>
          <w:b/>
          <w:sz w:val="24"/>
          <w:szCs w:val="24"/>
        </w:rPr>
      </w:pPr>
      <w:r>
        <w:rPr>
          <w:b/>
          <w:sz w:val="24"/>
          <w:szCs w:val="24"/>
        </w:rPr>
      </w:r>
    </w:p>
    <w:tbl>
      <w:tblPr>
        <w:tblW w:w="8751"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tcPr>
          <w:p>
            <w:pPr>
              <w:pStyle w:val="Normal"/>
              <w:ind w:firstLine="851"/>
              <w:jc w:val="both"/>
              <w:rPr>
                <w:sz w:val="24"/>
                <w:szCs w:val="24"/>
              </w:rPr>
            </w:pPr>
            <w:r>
              <w:rPr>
                <w:b/>
                <w:sz w:val="24"/>
                <w:szCs w:val="24"/>
              </w:rPr>
              <w:t>CLÁUSULA 8ª - DO PRAZO DE VIGÊNCIA</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8.1.</w:t>
      </w:r>
      <w:r>
        <w:rPr>
          <w:sz w:val="24"/>
          <w:szCs w:val="24"/>
        </w:rPr>
        <w:t xml:space="preserve"> O presente contrato terá vigência até 31/12/2026..</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tcPr>
          <w:p>
            <w:pPr>
              <w:pStyle w:val="Normal"/>
              <w:ind w:firstLine="851"/>
              <w:jc w:val="both"/>
              <w:rPr>
                <w:sz w:val="24"/>
                <w:szCs w:val="24"/>
              </w:rPr>
            </w:pPr>
            <w:r>
              <w:rPr>
                <w:b/>
                <w:sz w:val="24"/>
                <w:szCs w:val="24"/>
              </w:rPr>
              <w:t>CLÁUSULA 9ª - DA EXTINÇÃO DO CONTRATO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tcPr>
          <w:p>
            <w:pPr>
              <w:pStyle w:val="Normal"/>
              <w:ind w:firstLine="851"/>
              <w:jc w:val="both"/>
              <w:rPr>
                <w:sz w:val="24"/>
                <w:szCs w:val="24"/>
              </w:rPr>
            </w:pPr>
            <w:r>
              <w:rPr>
                <w:b/>
                <w:sz w:val="24"/>
                <w:szCs w:val="24"/>
              </w:rPr>
              <w:t>CLÁUSULA 10. - DO RECEBIMENTO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10.2. </w:t>
      </w:r>
      <w:r>
        <w:rPr>
          <w:sz w:val="24"/>
          <w:szCs w:val="24"/>
        </w:rPr>
        <w:t>O recebimento de que trata este item far-se-á mediante recibo.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sz w:val="24"/>
                <w:szCs w:val="24"/>
              </w:rPr>
            </w:pPr>
            <w:r>
              <w:rPr>
                <w:b/>
                <w:sz w:val="24"/>
                <w:szCs w:val="24"/>
              </w:rPr>
              <w:t>CLÁUSULA 11. - DAS SANÇÕES ADMINISTRATIVAS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sz w:val="24"/>
          <w:szCs w:val="24"/>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11.1.6.2.</w:t>
      </w:r>
      <w:r>
        <w:rPr>
          <w:sz w:val="24"/>
          <w:szCs w:val="24"/>
        </w:rPr>
        <w:t xml:space="preserve"> Induzir deliberadamente a erro no julgamento;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11.1.6.3.</w:t>
      </w:r>
      <w:r>
        <w:rPr>
          <w:sz w:val="24"/>
          <w:szCs w:val="24"/>
        </w:rPr>
        <w:t xml:space="preserve"> Apresentar amostra falsificada ou deteriorada;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11.1.8.</w:t>
      </w:r>
      <w:r>
        <w:rPr>
          <w:sz w:val="24"/>
          <w:szCs w:val="24"/>
        </w:rPr>
        <w:t xml:space="preserve"> Praticar ato lesivo previsto no art. 5º da Lei n.º 12.846, de 2013. </w:t>
      </w:r>
    </w:p>
    <w:p>
      <w:pPr>
        <w:pStyle w:val="Normal"/>
        <w:ind w:firstLine="851"/>
        <w:jc w:val="both"/>
        <w:rPr>
          <w:szCs w:val="16"/>
        </w:rPr>
      </w:pPr>
      <w:r>
        <w:rPr>
          <w:szCs w:val="16"/>
        </w:rPr>
      </w:r>
    </w:p>
    <w:p>
      <w:pPr>
        <w:pStyle w:val="Normal"/>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24"/>
          <w:szCs w:val="16"/>
        </w:rPr>
      </w:pPr>
      <w:r>
        <w:rPr>
          <w:b/>
          <w:sz w:val="24"/>
          <w:szCs w:val="16"/>
        </w:rPr>
      </w:r>
    </w:p>
    <w:p>
      <w:pPr>
        <w:pStyle w:val="Normal"/>
        <w:ind w:firstLine="851"/>
        <w:jc w:val="both"/>
        <w:rPr>
          <w:sz w:val="24"/>
          <w:szCs w:val="24"/>
        </w:rPr>
      </w:pPr>
      <w:r>
        <w:rPr>
          <w:b/>
          <w:sz w:val="24"/>
          <w:szCs w:val="24"/>
        </w:rPr>
        <w:t>11.3.1.</w:t>
      </w:r>
      <w:r>
        <w:rPr>
          <w:sz w:val="24"/>
          <w:szCs w:val="24"/>
        </w:rPr>
        <w:t xml:space="preserve"> Advertência; </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w:t>
      </w:r>
      <w:r>
        <w:rPr>
          <w:sz w:val="24"/>
          <w:szCs w:val="24"/>
        </w:rPr>
        <w:t xml:space="preserve"> Multa de mora;</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pPr>
        <w:pStyle w:val="Normal"/>
        <w:ind w:firstLine="851"/>
        <w:jc w:val="both"/>
        <w:rPr>
          <w:b/>
          <w:sz w:val="16"/>
          <w:szCs w:val="16"/>
        </w:rPr>
      </w:pPr>
      <w:r>
        <w:rPr>
          <w:b/>
          <w:sz w:val="16"/>
          <w:szCs w:val="16"/>
        </w:rPr>
      </w:r>
    </w:p>
    <w:p>
      <w:pPr>
        <w:pStyle w:val="Normal"/>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sz w:val="24"/>
                <w:szCs w:val="24"/>
              </w:rPr>
            </w:pPr>
            <w:r>
              <w:rPr>
                <w:b/>
                <w:sz w:val="24"/>
                <w:szCs w:val="24"/>
              </w:rPr>
              <w:t>CLÁUSULA 12. - DAS MEDIDAS ANTICORRUPÇÃO</w:t>
            </w:r>
          </w:p>
        </w:tc>
      </w:tr>
    </w:tbl>
    <w:p>
      <w:pPr>
        <w:pStyle w:val="Normal"/>
        <w:rPr>
          <w:b/>
          <w:sz w:val="24"/>
          <w:szCs w:val="24"/>
        </w:rPr>
      </w:pPr>
      <w:r>
        <w:rPr>
          <w:b/>
          <w:sz w:val="24"/>
          <w:szCs w:val="24"/>
        </w:rPr>
      </w:r>
    </w:p>
    <w:p>
      <w:pPr>
        <w:pStyle w:val="Normal"/>
        <w:ind w:firstLine="850"/>
        <w:jc w:val="both"/>
        <w:rPr>
          <w:sz w:val="24"/>
          <w:szCs w:val="24"/>
        </w:rPr>
      </w:pPr>
      <w:r>
        <w:rPr>
          <w:b/>
          <w:sz w:val="24"/>
          <w:szCs w:val="24"/>
          <w:shd w:fill="FFFFFF" w:val="clear"/>
        </w:rPr>
        <w:t>12.1.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sz w:val="24"/>
                <w:szCs w:val="24"/>
              </w:rPr>
            </w:pPr>
            <w:r>
              <w:rPr>
                <w:b/>
                <w:sz w:val="24"/>
                <w:szCs w:val="24"/>
              </w:rPr>
              <w:t>CLÁUSULA 13. - DAS DISPOSIÇÕES FINAIS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sz w:val="24"/>
          <w:szCs w:val="24"/>
        </w:rPr>
      </w:pPr>
      <w:r>
        <w:rPr>
          <w:b/>
          <w:sz w:val="24"/>
          <w:szCs w:val="24"/>
        </w:rPr>
        <w:t xml:space="preserve">13.6.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pPr>
        <w:pStyle w:val="Normal"/>
        <w:keepLines/>
        <w:jc w:val="both"/>
        <w:rPr>
          <w:b/>
          <w:sz w:val="24"/>
          <w:szCs w:val="24"/>
        </w:rPr>
      </w:pPr>
      <w:r>
        <w:rPr>
          <w:b/>
          <w:sz w:val="24"/>
          <w:szCs w:val="24"/>
        </w:rPr>
      </w:r>
    </w:p>
    <w:p>
      <w:pPr>
        <w:pStyle w:val="Normal"/>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Piracicaba, ..... de ........................... de 2026.</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800"/>
        <w:gridCol w:w="321"/>
        <w:gridCol w:w="4801"/>
      </w:tblGrid>
      <w:tr>
        <w:trPr/>
        <w:tc>
          <w:tcPr>
            <w:tcW w:w="4800" w:type="dxa"/>
            <w:tcBorders>
              <w:top w:val="single" w:sz="4" w:space="0" w:color="000000"/>
              <w:left w:val="single" w:sz="4" w:space="0" w:color="000000"/>
              <w:bottom w:val="single" w:sz="4" w:space="0" w:color="000000"/>
            </w:tcBorders>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bookmarkStart w:id="16" w:name="_GoBack"/>
            <w:bookmarkStart w:id="17" w:name="_GoBack"/>
            <w:bookmarkEnd w:id="17"/>
          </w:p>
          <w:p>
            <w:pPr>
              <w:pStyle w:val="Normal"/>
              <w:rPr>
                <w:b/>
                <w:sz w:val="24"/>
                <w:szCs w:val="24"/>
              </w:rPr>
            </w:pPr>
            <w:r>
              <w:rPr>
                <w:b/>
                <w:sz w:val="24"/>
                <w:szCs w:val="24"/>
              </w:rPr>
            </w:r>
          </w:p>
          <w:p>
            <w:pPr>
              <w:pStyle w:val="Normal"/>
              <w:rPr>
                <w:b/>
                <w:sz w:val="24"/>
                <w:szCs w:val="24"/>
              </w:rPr>
            </w:pPr>
            <w:r>
              <w:rPr>
                <w:b/>
                <w:sz w:val="24"/>
                <w:szCs w:val="24"/>
              </w:rPr>
            </w:r>
          </w:p>
          <w:p>
            <w:pPr>
              <w:pStyle w:val="Normal"/>
              <w:jc w:val="center"/>
              <w:rPr>
                <w:b/>
                <w:sz w:val="24"/>
                <w:szCs w:val="24"/>
              </w:rPr>
            </w:pPr>
            <w:r>
              <w:rPr>
                <w:b/>
                <w:sz w:val="24"/>
                <w:szCs w:val="24"/>
              </w:rPr>
              <w:t>......................</w:t>
            </w:r>
          </w:p>
          <w:p>
            <w:pPr>
              <w:pStyle w:val="Normal"/>
              <w:jc w:val="center"/>
              <w:rPr>
                <w:sz w:val="24"/>
                <w:szCs w:val="24"/>
              </w:rPr>
            </w:pPr>
            <w:r>
              <w:rPr>
                <w:b/>
                <w:sz w:val="24"/>
                <w:szCs w:val="24"/>
              </w:rPr>
              <w:t>Secretaria Municipal de Trabalho, Emprego e Renda</w:t>
            </w:r>
          </w:p>
        </w:tc>
        <w:tc>
          <w:tcPr>
            <w:tcW w:w="321" w:type="dxa"/>
            <w:tcBorders>
              <w:left w:val="single" w:sz="4" w:space="0" w:color="000000"/>
            </w:tcBorders>
          </w:tcPr>
          <w:p>
            <w:pPr>
              <w:pStyle w:val="Normal"/>
              <w:snapToGrid w:val="false"/>
              <w:jc w:val="both"/>
              <w:rPr>
                <w:sz w:val="24"/>
                <w:szCs w:val="24"/>
              </w:rPr>
            </w:pPr>
            <w:r>
              <w:rPr>
                <w:sz w:val="24"/>
                <w:szCs w:val="24"/>
              </w:rPr>
            </w:r>
          </w:p>
        </w:tc>
        <w:tc>
          <w:tcPr>
            <w:tcW w:w="4801"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 EMPRESA CONTRATADA :::</w:t>
            </w:r>
          </w:p>
          <w:p>
            <w:pPr>
              <w:pStyle w:val="Normal"/>
              <w:jc w:val="center"/>
              <w:rPr>
                <w:sz w:val="24"/>
                <w:szCs w:val="24"/>
              </w:rPr>
            </w:pPr>
            <w:r>
              <w:rPr>
                <w:b/>
                <w:sz w:val="24"/>
                <w:szCs w:val="24"/>
              </w:rPr>
              <w:t>Representante Legal</w:t>
            </w:r>
          </w:p>
        </w:tc>
      </w:tr>
    </w:tbl>
    <w:p>
      <w:pPr>
        <w:pStyle w:val="Normal"/>
        <w:rPr>
          <w:b/>
          <w:sz w:val="24"/>
          <w:szCs w:val="24"/>
        </w:rPr>
      </w:pPr>
      <w:r>
        <w:rPr>
          <w:b/>
          <w:sz w:val="24"/>
          <w:szCs w:val="24"/>
        </w:rPr>
      </w:r>
    </w:p>
    <w:p>
      <w:pPr>
        <w:pStyle w:val="Normal"/>
        <w:jc w:val="both"/>
        <w:rPr>
          <w:sz w:val="24"/>
          <w:szCs w:val="24"/>
        </w:rPr>
      </w:pPr>
      <w:r>
        <w:rPr>
          <w:b/>
          <w:sz w:val="24"/>
          <w:szCs w:val="24"/>
          <w:u w:val="single"/>
        </w:rPr>
        <w:t>TESTEMUNHAS:</w:t>
      </w:r>
    </w:p>
    <w:p>
      <w:pPr>
        <w:pStyle w:val="Normal"/>
        <w:jc w:val="both"/>
        <w:rPr>
          <w:b/>
          <w:sz w:val="24"/>
          <w:szCs w:val="24"/>
          <w:u w:val="single"/>
        </w:rPr>
      </w:pPr>
      <w:r>
        <w:rPr>
          <w:b/>
          <w:sz w:val="24"/>
          <w:szCs w:val="24"/>
          <w:u w:val="single"/>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801"/>
        <w:gridCol w:w="320"/>
        <w:gridCol w:w="4801"/>
      </w:tblGrid>
      <w:tr>
        <w:trPr>
          <w:trHeight w:val="1089" w:hRule="atLeast"/>
        </w:trPr>
        <w:tc>
          <w:tcPr>
            <w:tcW w:w="4801" w:type="dxa"/>
            <w:tcBorders>
              <w:top w:val="single" w:sz="4" w:space="0" w:color="000000"/>
              <w:left w:val="single" w:sz="4" w:space="0" w:color="000000"/>
              <w:bottom w:val="single" w:sz="4" w:space="0" w:color="000000"/>
            </w:tcBorders>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w:t>
            </w:r>
          </w:p>
          <w:p>
            <w:pPr>
              <w:pStyle w:val="Normal"/>
              <w:rPr>
                <w:sz w:val="24"/>
                <w:szCs w:val="24"/>
              </w:rPr>
            </w:pPr>
            <w:r>
              <w:rPr>
                <w:b/>
                <w:sz w:val="24"/>
                <w:szCs w:val="24"/>
              </w:rPr>
              <w:t>Nome:</w:t>
            </w:r>
          </w:p>
          <w:p>
            <w:pPr>
              <w:pStyle w:val="Normal"/>
              <w:rPr>
                <w:sz w:val="24"/>
                <w:szCs w:val="24"/>
              </w:rPr>
            </w:pPr>
            <w:r>
              <w:rPr>
                <w:b/>
                <w:sz w:val="24"/>
                <w:szCs w:val="24"/>
              </w:rPr>
              <w:t>CPF:</w:t>
            </w:r>
          </w:p>
        </w:tc>
        <w:tc>
          <w:tcPr>
            <w:tcW w:w="320" w:type="dxa"/>
            <w:tcBorders>
              <w:left w:val="single" w:sz="4" w:space="0" w:color="000000"/>
            </w:tcBorders>
          </w:tcPr>
          <w:p>
            <w:pPr>
              <w:pStyle w:val="Normal"/>
              <w:snapToGrid w:val="false"/>
              <w:jc w:val="both"/>
              <w:rPr>
                <w:b/>
                <w:sz w:val="24"/>
                <w:szCs w:val="24"/>
              </w:rPr>
            </w:pPr>
            <w:r>
              <w:rPr>
                <w:b/>
                <w:sz w:val="24"/>
                <w:szCs w:val="24"/>
              </w:rPr>
            </w:r>
          </w:p>
        </w:tc>
        <w:tc>
          <w:tcPr>
            <w:tcW w:w="4801" w:type="dxa"/>
            <w:tcBorders>
              <w:top w:val="single" w:sz="4" w:space="0" w:color="000000"/>
              <w:left w:val="single" w:sz="4" w:space="0" w:color="000000"/>
              <w:bottom w:val="single" w:sz="4" w:space="0" w:color="000000"/>
              <w:right w:val="single" w:sz="4" w:space="0" w:color="000000"/>
            </w:tcBorders>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__________________________</w:t>
            </w:r>
          </w:p>
          <w:p>
            <w:pPr>
              <w:pStyle w:val="Normal"/>
              <w:rPr>
                <w:sz w:val="24"/>
                <w:szCs w:val="24"/>
              </w:rPr>
            </w:pPr>
            <w:r>
              <w:rPr>
                <w:b/>
                <w:sz w:val="24"/>
                <w:szCs w:val="24"/>
              </w:rPr>
              <w:t>Nome:</w:t>
            </w:r>
          </w:p>
          <w:p>
            <w:pPr>
              <w:pStyle w:val="Normal"/>
              <w:jc w:val="both"/>
              <w:rPr>
                <w:sz w:val="24"/>
                <w:szCs w:val="24"/>
              </w:rPr>
            </w:pPr>
            <w:r>
              <w:rPr>
                <w:b/>
                <w:sz w:val="24"/>
                <w:szCs w:val="24"/>
              </w:rPr>
              <w:t>CPF:</w:t>
            </w:r>
          </w:p>
        </w:tc>
      </w:tr>
    </w:tbl>
    <w:p>
      <w:pPr>
        <w:pStyle w:val="Normal"/>
        <w:rPr>
          <w:sz w:val="24"/>
          <w:szCs w:val="24"/>
        </w:rPr>
      </w:pPr>
      <w:r>
        <w:rPr>
          <w:sz w:val="24"/>
          <w:szCs w:val="24"/>
        </w:rPr>
      </w:r>
      <w:bookmarkStart w:id="18" w:name="art2§1"/>
      <w:bookmarkStart w:id="19" w:name="art1p"/>
      <w:bookmarkStart w:id="20" w:name="art2§1"/>
      <w:bookmarkStart w:id="21" w:name="art1p"/>
      <w:bookmarkEnd w:id="20"/>
      <w:bookmarkEnd w:id="21"/>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283" w:top="1134"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Arial">
    <w:charset w:val="01"/>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261</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2</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22</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261</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2</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22</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45">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0" simplePos="0" locked="0" layoutInCell="0" allowOverlap="1" relativeHeight="88" wp14:anchorId="73539094">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28.25pt;margin-top:6.75pt;width:367.7pt;height:70.45pt;mso-wrap-style:square;v-text-anchor:top;mso-position-horizontal:right;mso-position-horizontal-relative:margin;mso-position-vertical-relative:page" wp14:anchorId="73539094">
              <v:fill o:detectmouseclick="t" on="false"/>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45">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0" simplePos="0" locked="0" layoutInCell="0" allowOverlap="1" relativeHeight="88" wp14:anchorId="73539094">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28.25pt;margin-top:6.75pt;width:367.7pt;height:70.45pt;mso-wrap-style:square;v-text-anchor:top;mso-position-horizontal:right;mso-position-horizontal-relative:margin;mso-position-vertical-relative:page" wp14:anchorId="73539094">
              <v:fill o:detectmouseclick="t" on="false"/>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3"/>
    <w:lvlOverride w:ilvl="0">
      <w:startOverride w:val="1"/>
    </w:lvlOverride>
  </w:num>
  <w:num w:numId="15">
    <w:abstractNumId w:val="3"/>
    <w:lvlOverride w:ilvl="0">
      <w:startOverride w:val="1"/>
    </w:lvlOverride>
  </w:num>
  <w:num w:numId="16">
    <w:abstractNumId w:val="3"/>
    <w:lvlOverride w:ilvl="0">
      <w:startOverride w:val="1"/>
    </w:lvlOverride>
  </w:num>
  <w:num w:numId="17">
    <w:abstractNumId w:val="3"/>
    <w:lvlOverride w:ilvl="0">
      <w:startOverride w:val="1"/>
    </w:lvlOverride>
  </w:num>
  <w:num w:numId="18">
    <w:abstractNumId w:val="3"/>
    <w:lvlOverride w:ilvl="0">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bering>
</file>

<file path=word/settings.xml><?xml version="1.0" encoding="utf-8"?>
<w:settings xmlns:w="http://schemas.openxmlformats.org/wordprocessingml/2006/main">
  <w:zoom w:percent="10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UnresolvedMention" w:customStyle="1">
    <w:name w:val="Unresolved Mention"/>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Lucida Sans"/>
    </w:rPr>
  </w:style>
  <w:style w:type="paragraph" w:styleId="Title">
    <w:name w:val="Title"/>
    <w:basedOn w:val="Ttulo21"/>
    <w:next w:val="BodyText"/>
    <w:qFormat/>
    <w:pPr/>
    <w:rPr/>
  </w:style>
  <w:style w:type="paragraph" w:styleId="ndiceuser" w:customStyle="1">
    <w:name w:val="Índice (user)"/>
    <w:basedOn w:val="Normal"/>
    <w:qFormat/>
    <w:pPr>
      <w:suppressLineNumbers/>
    </w:pPr>
    <w:rPr>
      <w:rFonts w:cs="Mangal"/>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user" w:customStyle="1">
    <w:name w:val="Cabeçalho e rodapé (user)"/>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Standard1"/>
    <w:qFormat/>
    <w:rsid w:val="00e95547"/>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left="1276"/>
    </w:pPr>
    <w:rPr/>
  </w:style>
  <w:style w:type="paragraph" w:styleId="Nvel2-Red" w:customStyle="1">
    <w:name w:val="Nível 2 -Red"/>
    <w:basedOn w:val="Nivel2"/>
    <w:link w:val="Nvel2-RedChar"/>
    <w:qFormat/>
    <w:rsid w:val="00d71aea"/>
    <w:pPr>
      <w:ind w:hanging="0" w:left="0"/>
    </w:pPr>
    <w:rPr>
      <w:i/>
      <w:iCs/>
      <w:color w:val="FF0000"/>
    </w:rPr>
  </w:style>
  <w:style w:type="paragraph" w:styleId="ou" w:customStyle="1">
    <w:name w:val="ou"/>
    <w:basedOn w:val="ListParagraph"/>
    <w:link w:val="ouChar"/>
    <w:qFormat/>
    <w:rsid w:val="00d71aea"/>
    <w:pPr>
      <w:suppressAutoHyphens w:val="false"/>
      <w:spacing w:lineRule="auto" w:line="259" w:before="60" w:after="60"/>
      <w:ind w:left="0"/>
      <w:jc w:val="center"/>
    </w:pPr>
    <w:rPr>
      <w:rFonts w:ascii="Arial" w:hAnsi="Arial" w:eastAsia="Cambria" w:cs="Arial"/>
      <w:b/>
      <w:bCs/>
      <w:i/>
      <w:iCs/>
      <w:color w:val="FF0000"/>
      <w:kern w:val="0"/>
      <w:sz w:val="24"/>
      <w:szCs w:val="24"/>
      <w:u w:val="single"/>
      <w:lang w:eastAsia="pt-BR"/>
    </w:rPr>
  </w:style>
  <w:style w:type="paragraph" w:styleId="textos" w:customStyle="1">
    <w:name w:val="textos"/>
    <w:basedOn w:val="Normal"/>
    <w:qFormat/>
    <w:rsid w:val="00b2786d"/>
    <w:pPr>
      <w:spacing w:lineRule="atLeast" w:line="271" w:before="280" w:after="280"/>
    </w:pPr>
    <w:rPr>
      <w:rFonts w:ascii="Verdana" w:hAnsi="Verdana" w:cs="Verdana"/>
      <w:color w:val="333333"/>
      <w:kern w:val="0"/>
      <w:sz w:val="19"/>
      <w:szCs w:val="19"/>
      <w:lang w:eastAsia="ar-SA"/>
    </w:rPr>
  </w:style>
  <w:style w:type="paragraph" w:styleId="Pa5" w:customStyle="1">
    <w:name w:val="Pa5"/>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4" w:customStyle="1">
    <w:name w:val="Pa4"/>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Contedodatabela" w:customStyle="1">
    <w:name w:val="Conteúdo da tabela"/>
    <w:basedOn w:val="Standard"/>
    <w:qFormat/>
    <w:rsid w:val="00e95547"/>
    <w:pPr>
      <w:suppressLineNumbers/>
    </w:pPr>
    <w:rPr>
      <w:rFonts w:ascii="Liberation Serif" w:hAnsi="Liberation Serif" w:eastAsia="SimSun" w:cs="Mangal"/>
      <w:sz w:val="24"/>
      <w:szCs w:val="24"/>
      <w:lang w:bidi="hi-IN"/>
    </w:rPr>
  </w:style>
  <w:style w:type="paragraph" w:styleId="Pa6" w:customStyle="1">
    <w:name w:val="Pa6"/>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Standard1" w:customStyle="1">
    <w:name w:val="Standard1"/>
    <w:qFormat/>
    <w:rsid w:val="00e95547"/>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eastAsia="zh-CN" w:bidi="hi-IN" w:val="pt-BR"/>
    </w:rPr>
  </w:style>
  <w:style w:type="paragraph" w:styleId="Contedodoquadro" w:customStyle="1">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71763c0a-43a9-4215-9c1e-ac13867d38db"/>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AAF4D8-44B2-4B33-90FD-B83F39424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Application>LibreOffice/25.2.7.2$Windows_X86_64 LibreOffice_project/5cbfd1ab6520636bb5f7b99185aa69bd7456825d</Application>
  <AppVersion>15.0000</AppVersion>
  <Pages>22</Pages>
  <Words>8919</Words>
  <Characters>52046</Characters>
  <CharactersWithSpaces>60619</CharactersWithSpaces>
  <Paragraphs>463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2024-08-02T14:36:00Z</dcterms:created>
  <dc:creator>Thiago Luiz Araujo Santos</dc:creator>
  <dc:description/>
  <dc:language>pt-BR</dc:language>
  <cp:lastModifiedBy/>
  <cp:lastPrinted>2022-08-03T17:48:00Z</cp:lastPrinted>
  <dcterms:modified xsi:type="dcterms:W3CDTF">2026-09-03T10:38:37Z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