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spacing w:lineRule="auto" w:line="240"/>
        <w:jc w:val="center"/>
        <w:rPr>
          <w:b/>
          <w:sz w:val="20"/>
          <w:szCs w:val="20"/>
        </w:rPr>
      </w:pPr>
      <w:r>
        <w:rPr>
          <w:b/>
          <w:sz w:val="20"/>
          <w:szCs w:val="20"/>
        </w:rPr>
        <w:t xml:space="preserve">EDITAL DE PREGÃO ELETRÔNICO </w:t>
      </w:r>
      <w:r>
        <w:rPr>
          <w:b/>
          <w:sz w:val="20"/>
          <w:szCs w:val="20"/>
          <w:lang w:val="pt-BR"/>
        </w:rPr>
        <w:t>nº 269/2026</w:t>
      </w:r>
      <w:r>
        <w:rPr>
          <w:b/>
          <w:sz w:val="20"/>
          <w:szCs w:val="20"/>
        </w:rPr>
        <w:t xml:space="preserve"> </w:t>
      </w:r>
    </w:p>
    <w:p>
      <w:pPr>
        <w:pStyle w:val="BodyTextIndent"/>
        <w:widowControl w:val="false"/>
        <w:shd w:val="clear" w:color="auto" w:fill="CCCCCC"/>
        <w:spacing w:lineRule="auto" w:line="240"/>
        <w:jc w:val="center"/>
        <w:rPr>
          <w:b/>
          <w:sz w:val="20"/>
          <w:szCs w:val="20"/>
          <w:lang w:val="pt-BR"/>
        </w:rPr>
      </w:pPr>
      <w:r>
        <w:rPr>
          <w:b/>
          <w:sz w:val="20"/>
          <w:szCs w:val="20"/>
          <w:lang w:val="pt-BR"/>
        </w:rPr>
        <w:t>REGISTRO DE PREÇOS</w:t>
      </w:r>
    </w:p>
    <w:p>
      <w:pPr>
        <w:pStyle w:val="BodyTextIndent"/>
        <w:widowControl w:val="false"/>
        <w:spacing w:lineRule="auto" w:line="240"/>
        <w:jc w:val="center"/>
        <w:rPr>
          <w:b/>
          <w:sz w:val="20"/>
          <w:szCs w:val="20"/>
          <w:lang w:val="pt-BR"/>
        </w:rPr>
      </w:pPr>
      <w:r>
        <w:rPr>
          <w:b/>
          <w:sz w:val="20"/>
          <w:szCs w:val="20"/>
          <w:lang w:val="pt-BR"/>
        </w:rPr>
      </w:r>
    </w:p>
    <w:p>
      <w:pPr>
        <w:pStyle w:val="BodyTextIndent"/>
        <w:widowControl w:val="false"/>
        <w:spacing w:lineRule="auto" w:line="240"/>
        <w:jc w:val="center"/>
        <w:rPr>
          <w:b/>
          <w:sz w:val="20"/>
          <w:szCs w:val="20"/>
          <w:lang w:val="pt-BR"/>
        </w:rPr>
      </w:pPr>
      <w:r>
        <w:rPr>
          <w:b/>
          <w:sz w:val="20"/>
          <w:szCs w:val="20"/>
          <w:lang w:val="pt-BR"/>
        </w:rPr>
        <w:t>NOVA VERSÃO</w:t>
      </w:r>
    </w:p>
    <w:p>
      <w:pPr>
        <w:pStyle w:val="BodyTextIndent"/>
        <w:widowControl w:val="false"/>
        <w:spacing w:lineRule="auto" w:line="240"/>
        <w:jc w:val="center"/>
        <w:rPr>
          <w:b/>
          <w:sz w:val="20"/>
          <w:szCs w:val="20"/>
          <w:lang w:val="pt-BR"/>
        </w:rPr>
      </w:pPr>
      <w:r>
        <w:rPr>
          <w:b/>
          <w:sz w:val="20"/>
          <w:szCs w:val="20"/>
          <w:lang w:val="pt-BR"/>
        </w:rPr>
      </w:r>
    </w:p>
    <w:p>
      <w:pPr>
        <w:pStyle w:val="BodyTextIndent"/>
        <w:widowControl w:val="false"/>
        <w:spacing w:lineRule="auto" w:line="240"/>
        <w:jc w:val="center"/>
        <w:rPr>
          <w:b/>
          <w:sz w:val="20"/>
          <w:szCs w:val="20"/>
          <w:lang w:val="pt-BR"/>
        </w:rPr>
      </w:pPr>
      <w:r>
        <w:rPr>
          <w:b/>
          <w:sz w:val="20"/>
          <w:szCs w:val="20"/>
          <w:lang w:val="pt-BR"/>
        </w:rPr>
        <w:t>TERMO DE REFERÊNCIA</w:t>
      </w:r>
    </w:p>
    <w:p>
      <w:pPr>
        <w:pStyle w:val="BodyTextIndent"/>
        <w:widowControl w:val="false"/>
        <w:spacing w:lineRule="auto" w:line="240"/>
        <w:rPr>
          <w:b/>
          <w:sz w:val="20"/>
          <w:szCs w:val="20"/>
          <w:lang w:val="pt-BR"/>
        </w:rPr>
      </w:pPr>
      <w:r>
        <w:rPr>
          <w:b/>
          <w:sz w:val="20"/>
          <w:szCs w:val="20"/>
          <w:lang w:val="pt-BR"/>
        </w:rPr>
      </w:r>
    </w:p>
    <w:p>
      <w:pPr>
        <w:pStyle w:val="BodyTextIndent"/>
        <w:widowControl w:val="false"/>
        <w:shd w:val="clear" w:color="auto" w:fill="DDDDDD"/>
        <w:spacing w:lineRule="auto" w:line="240"/>
        <w:ind w:firstLine="561"/>
        <w:jc w:val="left"/>
        <w:rPr>
          <w:sz w:val="20"/>
          <w:szCs w:val="20"/>
          <w:lang w:val="pt-BR"/>
        </w:rPr>
      </w:pPr>
      <w:r>
        <w:rPr>
          <w:b/>
          <w:sz w:val="20"/>
          <w:szCs w:val="20"/>
        </w:rPr>
        <w:t>1</w:t>
      </w:r>
      <w:r>
        <w:rPr>
          <w:b/>
          <w:sz w:val="20"/>
          <w:szCs w:val="20"/>
          <w:lang w:val="pt-BR"/>
        </w:rPr>
        <w:t>.</w:t>
      </w:r>
      <w:r>
        <w:rPr>
          <w:b/>
          <w:sz w:val="20"/>
          <w:szCs w:val="20"/>
        </w:rPr>
        <w:t xml:space="preserve"> DO PROCESSAMENTO DO PREGÃO:</w:t>
      </w:r>
    </w:p>
    <w:p>
      <w:pPr>
        <w:pStyle w:val="BodyTextIndent"/>
        <w:widowControl w:val="false"/>
        <w:numPr>
          <w:ilvl w:val="0"/>
          <w:numId w:val="3"/>
        </w:numPr>
        <w:tabs>
          <w:tab w:val="clear" w:pos="709"/>
          <w:tab w:val="left" w:pos="284" w:leader="none"/>
        </w:tabs>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133.871/2026</w:t>
      </w:r>
    </w:p>
    <w:p>
      <w:pPr>
        <w:pStyle w:val="BodyTextIndent"/>
        <w:widowControl w:val="false"/>
        <w:numPr>
          <w:ilvl w:val="0"/>
          <w:numId w:val="3"/>
        </w:numPr>
        <w:tabs>
          <w:tab w:val="clear" w:pos="709"/>
          <w:tab w:val="left" w:pos="284" w:leader="none"/>
        </w:tabs>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06/11/2026 - 08 </w:t>
      </w:r>
      <w:r>
        <w:rPr>
          <w:b/>
          <w:sz w:val="20"/>
          <w:szCs w:val="20"/>
        </w:rPr>
        <w:t>horas</w:t>
      </w:r>
      <w:r>
        <w:rPr>
          <w:b/>
          <w:sz w:val="20"/>
          <w:szCs w:val="20"/>
          <w:lang w:val="pt-BR"/>
        </w:rPr>
        <w:t>;</w:t>
      </w:r>
    </w:p>
    <w:p>
      <w:pPr>
        <w:pStyle w:val="BodyTextIndent"/>
        <w:widowControl w:val="false"/>
        <w:numPr>
          <w:ilvl w:val="0"/>
          <w:numId w:val="3"/>
        </w:numPr>
        <w:tabs>
          <w:tab w:val="clear" w:pos="709"/>
          <w:tab w:val="left" w:pos="284" w:leader="none"/>
        </w:tabs>
        <w:spacing w:lineRule="auto" w:line="240"/>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06/11/2026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BodyTextIndent"/>
        <w:widowControl w:val="false"/>
        <w:numPr>
          <w:ilvl w:val="0"/>
          <w:numId w:val="3"/>
        </w:numPr>
        <w:tabs>
          <w:tab w:val="clear" w:pos="709"/>
          <w:tab w:val="left" w:pos="284" w:leader="none"/>
        </w:tabs>
        <w:spacing w:lineRule="auto" w:line="240"/>
        <w:rPr>
          <w:b/>
          <w:bCs/>
          <w:sz w:val="20"/>
          <w:szCs w:val="20"/>
          <w:lang w:val="pt-BR"/>
        </w:rPr>
      </w:pPr>
      <w:r>
        <w:rPr>
          <w:sz w:val="20"/>
          <w:szCs w:val="20"/>
        </w:rPr>
        <w:t xml:space="preserve">Endereço eletrônico: </w:t>
      </w:r>
      <w:hyperlink r:id="rId2">
        <w:r>
          <w:rPr>
            <w:rStyle w:val="Hyperlink"/>
            <w:sz w:val="20"/>
          </w:rPr>
          <w:t>https://bnccompras.com/Home/Login</w:t>
        </w:r>
      </w:hyperlink>
    </w:p>
    <w:p>
      <w:pPr>
        <w:pStyle w:val="BodyTextIndent"/>
        <w:widowControl w:val="false"/>
        <w:spacing w:lineRule="auto" w:line="240"/>
        <w:ind w:firstLine="561"/>
        <w:jc w:val="left"/>
        <w:rPr>
          <w:b/>
          <w:bCs/>
          <w:sz w:val="20"/>
          <w:szCs w:val="20"/>
        </w:rPr>
      </w:pPr>
      <w:r>
        <w:rPr>
          <w:b/>
          <w:bCs/>
          <w:sz w:val="20"/>
          <w:szCs w:val="20"/>
        </w:rPr>
      </w:r>
    </w:p>
    <w:p>
      <w:pPr>
        <w:pStyle w:val="Normal"/>
        <w:shd w:val="clear" w:color="auto" w:fill="DDDDDD"/>
        <w:ind w:firstLine="561"/>
        <w:rPr>
          <w:rFonts w:ascii="Arial" w:hAnsi="Arial" w:cs="Arial"/>
        </w:rPr>
      </w:pPr>
      <w:r>
        <w:rPr>
          <w:rFonts w:cs="Arial" w:ascii="Arial" w:hAnsi="Arial"/>
          <w:b/>
          <w:bCs/>
        </w:rPr>
        <w:t>2. DO OBJETO:</w:t>
      </w:r>
    </w:p>
    <w:p>
      <w:pPr>
        <w:pStyle w:val="Normal"/>
        <w:tabs>
          <w:tab w:val="clear" w:pos="709"/>
          <w:tab w:val="left" w:pos="284" w:leader="none"/>
        </w:tabs>
        <w:jc w:val="both"/>
        <w:rPr>
          <w:rFonts w:ascii="Arial" w:hAnsi="Arial" w:cs="Arial"/>
        </w:rPr>
      </w:pPr>
      <w:r>
        <w:rPr>
          <w:rFonts w:cs="Arial" w:ascii="Arial" w:hAnsi="Arial"/>
          <w:b/>
          <w:bCs/>
        </w:rPr>
        <w:t xml:space="preserve">a) </w:t>
      </w:r>
      <w:r>
        <w:rPr>
          <w:rFonts w:cs="Arial" w:ascii="Arial" w:hAnsi="Arial"/>
        </w:rPr>
        <w:t>Objeto:</w:t>
      </w:r>
      <w:r>
        <w:rPr>
          <w:rFonts w:cs="Arial" w:ascii="Arial" w:hAnsi="Arial"/>
          <w:b/>
        </w:rPr>
        <w:t xml:space="preserve"> Registro de Preços para </w:t>
      </w:r>
      <w:r>
        <w:rPr>
          <w:rFonts w:cs="Arial" w:ascii="Arial" w:hAnsi="Arial"/>
          <w:b/>
        </w:rPr>
        <w:t>Locação</w:t>
      </w:r>
      <w:r>
        <w:rPr>
          <w:rFonts w:cs="Arial" w:ascii="Arial" w:hAnsi="Arial"/>
          <w:b/>
        </w:rPr>
        <w:t xml:space="preserve"> de Equipamento Médico Respiratório Bipap e Cpap com Acessórios</w:t>
      </w:r>
    </w:p>
    <w:p>
      <w:pPr>
        <w:pStyle w:val="Normal"/>
        <w:tabs>
          <w:tab w:val="clear" w:pos="709"/>
          <w:tab w:val="left" w:pos="284" w:leader="none"/>
        </w:tabs>
        <w:jc w:val="both"/>
        <w:rPr>
          <w:rFonts w:ascii="Arial" w:hAnsi="Arial" w:cs="Arial"/>
        </w:rPr>
      </w:pPr>
      <w:r>
        <w:rPr>
          <w:rFonts w:cs="Arial" w:ascii="Arial" w:hAnsi="Arial"/>
          <w:b/>
          <w:bCs/>
        </w:rPr>
        <w:t xml:space="preserve">b) </w:t>
      </w:r>
      <w:r>
        <w:rPr>
          <w:rFonts w:cs="Arial" w:ascii="Arial" w:hAnsi="Arial"/>
        </w:rPr>
        <w:t>Unidade Requisitante: Secretaria Municipal de Saúde</w:t>
      </w:r>
    </w:p>
    <w:p>
      <w:pPr>
        <w:pStyle w:val="Normal"/>
        <w:tabs>
          <w:tab w:val="clear" w:pos="709"/>
          <w:tab w:val="left" w:pos="284" w:leader="none"/>
        </w:tabs>
        <w:jc w:val="both"/>
        <w:rPr>
          <w:rFonts w:ascii="Arial" w:hAnsi="Arial" w:cs="Arial"/>
        </w:rPr>
      </w:pPr>
      <w:r>
        <w:rPr>
          <w:rFonts w:cs="Arial" w:ascii="Arial" w:hAnsi="Arial"/>
          <w:b/>
          <w:bCs/>
        </w:rPr>
        <w:t xml:space="preserve">c) </w:t>
      </w:r>
      <w:r>
        <w:rPr>
          <w:rFonts w:cs="Arial" w:ascii="Arial" w:hAnsi="Arial"/>
        </w:rPr>
        <w:t xml:space="preserve">Fonte de recursos: </w:t>
      </w:r>
      <w:r>
        <w:rPr>
          <w:rFonts w:ascii="Arial" w:hAnsi="Arial"/>
        </w:rPr>
        <w:t>10.302.0014.2082.0000 - 0101031000.3.992 Lei Municipal nº 10.478, de 16 de dezembro de 2025</w:t>
      </w:r>
      <w:r>
        <w:rPr/>
        <w:t xml:space="preserve">. </w:t>
      </w:r>
    </w:p>
    <w:p>
      <w:pPr>
        <w:pStyle w:val="Normal"/>
        <w:tabs>
          <w:tab w:val="clear" w:pos="709"/>
          <w:tab w:val="left" w:pos="284" w:leader="none"/>
        </w:tabs>
        <w:jc w:val="both"/>
        <w:rPr>
          <w:rFonts w:ascii="Arial" w:hAnsi="Arial" w:cs="Arial"/>
        </w:rPr>
      </w:pPr>
      <w:r>
        <w:rPr>
          <w:rFonts w:cs="Arial" w:ascii="Arial" w:hAnsi="Arial"/>
          <w:b/>
          <w:bCs/>
        </w:rPr>
        <w:t xml:space="preserve">d) </w:t>
      </w:r>
      <w:r>
        <w:rPr>
          <w:rFonts w:cs="Arial" w:ascii="Arial" w:hAnsi="Arial"/>
        </w:rPr>
        <w:t xml:space="preserve">Valor estimado da contratação: </w:t>
      </w:r>
      <w:r>
        <w:rPr>
          <w:rFonts w:cs="Arial" w:ascii="Arial" w:hAnsi="Arial"/>
          <w:b/>
        </w:rPr>
        <w:t>R$ 290.705,00 (Duzentos e noventa mil, setecentos e cinco Reais)</w:t>
      </w:r>
    </w:p>
    <w:p>
      <w:pPr>
        <w:pStyle w:val="Normal"/>
        <w:numPr>
          <w:ilvl w:val="0"/>
          <w:numId w:val="40"/>
        </w:numPr>
        <w:tabs>
          <w:tab w:val="clear" w:pos="709"/>
          <w:tab w:val="left" w:pos="284" w:leader="none"/>
        </w:tabs>
        <w:jc w:val="both"/>
        <w:rPr>
          <w:rFonts w:ascii="Arial" w:hAnsi="Arial" w:cs="Arial"/>
        </w:rPr>
      </w:pPr>
      <w:r>
        <w:rPr>
          <w:rFonts w:cs="Arial" w:ascii="Arial" w:hAnsi="Arial"/>
        </w:rPr>
        <w:t>Validade da Ata de Registro de Preços: 12 (doze) meses, podendo ser prorrogado, por igual período, renovadas as quantidades, desde que comprovado o preço vantajoso, conforme previsto no artigo 84 da Lei 14.133, de 2021.</w:t>
      </w:r>
    </w:p>
    <w:p>
      <w:pPr>
        <w:pStyle w:val="Normal"/>
        <w:ind w:firstLine="561"/>
        <w:rPr>
          <w:rFonts w:ascii="Arial" w:hAnsi="Arial" w:cs="Arial"/>
        </w:rPr>
      </w:pPr>
      <w:r>
        <w:rPr>
          <w:rFonts w:cs="Arial" w:ascii="Arial" w:hAnsi="Arial"/>
        </w:rPr>
      </w:r>
    </w:p>
    <w:p>
      <w:pPr>
        <w:pStyle w:val="Normal"/>
        <w:shd w:val="clear" w:color="auto" w:fill="DDDDDD"/>
        <w:ind w:firstLine="561"/>
        <w:rPr>
          <w:rFonts w:ascii="Arial" w:hAnsi="Arial" w:cs="Arial"/>
          <w:b/>
          <w:bCs/>
        </w:rPr>
      </w:pPr>
      <w:r>
        <w:rPr>
          <w:rFonts w:cs="Arial" w:ascii="Arial" w:hAnsi="Arial"/>
          <w:b/>
          <w:bCs/>
        </w:rPr>
        <w:t>3. DO PROCEDIMENTO:</w:t>
      </w:r>
    </w:p>
    <w:p>
      <w:pPr>
        <w:pStyle w:val="Normal"/>
        <w:widowControl w:val="false"/>
        <w:numPr>
          <w:ilvl w:val="0"/>
          <w:numId w:val="4"/>
        </w:numPr>
        <w:tabs>
          <w:tab w:val="clear" w:pos="709"/>
          <w:tab w:val="left" w:pos="284" w:leader="none"/>
        </w:tabs>
        <w:jc w:val="both"/>
        <w:rPr>
          <w:rFonts w:ascii="Arial" w:hAnsi="Arial" w:cs="Arial"/>
        </w:rPr>
      </w:pPr>
      <w:r>
        <w:rPr>
          <w:rFonts w:cs="Arial" w:ascii="Arial" w:hAnsi="Arial"/>
        </w:rPr>
        <w:t>Critério de julgamento: menor preço por item;</w:t>
      </w:r>
    </w:p>
    <w:p>
      <w:pPr>
        <w:pStyle w:val="Normal"/>
        <w:widowControl w:val="false"/>
        <w:numPr>
          <w:ilvl w:val="0"/>
          <w:numId w:val="4"/>
        </w:numPr>
        <w:tabs>
          <w:tab w:val="clear" w:pos="709"/>
          <w:tab w:val="left" w:pos="284" w:leader="none"/>
        </w:tabs>
        <w:jc w:val="both"/>
        <w:rPr>
          <w:rFonts w:ascii="Arial" w:hAnsi="Arial" w:cs="Arial"/>
          <w:b/>
        </w:rPr>
      </w:pPr>
      <w:r>
        <w:rPr>
          <w:rFonts w:cs="Arial" w:ascii="Arial" w:hAnsi="Arial"/>
        </w:rPr>
        <w:t>Base de disputa: preço unitário do item;</w:t>
      </w:r>
    </w:p>
    <w:p>
      <w:pPr>
        <w:pStyle w:val="Normal"/>
        <w:widowControl w:val="false"/>
        <w:numPr>
          <w:ilvl w:val="0"/>
          <w:numId w:val="4"/>
        </w:numPr>
        <w:tabs>
          <w:tab w:val="clear" w:pos="709"/>
          <w:tab w:val="left" w:pos="284" w:leader="none"/>
        </w:tabs>
        <w:jc w:val="both"/>
        <w:rPr>
          <w:rFonts w:ascii="Arial" w:hAnsi="Arial" w:cs="Arial"/>
          <w:b/>
        </w:rPr>
      </w:pPr>
      <w:r>
        <w:rPr>
          <w:rFonts w:cs="Arial" w:ascii="Arial" w:hAnsi="Arial"/>
        </w:rPr>
        <w:t>Modo de disputa: Aberto</w:t>
      </w:r>
    </w:p>
    <w:p>
      <w:pPr>
        <w:pStyle w:val="Normal"/>
        <w:widowControl w:val="false"/>
        <w:tabs>
          <w:tab w:val="clear" w:pos="709"/>
          <w:tab w:val="left" w:pos="284" w:leader="none"/>
        </w:tabs>
        <w:jc w:val="both"/>
        <w:rPr>
          <w:rFonts w:ascii="Arial" w:hAnsi="Arial" w:cs="Arial"/>
          <w:b/>
        </w:rPr>
      </w:pPr>
      <w:r>
        <w:rPr>
          <w:rFonts w:cs="Arial" w:ascii="Arial" w:hAnsi="Arial"/>
          <w:b/>
        </w:rPr>
      </w:r>
    </w:p>
    <w:p>
      <w:pPr>
        <w:pStyle w:val="Normal"/>
        <w:shd w:val="clear" w:color="auto" w:fill="DDDDDD"/>
        <w:ind w:firstLine="561"/>
        <w:rPr>
          <w:rFonts w:ascii="Arial" w:hAnsi="Arial" w:cs="Arial"/>
        </w:rPr>
      </w:pPr>
      <w:r>
        <w:rPr>
          <w:rFonts w:cs="Arial" w:ascii="Arial" w:hAnsi="Arial"/>
          <w:b/>
          <w:bCs/>
        </w:rPr>
        <w:t>4. DA PROPOSTA:</w:t>
      </w:r>
    </w:p>
    <w:p>
      <w:pPr>
        <w:pStyle w:val="Normal"/>
        <w:tabs>
          <w:tab w:val="clear" w:pos="709"/>
          <w:tab w:val="left" w:pos="284" w:leader="none"/>
        </w:tabs>
        <w:jc w:val="both"/>
        <w:rPr>
          <w:rFonts w:ascii="Arial" w:hAnsi="Arial" w:cs="Arial"/>
        </w:rPr>
      </w:pPr>
      <w:r>
        <w:rPr>
          <w:rFonts w:cs="Arial" w:ascii="Arial" w:hAnsi="Arial"/>
          <w:b/>
          <w:bCs/>
        </w:rPr>
        <w:t xml:space="preserve">a) </w:t>
      </w:r>
      <w:r>
        <w:rPr>
          <w:rFonts w:cs="Arial" w:ascii="Arial" w:hAnsi="Arial"/>
        </w:rPr>
        <w:t xml:space="preserve">Prazo de validade: </w:t>
      </w:r>
      <w:r>
        <w:rPr>
          <w:rFonts w:cs="Arial" w:ascii="Arial" w:hAnsi="Arial"/>
          <w:b/>
          <w:bCs/>
        </w:rPr>
        <w:t>90 (noventa) dias;</w:t>
      </w:r>
    </w:p>
    <w:p>
      <w:pPr>
        <w:pStyle w:val="Normal"/>
        <w:tabs>
          <w:tab w:val="clear" w:pos="709"/>
          <w:tab w:val="left" w:pos="284" w:leader="none"/>
        </w:tabs>
        <w:jc w:val="both"/>
        <w:rPr>
          <w:rFonts w:ascii="Arial" w:hAnsi="Arial" w:cs="Arial"/>
        </w:rPr>
      </w:pPr>
      <w:r>
        <w:rPr>
          <w:rFonts w:cs="Arial" w:ascii="Arial" w:hAnsi="Arial"/>
          <w:b/>
          <w:bCs/>
        </w:rPr>
        <w:t xml:space="preserve">b) </w:t>
      </w:r>
      <w:r>
        <w:rPr>
          <w:rFonts w:cs="Arial" w:ascii="Arial" w:hAnsi="Arial"/>
        </w:rPr>
        <w:t>Prazo de pagamento: 15 (quinze) dias úteis, contados da data do recebimento da nota fiscal, em atendimento ao Decreto Municipal Nº 17.640/18;</w:t>
      </w:r>
    </w:p>
    <w:p>
      <w:pPr>
        <w:pStyle w:val="Normal"/>
        <w:tabs>
          <w:tab w:val="clear" w:pos="709"/>
          <w:tab w:val="left" w:pos="284" w:leader="none"/>
        </w:tabs>
        <w:jc w:val="both"/>
        <w:rPr>
          <w:rFonts w:ascii="Arial" w:hAnsi="Arial" w:cs="Arial"/>
        </w:rPr>
      </w:pPr>
      <w:r>
        <w:rPr>
          <w:rFonts w:cs="Arial" w:ascii="Arial" w:hAnsi="Arial"/>
          <w:b/>
          <w:bCs/>
        </w:rPr>
        <w:t xml:space="preserve">c) </w:t>
      </w: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expresso em moeda corrente nacional </w:t>
      </w:r>
    </w:p>
    <w:p>
      <w:pPr>
        <w:pStyle w:val="Normal"/>
        <w:tabs>
          <w:tab w:val="clear" w:pos="709"/>
          <w:tab w:val="left" w:pos="284" w:leader="none"/>
        </w:tabs>
        <w:jc w:val="both"/>
        <w:rPr>
          <w:rFonts w:ascii="Arial" w:hAnsi="Arial" w:cs="Arial"/>
          <w:b/>
          <w:bCs/>
        </w:rPr>
      </w:pPr>
      <w:r>
        <w:rPr>
          <w:rFonts w:cs="Arial" w:ascii="Arial" w:hAnsi="Arial"/>
          <w:b/>
          <w:bCs/>
        </w:rPr>
        <w:t xml:space="preserve">d) </w:t>
      </w:r>
      <w:r>
        <w:rPr>
          <w:rFonts w:cs="Arial" w:ascii="Arial" w:hAnsi="Arial"/>
        </w:rPr>
        <w:t>Deverá ser anexado no sistema eletrônico, no campo denominado “Documentos Complementares”, sob pena de desclassificação pelo não cumprimento:</w:t>
      </w:r>
    </w:p>
    <w:p>
      <w:pPr>
        <w:pStyle w:val="Normal"/>
        <w:tabs>
          <w:tab w:val="clear" w:pos="709"/>
          <w:tab w:val="left" w:pos="284" w:leader="none"/>
        </w:tabs>
        <w:jc w:val="both"/>
        <w:rPr>
          <w:rFonts w:ascii="Arial" w:hAnsi="Arial" w:cs="Arial"/>
          <w:b/>
          <w:bCs/>
        </w:rPr>
      </w:pPr>
      <w:r>
        <w:rPr>
          <w:rFonts w:cs="Arial" w:ascii="Arial" w:hAnsi="Arial"/>
          <w:b/>
          <w:bCs/>
        </w:rPr>
        <w:t xml:space="preserve">e) </w:t>
      </w:r>
      <w:r>
        <w:rPr>
          <w:rFonts w:cs="Arial" w:ascii="Arial" w:hAnsi="Arial"/>
        </w:rPr>
        <w:t>Catálogos técnicos contendo o descritivo/folder/foto do produto ofertado, comprovando as especificações técnicas exigidas no edital.</w:t>
      </w:r>
    </w:p>
    <w:p>
      <w:pPr>
        <w:pStyle w:val="Normal"/>
        <w:tabs>
          <w:tab w:val="clear" w:pos="709"/>
          <w:tab w:val="left" w:pos="284" w:leader="none"/>
        </w:tabs>
        <w:jc w:val="both"/>
        <w:rPr>
          <w:rFonts w:ascii="Arial" w:hAnsi="Arial" w:cs="Arial"/>
        </w:rPr>
      </w:pPr>
      <w:r>
        <w:rPr>
          <w:rFonts w:cs="Arial" w:ascii="Arial" w:hAnsi="Arial"/>
          <w:b/>
          <w:bCs/>
        </w:rPr>
        <w:t>f)</w:t>
      </w:r>
      <w:r>
        <w:rPr>
          <w:rFonts w:cs="Arial" w:ascii="Arial" w:hAnsi="Arial"/>
        </w:rPr>
        <w:t xml:space="preserve"> Apresentar Registro no Ministério da Saúde dos produtos ofertados. </w:t>
      </w:r>
    </w:p>
    <w:p>
      <w:pPr>
        <w:pStyle w:val="Normal"/>
        <w:tabs>
          <w:tab w:val="clear" w:pos="709"/>
          <w:tab w:val="left" w:pos="284" w:leader="none"/>
        </w:tabs>
        <w:jc w:val="both"/>
        <w:rPr>
          <w:rFonts w:ascii="Arial" w:hAnsi="Arial" w:eastAsia="Arial" w:cs="Arial"/>
        </w:rPr>
      </w:pPr>
      <w:r>
        <w:rPr>
          <w:rFonts w:cs="Arial" w:ascii="Arial" w:hAnsi="Arial"/>
          <w:b/>
          <w:bCs/>
        </w:rPr>
        <w:t xml:space="preserve">g) </w:t>
      </w: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tabs>
          <w:tab w:val="clear" w:pos="709"/>
          <w:tab w:val="left" w:pos="284" w:leader="none"/>
        </w:tabs>
        <w:jc w:val="both"/>
        <w:rPr>
          <w:rFonts w:ascii="Arial" w:hAnsi="Arial" w:eastAsia="Arial" w:cs="Arial"/>
          <w:sz w:val="5"/>
          <w:szCs w:val="5"/>
        </w:rPr>
      </w:pPr>
      <w:r>
        <w:rPr>
          <w:rFonts w:eastAsia="Arial" w:cs="Arial" w:ascii="Arial" w:hAnsi="Arial"/>
          <w:sz w:val="5"/>
          <w:szCs w:val="5"/>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789"/>
        <w:gridCol w:w="921"/>
        <w:gridCol w:w="735"/>
        <w:gridCol w:w="7474"/>
      </w:tblGrid>
      <w:tr>
        <w:trPr>
          <w:tblHeader w:val="true"/>
          <w:trHeight w:val="283" w:hRule="atLeast"/>
        </w:trPr>
        <w:tc>
          <w:tcPr>
            <w:tcW w:w="789"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rPr>
            </w:pPr>
            <w:r>
              <w:rPr>
                <w:rFonts w:cs="Arial" w:ascii="Arial" w:hAnsi="Arial"/>
                <w:b/>
              </w:rPr>
              <w:t>Item</w:t>
            </w:r>
          </w:p>
        </w:tc>
        <w:tc>
          <w:tcPr>
            <w:tcW w:w="921"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rPr>
            </w:pPr>
            <w:r>
              <w:rPr>
                <w:rFonts w:cs="Arial" w:ascii="Arial" w:hAnsi="Arial"/>
                <w:b/>
              </w:rPr>
              <w:t>Quant.</w:t>
            </w:r>
          </w:p>
        </w:tc>
        <w:tc>
          <w:tcPr>
            <w:tcW w:w="735"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rPr>
            </w:pPr>
            <w:r>
              <w:rPr>
                <w:rFonts w:cs="Arial" w:ascii="Arial" w:hAnsi="Arial"/>
                <w:b/>
              </w:rPr>
              <w:t>Unid.</w:t>
            </w:r>
          </w:p>
        </w:tc>
        <w:tc>
          <w:tcPr>
            <w:tcW w:w="7474" w:type="dxa"/>
            <w:tcBorders>
              <w:top w:val="single" w:sz="4" w:space="0" w:color="000000"/>
              <w:left w:val="single" w:sz="4" w:space="0" w:color="000000"/>
              <w:bottom w:val="single" w:sz="4" w:space="0" w:color="000000"/>
              <w:right w:val="single" w:sz="4" w:space="0" w:color="000000"/>
            </w:tcBorders>
            <w:vAlign w:val="center"/>
          </w:tcPr>
          <w:p>
            <w:pPr>
              <w:pStyle w:val="Contedodatabela"/>
              <w:jc w:val="center"/>
              <w:rPr>
                <w:rFonts w:ascii="Arial" w:hAnsi="Arial" w:cs="Arial"/>
              </w:rPr>
            </w:pPr>
            <w:r>
              <w:rPr>
                <w:rFonts w:cs="Arial" w:ascii="Arial" w:hAnsi="Arial"/>
                <w:b/>
              </w:rPr>
              <w:t>Descritivo</w:t>
            </w:r>
          </w:p>
        </w:tc>
      </w:tr>
      <w:tr>
        <w:trPr>
          <w:trHeight w:val="283" w:hRule="atLeast"/>
        </w:trPr>
        <w:tc>
          <w:tcPr>
            <w:tcW w:w="789"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1</w:t>
            </w:r>
          </w:p>
        </w:tc>
        <w:tc>
          <w:tcPr>
            <w:tcW w:w="921"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rPr>
              <w:t>25</w:t>
            </w:r>
          </w:p>
        </w:tc>
        <w:tc>
          <w:tcPr>
            <w:tcW w:w="735"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rPr>
              <w:t>Unid.</w:t>
            </w:r>
          </w:p>
        </w:tc>
        <w:tc>
          <w:tcPr>
            <w:tcW w:w="7474" w:type="dxa"/>
            <w:tcBorders>
              <w:top w:val="single" w:sz="4" w:space="0" w:color="000000"/>
              <w:left w:val="single" w:sz="4" w:space="0" w:color="000000"/>
              <w:bottom w:val="single" w:sz="4" w:space="0" w:color="000000"/>
              <w:right w:val="single" w:sz="4" w:space="0" w:color="000000"/>
            </w:tcBorders>
            <w:vAlign w:val="center"/>
          </w:tcPr>
          <w:p>
            <w:pPr>
              <w:pStyle w:val="Default"/>
              <w:rPr/>
            </w:pPr>
            <w:r>
              <w:rPr/>
            </w:r>
          </w:p>
          <w:tbl>
            <w:tblPr>
              <w:tblW w:w="736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7365"/>
            </w:tblGrid>
            <w:tr>
              <w:trPr>
                <w:trHeight w:val="1300" w:hRule="atLeast"/>
              </w:trPr>
              <w:tc>
                <w:tcPr>
                  <w:tcW w:w="7365" w:type="dxa"/>
                  <w:tcBorders/>
                </w:tcPr>
                <w:p>
                  <w:pPr>
                    <w:pStyle w:val="Default"/>
                    <w:rPr>
                      <w:sz w:val="20"/>
                    </w:rPr>
                  </w:pPr>
                  <w:r>
                    <w:rPr/>
                    <w:t xml:space="preserve"> </w:t>
                  </w:r>
                  <w:r>
                    <w:rPr>
                      <w:rFonts w:ascii="Arial" w:hAnsi="Arial"/>
                      <w:sz w:val="20"/>
                    </w:rPr>
                    <w:t xml:space="preserve">Locação de aparelho médico respiratório </w:t>
                  </w:r>
                  <w:r>
                    <w:rPr>
                      <w:rFonts w:ascii="Arial" w:hAnsi="Arial"/>
                      <w:b/>
                      <w:sz w:val="20"/>
                    </w:rPr>
                    <w:t>BIPAP</w:t>
                  </w:r>
                  <w:r>
                    <w:rPr>
                      <w:rFonts w:ascii="Arial" w:hAnsi="Arial"/>
                      <w:sz w:val="20"/>
                    </w:rPr>
                    <w:t>, para ventilação invasiva e não invasiva, com sistema de umidificação aquecida acoplável para BIPAP. Bilevel, destinado à ventilação, que opere de 4 a 30 cm de H2O, com sensibilidade e compensação de vazamentos, além das funções de parâmetros monitorados.</w:t>
                  </w:r>
                </w:p>
                <w:p>
                  <w:pPr>
                    <w:pStyle w:val="Default"/>
                    <w:rPr>
                      <w:rFonts w:ascii="Arial" w:hAnsi="Arial"/>
                    </w:rPr>
                  </w:pPr>
                  <w:r>
                    <w:rPr>
                      <w:rFonts w:ascii="Arial" w:hAnsi="Arial"/>
                      <w:b/>
                      <w:sz w:val="20"/>
                    </w:rPr>
                    <w:t>Acessórios BIPAP (Inclusos)</w:t>
                  </w:r>
                  <w:r>
                    <w:rPr>
                      <w:rFonts w:ascii="Arial" w:hAnsi="Arial"/>
                      <w:sz w:val="20"/>
                    </w:rPr>
                    <w:t>: - Monitor de registro de parâmetros de pressões e alarmes digitais;</w:t>
                  </w:r>
                </w:p>
              </w:tc>
            </w:tr>
            <w:tr>
              <w:trPr>
                <w:trHeight w:val="5268" w:hRule="atLeast"/>
              </w:trPr>
              <w:tc>
                <w:tcPr>
                  <w:tcW w:w="7365" w:type="dxa"/>
                  <w:tcBorders/>
                </w:tcPr>
                <w:p>
                  <w:pPr>
                    <w:pStyle w:val="Default"/>
                    <w:rPr>
                      <w:rFonts w:ascii="Arial" w:hAnsi="Arial"/>
                    </w:rPr>
                  </w:pPr>
                  <w:r>
                    <w:rPr>
                      <w:rFonts w:ascii="Arial" w:hAnsi="Arial"/>
                      <w:sz w:val="20"/>
                    </w:rPr>
                    <w:t>Bateria interna com duração mínima de 02 horas;</w:t>
                  </w:r>
                </w:p>
                <w:p>
                  <w:pPr>
                    <w:pStyle w:val="Default"/>
                    <w:rPr>
                      <w:rFonts w:ascii="Arial" w:hAnsi="Arial"/>
                    </w:rPr>
                  </w:pPr>
                  <w:r>
                    <w:rPr>
                      <w:rFonts w:ascii="Arial" w:hAnsi="Arial"/>
                      <w:sz w:val="20"/>
                    </w:rPr>
                    <w:t>01 base aquecida;</w:t>
                  </w:r>
                </w:p>
                <w:p>
                  <w:pPr>
                    <w:pStyle w:val="Default"/>
                    <w:rPr>
                      <w:rFonts w:ascii="Arial" w:hAnsi="Arial"/>
                    </w:rPr>
                  </w:pPr>
                  <w:r>
                    <w:rPr>
                      <w:rFonts w:ascii="Arial" w:hAnsi="Arial"/>
                      <w:sz w:val="20"/>
                    </w:rPr>
                    <w:t>01 no-break com duração mínima de 06 horas (em caso de queda de energia).</w:t>
                  </w:r>
                </w:p>
                <w:p>
                  <w:pPr>
                    <w:pStyle w:val="Default"/>
                    <w:rPr>
                      <w:rFonts w:ascii="Arial" w:hAnsi="Arial"/>
                    </w:rPr>
                  </w:pPr>
                  <w:r>
                    <w:rPr>
                      <w:rFonts w:ascii="Arial" w:hAnsi="Arial"/>
                      <w:sz w:val="20"/>
                    </w:rPr>
                    <w:t>01 ressuscitador manual tipo ambu</w:t>
                  </w:r>
                </w:p>
                <w:p>
                  <w:pPr>
                    <w:pStyle w:val="Default"/>
                    <w:rPr>
                      <w:rFonts w:ascii="Arial" w:hAnsi="Arial"/>
                    </w:rPr>
                  </w:pPr>
                  <w:r>
                    <w:rPr>
                      <w:rFonts w:ascii="Arial" w:hAnsi="Arial"/>
                      <w:b/>
                      <w:sz w:val="20"/>
                    </w:rPr>
                    <w:t xml:space="preserve">Consumíveis BIPAP (Inclusos na primeira instalação e substituição conforme período descrito) </w:t>
                  </w:r>
                  <w:r>
                    <w:rPr>
                      <w:rFonts w:ascii="Arial" w:hAnsi="Arial"/>
                      <w:sz w:val="20"/>
                    </w:rPr>
                    <w:t>Consumíveis relativos à ventilação invasiva e prazo para troca:</w:t>
                  </w:r>
                </w:p>
                <w:p>
                  <w:pPr>
                    <w:pStyle w:val="Default"/>
                    <w:rPr>
                      <w:rFonts w:ascii="Arial" w:hAnsi="Arial"/>
                    </w:rPr>
                  </w:pPr>
                  <w:r>
                    <w:rPr>
                      <w:rFonts w:ascii="Arial" w:hAnsi="Arial"/>
                      <w:sz w:val="20"/>
                    </w:rPr>
                    <w:t>01 circuito invasivo (trimestral);</w:t>
                  </w:r>
                </w:p>
                <w:p>
                  <w:pPr>
                    <w:pStyle w:val="Default"/>
                    <w:rPr>
                      <w:rFonts w:ascii="Arial" w:hAnsi="Arial"/>
                    </w:rPr>
                  </w:pPr>
                  <w:r>
                    <w:rPr>
                      <w:rFonts w:ascii="Arial" w:hAnsi="Arial"/>
                      <w:sz w:val="20"/>
                    </w:rPr>
                    <w:t>01 porta oxigênio (trimestral);</w:t>
                  </w:r>
                </w:p>
                <w:p>
                  <w:pPr>
                    <w:pStyle w:val="Default"/>
                    <w:rPr>
                      <w:rFonts w:ascii="Arial" w:hAnsi="Arial"/>
                    </w:rPr>
                  </w:pPr>
                  <w:r>
                    <w:rPr>
                      <w:rFonts w:ascii="Arial" w:hAnsi="Arial"/>
                      <w:sz w:val="20"/>
                    </w:rPr>
                    <w:t>01 cateter (trimestral);</w:t>
                  </w:r>
                </w:p>
                <w:p>
                  <w:pPr>
                    <w:pStyle w:val="Default"/>
                    <w:rPr>
                      <w:rFonts w:ascii="Arial" w:hAnsi="Arial"/>
                    </w:rPr>
                  </w:pPr>
                  <w:r>
                    <w:rPr>
                      <w:rFonts w:ascii="Arial" w:hAnsi="Arial"/>
                      <w:sz w:val="20"/>
                    </w:rPr>
                    <w:t>01 conector universal (trimestral);</w:t>
                  </w:r>
                </w:p>
                <w:p>
                  <w:pPr>
                    <w:pStyle w:val="Default"/>
                    <w:rPr>
                      <w:rFonts w:ascii="Arial" w:hAnsi="Arial"/>
                    </w:rPr>
                  </w:pPr>
                  <w:r>
                    <w:rPr>
                      <w:rFonts w:ascii="Arial" w:hAnsi="Arial"/>
                      <w:sz w:val="20"/>
                    </w:rPr>
                    <w:t>01 adaptador para inalação (trimestral);</w:t>
                  </w:r>
                </w:p>
                <w:p>
                  <w:pPr>
                    <w:pStyle w:val="Default"/>
                    <w:rPr>
                      <w:rFonts w:ascii="Arial" w:hAnsi="Arial"/>
                    </w:rPr>
                  </w:pPr>
                  <w:r>
                    <w:rPr>
                      <w:rFonts w:ascii="Arial" w:hAnsi="Arial"/>
                      <w:sz w:val="20"/>
                    </w:rPr>
                    <w:t>01 câmara aquecida (semestral);</w:t>
                  </w:r>
                </w:p>
                <w:p>
                  <w:pPr>
                    <w:pStyle w:val="Default"/>
                    <w:rPr>
                      <w:rFonts w:ascii="Arial" w:hAnsi="Arial"/>
                    </w:rPr>
                  </w:pPr>
                  <w:r>
                    <w:rPr>
                      <w:rFonts w:ascii="Arial" w:hAnsi="Arial"/>
                      <w:sz w:val="20"/>
                    </w:rPr>
                    <w:t>Filtros (mensal).</w:t>
                  </w:r>
                </w:p>
                <w:p>
                  <w:pPr>
                    <w:pStyle w:val="Default"/>
                    <w:rPr>
                      <w:rFonts w:ascii="Arial" w:hAnsi="Arial"/>
                    </w:rPr>
                  </w:pPr>
                  <w:r>
                    <w:rPr>
                      <w:rFonts w:ascii="Arial" w:hAnsi="Arial"/>
                      <w:sz w:val="20"/>
                    </w:rPr>
                    <w:t>Consumíveis relativos à ventilação não invasiva e prazo para troca:</w:t>
                  </w:r>
                </w:p>
                <w:p>
                  <w:pPr>
                    <w:pStyle w:val="Default"/>
                    <w:rPr>
                      <w:rFonts w:ascii="Arial" w:hAnsi="Arial"/>
                    </w:rPr>
                  </w:pPr>
                  <w:r>
                    <w:rPr>
                      <w:rFonts w:ascii="Arial" w:hAnsi="Arial"/>
                      <w:sz w:val="20"/>
                    </w:rPr>
                    <w:t>01 circuito bilevel não invasivo (trimestral);</w:t>
                  </w:r>
                </w:p>
                <w:p>
                  <w:pPr>
                    <w:pStyle w:val="Default"/>
                    <w:rPr>
                      <w:rFonts w:ascii="Arial" w:hAnsi="Arial"/>
                    </w:rPr>
                  </w:pPr>
                  <w:r>
                    <w:rPr>
                      <w:rFonts w:ascii="Arial" w:hAnsi="Arial"/>
                      <w:sz w:val="20"/>
                    </w:rPr>
                    <w:t>01 porta oxigênio (trimestral);</w:t>
                  </w:r>
                </w:p>
                <w:p>
                  <w:pPr>
                    <w:pStyle w:val="Default"/>
                    <w:rPr>
                      <w:rFonts w:ascii="Arial" w:hAnsi="Arial"/>
                    </w:rPr>
                  </w:pPr>
                  <w:r>
                    <w:rPr>
                      <w:rFonts w:ascii="Arial" w:hAnsi="Arial"/>
                      <w:sz w:val="20"/>
                    </w:rPr>
                    <w:t>01 adaptador para inalação (trimestral);</w:t>
                  </w:r>
                </w:p>
                <w:p>
                  <w:pPr>
                    <w:pStyle w:val="Default"/>
                    <w:rPr>
                      <w:rFonts w:ascii="Arial" w:hAnsi="Arial"/>
                    </w:rPr>
                  </w:pPr>
                  <w:r>
                    <w:rPr>
                      <w:rFonts w:ascii="Arial" w:hAnsi="Arial"/>
                      <w:sz w:val="20"/>
                    </w:rPr>
                    <w:t>01 máscara facial, oronasal ou nasal em gel ou silicone, conforme prescrição nos tamanhos (P, M ou G) (semestral);</w:t>
                  </w:r>
                </w:p>
                <w:p>
                  <w:pPr>
                    <w:pStyle w:val="Default"/>
                    <w:rPr>
                      <w:rFonts w:ascii="Arial" w:hAnsi="Arial"/>
                    </w:rPr>
                  </w:pPr>
                  <w:r>
                    <w:rPr>
                      <w:rFonts w:ascii="Arial" w:hAnsi="Arial"/>
                      <w:sz w:val="20"/>
                    </w:rPr>
                    <w:t>01 fixador (arnês) para máscara (semestral);</w:t>
                  </w:r>
                </w:p>
                <w:p>
                  <w:pPr>
                    <w:pStyle w:val="Default"/>
                    <w:rPr>
                      <w:rFonts w:ascii="Arial" w:hAnsi="Arial"/>
                    </w:rPr>
                  </w:pPr>
                  <w:r>
                    <w:rPr>
                      <w:rFonts w:ascii="Arial" w:hAnsi="Arial"/>
                      <w:sz w:val="20"/>
                    </w:rPr>
                    <w:t>01 gorro (P, M ou G) (semestral);</w:t>
                  </w:r>
                </w:p>
                <w:p>
                  <w:pPr>
                    <w:pStyle w:val="Default"/>
                    <w:rPr>
                      <w:rFonts w:ascii="Arial" w:hAnsi="Arial"/>
                    </w:rPr>
                  </w:pPr>
                  <w:r>
                    <w:rPr>
                      <w:rFonts w:ascii="Arial" w:hAnsi="Arial"/>
                      <w:sz w:val="20"/>
                    </w:rPr>
                    <w:t>Filtros (mensal);</w:t>
                  </w:r>
                </w:p>
                <w:p>
                  <w:pPr>
                    <w:pStyle w:val="Default"/>
                    <w:rPr>
                      <w:rFonts w:ascii="Arial" w:hAnsi="Arial"/>
                    </w:rPr>
                  </w:pPr>
                  <w:r>
                    <w:rPr>
                      <w:rFonts w:ascii="Arial" w:hAnsi="Arial"/>
                      <w:sz w:val="20"/>
                    </w:rPr>
                    <w:t>Fornecer: 1 circuito e 1 máscara reserva para emergência e revezamento de higienização para pacientes com uso 24 horas quando solicitado pela Secretaria de Saúde.</w:t>
                  </w:r>
                </w:p>
              </w:tc>
            </w:tr>
          </w:tbl>
          <w:p>
            <w:pPr>
              <w:pStyle w:val="Default"/>
              <w:rPr>
                <w:sz w:val="20"/>
              </w:rPr>
            </w:pPr>
            <w:r>
              <w:rPr>
                <w:sz w:val="20"/>
              </w:rPr>
            </w:r>
          </w:p>
          <w:p>
            <w:pPr>
              <w:pStyle w:val="Normal"/>
              <w:rPr/>
            </w:pPr>
            <w:r>
              <w:rPr/>
            </w:r>
          </w:p>
          <w:p>
            <w:pPr>
              <w:pStyle w:val="Normal"/>
              <w:rPr>
                <w:rFonts w:ascii="Arial" w:hAnsi="Arial" w:cs="Arial"/>
              </w:rPr>
            </w:pPr>
            <w:r>
              <w:rPr>
                <w:rFonts w:cs="Arial" w:ascii="Arial" w:hAnsi="Arial"/>
              </w:rPr>
            </w:r>
          </w:p>
        </w:tc>
      </w:tr>
      <w:tr>
        <w:trPr>
          <w:trHeight w:val="283" w:hRule="atLeast"/>
        </w:trPr>
        <w:tc>
          <w:tcPr>
            <w:tcW w:w="789" w:type="dxa"/>
            <w:tcBorders>
              <w:top w:val="single" w:sz="4" w:space="0" w:color="000000"/>
              <w:left w:val="single" w:sz="4" w:space="0" w:color="000000"/>
              <w:bottom w:val="single" w:sz="4" w:space="0" w:color="000000"/>
            </w:tcBorders>
            <w:vAlign w:val="center"/>
          </w:tcPr>
          <w:p>
            <w:pPr>
              <w:pStyle w:val="Normal"/>
              <w:jc w:val="center"/>
              <w:rPr>
                <w:rFonts w:ascii="Arial" w:hAnsi="Arial" w:cs="Arial"/>
                <w:sz w:val="18"/>
                <w:szCs w:val="18"/>
              </w:rPr>
            </w:pPr>
            <w:r>
              <w:rPr>
                <w:rFonts w:cs="Arial" w:ascii="Arial" w:hAnsi="Arial"/>
                <w:sz w:val="18"/>
                <w:szCs w:val="18"/>
              </w:rPr>
              <w:t>2</w:t>
            </w:r>
          </w:p>
        </w:tc>
        <w:tc>
          <w:tcPr>
            <w:tcW w:w="921"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rPr>
              <w:t>15</w:t>
            </w:r>
          </w:p>
        </w:tc>
        <w:tc>
          <w:tcPr>
            <w:tcW w:w="735" w:type="dxa"/>
            <w:tcBorders>
              <w:top w:val="single" w:sz="4" w:space="0" w:color="000000"/>
              <w:left w:val="single" w:sz="4" w:space="0" w:color="000000"/>
              <w:bottom w:val="single" w:sz="4" w:space="0" w:color="000000"/>
            </w:tcBorders>
          </w:tcPr>
          <w:p>
            <w:pPr>
              <w:pStyle w:val="Normal"/>
              <w:spacing w:before="3021" w:after="3021"/>
              <w:jc w:val="center"/>
              <w:rPr>
                <w:rFonts w:ascii="Arial" w:hAnsi="Arial" w:cs="Arial"/>
              </w:rPr>
            </w:pPr>
            <w:r>
              <w:rPr>
                <w:rFonts w:cs="Arial" w:ascii="Arial" w:hAnsi="Arial"/>
              </w:rPr>
              <w:t>Unid.</w:t>
            </w:r>
          </w:p>
        </w:tc>
        <w:tc>
          <w:tcPr>
            <w:tcW w:w="7474" w:type="dxa"/>
            <w:tcBorders>
              <w:top w:val="single" w:sz="4" w:space="0" w:color="000000"/>
              <w:left w:val="single" w:sz="4" w:space="0" w:color="000000"/>
              <w:bottom w:val="single" w:sz="4" w:space="0" w:color="000000"/>
              <w:right w:val="single" w:sz="4" w:space="0" w:color="000000"/>
            </w:tcBorders>
            <w:vAlign w:val="center"/>
          </w:tcPr>
          <w:p>
            <w:pPr>
              <w:pStyle w:val="Contedodatabela"/>
              <w:rPr>
                <w:rFonts w:ascii="Arial" w:hAnsi="Arial" w:cs="Arial"/>
              </w:rPr>
            </w:pPr>
            <w:r>
              <w:rPr>
                <w:rFonts w:cs="Arial" w:ascii="Arial" w:hAnsi="Arial"/>
              </w:rPr>
            </w:r>
          </w:p>
          <w:tbl>
            <w:tblPr>
              <w:tblW w:w="732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7320"/>
            </w:tblGrid>
            <w:tr>
              <w:trPr>
                <w:trHeight w:val="735" w:hRule="atLeast"/>
              </w:trPr>
              <w:tc>
                <w:tcPr>
                  <w:tcW w:w="7320" w:type="dxa"/>
                  <w:tcBorders/>
                </w:tcPr>
                <w:p>
                  <w:pPr>
                    <w:pStyle w:val="Default"/>
                    <w:rPr>
                      <w:rFonts w:ascii="Arial" w:hAnsi="Arial"/>
                    </w:rPr>
                  </w:pPr>
                  <w:r>
                    <w:rPr>
                      <w:rFonts w:ascii="Arial" w:hAnsi="Arial"/>
                      <w:sz w:val="20"/>
                    </w:rPr>
                    <w:t xml:space="preserve">Locação de aparelho </w:t>
                  </w:r>
                  <w:r>
                    <w:rPr>
                      <w:rFonts w:ascii="Arial" w:hAnsi="Arial"/>
                      <w:b/>
                      <w:sz w:val="20"/>
                    </w:rPr>
                    <w:t xml:space="preserve">CPAP </w:t>
                  </w:r>
                  <w:r>
                    <w:rPr>
                      <w:rFonts w:ascii="Arial" w:hAnsi="Arial"/>
                      <w:sz w:val="20"/>
                    </w:rPr>
                    <w:t>automático, com sistema de umidificação aquecida acoplável para CPAP. Incluindo os seguintes acessórios por equipamento, que serão</w:t>
                  </w:r>
                </w:p>
                <w:tbl>
                  <w:tblPr>
                    <w:tblW w:w="730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7305"/>
                  </w:tblGrid>
                  <w:tr>
                    <w:trPr>
                      <w:trHeight w:val="3450" w:hRule="atLeast"/>
                    </w:trPr>
                    <w:tc>
                      <w:tcPr>
                        <w:tcW w:w="7305" w:type="dxa"/>
                        <w:tcBorders/>
                      </w:tcPr>
                      <w:p>
                        <w:pPr>
                          <w:pStyle w:val="Default"/>
                          <w:rPr>
                            <w:rFonts w:ascii="Arial" w:hAnsi="Arial"/>
                            <w:sz w:val="20"/>
                          </w:rPr>
                        </w:pPr>
                        <w:r>
                          <w:rPr>
                            <w:rFonts w:ascii="Arial" w:hAnsi="Arial"/>
                            <w:sz w:val="20"/>
                          </w:rPr>
                          <w:t>fornecidos durante o período de vigência do contrato:</w:t>
                        </w:r>
                      </w:p>
                      <w:p>
                        <w:pPr>
                          <w:pStyle w:val="Default"/>
                          <w:rPr>
                            <w:rFonts w:ascii="Arial" w:hAnsi="Arial"/>
                            <w:sz w:val="20"/>
                          </w:rPr>
                        </w:pPr>
                        <w:r>
                          <w:rPr>
                            <w:rFonts w:ascii="Arial" w:hAnsi="Arial"/>
                            <w:sz w:val="20"/>
                          </w:rPr>
                          <w:t>Consumíveis CPAP (inclusos na primeira instalação e substituídos conforme período descrito)</w:t>
                        </w:r>
                      </w:p>
                      <w:p>
                        <w:pPr>
                          <w:pStyle w:val="Default"/>
                          <w:rPr>
                            <w:rFonts w:ascii="Arial" w:hAnsi="Arial"/>
                            <w:sz w:val="20"/>
                          </w:rPr>
                        </w:pPr>
                        <w:r>
                          <w:rPr>
                            <w:rFonts w:ascii="Arial" w:hAnsi="Arial"/>
                            <w:sz w:val="20"/>
                          </w:rPr>
                          <w:t xml:space="preserve"> </w:t>
                        </w:r>
                        <w:r>
                          <w:rPr>
                            <w:rFonts w:ascii="Arial" w:hAnsi="Arial"/>
                            <w:sz w:val="20"/>
                          </w:rPr>
                          <w:t>- Circuito para CPAP não invasivo; (6 meses / trocar)</w:t>
                        </w:r>
                      </w:p>
                      <w:p>
                        <w:pPr>
                          <w:pStyle w:val="Default"/>
                          <w:rPr>
                            <w:rFonts w:ascii="Arial" w:hAnsi="Arial"/>
                            <w:sz w:val="20"/>
                          </w:rPr>
                        </w:pPr>
                        <w:r>
                          <w:rPr>
                            <w:rFonts w:ascii="Arial" w:hAnsi="Arial"/>
                            <w:sz w:val="20"/>
                          </w:rPr>
                          <w:t>- Filtros; (3 meses / trocar)</w:t>
                        </w:r>
                      </w:p>
                      <w:p>
                        <w:pPr>
                          <w:pStyle w:val="Default"/>
                          <w:rPr>
                            <w:rFonts w:ascii="Arial" w:hAnsi="Arial"/>
                            <w:sz w:val="20"/>
                          </w:rPr>
                        </w:pPr>
                        <w:r>
                          <w:rPr>
                            <w:rFonts w:ascii="Arial" w:hAnsi="Arial"/>
                            <w:sz w:val="20"/>
                          </w:rPr>
                          <w:t>- Máscara nasal, oronasal ou facial em gel ou silicone de acordo com o tamanho prescrito; (6 meses trocar);</w:t>
                        </w:r>
                      </w:p>
                      <w:p>
                        <w:pPr>
                          <w:pStyle w:val="Default"/>
                          <w:rPr>
                            <w:rFonts w:ascii="Arial" w:hAnsi="Arial"/>
                            <w:sz w:val="20"/>
                          </w:rPr>
                        </w:pPr>
                        <w:r>
                          <w:rPr>
                            <w:rFonts w:ascii="Arial" w:hAnsi="Arial"/>
                            <w:sz w:val="20"/>
                          </w:rPr>
                          <w:t xml:space="preserve"> </w:t>
                        </w:r>
                        <w:r>
                          <w:rPr>
                            <w:rFonts w:ascii="Arial" w:hAnsi="Arial"/>
                            <w:sz w:val="20"/>
                          </w:rPr>
                          <w:t>- Fixador (arnês) para máscara (6 meses trocar).</w:t>
                        </w:r>
                      </w:p>
                      <w:p>
                        <w:pPr>
                          <w:pStyle w:val="Default"/>
                          <w:rPr>
                            <w:rFonts w:ascii="Arial" w:hAnsi="Arial"/>
                            <w:sz w:val="20"/>
                          </w:rPr>
                        </w:pPr>
                        <w:r>
                          <w:rPr>
                            <w:rFonts w:ascii="Arial" w:hAnsi="Arial"/>
                            <w:sz w:val="20"/>
                          </w:rPr>
                          <w:t xml:space="preserve"> </w:t>
                        </w:r>
                        <w:r>
                          <w:rPr>
                            <w:rFonts w:ascii="Arial" w:hAnsi="Arial"/>
                            <w:sz w:val="20"/>
                          </w:rPr>
                          <w:t>- Fornecer: 1 circuito e 1 máscara reserva para emergência e revezamento de higienização para pacientes com uso 24 horas quando solicitado pela Secretaria de Saúde.</w:t>
                        </w:r>
                      </w:p>
                      <w:p>
                        <w:pPr>
                          <w:pStyle w:val="Default"/>
                          <w:rPr>
                            <w:rFonts w:ascii="Arial" w:hAnsi="Arial"/>
                            <w:sz w:val="20"/>
                          </w:rPr>
                        </w:pPr>
                        <w:r>
                          <w:rPr>
                            <w:rFonts w:ascii="Arial" w:hAnsi="Arial"/>
                            <w:sz w:val="20"/>
                          </w:rPr>
                        </w:r>
                      </w:p>
                      <w:p>
                        <w:pPr>
                          <w:pStyle w:val="Default"/>
                          <w:rPr>
                            <w:rFonts w:ascii="Arial" w:hAnsi="Arial"/>
                            <w:sz w:val="20"/>
                          </w:rPr>
                        </w:pPr>
                        <w:r>
                          <w:rPr>
                            <w:rFonts w:ascii="Arial" w:hAnsi="Arial"/>
                            <w:sz w:val="20"/>
                          </w:rPr>
                          <w:t>Especificação: Corrente 110/240 Automático Incrementos de pressão: 4ª a 20 cm de H2O Rampa de 4 a 45 minutos Cartão de leitura de pressão. Com cartão de memória.</w:t>
                        </w:r>
                      </w:p>
                      <w:p>
                        <w:pPr>
                          <w:pStyle w:val="Default"/>
                          <w:rPr>
                            <w:rFonts w:ascii="Arial" w:hAnsi="Arial"/>
                            <w:sz w:val="20"/>
                          </w:rPr>
                        </w:pPr>
                        <w:r>
                          <w:rPr>
                            <w:rFonts w:ascii="Arial" w:hAnsi="Arial"/>
                            <w:sz w:val="20"/>
                          </w:rPr>
                        </w:r>
                      </w:p>
                      <w:p>
                        <w:pPr>
                          <w:pStyle w:val="Default"/>
                          <w:rPr>
                            <w:rFonts w:ascii="Arial" w:hAnsi="Arial"/>
                          </w:rPr>
                        </w:pPr>
                        <w:r>
                          <w:rPr>
                            <w:rFonts w:ascii="Arial" w:hAnsi="Arial"/>
                            <w:sz w:val="20"/>
                          </w:rPr>
                          <w:t>01 no-break com duração mínima de 06 horas (em caso de queda de energia). A troca dos consumíveis deverá ser realizada conforme indicação do fabricante do equipamento ou quando houver necessidade do paciente.</w:t>
                        </w:r>
                      </w:p>
                    </w:tc>
                  </w:tr>
                </w:tbl>
                <w:p>
                  <w:pPr>
                    <w:pStyle w:val="Default"/>
                    <w:rPr>
                      <w:sz w:val="20"/>
                    </w:rPr>
                  </w:pPr>
                  <w:r>
                    <w:rPr>
                      <w:sz w:val="20"/>
                    </w:rPr>
                  </w:r>
                </w:p>
                <w:p>
                  <w:pPr>
                    <w:pStyle w:val="Normal"/>
                    <w:rPr>
                      <w:rFonts w:ascii="Arial" w:hAnsi="Arial"/>
                    </w:rPr>
                  </w:pPr>
                  <w:r>
                    <w:rPr>
                      <w:rFonts w:ascii="Arial" w:hAnsi="Arial"/>
                    </w:rPr>
                  </w:r>
                </w:p>
              </w:tc>
            </w:tr>
          </w:tbl>
          <w:p>
            <w:pPr>
              <w:pStyle w:val="Default"/>
              <w:rPr>
                <w:sz w:val="20"/>
              </w:rPr>
            </w:pPr>
            <w:r>
              <w:rPr>
                <w:sz w:val="20"/>
              </w:rPr>
            </w:r>
          </w:p>
          <w:p>
            <w:pPr>
              <w:pStyle w:val="Normal"/>
              <w:rPr>
                <w:rFonts w:ascii="Arial" w:hAnsi="Arial" w:cs="Arial"/>
              </w:rPr>
            </w:pPr>
            <w:r>
              <w:rPr>
                <w:rFonts w:cs="Arial" w:ascii="Arial" w:hAnsi="Arial"/>
              </w:rPr>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cs="Arial"/>
          <w:b/>
          <w:bCs/>
        </w:rPr>
      </w:pPr>
      <w:r>
        <w:rPr>
          <w:rFonts w:cs="Arial" w:ascii="Arial" w:hAnsi="Arial"/>
          <w:b/>
          <w:bCs/>
        </w:rPr>
      </w:r>
    </w:p>
    <w:p>
      <w:pPr>
        <w:pStyle w:val="Default"/>
        <w:rPr>
          <w:rFonts w:ascii="Arial" w:hAnsi="Arial"/>
        </w:rPr>
      </w:pPr>
      <w:r>
        <w:rPr>
          <w:rFonts w:ascii="Arial" w:hAnsi="Arial"/>
          <w:b/>
          <w:sz w:val="20"/>
        </w:rPr>
        <w:t xml:space="preserve">Observação: O valor unitário a ser lançado no sistema é o valor anual por equipamento. </w:t>
      </w:r>
    </w:p>
    <w:p>
      <w:pPr>
        <w:pStyle w:val="Normal"/>
        <w:tabs>
          <w:tab w:val="clear" w:pos="709"/>
          <w:tab w:val="left" w:pos="284" w:leader="none"/>
        </w:tabs>
        <w:jc w:val="both"/>
        <w:rPr>
          <w:rFonts w:ascii="Arial" w:hAnsi="Arial" w:cs="Arial"/>
          <w:b/>
          <w:bCs/>
        </w:rPr>
      </w:pPr>
      <w:r>
        <w:rPr>
          <w:rFonts w:ascii="Arial" w:hAnsi="Arial"/>
          <w:b/>
        </w:rPr>
        <w:t>Exemplo: valor mensal da locação de um equipamento 10,00, valor unitário a ser lançado no sistema seria R$ 120,00, ou seja, o valor mensal por equipamento multiplicado por 12 meses.</w:t>
      </w:r>
    </w:p>
    <w:p>
      <w:pPr>
        <w:pStyle w:val="Normal"/>
        <w:tabs>
          <w:tab w:val="clear" w:pos="709"/>
          <w:tab w:val="left" w:pos="284" w:leader="none"/>
        </w:tabs>
        <w:jc w:val="both"/>
        <w:rPr>
          <w:rFonts w:ascii="Arial" w:hAnsi="Arial" w:cs="Arial"/>
          <w:b/>
          <w:bCs/>
        </w:rPr>
      </w:pPr>
      <w:r>
        <w:rPr>
          <w:rFonts w:cs="Arial" w:ascii="Arial" w:hAnsi="Arial"/>
          <w:b/>
          <w:bCs/>
        </w:rPr>
      </w:r>
    </w:p>
    <w:p>
      <w:pPr>
        <w:pStyle w:val="Normal"/>
        <w:tabs>
          <w:tab w:val="clear" w:pos="709"/>
          <w:tab w:val="left" w:pos="284" w:leader="none"/>
        </w:tabs>
        <w:jc w:val="both"/>
        <w:rPr>
          <w:rFonts w:ascii="Arial" w:hAnsi="Arial" w:eastAsia="Arial" w:cs="Arial"/>
        </w:rPr>
      </w:pPr>
      <w:r>
        <w:rPr>
          <w:rFonts w:cs="Arial" w:ascii="Arial" w:hAnsi="Arial"/>
          <w:b/>
          <w:bCs/>
        </w:rPr>
        <w:t xml:space="preserve">h) </w:t>
      </w:r>
      <w:r>
        <w:rPr>
          <w:rFonts w:cs="Arial" w:ascii="Arial" w:hAnsi="Arial"/>
        </w:rPr>
        <w:t>Descritivo técnico:</w:t>
      </w:r>
    </w:p>
    <w:p>
      <w:pPr>
        <w:pStyle w:val="Default"/>
        <w:numPr>
          <w:ilvl w:val="2"/>
          <w:numId w:val="41"/>
        </w:numPr>
        <w:ind w:hanging="0" w:left="360"/>
        <w:rPr>
          <w:rFonts w:ascii="Arial" w:hAnsi="Arial"/>
          <w:sz w:val="20"/>
        </w:rPr>
      </w:pPr>
      <w:r>
        <w:rPr>
          <w:rFonts w:ascii="Arial" w:hAnsi="Arial"/>
          <w:sz w:val="20"/>
        </w:rPr>
      </w:r>
    </w:p>
    <w:p>
      <w:pPr>
        <w:pStyle w:val="Default"/>
        <w:numPr>
          <w:ilvl w:val="2"/>
          <w:numId w:val="42"/>
        </w:numPr>
        <w:ind w:hanging="0" w:left="360"/>
        <w:rPr>
          <w:rFonts w:ascii="Arial" w:hAnsi="Arial"/>
          <w:sz w:val="20"/>
        </w:rPr>
      </w:pPr>
      <w:r>
        <w:rPr>
          <w:rFonts w:ascii="Arial" w:hAnsi="Arial"/>
          <w:sz w:val="20"/>
        </w:rPr>
        <w:t xml:space="preserve">1. Os equipamentos deverão ser entregues pela contratada na casa do paciente, sendo que o endereço e autorização de entrega serão passados pela Secretaria de Saúde, através do Serviço Social, por escrito. </w:t>
      </w:r>
    </w:p>
    <w:p>
      <w:pPr>
        <w:pStyle w:val="Default"/>
        <w:ind w:hanging="0" w:left="360"/>
        <w:rPr>
          <w:rFonts w:ascii="Arial" w:hAnsi="Arial"/>
          <w:sz w:val="20"/>
        </w:rPr>
      </w:pPr>
      <w:r>
        <w:rPr>
          <w:rFonts w:ascii="Arial" w:hAnsi="Arial"/>
          <w:sz w:val="20"/>
        </w:rPr>
      </w:r>
    </w:p>
    <w:p>
      <w:pPr>
        <w:pStyle w:val="Default"/>
        <w:ind w:hanging="0" w:left="360"/>
        <w:rPr>
          <w:rFonts w:ascii="Arial" w:hAnsi="Arial"/>
          <w:sz w:val="20"/>
        </w:rPr>
      </w:pPr>
      <w:r>
        <w:rPr>
          <w:rFonts w:ascii="Arial" w:hAnsi="Arial"/>
          <w:sz w:val="20"/>
        </w:rPr>
      </w:r>
    </w:p>
    <w:p>
      <w:pPr>
        <w:pStyle w:val="Default"/>
        <w:spacing w:before="0" w:after="13"/>
        <w:ind w:left="360"/>
        <w:rPr>
          <w:rFonts w:ascii="Arial" w:hAnsi="Arial"/>
          <w:sz w:val="20"/>
        </w:rPr>
      </w:pPr>
      <w:r>
        <w:rPr>
          <w:rFonts w:ascii="Arial" w:hAnsi="Arial"/>
          <w:sz w:val="20"/>
        </w:rPr>
        <w:t xml:space="preserve">2.  A contratada deverá disponibilizar telefone e e-mail para as solicitações de entrega e retirada do equipamento. </w:t>
      </w:r>
    </w:p>
    <w:p>
      <w:pPr>
        <w:pStyle w:val="Default"/>
        <w:spacing w:before="0" w:after="13"/>
        <w:ind w:left="360"/>
        <w:rPr>
          <w:rFonts w:ascii="Arial" w:hAnsi="Arial"/>
          <w:sz w:val="20"/>
        </w:rPr>
      </w:pPr>
      <w:r>
        <w:rPr>
          <w:rFonts w:ascii="Arial" w:hAnsi="Arial"/>
          <w:sz w:val="20"/>
        </w:rPr>
      </w:r>
    </w:p>
    <w:p>
      <w:pPr>
        <w:pStyle w:val="Default"/>
        <w:spacing w:before="0" w:after="13"/>
        <w:ind w:left="360"/>
        <w:rPr>
          <w:rFonts w:ascii="Arial" w:hAnsi="Arial"/>
          <w:sz w:val="20"/>
        </w:rPr>
      </w:pPr>
      <w:r>
        <w:rPr>
          <w:rFonts w:ascii="Arial" w:hAnsi="Arial"/>
          <w:sz w:val="20"/>
        </w:rPr>
        <w:t xml:space="preserve">3.  A entrega e a retirada do equipamento na residência do paciente, pela contratada, deverá se dar no prazo máximo de 24 horas a partir da solicitação por escrito enviada pelo Serviço Social. </w:t>
      </w:r>
    </w:p>
    <w:p>
      <w:pPr>
        <w:pStyle w:val="Default"/>
        <w:spacing w:before="0" w:after="13"/>
        <w:ind w:left="360"/>
        <w:rPr>
          <w:rFonts w:ascii="Arial" w:hAnsi="Arial"/>
          <w:sz w:val="20"/>
        </w:rPr>
      </w:pPr>
      <w:r>
        <w:rPr>
          <w:rFonts w:ascii="Arial" w:hAnsi="Arial"/>
          <w:sz w:val="20"/>
        </w:rPr>
      </w:r>
    </w:p>
    <w:p>
      <w:pPr>
        <w:pStyle w:val="Normal"/>
        <w:widowControl/>
        <w:ind w:left="567" w:right="0"/>
        <w:jc w:val="both"/>
        <w:rPr>
          <w:rFonts w:ascii="Arial" w:hAnsi="Arial"/>
          <w:highlight w:val="none"/>
          <w:shd w:fill="auto" w:val="clear"/>
        </w:rPr>
      </w:pPr>
      <w:r>
        <w:rPr>
          <w:rFonts w:cs="Arial" w:ascii="Arial" w:hAnsi="Arial"/>
          <w:sz w:val="20"/>
          <w:szCs w:val="20"/>
          <w:shd w:fill="auto" w:val="clear"/>
          <w:lang w:eastAsia="pt-BR"/>
        </w:rPr>
        <w:t>a)</w:t>
      </w:r>
      <w:r>
        <w:rPr>
          <w:rFonts w:eastAsia="Times New Roman" w:cs="Times New Roman" w:ascii="Arial" w:hAnsi="Arial"/>
          <w:kern w:val="0"/>
          <w:shd w:fill="auto" w:val="clear"/>
          <w:lang w:eastAsia="pt-BR" w:bidi="ar-SA"/>
        </w:rPr>
        <w:t xml:space="preserve"> </w:t>
      </w:r>
      <w:r>
        <w:rPr>
          <w:rFonts w:cs="Arial" w:ascii="Arial" w:hAnsi="Arial"/>
          <w:sz w:val="20"/>
          <w:szCs w:val="20"/>
          <w:shd w:fill="auto" w:val="clear"/>
          <w:lang w:eastAsia="pt-BR"/>
        </w:rPr>
        <w:t>O prazo reduzido também se fundamenta na necessidade de atender tempestivamente às novas solicitações, às altas hospitalares condicionadas à disponibilização do equipamento e às situações de substituição ou reorganização da assistência domiciliar, evitando atrasos que possam prejudicar o paciente ou comprometer a continuidade do cuidado.</w:t>
      </w:r>
    </w:p>
    <w:p>
      <w:pPr>
        <w:pStyle w:val="Normal"/>
        <w:widowControl/>
        <w:ind w:left="567" w:right="0"/>
        <w:jc w:val="both"/>
        <w:rPr>
          <w:rFonts w:ascii="Arial" w:hAnsi="Arial" w:cs="Arial"/>
          <w:sz w:val="20"/>
          <w:szCs w:val="20"/>
          <w:highlight w:val="none"/>
          <w:shd w:fill="auto" w:val="clear"/>
          <w:lang w:eastAsia="pt-BR"/>
        </w:rPr>
      </w:pPr>
      <w:r>
        <w:rPr>
          <w:rFonts w:cs="Arial" w:ascii="Arial" w:hAnsi="Arial"/>
          <w:sz w:val="20"/>
          <w:szCs w:val="20"/>
          <w:shd w:fill="auto" w:val="clear"/>
          <w:lang w:eastAsia="pt-BR"/>
        </w:rPr>
      </w:r>
    </w:p>
    <w:p>
      <w:pPr>
        <w:pStyle w:val="Normal"/>
        <w:widowControl/>
        <w:ind w:left="567" w:right="0"/>
        <w:jc w:val="both"/>
        <w:rPr>
          <w:rFonts w:ascii="Arial" w:hAnsi="Arial" w:cs="Arial"/>
          <w:szCs w:val="20"/>
          <w:highlight w:val="none"/>
          <w:shd w:fill="auto" w:val="clear"/>
          <w:lang w:eastAsia="pt-BR"/>
        </w:rPr>
      </w:pPr>
      <w:r>
        <w:rPr>
          <w:rFonts w:cs="Arial" w:ascii="Arial" w:hAnsi="Arial"/>
          <w:szCs w:val="20"/>
          <w:shd w:fill="auto" w:val="clear"/>
          <w:lang w:eastAsia="pt-BR"/>
        </w:rPr>
        <w:t>b) Ressalta-se que o prazo de 24 (vinte e quatro) horas constitui requisito operacional relacionado à natureza assistencial da contratação, e não mera conveniência administrativa. A medida busca garantir resposta compatível com a necessidade dos usuários, observando os princípios da eficiência, do planejamento, da continuidade do serviço público e da proteção à saúde.</w:t>
      </w:r>
    </w:p>
    <w:p>
      <w:pPr>
        <w:pStyle w:val="Normal"/>
        <w:widowControl/>
        <w:ind w:left="567" w:right="0"/>
        <w:jc w:val="both"/>
        <w:rPr>
          <w:rFonts w:ascii="Arial" w:hAnsi="Arial" w:cs="Arial"/>
          <w:szCs w:val="20"/>
          <w:highlight w:val="none"/>
          <w:shd w:fill="auto" w:val="clear"/>
          <w:lang w:eastAsia="pt-BR"/>
        </w:rPr>
      </w:pPr>
      <w:r>
        <w:rPr>
          <w:rFonts w:cs="Arial" w:ascii="Arial" w:hAnsi="Arial"/>
          <w:szCs w:val="20"/>
          <w:shd w:fill="auto" w:val="clear"/>
          <w:lang w:eastAsia="pt-BR"/>
        </w:rPr>
      </w:r>
    </w:p>
    <w:p>
      <w:pPr>
        <w:pStyle w:val="Default"/>
        <w:ind w:left="360"/>
        <w:rPr>
          <w:rFonts w:ascii="Arial" w:hAnsi="Arial"/>
          <w:sz w:val="20"/>
        </w:rPr>
      </w:pPr>
      <w:r>
        <w:rPr>
          <w:rFonts w:ascii="Arial" w:hAnsi="Arial"/>
          <w:sz w:val="20"/>
        </w:rPr>
        <w:t xml:space="preserve">4. A entrega deverá ser feita por instaladores/técnicos fisioterapeutas da empresa, de maneira que possam explicar/instruir o paciente e/ou a família de como o equipamento funciona e deve ser manuseado, assim como instalar máscara adequada para cada caso. </w:t>
      </w:r>
    </w:p>
    <w:p>
      <w:pPr>
        <w:pStyle w:val="Default"/>
        <w:ind w:left="360"/>
        <w:rPr>
          <w:rFonts w:ascii="Arial" w:hAnsi="Arial"/>
          <w:sz w:val="20"/>
        </w:rPr>
      </w:pPr>
      <w:r>
        <w:rPr>
          <w:rFonts w:ascii="Arial" w:hAnsi="Arial"/>
          <w:sz w:val="20"/>
        </w:rPr>
      </w:r>
    </w:p>
    <w:p>
      <w:pPr>
        <w:pStyle w:val="Default"/>
        <w:ind w:left="360"/>
        <w:rPr>
          <w:rFonts w:ascii="Arial" w:hAnsi="Arial"/>
          <w:sz w:val="20"/>
        </w:rPr>
      </w:pPr>
      <w:r>
        <w:rPr>
          <w:rFonts w:ascii="Arial" w:hAnsi="Arial"/>
          <w:sz w:val="20"/>
        </w:rPr>
      </w:r>
    </w:p>
    <w:p>
      <w:pPr>
        <w:pStyle w:val="Normal"/>
        <w:shd w:val="clear" w:color="auto" w:fill="CCCCCC"/>
        <w:tabs>
          <w:tab w:val="clear" w:pos="709"/>
          <w:tab w:val="left" w:pos="3450" w:leader="none"/>
        </w:tabs>
        <w:ind w:firstLine="567"/>
        <w:jc w:val="both"/>
        <w:rPr>
          <w:rFonts w:ascii="Arial" w:hAnsi="Arial" w:cs="Arial"/>
          <w:b/>
          <w:bCs/>
        </w:rPr>
      </w:pPr>
      <w:r>
        <w:rPr>
          <w:rFonts w:ascii="Arial" w:hAnsi="Arial"/>
          <w:b/>
          <w:bCs/>
        </w:rPr>
        <w:t>5. DA SUBCONTRATAÇÃO</w:t>
      </w:r>
    </w:p>
    <w:p>
      <w:pPr>
        <w:pStyle w:val="Normal"/>
        <w:jc w:val="both"/>
        <w:rPr>
          <w:rFonts w:ascii="Arial" w:hAnsi="Arial" w:cs="Arial"/>
        </w:rPr>
      </w:pPr>
      <w:r>
        <w:rPr>
          <w:rFonts w:cs="Arial" w:ascii="Arial" w:hAnsi="Arial"/>
          <w:b/>
          <w:bCs/>
        </w:rPr>
        <w:t>a)</w:t>
      </w:r>
      <w:r>
        <w:rPr>
          <w:rFonts w:cs="Arial" w:ascii="Arial" w:hAnsi="Arial"/>
        </w:rPr>
        <w:t xml:space="preserve"> </w:t>
      </w:r>
      <w:r>
        <w:rPr>
          <w:rFonts w:cs="Arial" w:ascii="Arial" w:hAnsi="Arial"/>
          <w:sz w:val="20"/>
          <w:szCs w:val="20"/>
          <w:shd w:fill="auto" w:val="clear"/>
        </w:rPr>
        <w:t>Com fundamento no art. 122, § 2º, da Lei Federal nº 14.133/2021, a Administração opta pela vedação à subcontratação total ou parcial do objeto, inclusive das atividades operacionais e logísticas necessárias à execução contratual.</w:t>
      </w:r>
    </w:p>
    <w:p>
      <w:pPr>
        <w:pStyle w:val="Normal"/>
        <w:spacing w:before="240" w:after="0"/>
        <w:jc w:val="both"/>
        <w:rPr>
          <w:highlight w:val="none"/>
          <w:shd w:fill="auto" w:val="clear"/>
        </w:rPr>
      </w:pPr>
      <w:r>
        <w:rPr>
          <w:rFonts w:cs="Arial" w:ascii="Arial" w:hAnsi="Arial"/>
          <w:b/>
          <w:bCs/>
          <w:sz w:val="20"/>
          <w:szCs w:val="20"/>
          <w:shd w:fill="auto" w:val="clear"/>
        </w:rPr>
        <w:t>b)</w:t>
      </w:r>
      <w:r>
        <w:rPr>
          <w:rFonts w:cs="Arial" w:ascii="Arial" w:hAnsi="Arial"/>
          <w:sz w:val="20"/>
          <w:szCs w:val="20"/>
          <w:shd w:fill="auto" w:val="clear"/>
        </w:rPr>
        <w:t xml:space="preserve"> A execução deverá ocorrer diretamente pela CONTRATADA, abrangendo todas as atividades necessárias ao cumprimento do objeto, inclusive </w:t>
      </w:r>
      <w:r>
        <w:rPr>
          <w:rFonts w:cs="Arial" w:ascii="Arial" w:hAnsi="Arial"/>
          <w:b/>
          <w:bCs/>
          <w:sz w:val="20"/>
          <w:szCs w:val="20"/>
          <w:shd w:fill="auto" w:val="clear"/>
        </w:rPr>
        <w:t>entrega, transporte, instalação, retirada, manutenção, assistência técnica, substituição de equipamentos e acessórios e demais atividades logísticas e operacionais</w:t>
      </w:r>
      <w:r>
        <w:rPr>
          <w:rFonts w:cs="Arial" w:ascii="Arial" w:hAnsi="Arial"/>
          <w:sz w:val="20"/>
          <w:szCs w:val="20"/>
          <w:shd w:fill="auto" w:val="clear"/>
        </w:rPr>
        <w:t xml:space="preserve"> relacionadas à contratação.</w:t>
      </w:r>
    </w:p>
    <w:p>
      <w:pPr>
        <w:pStyle w:val="Normal"/>
        <w:spacing w:before="240" w:after="0"/>
        <w:jc w:val="both"/>
        <w:rPr>
          <w:highlight w:val="none"/>
          <w:shd w:fill="auto" w:val="clear"/>
        </w:rPr>
      </w:pPr>
      <w:r>
        <w:rPr>
          <w:rFonts w:cs="Arial" w:ascii="Arial" w:hAnsi="Arial"/>
          <w:b/>
          <w:bCs/>
          <w:sz w:val="20"/>
          <w:szCs w:val="20"/>
          <w:shd w:fill="auto" w:val="clear"/>
        </w:rPr>
        <w:t xml:space="preserve">c) </w:t>
      </w:r>
      <w:r>
        <w:rPr>
          <w:rFonts w:cs="Arial" w:ascii="Arial" w:hAnsi="Arial"/>
          <w:sz w:val="20"/>
          <w:szCs w:val="20"/>
          <w:shd w:fill="auto" w:val="clear"/>
        </w:rPr>
        <w:t>A CONTRATADA será integralmente responsável pela execução do objeto perante a CONTRATANTE, inclusive quanto ao cumprimento dos prazos, à qualidade dos serviços e ao atendimento das condições estabelecidas no Termo de Referência.</w:t>
      </w:r>
    </w:p>
    <w:p>
      <w:pPr>
        <w:pStyle w:val="Normal"/>
        <w:spacing w:before="240" w:after="0"/>
        <w:jc w:val="both"/>
        <w:rPr>
          <w:highlight w:val="none"/>
          <w:shd w:fill="auto" w:val="clear"/>
        </w:rPr>
      </w:pPr>
      <w:r>
        <w:rPr>
          <w:rFonts w:cs="Arial" w:ascii="Arial" w:hAnsi="Arial"/>
          <w:b/>
          <w:bCs/>
          <w:sz w:val="20"/>
          <w:szCs w:val="20"/>
          <w:shd w:fill="auto" w:val="clear"/>
        </w:rPr>
        <w:t xml:space="preserve">d) </w:t>
      </w:r>
      <w:r>
        <w:rPr>
          <w:rFonts w:cs="Arial" w:ascii="Arial" w:hAnsi="Arial"/>
          <w:sz w:val="20"/>
          <w:szCs w:val="20"/>
          <w:shd w:fill="auto" w:val="clear"/>
        </w:rPr>
        <w:t xml:space="preserve">Não será admitida, portanto, a contratação de terceiros para a realização de atividades técnicas, assistenciais, operacionais ou logísticas relacionadas ao objeto. </w:t>
      </w:r>
    </w:p>
    <w:p>
      <w:pPr>
        <w:pStyle w:val="Normal"/>
        <w:spacing w:before="240" w:after="0"/>
        <w:jc w:val="both"/>
        <w:rPr>
          <w:highlight w:val="none"/>
          <w:shd w:fill="auto" w:val="clear"/>
        </w:rPr>
      </w:pPr>
      <w:r>
        <w:rPr>
          <w:rFonts w:cs="Arial" w:ascii="Arial" w:hAnsi="Arial"/>
          <w:b/>
          <w:bCs/>
          <w:sz w:val="20"/>
          <w:szCs w:val="20"/>
          <w:shd w:fill="auto" w:val="clear"/>
        </w:rPr>
        <w:t>e) Atendimento domiciliar com prazo de até 24 (vinte e quatro) horas:</w:t>
      </w:r>
      <w:r>
        <w:rPr>
          <w:rFonts w:cs="Arial" w:ascii="Arial" w:hAnsi="Arial"/>
          <w:sz w:val="20"/>
          <w:szCs w:val="20"/>
          <w:shd w:fill="auto" w:val="clear"/>
        </w:rPr>
        <w:t xml:space="preserve"> Considerando a natureza essencial dos serviços e a necessidade de garantir a continuidade da assistência à saúde dos pacientes em seus domicílios, a Administração necessita de um único responsável contratual pela execução integral do objeto, assegurando a pronta disponibilização e entrega dos equipamentos no prazo máximo estabelecido, bem como a coordenação das providências necessárias ao atendimento das demandas. A medida visa garantir maior agilidade na comunicação, responsabilização direta pelo cumprimento dos prazos e efetividade na prestação dos serviços, especialmente diante de situações que exijam atendimento prioritário.</w:t>
      </w:r>
    </w:p>
    <w:p>
      <w:pPr>
        <w:pStyle w:val="Normal"/>
        <w:spacing w:before="240" w:after="0"/>
        <w:jc w:val="both"/>
        <w:rPr>
          <w:highlight w:val="none"/>
          <w:shd w:fill="auto" w:val="clear"/>
        </w:rPr>
      </w:pPr>
      <w:r>
        <w:rPr>
          <w:rFonts w:cs="Arial" w:ascii="Arial" w:hAnsi="Arial"/>
          <w:b/>
          <w:bCs/>
          <w:sz w:val="20"/>
          <w:szCs w:val="20"/>
          <w:shd w:fill="auto" w:val="clear"/>
        </w:rPr>
        <w:t>f) Continuidade assistencial</w:t>
      </w:r>
      <w:r>
        <w:rPr>
          <w:rFonts w:cs="Arial" w:ascii="Arial" w:hAnsi="Arial"/>
          <w:sz w:val="20"/>
          <w:szCs w:val="20"/>
          <w:shd w:fill="auto" w:val="clear"/>
        </w:rPr>
        <w:t>: atrasos na entrega, retirada, manutenção ou substituição podem comprometer o atendimento de pacientes que dependem de suporte respiratório.</w:t>
      </w:r>
    </w:p>
    <w:p>
      <w:pPr>
        <w:pStyle w:val="Normal"/>
        <w:spacing w:before="240" w:after="0"/>
        <w:jc w:val="both"/>
        <w:rPr>
          <w:rFonts w:ascii="Arial" w:hAnsi="Arial" w:cs="Arial"/>
          <w:sz w:val="20"/>
          <w:szCs w:val="20"/>
          <w:highlight w:val="none"/>
          <w:shd w:fill="auto" w:val="clear"/>
        </w:rPr>
      </w:pPr>
      <w:r>
        <w:rPr>
          <w:rFonts w:cs="Arial" w:ascii="Arial" w:hAnsi="Arial"/>
          <w:b/>
          <w:bCs/>
          <w:sz w:val="20"/>
          <w:szCs w:val="20"/>
          <w:shd w:fill="auto" w:val="clear"/>
        </w:rPr>
        <w:t xml:space="preserve">g) </w:t>
      </w:r>
      <w:r>
        <w:rPr>
          <w:rFonts w:cs="Arial" w:ascii="Arial" w:hAnsi="Arial"/>
          <w:sz w:val="20"/>
          <w:szCs w:val="20"/>
          <w:shd w:fill="auto" w:val="clear"/>
        </w:rPr>
        <w:t>Rastreabilidade dos equipamentos: manter a execução sob responsabilidade direta da contratada facilita identificar quem realizou a entrega, instalação, manutenção, substituição e retirada.</w:t>
      </w:r>
    </w:p>
    <w:p>
      <w:pPr>
        <w:pStyle w:val="Normal"/>
        <w:spacing w:before="240" w:after="0"/>
        <w:jc w:val="both"/>
        <w:rPr>
          <w:highlight w:val="none"/>
          <w:shd w:fill="auto" w:val="clear"/>
        </w:rPr>
      </w:pPr>
      <w:r>
        <w:rPr>
          <w:rFonts w:cs="Arial" w:ascii="Arial" w:hAnsi="Arial"/>
          <w:b/>
          <w:bCs/>
          <w:sz w:val="20"/>
          <w:szCs w:val="20"/>
          <w:shd w:fill="auto" w:val="clear"/>
        </w:rPr>
        <w:t>h) Responsabilidade única</w:t>
      </w:r>
      <w:r>
        <w:rPr>
          <w:rFonts w:cs="Arial" w:ascii="Arial" w:hAnsi="Arial"/>
          <w:sz w:val="20"/>
          <w:szCs w:val="20"/>
          <w:shd w:fill="auto" w:val="clear"/>
        </w:rPr>
        <w:t>: evita a divisão operacional entre a empresa contratada e terceiros, reduzindo a necessidade de coordenação e acompanhamento de diferentes executores pela Administração.</w:t>
      </w:r>
    </w:p>
    <w:p>
      <w:pPr>
        <w:pStyle w:val="Normal"/>
        <w:jc w:val="both"/>
        <w:rPr>
          <w:rFonts w:ascii="Arial" w:hAnsi="Arial" w:cs="Arial"/>
          <w:highlight w:val="none"/>
          <w:shd w:fill="auto" w:val="clear"/>
        </w:rPr>
      </w:pPr>
      <w:r>
        <w:rPr>
          <w:rFonts w:cs="Arial" w:ascii="Arial" w:hAnsi="Arial"/>
          <w:b/>
          <w:bCs/>
          <w:sz w:val="20"/>
          <w:szCs w:val="20"/>
          <w:shd w:fill="auto" w:val="clear"/>
        </w:rPr>
        <w:t>Fiscalização e gestão contratual</w:t>
      </w:r>
      <w:r>
        <w:rPr>
          <w:rFonts w:cs="Arial" w:ascii="Arial" w:hAnsi="Arial"/>
          <w:sz w:val="20"/>
          <w:szCs w:val="20"/>
          <w:shd w:fill="auto" w:val="clear"/>
        </w:rPr>
        <w:t>: a vedação permite concentrar a cobrança de prazos, a apuração de falhas e a aplicação das medidas contratuais na empresa vencedora.</w:t>
      </w:r>
    </w:p>
    <w:p>
      <w:pPr>
        <w:pStyle w:val="Normal"/>
        <w:jc w:val="both"/>
        <w:rPr>
          <w:rFonts w:ascii="Arial" w:hAnsi="Arial" w:cs="Arial"/>
        </w:rPr>
      </w:pPr>
      <w:r>
        <w:rPr>
          <w:rFonts w:cs="Arial" w:ascii="Arial" w:hAnsi="Arial"/>
        </w:rPr>
      </w:r>
    </w:p>
    <w:p>
      <w:pPr>
        <w:pStyle w:val="Normal"/>
        <w:shd w:val="clear" w:color="auto" w:fill="CCCCCC"/>
        <w:tabs>
          <w:tab w:val="clear" w:pos="709"/>
          <w:tab w:val="left" w:pos="3450" w:leader="none"/>
        </w:tabs>
        <w:ind w:firstLine="561"/>
        <w:jc w:val="both"/>
        <w:rPr>
          <w:rFonts w:ascii="Arial" w:hAnsi="Arial" w:cs="Arial"/>
          <w:b/>
          <w:bCs/>
        </w:rPr>
      </w:pPr>
      <w:r>
        <w:rPr>
          <w:rFonts w:cs="Arial" w:ascii="Arial" w:hAnsi="Arial"/>
          <w:b/>
          <w:bCs/>
        </w:rPr>
        <w:t>6. DA EXECUÇÃO DOS SERVIÇOS</w:t>
      </w:r>
    </w:p>
    <w:p>
      <w:pPr>
        <w:pStyle w:val="Default"/>
        <w:tabs>
          <w:tab w:val="clear" w:pos="709"/>
          <w:tab w:val="left" w:pos="284" w:leader="none"/>
        </w:tabs>
        <w:jc w:val="both"/>
        <w:rPr>
          <w:rFonts w:ascii="Arial" w:hAnsi="Arial" w:cs="Arial"/>
        </w:rPr>
      </w:pPr>
      <w:r>
        <w:rPr>
          <w:rStyle w:val="Fontepargpadro1"/>
          <w:rFonts w:cs="Arial" w:ascii="Arial" w:hAnsi="Arial"/>
          <w:b/>
          <w:sz w:val="20"/>
        </w:rPr>
        <w:t xml:space="preserve">a) </w:t>
      </w:r>
      <w:r>
        <w:rPr>
          <w:rFonts w:ascii="Arial" w:hAnsi="Arial"/>
          <w:sz w:val="20"/>
        </w:rPr>
        <w:t xml:space="preserve">Os equipamentos deverão ser entregues pela contratada na casa do paciente, sendo que o endereço e autorização de entrega serão passados pela Secretaria de Saúde, através do Serviço Social, por escrito. </w:t>
      </w:r>
    </w:p>
    <w:p>
      <w:pPr>
        <w:pStyle w:val="Default"/>
        <w:tabs>
          <w:tab w:val="clear" w:pos="709"/>
          <w:tab w:val="left" w:pos="284" w:leader="none"/>
        </w:tabs>
        <w:jc w:val="both"/>
        <w:rPr>
          <w:rFonts w:ascii="Arial" w:hAnsi="Arial"/>
          <w:sz w:val="20"/>
        </w:rPr>
      </w:pPr>
      <w:r>
        <w:rPr>
          <w:rFonts w:ascii="Arial" w:hAnsi="Arial"/>
          <w:sz w:val="20"/>
        </w:rPr>
      </w:r>
    </w:p>
    <w:p>
      <w:pPr>
        <w:pStyle w:val="Default"/>
        <w:jc w:val="both"/>
        <w:rPr>
          <w:rFonts w:ascii="Arial" w:hAnsi="Arial"/>
        </w:rPr>
      </w:pPr>
      <w:r>
        <w:rPr>
          <w:rFonts w:ascii="Arial" w:hAnsi="Arial"/>
          <w:b/>
          <w:sz w:val="20"/>
        </w:rPr>
        <w:t xml:space="preserve">b) </w:t>
      </w:r>
      <w:r>
        <w:rPr>
          <w:rFonts w:ascii="Arial" w:hAnsi="Arial"/>
          <w:sz w:val="20"/>
        </w:rPr>
        <w:t xml:space="preserve">A contratada deverá disponibilizar telefone e e-mail para as solicitações de entrega e retirada do equipamento. </w:t>
      </w:r>
    </w:p>
    <w:p>
      <w:pPr>
        <w:pStyle w:val="Default"/>
        <w:jc w:val="both"/>
        <w:rPr>
          <w:rFonts w:ascii="Arial" w:hAnsi="Arial"/>
          <w:sz w:val="20"/>
        </w:rPr>
      </w:pPr>
      <w:r>
        <w:rPr>
          <w:rFonts w:ascii="Arial" w:hAnsi="Arial"/>
          <w:sz w:val="20"/>
        </w:rPr>
      </w:r>
    </w:p>
    <w:p>
      <w:pPr>
        <w:pStyle w:val="Default"/>
        <w:jc w:val="both"/>
        <w:rPr>
          <w:rFonts w:ascii="Arial" w:hAnsi="Arial"/>
        </w:rPr>
      </w:pPr>
      <w:r>
        <w:rPr>
          <w:rFonts w:ascii="Arial" w:hAnsi="Arial"/>
          <w:b/>
          <w:sz w:val="20"/>
        </w:rPr>
        <w:t xml:space="preserve">c) </w:t>
      </w:r>
      <w:r>
        <w:rPr>
          <w:rFonts w:ascii="Arial" w:hAnsi="Arial"/>
          <w:sz w:val="20"/>
        </w:rPr>
        <w:t xml:space="preserve">A entrega e a retirada do equipamento na residência do paciente, pela contratada, deverá se dar no prazo máximo de 24 horas a partir da solicitação por escrito enviada pelo Serviço Social. </w:t>
      </w:r>
    </w:p>
    <w:p>
      <w:pPr>
        <w:pStyle w:val="Default"/>
        <w:jc w:val="both"/>
        <w:rPr>
          <w:rFonts w:ascii="Arial" w:hAnsi="Arial"/>
          <w:sz w:val="20"/>
        </w:rPr>
      </w:pPr>
      <w:r>
        <w:rPr>
          <w:rFonts w:ascii="Arial" w:hAnsi="Arial"/>
          <w:sz w:val="20"/>
        </w:rPr>
      </w:r>
    </w:p>
    <w:p>
      <w:pPr>
        <w:pStyle w:val="Default"/>
        <w:jc w:val="both"/>
        <w:rPr>
          <w:rFonts w:ascii="Arial" w:hAnsi="Arial"/>
        </w:rPr>
      </w:pPr>
      <w:r>
        <w:rPr>
          <w:rFonts w:ascii="Arial" w:hAnsi="Arial"/>
          <w:b/>
          <w:sz w:val="20"/>
        </w:rPr>
        <w:t xml:space="preserve">d) </w:t>
      </w:r>
      <w:r>
        <w:rPr>
          <w:rFonts w:ascii="Arial" w:hAnsi="Arial"/>
          <w:sz w:val="20"/>
        </w:rPr>
        <w:t xml:space="preserve">A entrega deverá ser feita por instaladores/técnicos fisioterapeutas da empresa, de maneira que possam explicar/instruir o paciente e/ou a família de como o equipamento funciona e deve ser manuseado, assim como instalar máscara adequada para cada caso. </w:t>
      </w:r>
    </w:p>
    <w:p>
      <w:pPr>
        <w:pStyle w:val="Default"/>
        <w:jc w:val="both"/>
        <w:rPr>
          <w:rFonts w:ascii="Arial" w:hAnsi="Arial"/>
          <w:sz w:val="20"/>
        </w:rPr>
      </w:pPr>
      <w:r>
        <w:rPr>
          <w:rFonts w:ascii="Arial" w:hAnsi="Arial"/>
          <w:sz w:val="20"/>
        </w:rPr>
      </w:r>
    </w:p>
    <w:p>
      <w:pPr>
        <w:pStyle w:val="Default"/>
        <w:jc w:val="both"/>
        <w:rPr>
          <w:rFonts w:ascii="Arial" w:hAnsi="Arial"/>
        </w:rPr>
      </w:pPr>
      <w:r>
        <w:rPr>
          <w:rFonts w:ascii="Arial" w:hAnsi="Arial"/>
          <w:b/>
          <w:sz w:val="20"/>
        </w:rPr>
        <w:t xml:space="preserve">e) NORMAS GERAIS </w:t>
      </w:r>
    </w:p>
    <w:p>
      <w:pPr>
        <w:pStyle w:val="Default"/>
        <w:jc w:val="both"/>
        <w:rPr>
          <w:rFonts w:ascii="Arial" w:hAnsi="Arial"/>
        </w:rPr>
      </w:pPr>
      <w:r>
        <w:rPr>
          <w:rFonts w:ascii="Arial" w:hAnsi="Arial"/>
          <w:sz w:val="20"/>
        </w:rPr>
        <w:t xml:space="preserve">O serviço ora contratado será prestado diretamente por profissionais do estabelecimento contratado. </w:t>
      </w:r>
    </w:p>
    <w:p>
      <w:pPr>
        <w:pStyle w:val="Default"/>
        <w:jc w:val="both"/>
        <w:rPr>
          <w:rFonts w:ascii="Arial" w:hAnsi="Arial"/>
        </w:rPr>
      </w:pPr>
      <w:r>
        <w:rPr>
          <w:rFonts w:ascii="Arial" w:hAnsi="Arial"/>
          <w:sz w:val="20"/>
        </w:rPr>
        <w:t xml:space="preserve">Para os efeitos deste contrato, consideram-se profissionais do próprio estabelecimento do contratado: </w:t>
      </w:r>
    </w:p>
    <w:p>
      <w:pPr>
        <w:pStyle w:val="Default"/>
        <w:jc w:val="both"/>
        <w:rPr>
          <w:rFonts w:ascii="Arial" w:hAnsi="Arial"/>
        </w:rPr>
      </w:pPr>
      <w:r>
        <w:rPr>
          <w:rFonts w:ascii="Arial" w:hAnsi="Arial"/>
          <w:sz w:val="20"/>
        </w:rPr>
        <w:t xml:space="preserve">a) O membro do seu corpo clínico; </w:t>
      </w:r>
    </w:p>
    <w:p>
      <w:pPr>
        <w:pStyle w:val="Default"/>
        <w:jc w:val="both"/>
        <w:rPr>
          <w:rFonts w:ascii="Arial" w:hAnsi="Arial"/>
        </w:rPr>
      </w:pPr>
      <w:r>
        <w:rPr>
          <w:rFonts w:ascii="Arial" w:hAnsi="Arial"/>
          <w:sz w:val="20"/>
        </w:rPr>
        <w:t xml:space="preserve">b) O profissional que tenha vínculo de emprego com o contratado; </w:t>
      </w:r>
    </w:p>
    <w:p>
      <w:pPr>
        <w:pStyle w:val="Default"/>
        <w:jc w:val="both"/>
        <w:rPr>
          <w:rFonts w:ascii="Arial" w:hAnsi="Arial"/>
          <w:sz w:val="20"/>
        </w:rPr>
      </w:pPr>
      <w:r>
        <w:rPr>
          <w:rFonts w:ascii="Arial" w:hAnsi="Arial"/>
          <w:sz w:val="20"/>
        </w:rPr>
        <w:t xml:space="preserve">c) O profissional autônomo que, eventualmente ou permanentemente, presta serviços ao contratado ou se por este autorizado; </w:t>
      </w:r>
    </w:p>
    <w:p>
      <w:pPr>
        <w:pStyle w:val="Default"/>
        <w:jc w:val="both"/>
        <w:rPr>
          <w:rFonts w:ascii="Arial" w:hAnsi="Arial"/>
          <w:sz w:val="20"/>
        </w:rPr>
      </w:pPr>
      <w:r>
        <w:rPr>
          <w:rFonts w:ascii="Arial" w:hAnsi="Arial"/>
          <w:sz w:val="20"/>
        </w:rPr>
      </w:r>
    </w:p>
    <w:p>
      <w:pPr>
        <w:pStyle w:val="Default"/>
        <w:jc w:val="both"/>
        <w:rPr>
          <w:rFonts w:ascii="Arial" w:hAnsi="Arial"/>
          <w:sz w:val="20"/>
        </w:rPr>
      </w:pPr>
      <w:r>
        <w:rPr>
          <w:rFonts w:ascii="Arial" w:hAnsi="Arial"/>
          <w:sz w:val="20"/>
        </w:rPr>
        <w:t xml:space="preserve">É de responsabilidade exclusiva e integral do contratado a utilização de pessoal para a execução de objeto deste contrato, incluídos os encargos trabalhistas, previdenciários, sociais, fiscais e comerciais resultantes de vínculos empregatícios, cujo ônus e obrigações, em nenhuma hipótese, poderão ser transferidos para o contratante e ainda, a prestação do serviço hora contratado não implica vínculo empregatício entre contratante e contratado. </w:t>
      </w:r>
    </w:p>
    <w:p>
      <w:pPr>
        <w:pStyle w:val="Default"/>
        <w:jc w:val="both"/>
        <w:rPr>
          <w:rFonts w:ascii="Arial" w:hAnsi="Arial"/>
          <w:sz w:val="20"/>
        </w:rPr>
      </w:pPr>
      <w:r>
        <w:rPr>
          <w:rFonts w:ascii="Arial" w:hAnsi="Arial"/>
          <w:sz w:val="20"/>
        </w:rPr>
      </w:r>
    </w:p>
    <w:p>
      <w:pPr>
        <w:pStyle w:val="Default"/>
        <w:jc w:val="both"/>
        <w:rPr>
          <w:rFonts w:ascii="Arial" w:hAnsi="Arial"/>
        </w:rPr>
      </w:pPr>
      <w:r>
        <w:rPr>
          <w:rFonts w:ascii="Arial" w:hAnsi="Arial"/>
          <w:b/>
          <w:sz w:val="20"/>
        </w:rPr>
        <w:t xml:space="preserve">f) DA RESPONSABILIDADE CIVIL DO CONTRATADO </w:t>
      </w:r>
    </w:p>
    <w:p>
      <w:pPr>
        <w:pStyle w:val="Default"/>
        <w:jc w:val="both"/>
        <w:rPr>
          <w:rFonts w:ascii="Arial" w:hAnsi="Arial"/>
          <w:sz w:val="20"/>
        </w:rPr>
      </w:pPr>
      <w:r>
        <w:rPr>
          <w:rFonts w:ascii="Arial" w:hAnsi="Arial"/>
          <w:sz w:val="20"/>
        </w:rPr>
        <w:t xml:space="preserve">1. O contratado é responsável pela indenização de danos causados ao paciente, aos órgãos do SUS e a terceiros a eles vinculados, decorrentes de ação ou omissão voluntária, ou de negligência, imperícia ou prepostos, ficando assegurado ao contratante o direito de regresso; </w:t>
      </w:r>
    </w:p>
    <w:p>
      <w:pPr>
        <w:pStyle w:val="Default"/>
        <w:jc w:val="both"/>
        <w:rPr>
          <w:rFonts w:ascii="Arial" w:hAnsi="Arial"/>
          <w:sz w:val="20"/>
        </w:rPr>
      </w:pPr>
      <w:r>
        <w:rPr>
          <w:rFonts w:ascii="Arial" w:hAnsi="Arial"/>
          <w:sz w:val="20"/>
        </w:rPr>
      </w:r>
    </w:p>
    <w:p>
      <w:pPr>
        <w:pStyle w:val="Default"/>
        <w:jc w:val="both"/>
        <w:rPr>
          <w:rFonts w:ascii="Arial" w:hAnsi="Arial"/>
          <w:sz w:val="20"/>
        </w:rPr>
      </w:pPr>
      <w:r>
        <w:rPr>
          <w:rFonts w:ascii="Arial" w:hAnsi="Arial"/>
          <w:sz w:val="20"/>
        </w:rPr>
        <w:t xml:space="preserve">2. A fiscalização ou acompanhamento da execução deste contrato pelos órgãos competentes do contratante, através da Secretaria de Saúde, não exclui nem reduz a responsabilidade do contratado nos termos da legislação referente a licitações e contratos administrativos e demais legislação existente; </w:t>
      </w:r>
    </w:p>
    <w:p>
      <w:pPr>
        <w:pStyle w:val="Default"/>
        <w:jc w:val="both"/>
        <w:rPr>
          <w:rFonts w:ascii="Arial" w:hAnsi="Arial"/>
          <w:sz w:val="20"/>
        </w:rPr>
      </w:pPr>
      <w:r>
        <w:rPr>
          <w:rFonts w:ascii="Arial" w:hAnsi="Arial"/>
          <w:sz w:val="20"/>
        </w:rPr>
      </w:r>
    </w:p>
    <w:p>
      <w:pPr>
        <w:pStyle w:val="Default"/>
        <w:tabs>
          <w:tab w:val="clear" w:pos="709"/>
          <w:tab w:val="left" w:pos="284" w:leader="none"/>
        </w:tabs>
        <w:jc w:val="both"/>
        <w:rPr>
          <w:rFonts w:ascii="Arial" w:hAnsi="Arial"/>
          <w:sz w:val="20"/>
        </w:rPr>
      </w:pPr>
      <w:r>
        <w:rPr>
          <w:rFonts w:ascii="Arial" w:hAnsi="Arial"/>
          <w:sz w:val="20"/>
        </w:rPr>
        <w:t xml:space="preserve">3. A responsabilidade de que trata essa cláusula estende-se aos casos de danos causados por má prestação dos serviços, nos estritos termos do art. 14 da Lei nº 8078, de 11 de setembro de 1990 – Código de Defesa do Consumidor. </w:t>
      </w:r>
    </w:p>
    <w:p>
      <w:pPr>
        <w:pStyle w:val="Default"/>
        <w:tabs>
          <w:tab w:val="clear" w:pos="709"/>
          <w:tab w:val="left" w:pos="284" w:leader="none"/>
        </w:tabs>
        <w:jc w:val="both"/>
        <w:rPr>
          <w:rFonts w:ascii="Arial" w:hAnsi="Arial"/>
          <w:sz w:val="20"/>
        </w:rPr>
      </w:pPr>
      <w:r>
        <w:rPr>
          <w:rFonts w:ascii="Arial" w:hAnsi="Arial"/>
          <w:sz w:val="20"/>
        </w:rPr>
      </w:r>
    </w:p>
    <w:p>
      <w:pPr>
        <w:pStyle w:val="Normal"/>
        <w:shd w:val="clear" w:color="auto" w:fill="CCCCCC"/>
        <w:ind w:firstLine="561"/>
        <w:rPr>
          <w:rFonts w:ascii="Arial" w:hAnsi="Arial" w:cs="Arial"/>
        </w:rPr>
      </w:pPr>
      <w:r>
        <w:rPr>
          <w:rFonts w:cs="Arial" w:ascii="Arial" w:hAnsi="Arial"/>
          <w:b/>
          <w:bCs/>
        </w:rPr>
        <w:t>7. DA GARANTIA E ASSISTÊNCIA TÉCNICA</w:t>
      </w:r>
    </w:p>
    <w:p>
      <w:pPr>
        <w:pStyle w:val="Default"/>
        <w:tabs>
          <w:tab w:val="clear" w:pos="709"/>
          <w:tab w:val="left" w:pos="284" w:leader="none"/>
        </w:tabs>
        <w:jc w:val="both"/>
        <w:rPr>
          <w:rFonts w:ascii="Arial" w:hAnsi="Arial" w:cs="Arial"/>
        </w:rPr>
      </w:pPr>
      <w:r>
        <w:rPr>
          <w:rFonts w:cs="Arial" w:ascii="Arial" w:hAnsi="Arial"/>
          <w:b/>
          <w:bCs/>
          <w:sz w:val="20"/>
        </w:rPr>
        <w:t xml:space="preserve">a) </w:t>
      </w:r>
      <w:r>
        <w:rPr>
          <w:rFonts w:cs="Arial" w:ascii="Arial" w:hAnsi="Arial"/>
          <w:sz w:val="20"/>
        </w:rPr>
        <w:t xml:space="preserve">Caso haja algum problema no equipamento, ou acessórios, durante o uso, será solicitada pelo Cuidador ou familiar responsável pelo paciente, a substituição pela empresa imediatamente sem qualquer custo adicional, sendo que o prazo máximo para a substituição do equipamento ou acessórios é de </w:t>
      </w:r>
      <w:r>
        <w:rPr>
          <w:rFonts w:cs="Arial" w:ascii="Arial" w:hAnsi="Arial"/>
          <w:b/>
          <w:bCs/>
          <w:sz w:val="20"/>
        </w:rPr>
        <w:t>6 (seis) horas</w:t>
      </w:r>
      <w:r>
        <w:rPr>
          <w:rFonts w:cs="Arial" w:ascii="Arial" w:hAnsi="Arial"/>
          <w:sz w:val="20"/>
        </w:rPr>
        <w:t xml:space="preserve">; caso seja necessária a troca da máscara, deverá ser feita avaliação da máscara em uso para troca quando necessária. </w:t>
      </w:r>
    </w:p>
    <w:p>
      <w:pPr>
        <w:pStyle w:val="Normal"/>
        <w:tabs>
          <w:tab w:val="clear" w:pos="709"/>
          <w:tab w:val="left" w:pos="284" w:leader="none"/>
        </w:tabs>
        <w:jc w:val="both"/>
        <w:rPr/>
      </w:pPr>
      <w:r>
        <w:rPr/>
      </w:r>
    </w:p>
    <w:p>
      <w:pPr>
        <w:pStyle w:val="Normal"/>
        <w:shd w:val="clear" w:color="auto" w:fill="CCCCCC"/>
        <w:ind w:firstLine="561"/>
        <w:rPr>
          <w:rFonts w:ascii="Arial" w:hAnsi="Arial" w:cs="Arial"/>
        </w:rPr>
      </w:pPr>
      <w:r>
        <w:rPr>
          <w:rFonts w:cs="Arial" w:ascii="Arial" w:hAnsi="Arial"/>
          <w:b/>
          <w:bCs/>
        </w:rPr>
        <w:t>8. DO CONTROLE, AVALIAÇÃO, VISTORIA E FISCALIZAÇÃO</w:t>
      </w:r>
    </w:p>
    <w:p>
      <w:pPr>
        <w:pStyle w:val="Default"/>
        <w:rPr>
          <w:rFonts w:ascii="Arial" w:hAnsi="Arial"/>
        </w:rPr>
      </w:pPr>
      <w:r>
        <w:rPr>
          <w:rFonts w:cs="Arial" w:ascii="Arial" w:hAnsi="Arial"/>
          <w:b/>
          <w:bCs/>
          <w:sz w:val="20"/>
          <w:szCs w:val="20"/>
        </w:rPr>
        <w:t>a)</w:t>
      </w:r>
      <w:r>
        <w:rPr>
          <w:rFonts w:cs="Arial" w:ascii="Arial" w:hAnsi="Arial"/>
          <w:sz w:val="20"/>
          <w:szCs w:val="20"/>
        </w:rPr>
        <w:t xml:space="preserve"> A execu</w:t>
      </w:r>
      <w:r>
        <w:rPr>
          <w:rFonts w:ascii="Arial" w:hAnsi="Arial"/>
          <w:sz w:val="20"/>
        </w:rPr>
        <w:t xml:space="preserve">ção do presente contrato será avaliada pelos órgãos competentes da Secretaria Municipal de Saúde, mediante procedimentos de supervisão indireta ou local, os quais observarão o cumprimento das cláusulas e condições estabelecidas neste contrato; </w:t>
      </w:r>
    </w:p>
    <w:p>
      <w:pPr>
        <w:pStyle w:val="Default"/>
        <w:rPr>
          <w:rFonts w:ascii="Arial" w:hAnsi="Arial"/>
          <w:sz w:val="20"/>
        </w:rPr>
      </w:pPr>
      <w:r>
        <w:rPr>
          <w:rFonts w:ascii="Arial" w:hAnsi="Arial"/>
          <w:sz w:val="20"/>
        </w:rPr>
      </w:r>
    </w:p>
    <w:p>
      <w:pPr>
        <w:pStyle w:val="Default"/>
        <w:rPr>
          <w:rFonts w:ascii="Arial" w:hAnsi="Arial"/>
        </w:rPr>
      </w:pPr>
      <w:r>
        <w:rPr>
          <w:rFonts w:ascii="Arial" w:hAnsi="Arial"/>
          <w:b/>
          <w:sz w:val="20"/>
        </w:rPr>
        <w:t xml:space="preserve">b) </w:t>
      </w:r>
      <w:r>
        <w:rPr>
          <w:rFonts w:ascii="Arial" w:hAnsi="Arial"/>
          <w:sz w:val="20"/>
        </w:rPr>
        <w:t xml:space="preserve">Quando achar necessário, o contratante vistoriará as instalações do contratado, para verificar se persistem as mesmas condições técnicas básicas do contratado, comprovadas por ocasião da assinatura do contrato; </w:t>
      </w:r>
    </w:p>
    <w:p>
      <w:pPr>
        <w:pStyle w:val="Default"/>
        <w:rPr>
          <w:rFonts w:ascii="Arial" w:hAnsi="Arial"/>
          <w:sz w:val="20"/>
        </w:rPr>
      </w:pPr>
      <w:r>
        <w:rPr>
          <w:rFonts w:ascii="Arial" w:hAnsi="Arial"/>
          <w:sz w:val="20"/>
        </w:rPr>
      </w:r>
    </w:p>
    <w:p>
      <w:pPr>
        <w:pStyle w:val="Default"/>
        <w:rPr>
          <w:rFonts w:ascii="Arial" w:hAnsi="Arial"/>
        </w:rPr>
      </w:pPr>
      <w:r>
        <w:rPr>
          <w:rFonts w:ascii="Arial" w:hAnsi="Arial"/>
          <w:b/>
          <w:sz w:val="20"/>
        </w:rPr>
        <w:t xml:space="preserve">c) </w:t>
      </w:r>
      <w:r>
        <w:rPr>
          <w:rFonts w:ascii="Arial" w:hAnsi="Arial"/>
          <w:sz w:val="20"/>
        </w:rPr>
        <w:t xml:space="preserve">Qualquer alteração ou modificação que importe em diminuição da capacidade operativa do contratante, poderá ensejar a não prorrogação deste contrato ou a revisão das condições ora estipuladas; </w:t>
      </w:r>
    </w:p>
    <w:p>
      <w:pPr>
        <w:pStyle w:val="Default"/>
        <w:rPr>
          <w:rFonts w:ascii="Arial" w:hAnsi="Arial"/>
          <w:sz w:val="20"/>
        </w:rPr>
      </w:pPr>
      <w:r>
        <w:rPr>
          <w:rFonts w:ascii="Arial" w:hAnsi="Arial"/>
          <w:sz w:val="20"/>
        </w:rPr>
      </w:r>
    </w:p>
    <w:p>
      <w:pPr>
        <w:pStyle w:val="Default"/>
        <w:rPr>
          <w:rFonts w:ascii="Arial" w:hAnsi="Arial"/>
        </w:rPr>
      </w:pPr>
      <w:r>
        <w:rPr>
          <w:rFonts w:ascii="Arial" w:hAnsi="Arial"/>
          <w:b/>
          <w:sz w:val="20"/>
        </w:rPr>
        <w:t xml:space="preserve">d) </w:t>
      </w:r>
      <w:r>
        <w:rPr>
          <w:rFonts w:ascii="Arial" w:hAnsi="Arial"/>
          <w:sz w:val="20"/>
        </w:rPr>
        <w:t xml:space="preserve">A fiscalização exercida pelo contratante sobre os serviços ora contratados não eximirá o contratado da sua plena responsabilidade perante o contratante, ou para os pacientes e terceiros, decorrentes de culpa ou dolo na execução do contrato; </w:t>
      </w:r>
    </w:p>
    <w:p>
      <w:pPr>
        <w:pStyle w:val="Default"/>
        <w:rPr>
          <w:rFonts w:ascii="Arial" w:hAnsi="Arial"/>
          <w:sz w:val="20"/>
        </w:rPr>
      </w:pPr>
      <w:r>
        <w:rPr>
          <w:rFonts w:ascii="Arial" w:hAnsi="Arial"/>
          <w:sz w:val="20"/>
        </w:rPr>
      </w:r>
    </w:p>
    <w:p>
      <w:pPr>
        <w:pStyle w:val="Default"/>
        <w:tabs>
          <w:tab w:val="clear" w:pos="709"/>
          <w:tab w:val="left" w:pos="284" w:leader="none"/>
        </w:tabs>
        <w:jc w:val="both"/>
        <w:rPr>
          <w:rFonts w:ascii="Arial" w:hAnsi="Arial" w:cs="Arial"/>
          <w:sz w:val="20"/>
          <w:szCs w:val="20"/>
        </w:rPr>
      </w:pPr>
      <w:r>
        <w:rPr>
          <w:rFonts w:cs="Arial" w:ascii="Arial" w:hAnsi="Arial"/>
          <w:b/>
          <w:sz w:val="20"/>
          <w:szCs w:val="20"/>
        </w:rPr>
        <w:t xml:space="preserve">e) </w:t>
      </w:r>
      <w:r>
        <w:rPr>
          <w:rFonts w:cs="Arial" w:ascii="Arial" w:hAnsi="Arial"/>
          <w:sz w:val="20"/>
          <w:szCs w:val="20"/>
        </w:rPr>
        <w:t xml:space="preserve">O contratado facilitará ao contratante o acompanhamento e a fiscalização permanente dos serviços e prestará todos os esclarecimentos que lhe forem solicitados pelos servidores do contratante, designados para tal fim. </w:t>
      </w:r>
    </w:p>
    <w:p>
      <w:pPr>
        <w:pStyle w:val="Normal"/>
        <w:jc w:val="both"/>
        <w:rPr>
          <w:rFonts w:ascii="Arial" w:hAnsi="Arial" w:eastAsia="Arial" w:cs="Arial"/>
          <w:color w:val="000000"/>
        </w:rPr>
      </w:pPr>
      <w:r>
        <w:rPr>
          <w:rFonts w:eastAsia="Arial" w:cs="Arial" w:ascii="Arial" w:hAnsi="Arial"/>
          <w:color w:val="000000"/>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9. DO FORNECIMENTO DE INFORMAÇÕES:</w:t>
      </w:r>
    </w:p>
    <w:p>
      <w:pPr>
        <w:pStyle w:val="Normal"/>
        <w:numPr>
          <w:ilvl w:val="0"/>
          <w:numId w:val="7"/>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Hyperlink"/>
            <w:rFonts w:cs="Arial" w:ascii="Arial" w:hAnsi="Arial"/>
          </w:rPr>
          <w:t>https://bnccompras.com</w:t>
        </w:r>
      </w:hyperlink>
      <w:r>
        <w:rPr>
          <w:rFonts w:cs="Arial" w:ascii="Arial" w:hAnsi="Arial"/>
        </w:rPr>
        <w:t xml:space="preserve"> </w:t>
      </w:r>
    </w:p>
    <w:p>
      <w:pPr>
        <w:pStyle w:val="Normal"/>
        <w:tabs>
          <w:tab w:val="clear" w:pos="709"/>
          <w:tab w:val="left" w:pos="284" w:leader="none"/>
        </w:tabs>
        <w:jc w:val="both"/>
        <w:rPr/>
      </w:pPr>
      <w:r>
        <w:rPr/>
      </w:r>
    </w:p>
    <w:p>
      <w:pPr>
        <w:pStyle w:val="Normal"/>
        <w:shd w:val="clear" w:color="auto" w:fill="CCCCCC"/>
        <w:ind w:firstLine="561"/>
        <w:jc w:val="both"/>
        <w:rPr>
          <w:rFonts w:ascii="Arial" w:hAnsi="Arial" w:cs="Arial"/>
        </w:rPr>
      </w:pPr>
      <w:r>
        <w:rPr>
          <w:rFonts w:cs="Arial" w:ascii="Arial" w:hAnsi="Arial"/>
          <w:b/>
          <w:bCs/>
        </w:rPr>
        <w:t>10. EXIGÊNCIA PARA HABILITAÇÃO:</w:t>
      </w:r>
    </w:p>
    <w:p>
      <w:pPr>
        <w:pStyle w:val="Normal"/>
        <w:numPr>
          <w:ilvl w:val="0"/>
          <w:numId w:val="6"/>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6"/>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numPr>
          <w:ilvl w:val="1"/>
          <w:numId w:val="6"/>
        </w:numPr>
        <w:tabs>
          <w:tab w:val="clear" w:pos="709"/>
          <w:tab w:val="left" w:pos="284" w:leader="none"/>
        </w:tabs>
        <w:jc w:val="both"/>
        <w:rPr>
          <w:rFonts w:ascii="Arial" w:hAnsi="Arial"/>
          <w:color w:val="000000"/>
        </w:rPr>
      </w:pPr>
      <w:r>
        <w:rPr>
          <w:rFonts w:ascii="Arial" w:hAnsi="Arial"/>
          <w:color w:val="000000"/>
        </w:rPr>
        <w:t xml:space="preserve">Apresentar Licença Sanitária Estadual ou Municipal vigentes, compatível com o objeto da licitação </w:t>
      </w:r>
    </w:p>
    <w:p>
      <w:pPr>
        <w:pStyle w:val="Normal"/>
        <w:tabs>
          <w:tab w:val="clear" w:pos="709"/>
          <w:tab w:val="left" w:pos="1005" w:leader="none"/>
        </w:tabs>
        <w:jc w:val="both"/>
        <w:rPr>
          <w:rFonts w:ascii="Arial" w:hAnsi="Arial" w:cs="Arial"/>
        </w:rPr>
      </w:pPr>
      <w:r>
        <w:rPr>
          <w:rFonts w:cs="Arial" w:ascii="Arial" w:hAnsi="Arial"/>
        </w:rPr>
      </w:r>
    </w:p>
    <w:p>
      <w:pPr>
        <w:pStyle w:val="Normal"/>
        <w:numPr>
          <w:ilvl w:val="0"/>
          <w:numId w:val="6"/>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6"/>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6"/>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6"/>
        </w:numPr>
        <w:tabs>
          <w:tab w:val="clear" w:pos="709"/>
          <w:tab w:val="left" w:pos="284" w:leader="none"/>
          <w:tab w:val="left" w:pos="426" w:leader="none"/>
        </w:tabs>
        <w:jc w:val="both"/>
        <w:rPr/>
      </w:pPr>
      <w:r>
        <w:rPr>
          <w:rFonts w:cs="Arial" w:ascii="Arial" w:hAnsi="Arial"/>
          <w:color w:val="000000"/>
        </w:rPr>
        <w:t>C</w:t>
      </w:r>
      <w:r>
        <w:rPr>
          <w:rFonts w:cs="Calibri" w:ascii="Arial" w:hAnsi="Arial"/>
          <w:color w:val="000000"/>
        </w:rPr>
        <w:t>ertidão Negativa de Débitos ou Positiva com Efeito de Negativa de Débitos com a Fazenda Municipal</w:t>
      </w:r>
      <w:r>
        <w:rPr>
          <w:rFonts w:cs="Arial" w:ascii="Arial" w:hAnsi="Arial"/>
          <w:color w:val="000000"/>
        </w:rPr>
        <w:t xml:space="preserve"> de débito, relativa à sede ou do domicílio do licitante, com relação aos tributos mobiliários (ISS);</w:t>
      </w:r>
    </w:p>
    <w:p>
      <w:pPr>
        <w:pStyle w:val="Normal"/>
        <w:numPr>
          <w:ilvl w:val="1"/>
          <w:numId w:val="6"/>
        </w:numPr>
        <w:tabs>
          <w:tab w:val="clear" w:pos="709"/>
          <w:tab w:val="left" w:pos="284" w:leader="none"/>
          <w:tab w:val="left" w:pos="426" w:leader="none"/>
        </w:tabs>
        <w:jc w:val="both"/>
        <w:rPr/>
      </w:pPr>
      <w:r>
        <w:rPr>
          <w:rFonts w:cs="Arial" w:ascii="Arial" w:hAnsi="Arial"/>
          <w:color w:val="000000"/>
        </w:rPr>
        <w:t xml:space="preserve">Certidão de regularidade de débito para com o Fundo de Garantia por Tempo de Serviço (FGTS); </w:t>
      </w:r>
    </w:p>
    <w:p>
      <w:pPr>
        <w:pStyle w:val="Normal"/>
        <w:numPr>
          <w:ilvl w:val="1"/>
          <w:numId w:val="6"/>
        </w:numPr>
        <w:tabs>
          <w:tab w:val="clear" w:pos="709"/>
          <w:tab w:val="left" w:pos="284" w:leader="none"/>
          <w:tab w:val="left" w:pos="426" w:leader="none"/>
        </w:tabs>
        <w:jc w:val="both"/>
        <w:rPr/>
      </w:pPr>
      <w:r>
        <w:rPr>
          <w:rFonts w:cs="Arial" w:ascii="Arial" w:hAnsi="Arial"/>
          <w:color w:val="000000"/>
        </w:rPr>
        <w:t>Certidão Negativa de Débitos Trabalhistas ou Positiva de Débitos Trabalhistas com Efeito de Negativa.</w:t>
      </w:r>
    </w:p>
    <w:p>
      <w:pPr>
        <w:pStyle w:val="Normal"/>
        <w:tabs>
          <w:tab w:val="clear" w:pos="709"/>
          <w:tab w:val="left" w:pos="284" w:leader="none"/>
        </w:tabs>
        <w:jc w:val="right"/>
        <w:rPr>
          <w:rFonts w:ascii="Arial" w:hAnsi="Arial" w:cs="Arial"/>
          <w:highlight w:val="yellow"/>
        </w:rPr>
      </w:pPr>
      <w:r>
        <w:rPr>
          <w:rFonts w:cs="Arial" w:ascii="Arial" w:hAnsi="Arial"/>
          <w:highlight w:val="yellow"/>
        </w:rPr>
      </w:r>
    </w:p>
    <w:p>
      <w:pPr>
        <w:pStyle w:val="Normal"/>
        <w:numPr>
          <w:ilvl w:val="0"/>
          <w:numId w:val="6"/>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 xml:space="preserve">falência </w:t>
      </w:r>
      <w:r>
        <w:rPr>
          <w:rFonts w:cs="Arial" w:ascii="Arial" w:hAnsi="Arial"/>
        </w:rPr>
        <w:t>expedida pelo distribuidor da sede da pessoa jurídica, com data não superior a 180 (cento e oitenta) dias, da data limite para o recebimento das propostas da presente licitação.</w:t>
      </w:r>
    </w:p>
    <w:p>
      <w:pPr>
        <w:pStyle w:val="Normal"/>
        <w:numPr>
          <w:ilvl w:val="2"/>
          <w:numId w:val="6"/>
        </w:numPr>
        <w:tabs>
          <w:tab w:val="clear" w:pos="709"/>
          <w:tab w:val="left" w:pos="284" w:leader="none"/>
        </w:tabs>
        <w:jc w:val="both"/>
        <w:rPr>
          <w:rFonts w:ascii="Arial" w:hAnsi="Arial" w:cs="Arial"/>
        </w:rPr>
      </w:pP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6"/>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6"/>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6"/>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6"/>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6"/>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numPr>
          <w:ilvl w:val="0"/>
          <w:numId w:val="6"/>
        </w:numPr>
        <w:tabs>
          <w:tab w:val="clear" w:pos="709"/>
          <w:tab w:val="left" w:pos="284" w:leader="none"/>
          <w:tab w:val="left" w:pos="426" w:leader="none"/>
          <w:tab w:val="left" w:pos="567" w:leader="none"/>
        </w:tabs>
        <w:jc w:val="both"/>
        <w:rPr>
          <w:rFonts w:ascii="Arial" w:hAnsi="Arial" w:cs="Arial"/>
        </w:rPr>
      </w:pPr>
      <w:r>
        <w:rPr>
          <w:rFonts w:cs="Arial" w:ascii="Arial" w:hAnsi="Arial"/>
          <w:b/>
          <w:bCs/>
        </w:rPr>
        <w:t>QUALIFICAÇÃO TÉCNICA</w:t>
      </w:r>
    </w:p>
    <w:p>
      <w:pPr>
        <w:pStyle w:val="Normal"/>
        <w:numPr>
          <w:ilvl w:val="1"/>
          <w:numId w:val="6"/>
        </w:numPr>
        <w:tabs>
          <w:tab w:val="clear" w:pos="709"/>
          <w:tab w:val="left" w:pos="284" w:leader="none"/>
          <w:tab w:val="left" w:pos="426" w:leader="none"/>
          <w:tab w:val="left" w:pos="567" w:leader="none"/>
        </w:tabs>
        <w:jc w:val="both"/>
        <w:rPr>
          <w:rFonts w:ascii="Arial" w:hAnsi="Arial" w:cs="Arial"/>
        </w:rPr>
      </w:pPr>
      <w:r>
        <w:rPr>
          <w:rFonts w:cs="Arial" w:ascii="Arial" w:hAnsi="Arial"/>
        </w:rPr>
        <w:t>Atestado(s) de capacidade técnica Operacional, expedidas por empresas Públicas ou Privadas, em nome da licitante, que comprove a execução satisfatória de serviços similares ao objeto desta licitação, com identificação de quem o assinou.</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Default"/>
        <w:numPr>
          <w:ilvl w:val="1"/>
          <w:numId w:val="6"/>
        </w:numPr>
        <w:tabs>
          <w:tab w:val="clear" w:pos="709"/>
          <w:tab w:val="left" w:pos="284" w:leader="none"/>
          <w:tab w:val="left" w:pos="426" w:leader="none"/>
          <w:tab w:val="left" w:pos="567" w:leader="none"/>
        </w:tabs>
        <w:jc w:val="both"/>
        <w:rPr>
          <w:rFonts w:ascii="Arial" w:hAnsi="Arial" w:cs="Arial"/>
        </w:rPr>
      </w:pPr>
      <w:r>
        <w:rPr>
          <w:rFonts w:cs="Arial" w:ascii="Arial" w:hAnsi="Arial"/>
          <w:sz w:val="20"/>
        </w:rPr>
        <w:t xml:space="preserve">Certificado de Registro da empresa Conselho Regional de Fisioterapia e Terapia Ocupacional – CREFITO; </w:t>
      </w:r>
    </w:p>
    <w:p>
      <w:pPr>
        <w:pStyle w:val="Default"/>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numPr>
          <w:ilvl w:val="1"/>
          <w:numId w:val="6"/>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Declaração que possui responsável técnico devidamente registrado no CONSELHO COMPETENTE e o indicará quando da assinatura do contrato, juntamente com as respectivas documentações exigidas (vínculo empregatício, atestado de capacidade profissional e demais pertinentes);</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s>
        <w:spacing w:lineRule="auto" w:line="245"/>
        <w:ind w:hanging="0" w:left="0"/>
        <w:jc w:val="both"/>
        <w:rPr>
          <w:rFonts w:ascii="Arial" w:hAnsi="Arial" w:cs="Arial"/>
          <w:color w:val="000000"/>
        </w:rPr>
      </w:pPr>
      <w:r>
        <w:rPr>
          <w:rFonts w:cs="Arial" w:ascii="Arial" w:hAnsi="Arial"/>
          <w:color w:val="000000"/>
        </w:rPr>
        <w:t>Declaração de que, na assinatura do contrato, apresentará a comprovação que o responsável técnico indicado pertence ao quadro permanente da licitante, devendo ser feita com a apresentação de um dos seguintes documentos:</w:t>
      </w:r>
    </w:p>
    <w:p>
      <w:pPr>
        <w:pStyle w:val="Normal"/>
        <w:numPr>
          <w:ilvl w:val="1"/>
          <w:numId w:val="8"/>
        </w:numPr>
        <w:tabs>
          <w:tab w:val="clear" w:pos="709"/>
          <w:tab w:val="left" w:pos="284" w:leader="none"/>
        </w:tabs>
        <w:spacing w:lineRule="auto" w:line="245"/>
        <w:ind w:hanging="360" w:left="567"/>
        <w:jc w:val="both"/>
        <w:rPr>
          <w:rFonts w:ascii="Arial" w:hAnsi="Arial" w:cs="Arial"/>
          <w:color w:val="000000"/>
        </w:rPr>
      </w:pPr>
      <w:r>
        <w:rPr>
          <w:rFonts w:cs="Arial" w:ascii="Arial" w:hAnsi="Arial"/>
          <w:color w:val="000000"/>
        </w:rPr>
        <w:t xml:space="preserve">Se funcionário: registro na Carteira Profissional, ficha de registro de empregado ou contrato de trabalho; </w:t>
      </w:r>
    </w:p>
    <w:p>
      <w:pPr>
        <w:pStyle w:val="Normal"/>
        <w:numPr>
          <w:ilvl w:val="1"/>
          <w:numId w:val="8"/>
        </w:numPr>
        <w:tabs>
          <w:tab w:val="clear" w:pos="709"/>
          <w:tab w:val="left" w:pos="284" w:leader="none"/>
        </w:tabs>
        <w:spacing w:lineRule="auto" w:line="245"/>
        <w:ind w:hanging="360" w:left="567"/>
        <w:jc w:val="both"/>
        <w:rPr>
          <w:rFonts w:ascii="Arial" w:hAnsi="Arial" w:cs="Arial"/>
          <w:color w:val="000000"/>
        </w:rPr>
      </w:pPr>
      <w:r>
        <w:rPr>
          <w:rFonts w:cs="Arial" w:ascii="Arial" w:hAnsi="Arial"/>
          <w:color w:val="000000"/>
        </w:rPr>
        <w:t>Se Diretor: contrato social ou Certidão da Junta Comercial em vigor;</w:t>
      </w:r>
    </w:p>
    <w:p>
      <w:pPr>
        <w:pStyle w:val="Normal"/>
        <w:numPr>
          <w:ilvl w:val="1"/>
          <w:numId w:val="8"/>
        </w:numPr>
        <w:tabs>
          <w:tab w:val="clear" w:pos="709"/>
          <w:tab w:val="left" w:pos="284" w:leader="none"/>
        </w:tabs>
        <w:spacing w:lineRule="auto" w:line="245"/>
        <w:ind w:hanging="360" w:left="567"/>
        <w:jc w:val="both"/>
        <w:rPr>
          <w:rFonts w:ascii="Arial" w:hAnsi="Arial" w:cs="Arial"/>
          <w:color w:val="000000"/>
        </w:rPr>
      </w:pPr>
      <w:r>
        <w:rPr>
          <w:rFonts w:cs="Arial" w:ascii="Arial" w:hAnsi="Arial"/>
          <w:color w:val="000000"/>
        </w:rPr>
        <w:t>Se profissional autônomo que preencha os requisitos e se responsabilize tecnicamente pela execução dos serviços: apresentar o contrato firmado com o profissional.</w:t>
      </w:r>
    </w:p>
    <w:p>
      <w:pPr>
        <w:pStyle w:val="Normal"/>
        <w:tabs>
          <w:tab w:val="clear" w:pos="709"/>
          <w:tab w:val="left" w:pos="284" w:leader="none"/>
        </w:tabs>
        <w:spacing w:lineRule="auto" w:line="245"/>
        <w:jc w:val="both"/>
        <w:rPr>
          <w:rFonts w:ascii="Arial" w:hAnsi="Arial" w:cs="Arial"/>
          <w:color w:val="000000"/>
        </w:rPr>
      </w:pPr>
      <w:r>
        <w:rPr>
          <w:rFonts w:cs="Arial" w:ascii="Arial" w:hAnsi="Arial"/>
          <w:color w:val="000000"/>
        </w:rPr>
      </w:r>
    </w:p>
    <w:p>
      <w:pPr>
        <w:pStyle w:val="Normal"/>
        <w:jc w:val="both"/>
        <w:rPr>
          <w:rFonts w:ascii="Arial" w:hAnsi="Arial" w:cs="Arial"/>
          <w:color w:val="000000"/>
        </w:rPr>
      </w:pPr>
      <w:r>
        <w:rPr>
          <w:rFonts w:cs="Arial" w:ascii="Arial" w:hAnsi="Arial"/>
          <w:color w:val="000000"/>
        </w:rPr>
      </w:r>
    </w:p>
    <w:p>
      <w:pPr>
        <w:pStyle w:val="Normal"/>
        <w:ind w:firstLine="561"/>
        <w:jc w:val="both"/>
        <w:rPr>
          <w:rFonts w:ascii="Arial" w:hAnsi="Arial" w:cs="Arial"/>
        </w:rPr>
      </w:pPr>
      <w:r>
        <w:rPr>
          <w:rFonts w:cs="Arial" w:ascii="Arial" w:hAnsi="Arial"/>
        </w:rPr>
        <w:t>Piracicaba, 15 de outubro de 2026</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ind w:firstLine="561"/>
        <w:jc w:val="center"/>
        <w:rPr>
          <w:rFonts w:ascii="Arial" w:hAnsi="Arial"/>
        </w:rPr>
      </w:pPr>
      <w:r>
        <w:rPr>
          <w:rFonts w:cs="Arial" w:ascii="Arial" w:hAnsi="Arial"/>
          <w:b/>
        </w:rPr>
        <w:t>Priscila Camargo Rodrigues Grecchi</w:t>
      </w:r>
    </w:p>
    <w:p>
      <w:pPr>
        <w:pStyle w:val="Normal"/>
        <w:ind w:firstLine="561"/>
        <w:jc w:val="center"/>
        <w:rPr>
          <w:rFonts w:ascii="Arial" w:hAnsi="Arial"/>
        </w:rPr>
      </w:pPr>
      <w:r>
        <w:rPr>
          <w:rFonts w:ascii="Arial" w:hAnsi="Arial"/>
        </w:rPr>
        <w:t>Chefe da Divisão</w:t>
      </w:r>
      <w:r>
        <w:br w:type="page"/>
      </w:r>
    </w:p>
    <w:p>
      <w:pPr>
        <w:pStyle w:val="Heading2"/>
        <w:numPr>
          <w:ilvl w:val="1"/>
          <w:numId w:val="1"/>
        </w:numPr>
        <w:spacing w:before="0" w:after="0"/>
        <w:ind w:hanging="0" w:left="0"/>
        <w:rPr/>
      </w:pPr>
      <w:r>
        <w:rPr/>
      </w:r>
    </w:p>
    <w:p>
      <w:pPr>
        <w:pStyle w:val="Heading2"/>
        <w:numPr>
          <w:ilvl w:val="1"/>
          <w:numId w:val="1"/>
        </w:numPr>
        <w:ind w:hanging="0" w:left="0"/>
        <w:rPr/>
      </w:pPr>
      <w:r>
        <w:rPr>
          <w:sz w:val="28"/>
          <w:szCs w:val="28"/>
        </w:rPr>
        <w:t>REGULAMENTO GERAL</w:t>
      </w:r>
    </w:p>
    <w:p>
      <w:pPr>
        <w:pStyle w:val="BodyText"/>
        <w:jc w:val="center"/>
        <w:rPr>
          <w:sz w:val="20"/>
          <w:lang w:val="pt-BR"/>
        </w:rPr>
      </w:pPr>
      <w:r>
        <w:rPr>
          <w:sz w:val="20"/>
          <w:lang w:val="pt-BR"/>
        </w:rPr>
      </w:r>
    </w:p>
    <w:p>
      <w:pPr>
        <w:pStyle w:val="Normal"/>
        <w:jc w:val="center"/>
        <w:rPr>
          <w:rFonts w:ascii="Arial" w:hAnsi="Arial" w:cs="Arial"/>
          <w:sz w:val="24"/>
          <w:szCs w:val="24"/>
        </w:rPr>
      </w:pPr>
      <w:r>
        <w:rPr>
          <w:rFonts w:cs="Arial" w:ascii="Arial" w:hAnsi="Arial"/>
          <w:sz w:val="24"/>
          <w:szCs w:val="24"/>
        </w:rPr>
        <w:t>Pregão Eletrônico – Registro de Preços – Serviços</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para REGISTRO DE PREÇOS na modalidade PREGÃO ELETRÔNICO</w:t>
      </w:r>
      <w:r>
        <w:rPr>
          <w:rFonts w:cs="Arial" w:ascii="Arial" w:hAnsi="Arial"/>
          <w:bCs/>
        </w:rPr>
        <w:t>.</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4">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5">
        <w:r>
          <w:rPr>
            <w:rStyle w:val="Hyperlink"/>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3. RECEBIMENTO E ABERTURA DAS PROPOSTAS E DATA DO PREGÃO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4.1. </w:t>
      </w:r>
      <w:r>
        <w:rPr>
          <w:rFonts w:cs="Arial" w:ascii="Arial" w:hAnsi="Arial"/>
        </w:rPr>
        <w:t>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5.2. A participação neste Pregão é aberta as empresas de todos os portes.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color w:themeColor="text1" w:val="000000"/>
        </w:rPr>
      </w:pPr>
      <w:r>
        <w:rPr>
          <w:rFonts w:cs="Arial" w:ascii="Arial" w:hAnsi="Arial"/>
          <w:b/>
          <w:color w:themeColor="text1" w:val="000000"/>
        </w:rPr>
        <w:t>5.3.3.1.</w:t>
      </w:r>
      <w:r>
        <w:rPr>
          <w:rFonts w:cs="Arial" w:ascii="Arial" w:hAnsi="Arial"/>
          <w:color w:themeColor="text1" w:val="00000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themeColor="text1" w:val="000000"/>
        </w:rPr>
      </w:pPr>
      <w:r>
        <w:rPr>
          <w:rFonts w:cs="Arial" w:ascii="Arial" w:hAnsi="Arial"/>
          <w:color w:themeColor="text1" w:val="000000"/>
        </w:rPr>
      </w:r>
    </w:p>
    <w:p>
      <w:pPr>
        <w:pStyle w:val="Normal"/>
        <w:ind w:firstLine="284"/>
        <w:jc w:val="both"/>
        <w:rPr>
          <w:rFonts w:ascii="Arial" w:hAnsi="Arial" w:cs="Arial"/>
          <w:color w:themeColor="text1" w:val="000000"/>
        </w:rPr>
      </w:pPr>
      <w:r>
        <w:rPr>
          <w:rFonts w:cs="Arial" w:ascii="Arial" w:hAnsi="Arial"/>
          <w:b/>
          <w:color w:themeColor="text1" w:val="000000"/>
        </w:rPr>
        <w:t>5.3.3.2.</w:t>
      </w:r>
      <w:r>
        <w:rPr>
          <w:rFonts w:cs="Arial" w:ascii="Arial" w:hAnsi="Arial"/>
          <w:color w:themeColor="text1" w:val="000000"/>
        </w:rPr>
        <w:t xml:space="preserve"> a sanção de declaração de inidoneidade, disposta no Art. 156, IV da Lei 14.133/2021, impedirá o responsável  de licitar no âmbito da Administração direta e indireta de todos os entes federativos.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426"/>
        <w:jc w:val="both"/>
        <w:rPr>
          <w:color w:val="000000"/>
        </w:rPr>
      </w:pPr>
      <w:r>
        <w:rPr>
          <w:rFonts w:cs="Arial" w:ascii="Arial" w:hAnsi="Arial"/>
          <w:color w:val="000000"/>
        </w:rPr>
        <w:t xml:space="preserve">5.4. No caso de participação de consórcios, deverá ser observado o atendimento às condições previstas no artigo 15 da Lei Federal nº 14.133/21 e, em especial, às seguintes regras: </w:t>
      </w:r>
    </w:p>
    <w:p>
      <w:pPr>
        <w:pStyle w:val="Normal"/>
        <w:ind w:firstLine="426"/>
        <w:jc w:val="both"/>
        <w:rPr>
          <w:rFonts w:ascii="Arial" w:hAnsi="Arial" w:cs="Arial"/>
          <w:color w:val="000000"/>
        </w:rPr>
      </w:pPr>
      <w:r>
        <w:rPr>
          <w:rFonts w:cs="Arial" w:ascii="Arial" w:hAnsi="Arial"/>
          <w:color w:val="000000"/>
        </w:rPr>
      </w:r>
    </w:p>
    <w:p>
      <w:pPr>
        <w:pStyle w:val="Normal"/>
        <w:ind w:firstLine="426"/>
        <w:jc w:val="both"/>
        <w:rPr>
          <w:color w:val="000000"/>
        </w:rPr>
      </w:pPr>
      <w:r>
        <w:rPr>
          <w:rFonts w:cs="Arial" w:ascii="Arial" w:hAnsi="Arial"/>
          <w:color w:val="000000"/>
        </w:rPr>
        <w:t>5.4.1. Comprovação do compromisso público ou particular de constituição do consórcio, subscrito pelos consorciados;</w:t>
      </w:r>
    </w:p>
    <w:p>
      <w:pPr>
        <w:pStyle w:val="Normal"/>
        <w:ind w:firstLine="426"/>
        <w:jc w:val="both"/>
        <w:rPr>
          <w:rFonts w:ascii="Arial" w:hAnsi="Arial" w:cs="Arial"/>
          <w:color w:val="000000"/>
        </w:rPr>
      </w:pPr>
      <w:r>
        <w:rPr>
          <w:rFonts w:cs="Arial" w:ascii="Arial" w:hAnsi="Arial"/>
          <w:color w:val="000000"/>
        </w:rPr>
      </w:r>
    </w:p>
    <w:p>
      <w:pPr>
        <w:pStyle w:val="Normal"/>
        <w:ind w:firstLine="426"/>
        <w:jc w:val="both"/>
        <w:rPr>
          <w:color w:val="000000"/>
        </w:rPr>
      </w:pPr>
      <w:r>
        <w:rPr>
          <w:rFonts w:cs="Arial" w:ascii="Arial" w:hAnsi="Arial"/>
          <w:color w:val="000000"/>
        </w:rPr>
        <w:t>5.4.2. Indicação da empresa líder do consórcio, que será responsável por sua representação perante a Administração;</w:t>
      </w:r>
    </w:p>
    <w:p>
      <w:pPr>
        <w:pStyle w:val="Normal"/>
        <w:ind w:firstLine="426"/>
        <w:jc w:val="both"/>
        <w:rPr>
          <w:rFonts w:ascii="Arial" w:hAnsi="Arial" w:cs="Arial"/>
          <w:color w:val="000000"/>
        </w:rPr>
      </w:pPr>
      <w:r>
        <w:rPr>
          <w:rFonts w:cs="Arial" w:ascii="Arial" w:hAnsi="Arial"/>
          <w:color w:val="000000"/>
        </w:rPr>
      </w:r>
    </w:p>
    <w:p>
      <w:pPr>
        <w:pStyle w:val="Normal"/>
        <w:ind w:firstLine="426"/>
        <w:jc w:val="both"/>
        <w:rPr>
          <w:color w:val="000000"/>
        </w:rPr>
      </w:pPr>
      <w:r>
        <w:rPr>
          <w:rFonts w:cs="Arial" w:ascii="Arial" w:hAnsi="Arial"/>
          <w:color w:val="000000"/>
        </w:rPr>
        <w:t>5.4.3. Admissão, para efeito de habilitação técnica, do somatório dos quantitativos de cada consorciado e, para efeito de habilitação econômico-financeira, do somatório dos valores de cada consorciado;</w:t>
      </w:r>
    </w:p>
    <w:p>
      <w:pPr>
        <w:pStyle w:val="Normal"/>
        <w:ind w:firstLine="426"/>
        <w:jc w:val="both"/>
        <w:rPr>
          <w:rFonts w:ascii="Arial" w:hAnsi="Arial" w:cs="Arial"/>
          <w:color w:val="000000"/>
        </w:rPr>
      </w:pPr>
      <w:r>
        <w:rPr>
          <w:rFonts w:cs="Arial" w:ascii="Arial" w:hAnsi="Arial"/>
          <w:color w:val="000000"/>
        </w:rPr>
      </w:r>
    </w:p>
    <w:p>
      <w:pPr>
        <w:pStyle w:val="Normal"/>
        <w:ind w:firstLine="426"/>
        <w:jc w:val="both"/>
        <w:rPr>
          <w:color w:val="000000"/>
        </w:rPr>
      </w:pPr>
      <w:r>
        <w:rPr>
          <w:rFonts w:cs="Arial" w:ascii="Arial" w:hAnsi="Arial"/>
          <w:color w:val="000000"/>
        </w:rPr>
        <w:t>5.4.4. Responsabilidade solidária dos integrantes pelos atos praticados em consórcio, tanto na fase de licitação quanto na de execução do contrato.</w:t>
      </w:r>
    </w:p>
    <w:p>
      <w:pPr>
        <w:pStyle w:val="Normal"/>
        <w:ind w:firstLine="426"/>
        <w:jc w:val="both"/>
        <w:rPr>
          <w:rFonts w:ascii="Arial" w:hAnsi="Arial" w:cs="Arial"/>
          <w:color w:val="000000"/>
        </w:rPr>
      </w:pPr>
      <w:r>
        <w:rPr>
          <w:rFonts w:cs="Arial" w:ascii="Arial" w:hAnsi="Arial"/>
          <w:color w:val="000000"/>
        </w:rPr>
      </w:r>
    </w:p>
    <w:p>
      <w:pPr>
        <w:pStyle w:val="Normal"/>
        <w:ind w:firstLine="426"/>
        <w:jc w:val="both"/>
        <w:rPr>
          <w:color w:val="000000"/>
        </w:rPr>
      </w:pPr>
      <w:r>
        <w:rPr>
          <w:rFonts w:cs="Arial" w:ascii="Arial" w:hAnsi="Arial"/>
          <w:color w:val="000000"/>
        </w:rPr>
        <w:t xml:space="preserve">5.4.5. Procuração das consorciadas, outorgando à empresa líder poderes para representá-las perante a Contratante, em juízo ou fora dele. </w:t>
      </w:r>
    </w:p>
    <w:p>
      <w:pPr>
        <w:pStyle w:val="Normal"/>
        <w:ind w:firstLine="426"/>
        <w:jc w:val="both"/>
        <w:rPr>
          <w:rFonts w:ascii="Arial" w:hAnsi="Arial" w:cs="Arial"/>
          <w:color w:val="000000"/>
        </w:rPr>
      </w:pPr>
      <w:r>
        <w:rPr>
          <w:rFonts w:cs="Arial" w:ascii="Arial" w:hAnsi="Arial"/>
          <w:color w:val="000000"/>
        </w:rPr>
      </w:r>
    </w:p>
    <w:p>
      <w:pPr>
        <w:pStyle w:val="Normal"/>
        <w:ind w:firstLine="284"/>
        <w:jc w:val="both"/>
        <w:rPr>
          <w:color w:val="000000"/>
        </w:rPr>
      </w:pPr>
      <w:r>
        <w:rPr>
          <w:rFonts w:cs="Arial" w:ascii="Arial" w:hAnsi="Arial"/>
          <w:color w:val="000000"/>
        </w:rPr>
        <w:t>5.4.6. É vedada a participação de empresa consorciada no presente certame, através de mais de um consórcio ou isoladamente.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6">
        <w:r>
          <w:rPr>
            <w:rStyle w:val="Hyperlink"/>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BodyText"/>
        <w:ind w:firstLine="284"/>
        <w:rPr>
          <w:sz w:val="20"/>
          <w:szCs w:val="20"/>
        </w:rPr>
      </w:pPr>
      <w:r>
        <w:rPr>
          <w:sz w:val="20"/>
          <w:szCs w:val="20"/>
        </w:rPr>
      </w:r>
    </w:p>
    <w:p>
      <w:pPr>
        <w:pStyle w:val="BodyText"/>
        <w:ind w:firstLine="284"/>
        <w:rPr>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6.5.</w:t>
      </w:r>
      <w:r>
        <w:rPr>
          <w:rFonts w:cs="Arial" w:ascii="Arial" w:hAnsi="Arial"/>
        </w:rPr>
        <w:t xml:space="preserve"> 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rPr>
      </w:pPr>
      <w:r>
        <w:rPr>
          <w:rFonts w:cs="Arial" w:ascii="Arial" w:hAnsi="Arial"/>
        </w:rPr>
      </w:r>
    </w:p>
    <w:p>
      <w:pPr>
        <w:pStyle w:val="Heading9"/>
        <w:numPr>
          <w:ilvl w:val="8"/>
          <w:numId w:val="1"/>
        </w:numPr>
        <w:ind w:firstLine="284" w:left="0"/>
        <w:rPr/>
      </w:pPr>
      <w:r>
        <w:rPr>
          <w:i w:val="false"/>
          <w:iCs w:val="false"/>
          <w:sz w:val="20"/>
          <w:szCs w:val="20"/>
        </w:rPr>
        <w:t>7. participação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7">
        <w:r>
          <w:rPr>
            <w:rStyle w:val="Hyperlink"/>
            <w:rFonts w:cs="Arial" w:ascii="Arial" w:hAnsi="Arial"/>
          </w:rPr>
          <w:t>https://bnccompras.com</w:t>
        </w:r>
      </w:hyperlink>
      <w:r>
        <w:rPr>
          <w:rFonts w:cs="Arial" w:ascii="Arial" w:hAnsi="Arial"/>
        </w:rPr>
        <w:t>, observados data e horário limite estabelecidos neste Edital.</w:t>
      </w:r>
    </w:p>
    <w:p>
      <w:pPr>
        <w:pStyle w:val="BodyTextIndent"/>
        <w:spacing w:lineRule="auto" w:line="240"/>
        <w:ind w:firstLine="284"/>
        <w:textAlignment w:val="auto"/>
        <w:rPr>
          <w:sz w:val="20"/>
          <w:szCs w:val="20"/>
          <w:lang w:val="pt-BR"/>
        </w:rPr>
      </w:pPr>
      <w:r>
        <w:rPr>
          <w:sz w:val="20"/>
          <w:szCs w:val="20"/>
          <w:lang w:val="pt-BR"/>
        </w:rPr>
      </w:r>
    </w:p>
    <w:p>
      <w:pPr>
        <w:pStyle w:val="BodyTextIndent"/>
        <w:spacing w:lineRule="auto" w:line="240"/>
        <w:ind w:firstLine="284"/>
        <w:textAlignment w:val="auto"/>
        <w:rPr>
          <w:sz w:val="20"/>
          <w:szCs w:val="20"/>
          <w:lang w:val="pt-BR"/>
        </w:rPr>
      </w:pPr>
      <w:r>
        <w:rPr>
          <w:b/>
          <w:bCs/>
          <w:sz w:val="20"/>
          <w:szCs w:val="20"/>
        </w:rPr>
        <w:t xml:space="preserve">7.2. </w:t>
      </w:r>
      <w:r>
        <w:rPr>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pPr>
        <w:pStyle w:val="BodyTextIndent"/>
        <w:spacing w:lineRule="auto" w:line="240"/>
        <w:ind w:firstLine="284"/>
        <w:textAlignment w:val="auto"/>
        <w:rPr>
          <w:sz w:val="20"/>
          <w:szCs w:val="20"/>
        </w:rPr>
      </w:pPr>
      <w:r>
        <w:rPr>
          <w:sz w:val="20"/>
          <w:szCs w:val="20"/>
        </w:rPr>
      </w:r>
    </w:p>
    <w:p>
      <w:pPr>
        <w:pStyle w:val="BodyTextIndent"/>
        <w:spacing w:lineRule="auto" w:line="240"/>
        <w:ind w:firstLine="284"/>
        <w:textAlignment w:val="auto"/>
        <w:rPr>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pPr>
        <w:pStyle w:val="BodyTextIndent"/>
        <w:spacing w:lineRule="auto" w:line="240"/>
        <w:ind w:firstLine="284"/>
        <w:textAlignment w:val="auto"/>
        <w:rPr>
          <w:sz w:val="20"/>
          <w:szCs w:val="20"/>
        </w:rPr>
      </w:pPr>
      <w:r>
        <w:rPr>
          <w:sz w:val="20"/>
          <w:szCs w:val="20"/>
        </w:rPr>
      </w:r>
    </w:p>
    <w:p>
      <w:pPr>
        <w:pStyle w:val="BodyTextIndent"/>
        <w:spacing w:lineRule="auto" w:line="240"/>
        <w:ind w:firstLine="284"/>
        <w:textAlignment w:val="auto"/>
        <w:rPr>
          <w:sz w:val="20"/>
          <w:szCs w:val="20"/>
        </w:rPr>
      </w:pPr>
      <w:r>
        <w:rPr>
          <w:b/>
          <w:bCs/>
          <w:sz w:val="20"/>
          <w:szCs w:val="20"/>
        </w:rPr>
        <w:t>7.4.</w:t>
      </w:r>
      <w:r>
        <w:rPr>
          <w:sz w:val="20"/>
          <w:szCs w:val="20"/>
        </w:rPr>
        <w:t xml:space="preserve"> Quando a desconexão persistir por tempo superior a 10 (dez) minutos, a sessão do Pregão será suspensa, retornando somente após comunicação expressa as licitantes.</w:t>
      </w:r>
    </w:p>
    <w:p>
      <w:pPr>
        <w:pStyle w:val="BodyTextIndent"/>
        <w:spacing w:lineRule="auto" w:line="240"/>
        <w:ind w:firstLine="284"/>
        <w:textAlignment w:val="auto"/>
        <w:rPr>
          <w:sz w:val="20"/>
          <w:szCs w:val="20"/>
        </w:rPr>
      </w:pPr>
      <w:r>
        <w:rPr>
          <w:sz w:val="20"/>
          <w:szCs w:val="20"/>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color w:themeColor="accent1" w:val="4472C4"/>
        </w:rPr>
      </w:pPr>
      <w:r>
        <w:rPr>
          <w:rFonts w:cs="Arial" w:ascii="Arial" w:hAnsi="Arial"/>
          <w:color w:themeColor="accent1" w:val="4472C4"/>
        </w:rPr>
      </w:r>
    </w:p>
    <w:p>
      <w:pPr>
        <w:pStyle w:val="Normal"/>
        <w:ind w:firstLine="284"/>
        <w:jc w:val="both"/>
        <w:rPr>
          <w:rFonts w:ascii="Arial" w:hAnsi="Arial" w:cs="Arial"/>
          <w:b/>
          <w:bCs/>
        </w:rPr>
      </w:pPr>
      <w:r>
        <w:rPr>
          <w:rFonts w:cs="Arial" w:ascii="Arial" w:hAnsi="Arial"/>
          <w:b/>
          <w:bCs/>
        </w:rPr>
        <w:t xml:space="preserve">8.1. </w:t>
      </w:r>
      <w:r>
        <w:rPr>
          <w:rFonts w:cs="Arial" w:ascii="Arial" w:hAnsi="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8.2. </w:t>
      </w:r>
      <w:r>
        <w:rPr>
          <w:rFonts w:cs="Arial" w:ascii="Arial" w:hAnsi="Arial"/>
        </w:rPr>
        <w:t>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8.3.</w:t>
      </w:r>
      <w:r>
        <w:rPr>
          <w:rFonts w:cs="Arial" w:ascii="Arial" w:hAnsi="Arial"/>
        </w:rPr>
        <w:t xml:space="preserve"> As licitantes deverão declarar sua condição de Microempresa ou Empresa de Pequeno Porte, ao selecionar se são ou não beneficiárias da Lei Complementar n.º 123/2006 alterada pela Lei Complementar nº 147/2014.</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8.5.</w:t>
      </w:r>
      <w:r>
        <w:rPr>
          <w:rFonts w:cs="Arial" w:ascii="Arial" w:hAnsi="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8.6. </w:t>
      </w:r>
      <w:r>
        <w:rPr>
          <w:rFonts w:cs="Arial" w:ascii="Arial" w:hAnsi="Arial"/>
        </w:rPr>
        <w:t>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8.7.</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8.7.1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t>8.7.2. A proposta readequada deverá seguir o modelo disponível no Anexo IV deste edital.</w:t>
      </w:r>
    </w:p>
    <w:p>
      <w:pPr>
        <w:pStyle w:val="Normal"/>
        <w:numPr>
          <w:ilvl w:val="0"/>
          <w:numId w:val="1"/>
        </w:numPr>
        <w:ind w:firstLine="284" w:left="0"/>
        <w:jc w:val="both"/>
        <w:rPr>
          <w:rFonts w:ascii="Arial" w:hAnsi="Arial" w:cs="Arial"/>
          <w:b/>
        </w:rPr>
      </w:pPr>
      <w:r>
        <w:rPr>
          <w:rFonts w:cs="Arial" w:ascii="Arial" w:hAnsi="Arial"/>
          <w:b/>
        </w:rPr>
      </w:r>
    </w:p>
    <w:p>
      <w:pPr>
        <w:pStyle w:val="Normal"/>
        <w:ind w:firstLine="284"/>
        <w:rPr>
          <w:rFonts w:ascii="Arial" w:hAnsi="Arial" w:cs="Arial"/>
        </w:rPr>
      </w:pPr>
      <w:r>
        <w:rPr>
          <w:rFonts w:cs="Arial" w:ascii="Arial" w:hAnsi="Arial"/>
          <w:b/>
          <w:bCs/>
        </w:rPr>
        <w:t>8.8.</w:t>
      </w:r>
      <w:r>
        <w:rPr>
          <w:rFonts w:cs="Arial" w:ascii="Arial" w:hAnsi="Arial"/>
        </w:rPr>
        <w:t xml:space="preserve"> O licitante poderá suprir ou sanear eventuais omissões ou falhas relativas ao cumprimento dos requisitos do item 8.8.,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8.9.</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pPr>
      <w:r>
        <w:rPr/>
      </w:r>
    </w:p>
    <w:p>
      <w:pPr>
        <w:pStyle w:val="Heading8"/>
        <w:numPr>
          <w:ilvl w:val="7"/>
          <w:numId w:val="43"/>
        </w:numPr>
        <w:ind w:firstLine="284" w:left="0"/>
        <w:rPr>
          <w:caps/>
          <w:sz w:val="20"/>
          <w:szCs w:val="20"/>
        </w:rPr>
      </w:pPr>
      <w:r>
        <w:rPr>
          <w:caps/>
          <w:sz w:val="20"/>
          <w:szCs w:val="20"/>
        </w:rPr>
        <w:t>9</w:t>
      </w:r>
      <w:r>
        <w:rPr>
          <w:caps/>
          <w:sz w:val="20"/>
          <w:szCs w:val="20"/>
          <w:lang w:val="pt-BR"/>
        </w:rPr>
        <w:t>.</w:t>
      </w:r>
      <w:r>
        <w:rPr>
          <w:caps/>
          <w:sz w:val="20"/>
          <w:szCs w:val="20"/>
        </w:rPr>
        <w:t xml:space="preserve"> ENVIO DA DOCUMENTAÇÃO DE HABILITAÇÃO </w:t>
      </w:r>
    </w:p>
    <w:p>
      <w:pPr>
        <w:pStyle w:val="Normal"/>
        <w:ind w:firstLine="284"/>
        <w:rPr>
          <w:b/>
        </w:rPr>
      </w:pPr>
      <w:r>
        <w:rPr>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9.2.1. </w:t>
      </w:r>
      <w:r>
        <w:rPr>
          <w:rFonts w:cs="Arial" w:ascii="Arial" w:hAnsi="Arial"/>
        </w:rPr>
        <w:t>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BodyTextIndent"/>
        <w:ind w:firstLine="284"/>
        <w:rPr>
          <w:bCs/>
          <w:color w:val="auto"/>
        </w:rPr>
      </w:pPr>
      <w:r>
        <w:rPr>
          <w:rFonts w:eastAsia="Arial"/>
          <w:b/>
          <w:bCs/>
          <w:color w:val="auto"/>
          <w:sz w:val="20"/>
          <w:szCs w:val="20"/>
        </w:rPr>
        <w:t>9.2.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bCs/>
        </w:rPr>
      </w:pPr>
      <w:r>
        <w:rPr>
          <w:rFonts w:cs="Arial" w:ascii="Arial" w:hAnsi="Arial"/>
          <w:bCs/>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9.3.1.</w:t>
      </w:r>
      <w:r>
        <w:rPr>
          <w:rFonts w:cs="Arial" w:ascii="Arial" w:hAnsi="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9.3.2.</w:t>
      </w:r>
      <w:r>
        <w:rPr>
          <w:rFonts w:cs="Arial" w:ascii="Arial" w:hAnsi="Arial"/>
        </w:rPr>
        <w:t xml:space="preserve"> 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9.4. Os documentos que compõem a habilitação do licitante melhor classificado somente serão disponibilizados para avaliação do pregoeiro e para acesso público após o encerramento do envio de lances.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9.5.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9.5.1.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9.5.2.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rPr>
      </w:pPr>
      <w:r>
        <w:rPr>
          <w:rFonts w:cs="Arial" w:ascii="Arial" w:hAnsi="Arial"/>
        </w:rPr>
      </w:r>
    </w:p>
    <w:p>
      <w:pPr>
        <w:pStyle w:val="Heading8"/>
        <w:numPr>
          <w:ilvl w:val="7"/>
          <w:numId w:val="44"/>
        </w:numPr>
        <w:ind w:firstLine="284" w:left="0"/>
        <w:rPr/>
      </w:pPr>
      <w:r>
        <w:rPr>
          <w:caps/>
          <w:sz w:val="20"/>
          <w:szCs w:val="20"/>
        </w:rPr>
        <w:t>10</w:t>
      </w:r>
      <w:r>
        <w:rPr>
          <w:caps/>
          <w:sz w:val="20"/>
          <w:szCs w:val="20"/>
          <w:lang w:val="pt-BR"/>
        </w:rPr>
        <w:t>.</w:t>
      </w:r>
      <w:r>
        <w:rPr>
          <w:caps/>
          <w:sz w:val="20"/>
          <w:szCs w:val="20"/>
        </w:rPr>
        <w:t xml:space="preserve"> abertura</w:t>
      </w:r>
    </w:p>
    <w:p>
      <w:pPr>
        <w:pStyle w:val="Normal"/>
        <w:ind w:firstLine="284"/>
        <w:jc w:val="both"/>
        <w:rPr>
          <w:rFonts w:ascii="Arial" w:hAnsi="Arial" w:cs="Arial"/>
        </w:rPr>
      </w:pPr>
      <w:r>
        <w:rPr>
          <w:rFonts w:cs="Arial" w:ascii="Arial" w:hAnsi="Arial"/>
        </w:rPr>
      </w:r>
    </w:p>
    <w:p>
      <w:pPr>
        <w:pStyle w:val="Normal"/>
        <w:numPr>
          <w:ilvl w:val="0"/>
          <w:numId w:val="45"/>
        </w:numPr>
        <w:ind w:firstLine="284" w:left="0"/>
        <w:jc w:val="both"/>
        <w:rPr>
          <w:rFonts w:ascii="Arial" w:hAnsi="Arial" w:cs="Arial"/>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46"/>
        </w:numPr>
        <w:ind w:firstLine="284" w:left="0"/>
        <w:jc w:val="both"/>
        <w:rPr>
          <w:rFonts w:ascii="Arial" w:hAnsi="Arial" w:cs="Arial"/>
        </w:rPr>
      </w:pPr>
      <w:r>
        <w:rPr>
          <w:rFonts w:cs="Arial" w:ascii="Arial" w:hAnsi="Arial"/>
        </w:rPr>
      </w:r>
    </w:p>
    <w:p>
      <w:pPr>
        <w:pStyle w:val="Normal"/>
        <w:numPr>
          <w:ilvl w:val="0"/>
          <w:numId w:val="47"/>
        </w:numPr>
        <w:ind w:firstLine="284" w:left="0"/>
        <w:jc w:val="both"/>
        <w:rPr>
          <w:rFonts w:ascii="Arial" w:hAnsi="Arial" w:cs="Arial"/>
        </w:rPr>
      </w:pPr>
      <w:r>
        <w:rPr>
          <w:rFonts w:cs="Arial" w:ascii="Arial" w:hAnsi="Arial"/>
          <w:b/>
          <w:bCs/>
        </w:rPr>
        <w:t xml:space="preserve">10.2. </w:t>
      </w:r>
      <w:r>
        <w:rPr>
          <w:rFonts w:cs="Arial" w:ascii="Arial" w:hAnsi="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48"/>
        </w:numPr>
        <w:ind w:firstLine="284" w:left="0"/>
        <w:jc w:val="both"/>
        <w:rPr>
          <w:rFonts w:ascii="Arial" w:hAnsi="Arial" w:cs="Arial"/>
        </w:rPr>
      </w:pPr>
      <w:r>
        <w:rPr>
          <w:rFonts w:cs="Arial" w:ascii="Arial" w:hAnsi="Arial"/>
        </w:rPr>
      </w:r>
    </w:p>
    <w:p>
      <w:pPr>
        <w:pStyle w:val="Normal"/>
        <w:numPr>
          <w:ilvl w:val="0"/>
          <w:numId w:val="49"/>
        </w:numPr>
        <w:tabs>
          <w:tab w:val="clear" w:pos="709"/>
          <w:tab w:val="left" w:pos="284" w:leader="none"/>
        </w:tabs>
        <w:ind w:firstLine="284" w:left="0"/>
        <w:jc w:val="both"/>
        <w:rPr>
          <w:rFonts w:ascii="Arial" w:hAnsi="Arial" w:cs="Arial"/>
        </w:rPr>
      </w:pPr>
      <w:r>
        <w:rPr>
          <w:rFonts w:cs="Arial" w:ascii="Arial" w:hAnsi="Arial"/>
          <w:b/>
          <w:bCs/>
        </w:rPr>
        <w:t>10.2.1.</w:t>
      </w:r>
      <w:r>
        <w:rPr>
          <w:rFonts w:cs="Arial" w:ascii="Arial" w:hAnsi="Arial"/>
        </w:rPr>
        <w:t xml:space="preserve"> Não serão aceitos dois ou mais lances de mesmo valor, prevalecendo aquele que for recebido e registrado em primeiro lugar.</w:t>
      </w:r>
    </w:p>
    <w:p>
      <w:pPr>
        <w:pStyle w:val="Normal"/>
        <w:numPr>
          <w:ilvl w:val="0"/>
          <w:numId w:val="50"/>
        </w:numPr>
        <w:ind w:firstLine="284" w:left="0"/>
        <w:jc w:val="both"/>
        <w:rPr>
          <w:rFonts w:ascii="Arial" w:hAnsi="Arial" w:cs="Arial"/>
        </w:rPr>
      </w:pPr>
      <w:r>
        <w:rPr>
          <w:rFonts w:cs="Arial" w:ascii="Arial" w:hAnsi="Arial"/>
        </w:rPr>
      </w:r>
    </w:p>
    <w:p>
      <w:pPr>
        <w:pStyle w:val="Normal"/>
        <w:numPr>
          <w:ilvl w:val="0"/>
          <w:numId w:val="51"/>
        </w:numPr>
        <w:tabs>
          <w:tab w:val="clear" w:pos="709"/>
          <w:tab w:val="left" w:pos="284" w:leader="none"/>
        </w:tabs>
        <w:ind w:firstLine="284" w:left="0"/>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52"/>
        </w:numPr>
        <w:ind w:firstLine="284" w:left="0"/>
        <w:jc w:val="both"/>
        <w:rPr>
          <w:rFonts w:ascii="Arial" w:hAnsi="Arial" w:cs="Arial"/>
        </w:rPr>
      </w:pPr>
      <w:r>
        <w:rPr>
          <w:rFonts w:cs="Arial" w:ascii="Arial" w:hAnsi="Arial"/>
        </w:rPr>
      </w:r>
    </w:p>
    <w:p>
      <w:pPr>
        <w:pStyle w:val="Normal"/>
        <w:numPr>
          <w:ilvl w:val="0"/>
          <w:numId w:val="53"/>
        </w:numPr>
        <w:ind w:firstLine="284" w:left="0"/>
        <w:jc w:val="both"/>
        <w:rPr>
          <w:rFonts w:ascii="Arial" w:hAnsi="Arial" w:cs="Arial"/>
        </w:rPr>
      </w:pPr>
      <w:r>
        <w:rPr>
          <w:rFonts w:cs="Arial" w:ascii="Arial" w:hAnsi="Arial"/>
          <w:b/>
          <w:bCs/>
        </w:rPr>
        <w:t>10.3.</w:t>
      </w:r>
      <w:r>
        <w:rPr>
          <w:rFonts w:cs="Arial" w:ascii="Arial" w:hAnsi="Arial"/>
        </w:rPr>
        <w:t xml:space="preserve"> Durante o transcurso da sessão pública, as licitantes serão informadas, em tempo real, do valor do menor lance registrado. O sistema eletrônico não identificará a autora dos lances às demais licitantes.</w:t>
      </w:r>
    </w:p>
    <w:p>
      <w:pPr>
        <w:pStyle w:val="Normal"/>
        <w:numPr>
          <w:ilvl w:val="0"/>
          <w:numId w:val="54"/>
        </w:numPr>
        <w:ind w:firstLine="284" w:left="0"/>
        <w:jc w:val="both"/>
        <w:rPr>
          <w:rFonts w:ascii="Arial" w:hAnsi="Arial" w:cs="Arial"/>
        </w:rPr>
      </w:pPr>
      <w:r>
        <w:rPr>
          <w:rFonts w:cs="Arial" w:ascii="Arial" w:hAnsi="Arial"/>
        </w:rPr>
      </w:r>
    </w:p>
    <w:p>
      <w:pPr>
        <w:pStyle w:val="Normal"/>
        <w:numPr>
          <w:ilvl w:val="0"/>
          <w:numId w:val="55"/>
        </w:numPr>
        <w:ind w:firstLine="284" w:left="0"/>
        <w:jc w:val="both"/>
        <w:rPr>
          <w:rFonts w:ascii="Arial" w:hAnsi="Arial" w:cs="Arial"/>
        </w:rPr>
      </w:pPr>
      <w:r>
        <w:rPr>
          <w:rFonts w:cs="Arial" w:ascii="Arial" w:hAnsi="Arial"/>
          <w:b/>
          <w:bCs/>
        </w:rPr>
        <w:t>10.4.</w:t>
      </w:r>
      <w:r>
        <w:rPr>
          <w:rFonts w:cs="Arial" w:ascii="Arial" w:hAnsi="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56"/>
        </w:numPr>
        <w:ind w:firstLine="284" w:left="0"/>
        <w:jc w:val="both"/>
        <w:rPr>
          <w:rFonts w:ascii="Arial" w:hAnsi="Arial" w:cs="Arial"/>
        </w:rPr>
      </w:pPr>
      <w:r>
        <w:rPr>
          <w:rFonts w:cs="Arial" w:ascii="Arial" w:hAnsi="Arial"/>
        </w:rPr>
      </w:r>
    </w:p>
    <w:p>
      <w:pPr>
        <w:pStyle w:val="BodyText"/>
        <w:numPr>
          <w:ilvl w:val="0"/>
          <w:numId w:val="57"/>
        </w:numPr>
        <w:ind w:firstLine="284" w:left="0"/>
        <w:rPr>
          <w:sz w:val="20"/>
          <w:szCs w:val="20"/>
        </w:rPr>
      </w:pPr>
      <w:r>
        <w:rPr>
          <w:b/>
          <w:bCs/>
          <w:sz w:val="20"/>
          <w:szCs w:val="20"/>
        </w:rPr>
        <w:t>10.5.</w:t>
      </w:r>
      <w:r>
        <w:rPr>
          <w:sz w:val="20"/>
          <w:szCs w:val="20"/>
        </w:rPr>
        <w:t xml:space="preserve"> Na hipótese de não haver novos lances no período da prorrogação automática que trata o item 10.4, a sessão pública será encerrada automaticamente.</w:t>
      </w:r>
    </w:p>
    <w:p>
      <w:pPr>
        <w:pStyle w:val="BodyText"/>
        <w:numPr>
          <w:ilvl w:val="0"/>
          <w:numId w:val="58"/>
        </w:numPr>
        <w:ind w:firstLine="284" w:left="0"/>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pregoeiro examinará a conformidade da proposta e a aceitabilidade do preço ofertado, de acordo com o praticado no mercado vigente, apurado mediante pesquisa realizada pela Unidade Requisitante.</w:t>
      </w:r>
    </w:p>
    <w:p>
      <w:pPr>
        <w:pStyle w:val="BodyText"/>
        <w:ind w:firstLine="284"/>
        <w:rPr>
          <w:sz w:val="20"/>
          <w:szCs w:val="20"/>
          <w:highlight w:val="yellow"/>
        </w:rPr>
      </w:pPr>
      <w:r>
        <w:rPr>
          <w:sz w:val="20"/>
          <w:szCs w:val="20"/>
          <w:highlight w:val="yellow"/>
        </w:rPr>
      </w:r>
    </w:p>
    <w:p>
      <w:pPr>
        <w:pStyle w:val="BodyText"/>
        <w:numPr>
          <w:ilvl w:val="0"/>
          <w:numId w:val="59"/>
        </w:numPr>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w:t>
      </w:r>
      <w:r>
        <w:rPr>
          <w:sz w:val="20"/>
        </w:rPr>
        <w:t>Agente de Contratação</w:t>
      </w:r>
      <w:r>
        <w:rPr>
          <w:sz w:val="18"/>
          <w:szCs w:val="20"/>
        </w:rPr>
        <w:t xml:space="preserve"> </w:t>
      </w:r>
      <w:r>
        <w:rPr>
          <w:sz w:val="20"/>
          <w:szCs w:val="20"/>
        </w:rPr>
        <w:t>poderá encaminhar, pelo sistema eletrônico, contraproposta diretamente a licitante que tenha apresentado o lance de menor preço, para que seja obtido preço melhor ao anteriormente ofertado, bem como decidir sobre sua aceitação.</w:t>
      </w:r>
    </w:p>
    <w:p>
      <w:pPr>
        <w:pStyle w:val="BodyText"/>
        <w:numPr>
          <w:ilvl w:val="0"/>
          <w:numId w:val="60"/>
        </w:numPr>
        <w:ind w:firstLine="284" w:left="0"/>
        <w:rPr>
          <w:sz w:val="20"/>
          <w:szCs w:val="20"/>
        </w:rPr>
      </w:pPr>
      <w:r>
        <w:rPr>
          <w:sz w:val="20"/>
          <w:szCs w:val="20"/>
        </w:rPr>
      </w:r>
    </w:p>
    <w:p>
      <w:pPr>
        <w:pStyle w:val="BodyText"/>
        <w:numPr>
          <w:ilvl w:val="0"/>
          <w:numId w:val="61"/>
        </w:numPr>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rPr>
        <w:t>Agente de Contratação</w:t>
      </w:r>
      <w:r>
        <w:rPr>
          <w:sz w:val="18"/>
          <w:szCs w:val="20"/>
        </w:rPr>
        <w:t xml:space="preserve"> </w:t>
      </w:r>
      <w:r>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Pr>
          <w:sz w:val="20"/>
        </w:rPr>
        <w:t>Agente de Contratação</w:t>
      </w:r>
      <w:r>
        <w:rPr>
          <w:sz w:val="20"/>
          <w:szCs w:val="20"/>
        </w:rPr>
        <w:t xml:space="preserve"> poderá negociar com a licitante para que seja obtido menor preço.</w:t>
      </w:r>
    </w:p>
    <w:p>
      <w:pPr>
        <w:pStyle w:val="BodyText"/>
        <w:numPr>
          <w:ilvl w:val="0"/>
          <w:numId w:val="62"/>
        </w:numPr>
        <w:ind w:firstLine="284" w:left="0"/>
        <w:rPr>
          <w:sz w:val="20"/>
          <w:szCs w:val="20"/>
        </w:rPr>
      </w:pPr>
      <w:r>
        <w:rPr>
          <w:sz w:val="20"/>
          <w:szCs w:val="20"/>
        </w:rPr>
      </w:r>
    </w:p>
    <w:p>
      <w:pPr>
        <w:pStyle w:val="Normal"/>
        <w:ind w:firstLine="284"/>
        <w:jc w:val="both"/>
        <w:rPr>
          <w:rFonts w:ascii="Arial" w:hAnsi="Arial" w:cs="Arial"/>
          <w:b/>
          <w:bCs/>
        </w:rPr>
      </w:pPr>
      <w:r>
        <w:rPr>
          <w:rFonts w:cs="Arial" w:ascii="Arial" w:hAnsi="Arial"/>
          <w:b/>
          <w:bCs/>
        </w:rPr>
        <w:t>11. FASE DE JULGAMENTO</w:t>
      </w:r>
    </w:p>
    <w:p>
      <w:pPr>
        <w:pStyle w:val="Normal"/>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V</w:t>
      </w:r>
      <w:r>
        <w:rPr>
          <w:rFonts w:cs="Arial" w:ascii="Arial" w:hAnsi="Arial"/>
        </w:rPr>
        <w:t xml:space="preserve"> – apresentar desconformidade com quaisquer outras exigências do edital ou seus anexos, desde que insanável.</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tabs>
          <w:tab w:val="clear" w:pos="709"/>
          <w:tab w:val="left" w:pos="284" w:leader="none"/>
        </w:tabs>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8">
        <w:r>
          <w:rPr>
            <w:rStyle w:val="Style"/>
            <w:rFonts w:cs="Arial" w:ascii="Arial" w:hAnsi="Arial"/>
          </w:rPr>
          <w:t>Lei nº 14.133, de 2021</w:t>
        </w:r>
      </w:hyperlink>
      <w:r>
        <w:rPr>
          <w:rFonts w:cs="Arial" w:ascii="Arial" w:hAnsi="Arial"/>
        </w:rPr>
        <w:t>, devendo protocolar o pedido até 03 (três) dias úteis antes da data da abertura do certame.</w:t>
      </w:r>
    </w:p>
    <w:p>
      <w:pPr>
        <w:pStyle w:val="Normal"/>
        <w:tabs>
          <w:tab w:val="clear" w:pos="709"/>
          <w:tab w:val="left" w:pos="284" w:leader="none"/>
        </w:tabs>
        <w:ind w:firstLine="284"/>
        <w:jc w:val="both"/>
        <w:rPr>
          <w:rFonts w:ascii="Arial" w:hAnsi="Arial" w:cs="Arial"/>
          <w:highlight w:val="yellow"/>
        </w:rPr>
      </w:pPr>
      <w:r>
        <w:rPr>
          <w:rFonts w:cs="Arial" w:ascii="Arial" w:hAnsi="Arial"/>
          <w:highlight w:val="yellow"/>
        </w:rPr>
      </w:r>
    </w:p>
    <w:p>
      <w:pPr>
        <w:pStyle w:val="Normal"/>
        <w:tabs>
          <w:tab w:val="clear" w:pos="709"/>
          <w:tab w:val="left" w:pos="284" w:leader="none"/>
        </w:tabs>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tabs>
          <w:tab w:val="clear" w:pos="709"/>
          <w:tab w:val="left" w:pos="284" w:leader="none"/>
        </w:tabs>
        <w:ind w:firstLine="284"/>
        <w:jc w:val="both"/>
        <w:rPr>
          <w:rFonts w:ascii="Arial" w:hAnsi="Arial" w:cs="Arial"/>
        </w:rPr>
      </w:pPr>
      <w:r>
        <w:rPr>
          <w:rFonts w:cs="Arial" w:ascii="Arial" w:hAnsi="Arial"/>
        </w:rPr>
        <w:t xml:space="preserve"> </w:t>
      </w:r>
    </w:p>
    <w:p>
      <w:pPr>
        <w:pStyle w:val="Normal"/>
        <w:tabs>
          <w:tab w:val="clear" w:pos="709"/>
          <w:tab w:val="left" w:pos="284" w:leader="none"/>
        </w:tabs>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12.5. </w:t>
      </w:r>
      <w:r>
        <w:rPr>
          <w:rFonts w:cs="Arial" w:ascii="Arial" w:hAnsi="Arial"/>
        </w:rPr>
        <w:t>O recurso e o pedido de reconsideração terão efeito suspensivo do ato ou da decisão recorrida até a decisão final da autoridade competente.</w:t>
      </w:r>
      <w:bookmarkStart w:id="0" w:name="_GoBack_Copia_1"/>
      <w:bookmarkEnd w:id="0"/>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ind w:firstLine="284"/>
        <w:jc w:val="both"/>
        <w:rPr>
          <w:rFonts w:ascii="Arial" w:hAnsi="Arial" w:cs="Arial"/>
        </w:rPr>
      </w:pPr>
      <w:r>
        <w:rPr>
          <w:rFonts w:cs="Arial" w:ascii="Arial" w:hAnsi="Arial"/>
        </w:rPr>
      </w:r>
      <w:bookmarkStart w:id="3" w:name="_Ref114668108"/>
      <w:bookmarkStart w:id="4"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4"/>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5" w:name="_Ref114668139"/>
      <w:bookmarkStart w:id="6"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7" w:name="_Ref114668249"/>
      <w:bookmarkStart w:id="8"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8"/>
    </w:p>
    <w:p>
      <w:pPr>
        <w:pStyle w:val="Normal"/>
        <w:ind w:firstLine="284"/>
        <w:jc w:val="both"/>
        <w:rPr>
          <w:rFonts w:ascii="Arial" w:hAnsi="Arial" w:cs="Arial"/>
        </w:rPr>
      </w:pPr>
      <w:r>
        <w:rPr>
          <w:rFonts w:cs="Arial" w:ascii="Arial" w:hAnsi="Arial"/>
        </w:rPr>
      </w:r>
      <w:bookmarkStart w:id="9" w:name="_Ref114668245"/>
      <w:bookmarkStart w:id="10"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10"/>
    </w:p>
    <w:p>
      <w:pPr>
        <w:pStyle w:val="Normal"/>
        <w:ind w:firstLine="284"/>
        <w:jc w:val="both"/>
        <w:rPr>
          <w:rFonts w:ascii="Arial" w:hAnsi="Arial" w:cs="Arial"/>
        </w:rPr>
      </w:pPr>
      <w:r>
        <w:rPr>
          <w:rFonts w:cs="Arial" w:ascii="Arial" w:hAnsi="Arial"/>
        </w:rPr>
      </w:r>
      <w:bookmarkStart w:id="11" w:name="_Ref114668247"/>
      <w:bookmarkStart w:id="12"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12"/>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13" w:name="_Ref114668251"/>
      <w:bookmarkStart w:id="14"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14"/>
    </w:p>
    <w:p>
      <w:pPr>
        <w:pStyle w:val="Normal"/>
        <w:ind w:firstLine="284"/>
        <w:jc w:val="both"/>
        <w:rPr>
          <w:rFonts w:ascii="Arial" w:hAnsi="Arial" w:cs="Arial"/>
        </w:rPr>
      </w:pPr>
      <w:r>
        <w:rPr>
          <w:rFonts w:cs="Arial" w:ascii="Arial" w:hAnsi="Arial"/>
        </w:rPr>
      </w:r>
      <w:bookmarkStart w:id="15" w:name="_Ref114668252"/>
      <w:bookmarkStart w:id="16"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
      <w:bookmarkEnd w:id="16"/>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Fonts w:eastAsia="Arial" w:cs="Arial" w:ascii="Arial" w:hAnsi="Arial"/>
          <w:strike/>
          <w:highlight w:val="yellow"/>
        </w:rPr>
        <w:t xml:space="preserve"> </w:t>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9">
        <w:r>
          <w:rPr>
            <w:rStyle w:val="Hyperlink"/>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15 (quinze) dias úteis.</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BodyText"/>
        <w:ind w:firstLine="284"/>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 DA ATA DE REGISTROS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14.1. </w:t>
      </w:r>
      <w:r>
        <w:rPr>
          <w:rFonts w:cs="Arial" w:ascii="Arial" w:hAnsi="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14.2. </w:t>
      </w:r>
      <w:r>
        <w:rPr>
          <w:rFonts w:cs="Arial" w:ascii="Arial" w:hAnsi="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14.3.</w:t>
      </w:r>
      <w:r>
        <w:rPr>
          <w:rFonts w:cs="Arial" w:ascii="Arial" w:hAnsi="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14.3.1. </w:t>
      </w:r>
      <w:r>
        <w:rPr>
          <w:rFonts w:cs="Arial" w:ascii="Arial" w:hAnsi="Arial"/>
        </w:rPr>
        <w:t>O fornecedor que, convocado, recusar-se injustificadamente a assinar o contrato ou retirar o instrumento equivalente no prazo estabelecido, terá seu Registro de Preços cancelado, sendo-lhe aplicável a multa pela inexecução total do ajuste.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14.4. </w:t>
      </w:r>
      <w:r>
        <w:rPr>
          <w:rFonts w:cs="Arial" w:ascii="Arial" w:hAnsi="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15. PRAZO DE VIGÊNCIA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15.1. </w:t>
      </w:r>
      <w:r>
        <w:rPr>
          <w:rFonts w:cs="Arial" w:ascii="Arial" w:hAnsi="Arial"/>
        </w:rPr>
        <w:t>O prazo da vigência da Ata de Registro de Preços será de 12 (doze) meses, a contar da data de sua emissão, podendo ser prorrogado por igual período, conforme previsto no artigo 84 da Lei n°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16. ALTERAÇÕES NA ATA DE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16.1. </w:t>
      </w:r>
      <w:r>
        <w:rPr>
          <w:rFonts w:cs="Arial" w:ascii="Arial" w:hAnsi="Arial"/>
        </w:rPr>
        <w:t>A ata de Registro de Preços poderá sofrer alterações, obedecidas as disposições contidas no art. 124,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16.2. </w:t>
      </w:r>
      <w:r>
        <w:rPr>
          <w:rFonts w:cs="Arial" w:ascii="Arial" w:hAnsi="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16.3.</w:t>
      </w:r>
      <w:r>
        <w:rPr>
          <w:rFonts w:cs="Arial" w:ascii="Arial" w:hAnsi="Arial"/>
        </w:rPr>
        <w:t xml:space="preserve"> Quando o preço inicialmente registrado, por motivo superveniente, tornar-se superior ao praticado mercado a Administração (Unidade Gerenciadora) deverá: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16.3.1. </w:t>
      </w:r>
      <w:r>
        <w:rPr>
          <w:rFonts w:cs="Arial" w:ascii="Arial" w:hAnsi="Arial"/>
        </w:rPr>
        <w:t>Convocar o fornecedor visando à negociação para redução de preços de sua adequação ao praticado pelo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16.3.2. </w:t>
      </w:r>
      <w:r>
        <w:rPr>
          <w:rFonts w:cs="Arial" w:ascii="Arial" w:hAnsi="Arial"/>
        </w:rPr>
        <w:t>Frustrada a negociação, o fornecedor será liberado do compromisso assumido.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16.4.</w:t>
      </w:r>
      <w:r>
        <w:rPr>
          <w:rFonts w:cs="Arial" w:ascii="Arial" w:hAnsi="Arial"/>
        </w:rPr>
        <w:t xml:space="preserve"> Quando o preço do mercado se tornar superior aos preços registrados e o fornecedor, mediante requerimento devidamente comprovado, não puder cumprir o compromisso, a Administração (Unidade Gerenciadora) poderá: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16.4.1. </w:t>
      </w:r>
      <w:r>
        <w:rPr>
          <w:rFonts w:cs="Arial" w:ascii="Arial" w:hAnsi="Arial"/>
        </w:rPr>
        <w:t>Liberar o fornecedor do compromisso assumido, sem aplicação da penalidade, confirmando a veracidade dos motivos e comprovantes apresentados,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16.4.2. </w:t>
      </w:r>
      <w:r>
        <w:rPr>
          <w:rFonts w:cs="Arial" w:ascii="Arial" w:hAnsi="Arial"/>
        </w:rPr>
        <w:t>Não havendo êxito nas negociações, a Administração (Unidade Gerenciadora) deverá proceder à revogação da Ata de Registro, adotando as medidas cabíveis para obtenção da contratação mais vantajosa.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17. CANCELAMENTO DO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17.1. </w:t>
      </w:r>
      <w:r>
        <w:rPr>
          <w:rFonts w:cs="Arial" w:ascii="Arial" w:hAnsi="Arial"/>
        </w:rPr>
        <w:t>O fornecedor terá seu registro cancelado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17.1.1. </w:t>
      </w:r>
      <w:r>
        <w:rPr>
          <w:rFonts w:cs="Arial" w:ascii="Arial" w:hAnsi="Arial"/>
        </w:rPr>
        <w:t>Descumprir as condições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17.1.2. </w:t>
      </w:r>
      <w:r>
        <w:rPr>
          <w:rFonts w:cs="Arial" w:ascii="Arial" w:hAnsi="Arial"/>
        </w:rPr>
        <w:t>Não retirar a respectiva nota de empenho ou instrumento equivalente, no prazo estabelecido pela Administração, sem justificativa aceitável;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17.1.3. </w:t>
      </w:r>
      <w:r>
        <w:rPr>
          <w:rFonts w:cs="Arial" w:ascii="Arial" w:hAnsi="Arial"/>
        </w:rPr>
        <w:t>Não aceitar reduzir o preço registrado, na hipótese de este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17.1.4. </w:t>
      </w:r>
      <w:r>
        <w:rPr>
          <w:rFonts w:cs="Arial" w:ascii="Arial" w:hAnsi="Arial"/>
        </w:rPr>
        <w:t>Tiver presentes razões de interesse público.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17.2. </w:t>
      </w:r>
      <w:r>
        <w:rPr>
          <w:rFonts w:cs="Arial" w:ascii="Arial" w:hAnsi="Arial"/>
        </w:rPr>
        <w:t>O cancelamento de registro, nas hipóteses previstas, assegurados o contraditório e a ampla defesa, será formalizado por despacho da autoridade superior.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17.3. </w:t>
      </w:r>
      <w:r>
        <w:rPr>
          <w:rFonts w:cs="Arial" w:ascii="Arial" w:hAnsi="Arial"/>
        </w:rPr>
        <w:t>O fornecedor poderá solicitar o cancelamento do seu registro de preço na ocorrência de fato superveniente que venha comprometer a perfeita execução contratual, decorrente de caso fortuito ou de força maior, devidamente comprovado.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18.1.2.</w:t>
      </w:r>
      <w:r>
        <w:rPr>
          <w:rFonts w:cs="Arial" w:ascii="Arial" w:hAnsi="Arial"/>
        </w:rPr>
        <w:t xml:space="preserve"> E-mail para envio da NF-e: </w:t>
      </w:r>
      <w:hyperlink r:id="rId10">
        <w:r>
          <w:rPr>
            <w:rStyle w:val="Hyperlink"/>
            <w:rFonts w:cs="Arial" w:ascii="Arial" w:hAnsi="Arial"/>
          </w:rPr>
          <w:t>notafiscal@piracicaba.sp.gov.br</w:t>
        </w:r>
      </w:hyperlink>
      <w:r>
        <w:rPr>
          <w:rStyle w:val="Hyperlink"/>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18.2.</w:t>
      </w:r>
      <w:r>
        <w:rPr>
          <w:rFonts w:cs="Arial" w:ascii="Arial" w:hAnsi="Arial"/>
        </w:rPr>
        <w:t xml:space="preserve"> Com a Nota Fiscal, deverá obrigatoriamente ser comprovada pela CONTRATADA a persistência das condições licitatórias da habilitação e qualificação a que alude o inciso </w:t>
      </w:r>
      <w:r>
        <w:rPr>
          <w:rFonts w:cs="Arial" w:ascii="Arial" w:hAnsi="Arial"/>
          <w:color w:themeColor="text1" w:val="000000"/>
        </w:rPr>
        <w:t xml:space="preserve">XVI do art. 92 da Lei n° 14.133 </w:t>
      </w:r>
      <w:r>
        <w:rPr>
          <w:rFonts w:cs="Arial" w:ascii="Arial" w:hAnsi="Arial"/>
        </w:rPr>
        <w:t>e alterações, que consistirá na apresentação das Certidões de Regularidade perante as Fazendas Federal (incluindo INSS), Municipal,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19.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w:t>
      </w:r>
      <w:r>
        <w:rPr>
          <w:rFonts w:cs="Arial" w:ascii="Arial" w:hAnsi="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19.3.</w:t>
      </w:r>
      <w:r>
        <w:rPr>
          <w:rFonts w:cs="Arial" w:ascii="Arial" w:hAnsi="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19.4.</w:t>
      </w:r>
      <w:r>
        <w:rPr>
          <w:rFonts w:cs="Arial" w:ascii="Arial" w:hAnsi="Arial"/>
        </w:rPr>
        <w:t xml:space="preserve"> 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19.5.</w:t>
      </w:r>
      <w:r>
        <w:rPr>
          <w:rFonts w:cs="Arial" w:ascii="Arial" w:hAnsi="Arial"/>
        </w:rPr>
        <w:t xml:space="preserve"> 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19.6.</w:t>
      </w:r>
      <w:r>
        <w:rPr>
          <w:rFonts w:cs="Arial" w:ascii="Arial" w:hAnsi="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19.7.</w:t>
      </w:r>
      <w:r>
        <w:rPr>
          <w:rFonts w:cs="Arial" w:ascii="Arial" w:hAnsi="Arial"/>
        </w:rPr>
        <w:t xml:space="preserve"> As licitantes intimadas para prestar qualquer esclarecimento adicional deverão fazê-lo no prazo determinado pelo Pregoeiro, sob pena de desclassificação /inabilitação.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19.15.</w:t>
      </w:r>
      <w:r>
        <w:rPr>
          <w:rFonts w:cs="Arial" w:ascii="Arial" w:hAnsi="Arial"/>
        </w:rPr>
        <w:t xml:space="preserve"> O edital de pregão</w:t>
      </w:r>
      <w:r>
        <w:rPr>
          <w:rStyle w:val="Hyperlink"/>
          <w:rFonts w:cs="Arial" w:ascii="Arial" w:hAnsi="Arial"/>
          <w:color w:val="auto"/>
          <w:u w:val="none"/>
        </w:rPr>
        <w:t xml:space="preserve"> será composto de:</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a) </w:t>
      </w:r>
      <w:r>
        <w:rPr>
          <w:rStyle w:val="Hyperlink"/>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b) </w:t>
      </w:r>
      <w:r>
        <w:rPr>
          <w:rStyle w:val="Hyperlink"/>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19.16.</w:t>
      </w:r>
      <w:r>
        <w:rPr>
          <w:rFonts w:cs="Arial" w:ascii="Arial" w:hAnsi="Arial"/>
        </w:rPr>
        <w:t xml:space="preserve"> O procedimento licitatório </w:t>
      </w:r>
      <w:r>
        <w:rPr>
          <w:rFonts w:cs="Arial" w:ascii="Arial" w:hAnsi="Arial"/>
          <w:color w:val="000000"/>
        </w:rPr>
        <w:t>observará as seguintes fases, em sequência</w:t>
      </w:r>
      <w:r>
        <w:rPr>
          <w:rStyle w:val="Hyperlink"/>
          <w:rFonts w:cs="Arial" w:ascii="Arial" w:hAnsi="Arial"/>
          <w:color w:val="auto"/>
          <w:u w:val="none"/>
        </w:rPr>
        <w:t>:</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I. </w:t>
      </w:r>
      <w:r>
        <w:rPr>
          <w:rStyle w:val="Hyperlink"/>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II. </w:t>
      </w:r>
      <w:r>
        <w:rPr>
          <w:rStyle w:val="Hyperlink"/>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p>
    <w:p>
      <w:pPr>
        <w:pStyle w:val="Normal"/>
        <w:ind w:firstLine="284"/>
        <w:jc w:val="both"/>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63"/>
        </w:numPr>
        <w:tabs>
          <w:tab w:val="clear" w:pos="709"/>
          <w:tab w:val="left" w:pos="284" w:leader="none"/>
        </w:tabs>
        <w:ind w:hanging="284" w:left="567"/>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64"/>
        </w:numPr>
        <w:tabs>
          <w:tab w:val="clear" w:pos="709"/>
          <w:tab w:val="left" w:pos="284" w:leader="none"/>
        </w:tabs>
        <w:ind w:hanging="284" w:left="567"/>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65"/>
        </w:numPr>
        <w:tabs>
          <w:tab w:val="clear" w:pos="709"/>
          <w:tab w:val="left" w:pos="284" w:leader="none"/>
        </w:tabs>
        <w:ind w:hanging="284" w:left="567"/>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66"/>
        </w:numPr>
        <w:tabs>
          <w:tab w:val="clear" w:pos="709"/>
          <w:tab w:val="left" w:pos="284" w:leader="none"/>
        </w:tabs>
        <w:ind w:hanging="284" w:left="567"/>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67"/>
        </w:numPr>
        <w:tabs>
          <w:tab w:val="clear" w:pos="709"/>
          <w:tab w:val="left" w:pos="284" w:leader="none"/>
        </w:tabs>
        <w:ind w:hanging="284" w:left="567"/>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68"/>
        </w:numPr>
        <w:tabs>
          <w:tab w:val="clear" w:pos="709"/>
          <w:tab w:val="left" w:pos="284" w:leader="none"/>
        </w:tabs>
        <w:ind w:hanging="284" w:left="567"/>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69"/>
        </w:numPr>
        <w:tabs>
          <w:tab w:val="clear" w:pos="709"/>
          <w:tab w:val="left" w:pos="284" w:leader="none"/>
        </w:tabs>
        <w:ind w:hanging="284" w:left="567"/>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BodyTextIndent"/>
        <w:widowControl w:val="false"/>
        <w:tabs>
          <w:tab w:val="clear" w:pos="709"/>
          <w:tab w:val="left" w:pos="284" w:leader="none"/>
        </w:tabs>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Cs/>
        </w:rPr>
      </w:pPr>
      <w:r>
        <w:rPr>
          <w:rFonts w:cs="Arial" w:ascii="Arial" w:hAnsi="Arial"/>
        </w:rPr>
        <w:t>====================================================================================</w:t>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8"/>
        <w:gridCol w:w="842"/>
        <w:gridCol w:w="855"/>
        <w:gridCol w:w="4533"/>
        <w:gridCol w:w="1416"/>
        <w:gridCol w:w="1700"/>
      </w:tblGrid>
      <w:tr>
        <w:trPr>
          <w:trHeight w:val="283" w:hRule="atLeast"/>
        </w:trPr>
        <w:tc>
          <w:tcPr>
            <w:tcW w:w="568"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Item</w:t>
            </w:r>
          </w:p>
        </w:tc>
        <w:tc>
          <w:tcPr>
            <w:tcW w:w="842"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Quant.</w:t>
            </w:r>
          </w:p>
        </w:tc>
        <w:tc>
          <w:tcPr>
            <w:tcW w:w="855"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8"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2"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5"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8"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2"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5"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r>
        <w:br w:type="page"/>
      </w:r>
    </w:p>
    <w:p>
      <w:pPr>
        <w:pStyle w:val="BodyTextIndent"/>
        <w:widowControl w:val="false"/>
        <w:spacing w:lineRule="auto" w:line="240" w:before="0" w:after="0"/>
        <w:jc w:val="center"/>
        <w:rPr>
          <w:b/>
          <w:bCs/>
          <w:sz w:val="22"/>
          <w:szCs w:val="22"/>
          <w:shd w:fill="FFFFFF" w:val="clear"/>
          <w:lang w:val="pt-BR"/>
        </w:rPr>
      </w:pPr>
      <w:r>
        <w:rPr>
          <w:b/>
          <w:sz w:val="22"/>
          <w:szCs w:val="22"/>
        </w:rPr>
        <w:t>ANEXO V</w:t>
      </w:r>
    </w:p>
    <w:p>
      <w:pPr>
        <w:pStyle w:val="Normal"/>
        <w:jc w:val="center"/>
        <w:rPr>
          <w:rFonts w:ascii="Arial" w:hAnsi="Arial" w:cs="Arial"/>
          <w:b/>
          <w:bCs/>
          <w:sz w:val="18"/>
        </w:rPr>
      </w:pPr>
      <w:r>
        <w:rPr>
          <w:rFonts w:cs="Arial" w:ascii="Arial" w:hAnsi="Arial"/>
          <w:color w:val="000000"/>
          <w:szCs w:val="22"/>
        </w:rPr>
        <w:t>====================================================================================</w:t>
      </w:r>
    </w:p>
    <w:p>
      <w:pPr>
        <w:pStyle w:val="Normal"/>
        <w:ind w:firstLine="284"/>
        <w:jc w:val="center"/>
        <w:rPr>
          <w:rFonts w:ascii="Arial" w:hAnsi="Arial" w:cs="Arial"/>
          <w:sz w:val="22"/>
          <w:szCs w:val="22"/>
        </w:rPr>
      </w:pPr>
      <w:r>
        <w:rPr>
          <w:rFonts w:cs="Arial" w:ascii="Arial" w:hAnsi="Arial"/>
          <w:b/>
          <w:bCs/>
          <w:sz w:val="22"/>
          <w:szCs w:val="22"/>
        </w:rPr>
        <w:t>MINUTA DA ATA DE REGISTRO DE PREÇOS</w:t>
      </w:r>
    </w:p>
    <w:p>
      <w:pPr>
        <w:pStyle w:val="Normal"/>
        <w:jc w:val="center"/>
        <w:rPr>
          <w:rFonts w:ascii="Arial" w:hAnsi="Arial" w:cs="Arial"/>
          <w:b/>
          <w:bCs/>
          <w:sz w:val="18"/>
        </w:rPr>
      </w:pPr>
      <w:r>
        <w:rPr>
          <w:rFonts w:cs="Arial" w:ascii="Arial" w:hAnsi="Arial"/>
          <w:color w:val="000000"/>
          <w:szCs w:val="22"/>
        </w:rPr>
        <w:t>====================================================================================</w:t>
      </w:r>
    </w:p>
    <w:p>
      <w:pPr>
        <w:pStyle w:val="BodyText"/>
        <w:ind w:firstLine="284"/>
        <w:rPr/>
      </w:pPr>
      <w:r>
        <w:rPr/>
      </w:r>
    </w:p>
    <w:p>
      <w:pPr>
        <w:pStyle w:val="Normal"/>
        <w:ind w:firstLine="284"/>
        <w:jc w:val="center"/>
        <w:rPr>
          <w:rFonts w:ascii="Arial" w:hAnsi="Arial" w:cs="Arial"/>
          <w:b/>
          <w:sz w:val="24"/>
          <w:szCs w:val="24"/>
        </w:rPr>
      </w:pPr>
      <w:r>
        <w:rPr>
          <w:rFonts w:cs="Arial" w:ascii="Arial" w:hAnsi="Arial"/>
          <w:b/>
          <w:sz w:val="24"/>
          <w:szCs w:val="24"/>
        </w:rPr>
        <w:t>ATA DE REGISTRO DE PREÇOS Nº __/____</w:t>
      </w:r>
    </w:p>
    <w:p>
      <w:pPr>
        <w:pStyle w:val="Normal"/>
        <w:ind w:firstLine="284"/>
        <w:jc w:val="center"/>
        <w:rPr>
          <w:rFonts w:ascii="Arial" w:hAnsi="Arial" w:cs="Arial"/>
          <w:b/>
          <w:sz w:val="24"/>
          <w:szCs w:val="24"/>
        </w:rPr>
      </w:pPr>
      <w:r>
        <w:rPr>
          <w:rFonts w:cs="Arial" w:ascii="Arial" w:hAnsi="Arial"/>
          <w:b/>
          <w:sz w:val="24"/>
          <w:szCs w:val="24"/>
        </w:rPr>
      </w:r>
    </w:p>
    <w:p>
      <w:pPr>
        <w:pStyle w:val="Normal"/>
        <w:ind w:firstLine="284"/>
        <w:jc w:val="center"/>
        <w:rPr>
          <w:rFonts w:ascii="Arial" w:hAnsi="Arial" w:cs="Arial"/>
          <w:b/>
          <w:sz w:val="24"/>
          <w:szCs w:val="24"/>
        </w:rPr>
      </w:pPr>
      <w:r>
        <w:rPr>
          <w:rFonts w:cs="Arial" w:ascii="Arial" w:hAnsi="Arial"/>
          <w:b/>
          <w:sz w:val="24"/>
          <w:szCs w:val="24"/>
        </w:rPr>
        <w:t>PREGÃO ELETRÔNICO Nº ____/____</w:t>
      </w:r>
    </w:p>
    <w:p>
      <w:pPr>
        <w:pStyle w:val="Normal"/>
        <w:ind w:firstLine="284"/>
        <w:jc w:val="center"/>
        <w:rPr>
          <w:rFonts w:ascii="Arial" w:hAnsi="Arial" w:cs="Arial"/>
          <w:b/>
          <w:sz w:val="24"/>
          <w:szCs w:val="24"/>
        </w:rPr>
      </w:pPr>
      <w:r>
        <w:rPr>
          <w:rFonts w:cs="Arial" w:ascii="Arial" w:hAnsi="Arial"/>
          <w:b/>
          <w:sz w:val="24"/>
          <w:szCs w:val="24"/>
        </w:rPr>
      </w:r>
    </w:p>
    <w:p>
      <w:pPr>
        <w:pStyle w:val="Normal"/>
        <w:ind w:firstLine="284"/>
        <w:jc w:val="center"/>
        <w:rPr>
          <w:rFonts w:ascii="Arial" w:hAnsi="Arial" w:cs="Arial"/>
          <w:b/>
          <w:sz w:val="24"/>
          <w:szCs w:val="24"/>
        </w:rPr>
      </w:pPr>
      <w:r>
        <w:rPr>
          <w:rFonts w:cs="Arial" w:ascii="Arial" w:hAnsi="Arial"/>
          <w:b/>
          <w:sz w:val="24"/>
          <w:szCs w:val="24"/>
        </w:rPr>
        <w:t>PROCESSO Nº ____/____</w:t>
      </w:r>
    </w:p>
    <w:p>
      <w:pPr>
        <w:pStyle w:val="Normal"/>
        <w:spacing w:before="240" w:after="0"/>
        <w:ind w:firstLine="284"/>
        <w:jc w:val="center"/>
        <w:rPr>
          <w:rFonts w:ascii="Arial" w:hAnsi="Arial" w:cs="Arial"/>
          <w:b/>
        </w:rPr>
      </w:pPr>
      <w:r>
        <w:rPr>
          <w:rFonts w:cs="Arial" w:ascii="Arial" w:hAnsi="Arial"/>
          <w:b/>
          <w:sz w:val="24"/>
          <w:szCs w:val="24"/>
        </w:rPr>
        <w:t>VALIDADE: 12 (DOZE) MESES</w:t>
      </w:r>
    </w:p>
    <w:p>
      <w:pPr>
        <w:pStyle w:val="Normal"/>
        <w:spacing w:before="240" w:after="0"/>
        <w:ind w:firstLine="284"/>
        <w:jc w:val="center"/>
        <w:rPr>
          <w:rFonts w:ascii="Arial" w:hAnsi="Arial" w:cs="Arial"/>
          <w:b/>
        </w:rPr>
      </w:pPr>
      <w:r>
        <w:rPr>
          <w:rFonts w:cs="Arial" w:ascii="Arial" w:hAnsi="Arial"/>
          <w:b/>
        </w:rPr>
      </w:r>
    </w:p>
    <w:p>
      <w:pPr>
        <w:pStyle w:val="Normal"/>
        <w:spacing w:before="240" w:after="0"/>
        <w:ind w:firstLine="284"/>
        <w:jc w:val="center"/>
        <w:rPr>
          <w:rFonts w:ascii="Arial" w:hAnsi="Arial" w:cs="Arial"/>
          <w:b/>
          <w:sz w:val="14"/>
        </w:rPr>
      </w:pPr>
      <w:r>
        <w:rPr>
          <w:rFonts w:cs="Arial" w:ascii="Arial" w:hAnsi="Arial"/>
          <w:b/>
          <w:sz w:val="14"/>
        </w:rPr>
      </w:r>
    </w:p>
    <w:p>
      <w:pPr>
        <w:pStyle w:val="Normal"/>
        <w:ind w:firstLine="284"/>
        <w:jc w:val="both"/>
        <w:rPr>
          <w:rFonts w:ascii="Arial" w:hAnsi="Arial" w:cs="Arial"/>
        </w:rPr>
      </w:pPr>
      <w:r>
        <w:rPr>
          <w:rFonts w:cs="Arial" w:ascii="Arial" w:hAnsi="Arial"/>
        </w:rPr>
        <w:t xml:space="preserve">Aos _____ dias do mês de _______________ de ____, a </w:t>
      </w:r>
      <w:r>
        <w:rPr>
          <w:rFonts w:cs="Arial" w:ascii="Arial" w:hAnsi="Arial"/>
          <w:b/>
        </w:rPr>
        <w:t>PREFEITURA DO MUNICÍPIO DE PIRACICABA,</w:t>
      </w:r>
      <w:r>
        <w:rPr>
          <w:rFonts w:cs="Arial" w:ascii="Arial" w:hAnsi="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cs="Arial" w:ascii="Arial" w:hAnsi="Arial"/>
          <w:b/>
        </w:rPr>
        <w:t xml:space="preserve"> RESOLVE </w:t>
      </w:r>
      <w:r>
        <w:rPr>
          <w:rFonts w:cs="Arial" w:ascii="Arial" w:hAnsi="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Empresa classificada:</w:t>
      </w:r>
    </w:p>
    <w:p>
      <w:pPr>
        <w:pStyle w:val="Normal"/>
        <w:ind w:firstLine="284"/>
        <w:jc w:val="both"/>
        <w:rPr>
          <w:rFonts w:ascii="Arial" w:hAnsi="Arial" w:cs="Arial"/>
        </w:rPr>
      </w:pPr>
      <w:r>
        <w:rPr>
          <w:rFonts w:cs="Arial" w:ascii="Arial" w:hAnsi="Arial"/>
        </w:rPr>
        <w:t>Endereço:</w:t>
      </w:r>
    </w:p>
    <w:p>
      <w:pPr>
        <w:pStyle w:val="Normal"/>
        <w:ind w:firstLine="284"/>
        <w:jc w:val="both"/>
        <w:rPr>
          <w:rFonts w:ascii="Arial" w:hAnsi="Arial" w:cs="Arial"/>
        </w:rPr>
      </w:pPr>
      <w:r>
        <w:rPr>
          <w:rFonts w:cs="Arial" w:ascii="Arial" w:hAnsi="Arial"/>
        </w:rPr>
        <w:t>Cidade:</w:t>
        <w:tab/>
        <w:tab/>
        <w:tab/>
        <w:tab/>
        <w:tab/>
        <w:tab/>
        <w:t>Estado:</w:t>
      </w:r>
    </w:p>
    <w:p>
      <w:pPr>
        <w:pStyle w:val="Normal"/>
        <w:ind w:firstLine="284"/>
        <w:jc w:val="both"/>
        <w:rPr>
          <w:rFonts w:ascii="Arial" w:hAnsi="Arial" w:cs="Arial"/>
        </w:rPr>
      </w:pPr>
      <w:r>
        <w:rPr>
          <w:rFonts w:cs="Arial" w:ascii="Arial" w:hAnsi="Arial"/>
        </w:rPr>
        <w:t>CEP:</w:t>
      </w:r>
    </w:p>
    <w:p>
      <w:pPr>
        <w:pStyle w:val="Normal"/>
        <w:ind w:firstLine="284"/>
        <w:jc w:val="both"/>
        <w:rPr>
          <w:rFonts w:ascii="Arial" w:hAnsi="Arial" w:cs="Arial"/>
        </w:rPr>
      </w:pPr>
      <w:r>
        <w:rPr>
          <w:rFonts w:cs="Arial" w:ascii="Arial" w:hAnsi="Arial"/>
        </w:rPr>
        <w:t>Telefone:</w:t>
      </w:r>
    </w:p>
    <w:p>
      <w:pPr>
        <w:pStyle w:val="Normal"/>
        <w:ind w:firstLine="284"/>
        <w:jc w:val="both"/>
        <w:rPr>
          <w:rFonts w:ascii="Arial" w:hAnsi="Arial" w:cs="Arial"/>
        </w:rPr>
      </w:pPr>
      <w:r>
        <w:rPr>
          <w:rFonts w:cs="Arial" w:ascii="Arial" w:hAnsi="Arial"/>
        </w:rPr>
        <w:t>E-mail:</w:t>
      </w:r>
    </w:p>
    <w:p>
      <w:pPr>
        <w:pStyle w:val="Normal"/>
        <w:ind w:firstLine="284"/>
        <w:jc w:val="both"/>
        <w:rPr>
          <w:rFonts w:ascii="Arial" w:hAnsi="Arial" w:cs="Arial"/>
        </w:rPr>
      </w:pPr>
      <w:r>
        <w:rPr>
          <w:rFonts w:cs="Arial" w:ascii="Arial" w:hAnsi="Arial"/>
        </w:rPr>
        <w:t>Contato: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1ª – DO OBJETO</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1.1. </w:t>
      </w:r>
      <w:r>
        <w:rPr>
          <w:rFonts w:cs="Arial" w:ascii="Arial" w:hAnsi="Arial"/>
        </w:rPr>
        <w:t xml:space="preserve">O Objeto da presente Ata é o </w:t>
      </w:r>
      <w:r>
        <w:rPr>
          <w:rFonts w:cs="Arial" w:ascii="Arial" w:hAnsi="Arial"/>
          <w:b/>
        </w:rPr>
        <w:t xml:space="preserve">REGISTRO DE PREÇOS </w:t>
      </w:r>
      <w:r>
        <w:rPr>
          <w:rFonts w:cs="Arial" w:ascii="Arial" w:hAnsi="Arial"/>
        </w:rPr>
        <w:t>para ________________________________</w:t>
      </w:r>
      <w:r>
        <w:rPr>
          <w:rFonts w:cs="Arial" w:ascii="Arial" w:hAnsi="Arial"/>
          <w:b/>
        </w:rPr>
        <w:t xml:space="preserve">, </w:t>
      </w:r>
      <w:r>
        <w:rPr>
          <w:rFonts w:cs="Arial" w:ascii="Arial" w:hAnsi="Arial"/>
        </w:rPr>
        <w:t>conforme especificações e quantidades estimadas constantes no Termo de Referência do instrumento convocatório.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2ª – DA VALIDADE DOS PREÇOS</w:t>
      </w:r>
    </w:p>
    <w:p>
      <w:pPr>
        <w:pStyle w:val="Normal"/>
        <w:ind w:firstLine="284"/>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bCs/>
        </w:rPr>
        <w:t xml:space="preserve">2.1. </w:t>
      </w:r>
      <w:r>
        <w:rPr>
          <w:rFonts w:cs="Arial" w:ascii="Arial" w:hAnsi="Arial"/>
        </w:rPr>
        <w:t xml:space="preserve">A presente Ata de registro de Preços terá a validade de 12 (doze) meses, a partir de sua assinatura, </w:t>
      </w:r>
      <w:r>
        <w:rPr>
          <w:rFonts w:cs="Arial" w:ascii="Arial" w:hAnsi="Arial"/>
          <w:highlight w:val="yellow"/>
        </w:rPr>
        <w:t>podendo ser prorrogado, por igual período, desde que comprovado o preço vantajoso, conforme previsto no artigo 84 da Lei 14.133, de 2021</w:t>
      </w:r>
      <w:r>
        <w:rPr>
          <w:rFonts w:cs="Arial" w:ascii="Arial" w:hAnsi="Arial"/>
        </w:rPr>
        <w:t>.</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2.2. </w:t>
      </w:r>
      <w:r>
        <w:rPr>
          <w:rFonts w:cs="Arial" w:ascii="Arial" w:hAnsi="Arial"/>
        </w:rPr>
        <w:t>Durante a vigência da Ata os preços registrados serão fixos e irreajustáveis, exceto no caso de redução dos preços praticados no mercado.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2.3. </w:t>
      </w:r>
      <w:r>
        <w:rPr>
          <w:rFonts w:cs="Arial" w:ascii="Arial" w:hAnsi="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pPr>
        <w:pStyle w:val="Normal"/>
        <w:jc w:val="both"/>
        <w:rPr>
          <w:rFonts w:ascii="Arial" w:hAnsi="Arial" w:cs="Arial"/>
        </w:rPr>
      </w:pPr>
      <w:r>
        <w:rPr>
          <w:rFonts w:cs="Arial" w:ascii="Arial" w:hAnsi="Arial"/>
        </w:rPr>
      </w:r>
    </w:p>
    <w:p>
      <w:pPr>
        <w:pStyle w:val="Normal"/>
        <w:jc w:val="both"/>
        <w:rPr>
          <w:rFonts w:ascii="Arial" w:hAnsi="Arial" w:cs="Arial"/>
          <w:b/>
        </w:rPr>
      </w:pPr>
      <w:r>
        <w:rPr>
          <w:rFonts w:cs="Arial" w:ascii="Arial" w:hAnsi="Arial"/>
          <w:b/>
          <w:bCs/>
        </w:rPr>
        <w:t>2.4.</w:t>
      </w:r>
      <w:r>
        <w:rPr>
          <w:rFonts w:cs="Arial" w:ascii="Arial" w:hAnsi="Arial"/>
        </w:rPr>
        <w:t xml:space="preserve"> Durante o prazo de validade desta Ata de Registro de Preços, a </w:t>
      </w:r>
      <w:r>
        <w:rPr>
          <w:rFonts w:cs="Arial" w:ascii="Arial" w:hAnsi="Arial"/>
          <w:b/>
        </w:rPr>
        <w:t>PREFEITURA DO MUNICÍPIO DE PIRACICABA</w:t>
      </w:r>
      <w:r>
        <w:rPr>
          <w:rFonts w:cs="Arial" w:ascii="Arial" w:hAnsi="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rPr>
        <w:t>CLAÚSULA 3ª – DA UTILIZAÇÃO DA ATA DE REGISTRO DE PREÇOS</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3.1.</w:t>
      </w:r>
      <w:r>
        <w:rPr>
          <w:rFonts w:cs="Arial" w:ascii="Arial" w:hAnsi="Arial"/>
        </w:rPr>
        <w:t xml:space="preserve"> A presente Ata de Registro de Preços </w:t>
      </w:r>
      <w:r>
        <w:rPr>
          <w:rFonts w:cs="Arial" w:ascii="Arial" w:hAnsi="Arial"/>
          <w:b/>
          <w:bCs/>
        </w:rPr>
        <w:t xml:space="preserve">não poderá </w:t>
      </w:r>
      <w:r>
        <w:rPr>
          <w:rFonts w:cs="Arial" w:ascii="Arial" w:hAnsi="Arial"/>
        </w:rPr>
        <w:t>ser usada por outros órgãos.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3.2.</w:t>
      </w:r>
      <w:r>
        <w:rPr>
          <w:rFonts w:cs="Arial" w:ascii="Arial" w:hAnsi="Arial"/>
        </w:rPr>
        <w:t xml:space="preserve"> O preço unitário a ser pago será o constante da proposta apresentada no Pregão Eletrônico nº____/___, os quais também a integram.</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3.3.</w:t>
      </w:r>
      <w:r>
        <w:rPr>
          <w:rFonts w:cs="Arial" w:ascii="Arial" w:hAnsi="Arial"/>
        </w:rPr>
        <w:t xml:space="preserve"> Em cada fornecimento decorrente desta Ata, serão observadas, quanto ao preço, as cláusulas e condições constantes no Edital de Pregão Eletrônico nº __/___, que a precedeu e integra o presente instrumento de compromisso.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4ª – DO LOCAL E PRAZO DE ENTREGA</w:t>
      </w:r>
    </w:p>
    <w:p>
      <w:pPr>
        <w:pStyle w:val="Normal"/>
        <w:ind w:firstLine="284"/>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bCs/>
        </w:rPr>
        <w:t>4.1.</w:t>
      </w:r>
      <w:r>
        <w:rPr>
          <w:rFonts w:cs="Arial" w:ascii="Arial" w:hAnsi="Arial"/>
        </w:rPr>
        <w:t xml:space="preserve"> A cada fornecimento o prazo de entrega do produto não poderá ultrapassar o prazo estabelecido no Termo de Referência do edital, contados da data do recebimento da ordem de fornecimento pelo fornecedor.</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4.2. </w:t>
      </w:r>
      <w:r>
        <w:rPr>
          <w:rFonts w:cs="Arial" w:ascii="Arial" w:hAnsi="Arial"/>
        </w:rPr>
        <w:t>Os materiais deverão ser entregues no endereço e horário estipulado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5ª – DAS OBRIGAÇÕES</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5.1.</w:t>
      </w:r>
      <w:r>
        <w:rPr>
          <w:rFonts w:cs="Arial" w:ascii="Arial" w:hAnsi="Arial"/>
        </w:rPr>
        <w:t xml:space="preserve"> Fornecer todos os materiais cotados em estrita conformidade com as especificações exigidas neste edital.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5.2.</w:t>
      </w:r>
      <w:r>
        <w:rPr>
          <w:rFonts w:cs="Arial" w:ascii="Arial" w:hAnsi="Arial"/>
        </w:rPr>
        <w:t xml:space="preserve"> Entregar os materiais no endereço informado pela Unidade Requisitante, obedecendo horários, prazos e preços registrados.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5.3.</w:t>
      </w:r>
      <w:r>
        <w:rPr>
          <w:rFonts w:cs="Arial" w:ascii="Arial" w:hAnsi="Arial"/>
        </w:rPr>
        <w:t xml:space="preserve"> Substituir o material que, após a entrega, apresente problemas de fabricação ou prazo de validade irregular, no prazo máximo de até 10 (dez) dias úteis após a sua efetiva comunicação.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6ª – DO PAGAMENTO</w:t>
      </w:r>
    </w:p>
    <w:p>
      <w:pPr>
        <w:pStyle w:val="Normal"/>
        <w:ind w:firstLine="284"/>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bCs/>
        </w:rPr>
        <w:t>6.1.</w:t>
      </w:r>
      <w:r>
        <w:rPr>
          <w:rFonts w:cs="Arial" w:ascii="Arial" w:hAnsi="Arial"/>
        </w:rPr>
        <w:t xml:space="preserve"> O pagamento será efetuado em até 15 (quinze) dias úteis, conforme Decreto Municipal nº 17.640, de 30 de outubro de 2018.</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6.2.</w:t>
      </w:r>
      <w:r>
        <w:rPr>
          <w:rFonts w:cs="Arial" w:ascii="Arial" w:hAnsi="Arial"/>
        </w:rPr>
        <w:t xml:space="preserve"> A Nota Fiscal deverá discriminar os itens a que se refere, um a um, indicando qual o valor e quantidade correspondentes a cada tipo de material/produto.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7ª – DO REAJUSTAMENTO DE PREÇOS</w:t>
      </w:r>
    </w:p>
    <w:p>
      <w:pPr>
        <w:pStyle w:val="Normal"/>
        <w:ind w:firstLine="284"/>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bCs/>
        </w:rPr>
        <w:t xml:space="preserve">7.1. </w:t>
      </w:r>
      <w:r>
        <w:rPr>
          <w:rFonts w:cs="Arial" w:ascii="Arial" w:hAnsi="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7.2.</w:t>
      </w:r>
      <w:r>
        <w:rPr>
          <w:rFonts w:cs="Arial" w:ascii="Arial" w:hAnsi="Arial"/>
        </w:rPr>
        <w:t xml:space="preserve"> Mesmo comprovada a ocorrência de situação prevista na alínea “d” do inciso II do art. 124 da Lei 14.133/21, a Administração, se julgar conveniente, poderá optar por cancelar a Ata e iniciar outro procedimento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8ª – DO CANCELAMENTO DA ATA DE REGISTRO DE PREÇOS</w:t>
      </w:r>
    </w:p>
    <w:p>
      <w:pPr>
        <w:pStyle w:val="Normal"/>
        <w:ind w:firstLine="284"/>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bCs/>
        </w:rPr>
        <w:t>8.1.</w:t>
      </w:r>
      <w:r>
        <w:rPr>
          <w:rFonts w:cs="Arial" w:ascii="Arial" w:hAnsi="Arial"/>
        </w:rPr>
        <w:t xml:space="preserve"> O proponente terá o seu registro de preço cancelado na Ata, por intermédio do processo administrativo específico, assegurado o contraditório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w:t>
      </w:r>
      <w:r>
        <w:rPr>
          <w:rFonts w:cs="Arial" w:ascii="Arial" w:hAnsi="Arial"/>
        </w:rPr>
        <w:t xml:space="preserve"> A pedido do FORNECEDOR, quando:</w:t>
      </w:r>
    </w:p>
    <w:p>
      <w:pPr>
        <w:pStyle w:val="Normal"/>
        <w:ind w:firstLine="284"/>
        <w:jc w:val="both"/>
        <w:rPr>
          <w:rFonts w:ascii="Arial" w:hAnsi="Arial" w:cs="Arial"/>
        </w:rPr>
      </w:pPr>
      <w:r>
        <w:rPr>
          <w:rFonts w:cs="Arial" w:ascii="Arial" w:hAnsi="Arial"/>
        </w:rPr>
      </w:r>
    </w:p>
    <w:p>
      <w:pPr>
        <w:pStyle w:val="Normal"/>
        <w:ind w:left="426"/>
        <w:jc w:val="both"/>
        <w:rPr>
          <w:rFonts w:ascii="Arial" w:hAnsi="Arial" w:cs="Arial"/>
        </w:rPr>
      </w:pPr>
      <w:r>
        <w:rPr>
          <w:rFonts w:cs="Arial" w:ascii="Arial" w:hAnsi="Arial"/>
          <w:b/>
          <w:bCs/>
        </w:rPr>
        <w:t>8.1.1.1.</w:t>
      </w:r>
      <w:r>
        <w:rPr>
          <w:rFonts w:cs="Arial" w:ascii="Arial" w:hAnsi="Arial"/>
        </w:rPr>
        <w:t xml:space="preserve"> Mediante solicitação por escrito, comprovar estar impossibilitado de cumprir as exigências do instrumento convocatório que deu origem ao registro de preços e se a comunicação ocorrer antes do pedido de fornecimento.</w:t>
      </w:r>
    </w:p>
    <w:p>
      <w:pPr>
        <w:pStyle w:val="Normal"/>
        <w:ind w:left="426"/>
        <w:jc w:val="both"/>
        <w:rPr>
          <w:rFonts w:ascii="Arial" w:hAnsi="Arial" w:cs="Arial"/>
        </w:rPr>
      </w:pPr>
      <w:r>
        <w:rPr>
          <w:rFonts w:cs="Arial" w:ascii="Arial" w:hAnsi="Arial"/>
        </w:rPr>
      </w:r>
    </w:p>
    <w:p>
      <w:pPr>
        <w:pStyle w:val="Normal"/>
        <w:ind w:left="426"/>
        <w:jc w:val="both"/>
        <w:rPr>
          <w:rFonts w:ascii="Arial" w:hAnsi="Arial" w:cs="Arial"/>
        </w:rPr>
      </w:pPr>
      <w:r>
        <w:rPr>
          <w:rFonts w:cs="Arial" w:ascii="Arial" w:hAnsi="Arial"/>
          <w:b/>
          <w:bCs/>
        </w:rPr>
        <w:t>8.1.1.2.</w:t>
      </w:r>
      <w:r>
        <w:rPr>
          <w:rFonts w:cs="Arial" w:ascii="Arial" w:hAnsi="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w:t>
      </w:r>
      <w:r>
        <w:rPr>
          <w:rFonts w:cs="Arial" w:ascii="Arial" w:hAnsi="Arial"/>
        </w:rPr>
        <w:t xml:space="preserve"> Por iniciativa da PREFEITURA DO MUNICIPIO DE PIRACICABA, quando:</w:t>
      </w:r>
    </w:p>
    <w:p>
      <w:pPr>
        <w:pStyle w:val="Normal"/>
        <w:ind w:firstLine="284"/>
        <w:jc w:val="both"/>
        <w:rPr>
          <w:rFonts w:ascii="Arial" w:hAnsi="Arial" w:cs="Arial"/>
        </w:rPr>
      </w:pPr>
      <w:r>
        <w:rPr>
          <w:rFonts w:cs="Arial" w:ascii="Arial" w:hAnsi="Arial"/>
        </w:rPr>
      </w:r>
    </w:p>
    <w:p>
      <w:pPr>
        <w:pStyle w:val="Normal"/>
        <w:ind w:left="426"/>
        <w:jc w:val="both"/>
        <w:rPr>
          <w:rFonts w:ascii="Arial" w:hAnsi="Arial" w:cs="Arial"/>
        </w:rPr>
      </w:pPr>
      <w:r>
        <w:rPr>
          <w:rFonts w:cs="Arial" w:ascii="Arial" w:hAnsi="Arial"/>
          <w:b/>
          <w:bCs/>
        </w:rPr>
        <w:t>8.1.2.1.</w:t>
      </w:r>
      <w:r>
        <w:rPr>
          <w:rFonts w:cs="Arial" w:ascii="Arial" w:hAnsi="Arial"/>
        </w:rPr>
        <w:t xml:space="preserve"> O fornecedor não cumprir as exigências do instrumento convocatório que deu origem ao registro de preços.</w:t>
      </w:r>
    </w:p>
    <w:p>
      <w:pPr>
        <w:pStyle w:val="Normal"/>
        <w:ind w:left="426"/>
        <w:jc w:val="both"/>
        <w:rPr>
          <w:rFonts w:ascii="Arial" w:hAnsi="Arial" w:cs="Arial"/>
        </w:rPr>
      </w:pPr>
      <w:r>
        <w:rPr>
          <w:rFonts w:cs="Arial" w:ascii="Arial" w:hAnsi="Arial"/>
        </w:rPr>
      </w:r>
    </w:p>
    <w:p>
      <w:pPr>
        <w:pStyle w:val="Normal"/>
        <w:ind w:left="426"/>
        <w:jc w:val="both"/>
        <w:rPr>
          <w:rFonts w:ascii="Arial" w:hAnsi="Arial" w:cs="Arial"/>
        </w:rPr>
      </w:pPr>
      <w:r>
        <w:rPr>
          <w:rFonts w:cs="Arial" w:ascii="Arial" w:hAnsi="Arial"/>
          <w:b/>
          <w:bCs/>
        </w:rPr>
        <w:t>8.1.2.2.</w:t>
      </w:r>
      <w:r>
        <w:rPr>
          <w:rFonts w:cs="Arial" w:ascii="Arial" w:hAnsi="Arial"/>
        </w:rPr>
        <w:t xml:space="preserve"> O fornecedor não formalizar contrato decorrente do registro de preços ou não tenha retirado o instrumento equivalente no prazo estabelecido.</w:t>
      </w:r>
    </w:p>
    <w:p>
      <w:pPr>
        <w:pStyle w:val="Normal"/>
        <w:ind w:left="426"/>
        <w:jc w:val="both"/>
        <w:rPr>
          <w:rFonts w:ascii="Arial" w:hAnsi="Arial" w:eastAsia="Arial" w:cs="Arial"/>
        </w:rPr>
      </w:pPr>
      <w:r>
        <w:rPr>
          <w:rFonts w:eastAsia="Arial" w:cs="Arial" w:ascii="Arial" w:hAnsi="Arial"/>
        </w:rPr>
      </w:r>
    </w:p>
    <w:p>
      <w:pPr>
        <w:pStyle w:val="Normal"/>
        <w:ind w:left="426"/>
        <w:jc w:val="both"/>
        <w:rPr>
          <w:rFonts w:ascii="Arial" w:hAnsi="Arial" w:cs="Arial"/>
        </w:rPr>
      </w:pPr>
      <w:r>
        <w:rPr>
          <w:rFonts w:cs="Arial" w:ascii="Arial" w:hAnsi="Arial"/>
          <w:b/>
          <w:bCs/>
        </w:rPr>
        <w:t>8.1.2.3.</w:t>
      </w:r>
      <w:r>
        <w:rPr>
          <w:rFonts w:cs="Arial" w:ascii="Arial" w:hAnsi="Arial"/>
        </w:rPr>
        <w:t xml:space="preserve"> O fornecedor der causa à rescisão administrativa de contrato decorrente do registro de preços.</w:t>
      </w:r>
    </w:p>
    <w:p>
      <w:pPr>
        <w:pStyle w:val="Normal"/>
        <w:ind w:left="426"/>
        <w:jc w:val="both"/>
        <w:rPr>
          <w:rFonts w:ascii="Arial" w:hAnsi="Arial" w:cs="Arial"/>
        </w:rPr>
      </w:pPr>
      <w:r>
        <w:rPr>
          <w:rFonts w:cs="Arial" w:ascii="Arial" w:hAnsi="Arial"/>
        </w:rPr>
      </w:r>
    </w:p>
    <w:p>
      <w:pPr>
        <w:pStyle w:val="Normal"/>
        <w:ind w:left="426"/>
        <w:jc w:val="both"/>
        <w:rPr>
          <w:rFonts w:ascii="Arial" w:hAnsi="Arial" w:cs="Arial"/>
        </w:rPr>
      </w:pPr>
      <w:r>
        <w:rPr>
          <w:rFonts w:cs="Arial" w:ascii="Arial" w:hAnsi="Arial"/>
          <w:b/>
          <w:bCs/>
        </w:rPr>
        <w:t xml:space="preserve">8.1.2.4. </w:t>
      </w:r>
      <w:r>
        <w:rPr>
          <w:rFonts w:cs="Arial" w:ascii="Arial" w:hAnsi="Arial"/>
        </w:rPr>
        <w:t>Caracterizada qualquer hipótese de inexecução total ou parcial das condições estabelecidas na Ata de Registro de Preços ou nos pedidos dela decorrentes.</w:t>
      </w:r>
    </w:p>
    <w:p>
      <w:pPr>
        <w:pStyle w:val="Normal"/>
        <w:ind w:left="426"/>
        <w:jc w:val="both"/>
        <w:rPr>
          <w:rFonts w:ascii="Arial" w:hAnsi="Arial" w:cs="Arial"/>
        </w:rPr>
      </w:pPr>
      <w:r>
        <w:rPr>
          <w:rFonts w:cs="Arial" w:ascii="Arial" w:hAnsi="Arial"/>
        </w:rPr>
      </w:r>
    </w:p>
    <w:p>
      <w:pPr>
        <w:pStyle w:val="Normal"/>
        <w:ind w:left="426"/>
        <w:jc w:val="both"/>
        <w:rPr>
          <w:rFonts w:ascii="Arial" w:hAnsi="Arial" w:cs="Arial"/>
        </w:rPr>
      </w:pPr>
      <w:r>
        <w:rPr>
          <w:rFonts w:cs="Arial" w:ascii="Arial" w:hAnsi="Arial"/>
          <w:b/>
          <w:bCs/>
        </w:rPr>
        <w:t xml:space="preserve">8.1.2.5. </w:t>
      </w:r>
      <w:r>
        <w:rPr>
          <w:rFonts w:cs="Arial" w:ascii="Arial" w:hAnsi="Arial"/>
        </w:rPr>
        <w:t>O fornecedor não aceitar reduzir o preço registrado, na hipótese de se tornar superior àqueles praticados no mercado.</w:t>
      </w:r>
    </w:p>
    <w:p>
      <w:pPr>
        <w:pStyle w:val="Normal"/>
        <w:ind w:left="426"/>
        <w:jc w:val="both"/>
        <w:rPr>
          <w:rFonts w:ascii="Arial" w:hAnsi="Arial" w:cs="Arial"/>
        </w:rPr>
      </w:pPr>
      <w:r>
        <w:rPr>
          <w:rFonts w:cs="Arial" w:ascii="Arial" w:hAnsi="Arial"/>
        </w:rPr>
      </w:r>
    </w:p>
    <w:p>
      <w:pPr>
        <w:pStyle w:val="Normal"/>
        <w:ind w:left="426"/>
        <w:jc w:val="both"/>
        <w:rPr>
          <w:rFonts w:ascii="Arial" w:hAnsi="Arial" w:cs="Arial"/>
        </w:rPr>
      </w:pPr>
      <w:r>
        <w:rPr>
          <w:rFonts w:cs="Arial" w:ascii="Arial" w:hAnsi="Arial"/>
          <w:b/>
          <w:bCs/>
        </w:rPr>
        <w:t xml:space="preserve">8.1.2.6. </w:t>
      </w:r>
      <w:r>
        <w:rPr>
          <w:rFonts w:cs="Arial" w:ascii="Arial" w:hAnsi="Arial"/>
        </w:rPr>
        <w:t xml:space="preserve">Por razões de interesse público, devidamente motivadas e justificadas. </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8.2. </w:t>
      </w:r>
      <w:r>
        <w:rPr>
          <w:rFonts w:cs="Arial" w:ascii="Arial" w:hAnsi="Arial"/>
        </w:rPr>
        <w:t>A Ata de Registro de Preços, decorrentes desta licitação, será cancelada automaticamente por decurso de prazo de vigência.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9ª – DA AUTORIZAÇÃO DA AQUISIÇÃO E EMISSÃO DAS ORDENS DE FORNECIMENTO.</w:t>
      </w:r>
    </w:p>
    <w:p>
      <w:pPr>
        <w:pStyle w:val="Normal"/>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bCs/>
        </w:rPr>
        <w:t xml:space="preserve">9.1. </w:t>
      </w:r>
      <w:r>
        <w:rPr>
          <w:rFonts w:cs="Arial" w:ascii="Arial" w:hAnsi="Arial"/>
        </w:rPr>
        <w:t>As aquisições do objeto da presente Ata de Registro de Preços e emissão de Ordens de fornecimento serão autorizadas, conforme a necessidade,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10ª – DAS DISPOSIÇÕES FINAIS</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10.1.</w:t>
      </w:r>
      <w:r>
        <w:rPr>
          <w:rFonts w:cs="Arial" w:ascii="Arial" w:hAnsi="Arial"/>
        </w:rPr>
        <w:t xml:space="preserve"> Integram esta Ata, o edital do Pregão Eletrônico nº __/___, seus anexos e a proposta da empresa classificada em 1º lugar nos Itens do certame supranumerado.</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10.2.</w:t>
      </w:r>
      <w:r>
        <w:rPr>
          <w:rFonts w:cs="Arial" w:ascii="Arial" w:hAnsi="Arial"/>
        </w:rPr>
        <w:t xml:space="preserve"> Fica eleito o foro da cidade de Piracicaba – SP, para dirimir quaisquer questões decorrentes da utilização da presente Ata.</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10.3. </w:t>
      </w:r>
      <w:r>
        <w:rPr>
          <w:rFonts w:cs="Arial" w:ascii="Arial" w:hAnsi="Arial"/>
        </w:rPr>
        <w:t>Os casos omissos serão resolvidos de acordo com a Lei Federal nº 14.133/21, Decreto Municipal 19.670/23 e demais normas aplicáveis.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Piracicaba, ____de ________ de _____.</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center"/>
        <w:rPr>
          <w:rFonts w:ascii="Arial" w:hAnsi="Arial" w:cs="Arial"/>
          <w:b/>
          <w:bCs/>
        </w:rPr>
      </w:pPr>
      <w:r>
        <w:rPr>
          <w:rFonts w:cs="Arial" w:ascii="Arial" w:hAnsi="Arial"/>
          <w:b/>
          <w:bCs/>
        </w:rPr>
        <w:t>__________________________</w:t>
      </w:r>
    </w:p>
    <w:p>
      <w:pPr>
        <w:pStyle w:val="Normal"/>
        <w:ind w:firstLine="284"/>
        <w:jc w:val="center"/>
        <w:rPr>
          <w:rFonts w:ascii="Arial" w:hAnsi="Arial" w:cs="Arial"/>
          <w:b/>
          <w:bCs/>
        </w:rPr>
      </w:pPr>
      <w:r>
        <w:rPr>
          <w:rFonts w:cs="Arial" w:ascii="Arial" w:hAnsi="Arial"/>
          <w:b/>
          <w:bCs/>
        </w:rPr>
        <w:t>Prefeito Municipal</w:t>
      </w:r>
    </w:p>
    <w:p>
      <w:pPr>
        <w:pStyle w:val="Normal"/>
        <w:ind w:firstLine="284"/>
        <w:jc w:val="center"/>
        <w:rPr>
          <w:rFonts w:ascii="Arial" w:hAnsi="Arial" w:cs="Arial"/>
          <w:b/>
          <w:bCs/>
        </w:rPr>
      </w:pPr>
      <w:r>
        <w:rPr>
          <w:rFonts w:cs="Arial" w:ascii="Arial" w:hAnsi="Arial"/>
          <w:b/>
          <w:bCs/>
        </w:rPr>
      </w:r>
    </w:p>
    <w:p>
      <w:pPr>
        <w:pStyle w:val="BodyTextIndent"/>
        <w:widowControl w:val="false"/>
        <w:spacing w:lineRule="auto" w:line="240"/>
        <w:rPr>
          <w:b/>
          <w:bCs/>
        </w:rPr>
      </w:pPr>
      <w:r>
        <w:rPr>
          <w:b/>
          <w:bCs/>
        </w:rPr>
      </w:r>
      <w:r>
        <w:br w:type="page"/>
      </w:r>
    </w:p>
    <w:p>
      <w:pPr>
        <w:pStyle w:val="Normal"/>
        <w:spacing w:before="0" w:after="0"/>
        <w:ind w:firstLine="284"/>
        <w:jc w:val="center"/>
        <w:rPr>
          <w:rFonts w:ascii="Arial" w:hAnsi="Arial" w:cs="Arial"/>
          <w:b/>
        </w:rPr>
      </w:pPr>
      <w:r>
        <w:rPr>
          <w:rFonts w:eastAsia="Arial" w:cs="Arial" w:ascii="Arial" w:hAnsi="Arial"/>
          <w:b/>
        </w:rPr>
        <w:t xml:space="preserve">ANEXO DA </w:t>
      </w:r>
      <w:r>
        <w:rPr>
          <w:rFonts w:cs="Arial" w:ascii="Arial" w:hAnsi="Arial"/>
          <w:b/>
        </w:rPr>
        <w:t>ATA DE REGISTRO DE PREÇOS Nº 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rPr>
      </w:pPr>
      <w:r>
        <w:rPr>
          <w:rFonts w:cs="Arial" w:ascii="Arial" w:hAnsi="Arial"/>
          <w:b/>
        </w:rPr>
        <w:t>PREGÃO</w:t>
      </w:r>
      <w:r>
        <w:rPr>
          <w:rFonts w:cs="Arial" w:ascii="Arial" w:hAnsi="Arial"/>
          <w:b/>
          <w:bCs/>
        </w:rPr>
        <w:t xml:space="preserve"> ELETRÔNICO</w:t>
      </w:r>
      <w:r>
        <w:rPr>
          <w:rFonts w:cs="Arial" w:ascii="Arial" w:hAnsi="Arial"/>
          <w:b/>
        </w:rPr>
        <w:t xml:space="preserve"> Nº 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b/>
        </w:rPr>
      </w:pPr>
      <w:r>
        <w:rPr>
          <w:rFonts w:cs="Arial" w:ascii="Arial" w:hAnsi="Arial"/>
          <w:b/>
        </w:rPr>
        <w:t>PROCESSO Nº ____/_______</w:t>
      </w:r>
    </w:p>
    <w:p>
      <w:pPr>
        <w:pStyle w:val="Normal"/>
        <w:spacing w:before="240" w:after="0"/>
        <w:ind w:firstLine="284"/>
        <w:jc w:val="center"/>
        <w:rPr>
          <w:rFonts w:ascii="Arial" w:hAnsi="Arial" w:cs="Arial"/>
        </w:rPr>
      </w:pPr>
      <w:r>
        <w:rPr>
          <w:rFonts w:cs="Arial" w:ascii="Arial" w:hAnsi="Arial"/>
          <w:b/>
        </w:rPr>
        <w:t>VALIDADE DA ATA: DE____/______/______ A ____/_____/______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b/>
        </w:rPr>
        <w:t>PREÇO REGISTRADO:</w:t>
      </w:r>
    </w:p>
    <w:p>
      <w:pPr>
        <w:pStyle w:val="Normal"/>
        <w:ind w:firstLine="284"/>
        <w:jc w:val="center"/>
        <w:rPr>
          <w:rFonts w:ascii="Arial" w:hAnsi="Arial" w:cs="Arial"/>
        </w:rPr>
      </w:pPr>
      <w:r>
        <w:rPr>
          <w:rFonts w:cs="Arial" w:ascii="Arial" w:hAnsi="Arial"/>
        </w:rPr>
      </w:r>
    </w:p>
    <w:p>
      <w:pPr>
        <w:pStyle w:val="Normal"/>
        <w:rPr>
          <w:rFonts w:ascii="Arial" w:hAnsi="Arial" w:cs="Arial"/>
          <w:b/>
        </w:rPr>
      </w:pPr>
      <w:r>
        <w:rPr>
          <w:rFonts w:cs="Arial" w:ascii="Arial" w:hAnsi="Arial"/>
          <w:b/>
          <w:u w:val="single"/>
        </w:rPr>
        <w:t xml:space="preserve">Empresa: </w:t>
      </w:r>
    </w:p>
    <w:tbl>
      <w:tblPr>
        <w:tblW w:w="18469" w:type="dxa"/>
        <w:jc w:val="left"/>
        <w:tblInd w:w="1" w:type="dxa"/>
        <w:tblLayout w:type="fixed"/>
        <w:tblCellMar>
          <w:top w:w="0" w:type="dxa"/>
          <w:left w:w="2" w:type="dxa"/>
          <w:bottom w:w="0" w:type="dxa"/>
          <w:right w:w="0" w:type="dxa"/>
        </w:tblCellMar>
        <w:tblLook w:firstRow="0" w:noVBand="0" w:lastRow="0" w:firstColumn="0" w:lastColumn="0" w:noHBand="0" w:val="0000"/>
      </w:tblPr>
      <w:tblGrid>
        <w:gridCol w:w="766"/>
        <w:gridCol w:w="890"/>
        <w:gridCol w:w="1077"/>
        <w:gridCol w:w="4940"/>
        <w:gridCol w:w="2159"/>
        <w:gridCol w:w="8636"/>
      </w:tblGrid>
      <w:tr>
        <w:trPr/>
        <w:tc>
          <w:tcPr>
            <w:tcW w:w="766"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Item</w:t>
            </w:r>
          </w:p>
        </w:tc>
        <w:tc>
          <w:tcPr>
            <w:tcW w:w="890"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Quant</w:t>
            </w:r>
          </w:p>
        </w:tc>
        <w:tc>
          <w:tcPr>
            <w:tcW w:w="1077"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Unids</w:t>
            </w:r>
          </w:p>
        </w:tc>
        <w:tc>
          <w:tcPr>
            <w:tcW w:w="4940"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Descritivo</w:t>
            </w:r>
          </w:p>
        </w:tc>
        <w:tc>
          <w:tcPr>
            <w:tcW w:w="2159"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rPr>
            </w:pPr>
            <w:r>
              <w:rPr>
                <w:rFonts w:cs="Arial" w:ascii="Arial" w:hAnsi="Arial"/>
                <w:b/>
              </w:rPr>
              <w:t>Preço unitário</w:t>
            </w:r>
          </w:p>
        </w:tc>
        <w:tc>
          <w:tcPr>
            <w:tcW w:w="8636" w:type="dxa"/>
            <w:tcBorders>
              <w:left w:val="single" w:sz="2" w:space="0" w:color="000000"/>
            </w:tcBorders>
            <w:shd w:color="auto" w:fill="auto" w:val="clear"/>
          </w:tcPr>
          <w:p>
            <w:pPr>
              <w:pStyle w:val="Normal"/>
              <w:snapToGrid w:val="false"/>
              <w:rPr>
                <w:rFonts w:ascii="Arial" w:hAnsi="Arial" w:cs="Arial"/>
              </w:rPr>
            </w:pPr>
            <w:r>
              <w:rPr>
                <w:rFonts w:cs="Arial" w:ascii="Arial" w:hAnsi="Arial"/>
              </w:rPr>
            </w:r>
          </w:p>
        </w:tc>
      </w:tr>
      <w:tr>
        <w:trPr/>
        <w:tc>
          <w:tcPr>
            <w:tcW w:w="766" w:type="dxa"/>
            <w:tcBorders>
              <w:left w:val="single" w:sz="2" w:space="0" w:color="000000"/>
              <w:bottom w:val="single" w:sz="2" w:space="0" w:color="000000"/>
            </w:tcBorders>
            <w:shd w:color="auto" w:fill="auto" w:val="clear"/>
          </w:tcPr>
          <w:p>
            <w:pPr>
              <w:pStyle w:val="Normal"/>
              <w:snapToGrid w:val="false"/>
              <w:jc w:val="center"/>
              <w:rPr>
                <w:rFonts w:ascii="Arial" w:hAnsi="Arial" w:cs="Arial"/>
                <w:szCs w:val="18"/>
              </w:rPr>
            </w:pPr>
            <w:r>
              <w:rPr>
                <w:rFonts w:cs="Arial" w:ascii="Arial" w:hAnsi="Arial"/>
                <w:szCs w:val="18"/>
              </w:rPr>
            </w:r>
          </w:p>
        </w:tc>
        <w:tc>
          <w:tcPr>
            <w:tcW w:w="890" w:type="dxa"/>
            <w:tcBorders>
              <w:left w:val="single" w:sz="2" w:space="0" w:color="000000"/>
              <w:bottom w:val="single" w:sz="2" w:space="0" w:color="000000"/>
            </w:tcBorders>
            <w:shd w:color="auto" w:fill="auto" w:val="clear"/>
            <w:vAlign w:val="center"/>
          </w:tcPr>
          <w:p>
            <w:pPr>
              <w:pStyle w:val="Normal"/>
              <w:snapToGrid w:val="false"/>
              <w:jc w:val="center"/>
              <w:rPr>
                <w:rFonts w:ascii="Arial" w:hAnsi="Arial" w:cs="Arial"/>
                <w:szCs w:val="18"/>
              </w:rPr>
            </w:pPr>
            <w:r>
              <w:rPr>
                <w:rFonts w:cs="Arial" w:ascii="Arial" w:hAnsi="Arial"/>
                <w:szCs w:val="18"/>
              </w:rPr>
            </w:r>
          </w:p>
        </w:tc>
        <w:tc>
          <w:tcPr>
            <w:tcW w:w="1077" w:type="dxa"/>
            <w:tcBorders>
              <w:left w:val="single" w:sz="2" w:space="0" w:color="000000"/>
              <w:bottom w:val="single" w:sz="2" w:space="0" w:color="000000"/>
            </w:tcBorders>
            <w:shd w:color="auto" w:fill="auto" w:val="clear"/>
            <w:vAlign w:val="center"/>
          </w:tcPr>
          <w:p>
            <w:pPr>
              <w:pStyle w:val="Normal"/>
              <w:snapToGrid w:val="false"/>
              <w:jc w:val="center"/>
              <w:rPr>
                <w:rFonts w:ascii="Arial" w:hAnsi="Arial" w:cs="Arial"/>
                <w:szCs w:val="18"/>
              </w:rPr>
            </w:pPr>
            <w:r>
              <w:rPr>
                <w:rFonts w:cs="Arial" w:ascii="Arial" w:hAnsi="Arial"/>
                <w:szCs w:val="18"/>
              </w:rPr>
            </w:r>
          </w:p>
        </w:tc>
        <w:tc>
          <w:tcPr>
            <w:tcW w:w="4940" w:type="dxa"/>
            <w:tcBorders>
              <w:left w:val="single" w:sz="2" w:space="0" w:color="000000"/>
              <w:bottom w:val="single" w:sz="2" w:space="0" w:color="000000"/>
            </w:tcBorders>
            <w:shd w:color="auto" w:fill="auto" w:val="clear"/>
            <w:vAlign w:val="center"/>
          </w:tcPr>
          <w:p>
            <w:pPr>
              <w:pStyle w:val="Normal"/>
              <w:snapToGrid w:val="false"/>
              <w:jc w:val="both"/>
              <w:rPr>
                <w:rFonts w:ascii="Arial" w:hAnsi="Arial" w:cs="Arial"/>
                <w:color w:val="000000"/>
                <w:szCs w:val="18"/>
              </w:rPr>
            </w:pPr>
            <w:r>
              <w:rPr>
                <w:rFonts w:cs="Arial" w:ascii="Arial" w:hAnsi="Arial"/>
                <w:color w:val="000000"/>
                <w:szCs w:val="18"/>
              </w:rPr>
            </w:r>
          </w:p>
        </w:tc>
        <w:tc>
          <w:tcPr>
            <w:tcW w:w="2159" w:type="dxa"/>
            <w:tcBorders>
              <w:left w:val="single" w:sz="2" w:space="0" w:color="000000"/>
              <w:bottom w:val="single" w:sz="2" w:space="0" w:color="000000"/>
            </w:tcBorders>
            <w:shd w:color="auto" w:fill="auto" w:val="clear"/>
          </w:tcPr>
          <w:p>
            <w:pPr>
              <w:pStyle w:val="Normal"/>
              <w:snapToGrid w:val="false"/>
              <w:ind w:firstLine="284"/>
              <w:jc w:val="both"/>
              <w:rPr>
                <w:rFonts w:ascii="Arial" w:hAnsi="Arial" w:cs="Arial"/>
                <w:color w:val="000000"/>
              </w:rPr>
            </w:pPr>
            <w:r>
              <w:rPr>
                <w:rFonts w:cs="Arial" w:ascii="Arial" w:hAnsi="Arial"/>
                <w:color w:val="000000"/>
              </w:rPr>
            </w:r>
          </w:p>
        </w:tc>
        <w:tc>
          <w:tcPr>
            <w:tcW w:w="8636" w:type="dxa"/>
            <w:tcBorders>
              <w:left w:val="single" w:sz="2" w:space="0" w:color="000000"/>
            </w:tcBorders>
            <w:shd w:color="auto" w:fill="auto" w:val="clear"/>
          </w:tcPr>
          <w:p>
            <w:pPr>
              <w:pStyle w:val="Normal"/>
              <w:snapToGrid w:val="false"/>
              <w:rPr>
                <w:rFonts w:ascii="Arial" w:hAnsi="Arial" w:cs="Arial"/>
                <w:color w:val="000000"/>
              </w:rPr>
            </w:pPr>
            <w:r>
              <w:rPr>
                <w:rFonts w:cs="Arial" w:ascii="Arial" w:hAnsi="Arial"/>
                <w:color w:val="000000"/>
              </w:rPr>
            </w:r>
          </w:p>
        </w:tc>
      </w:tr>
    </w:tbl>
    <w:p>
      <w:pPr>
        <w:pStyle w:val="Normal"/>
        <w:widowControl w:val="false"/>
        <w:ind w:firstLine="284"/>
        <w:jc w:val="center"/>
        <w:rPr>
          <w:rFonts w:ascii="Arial" w:hAnsi="Arial" w:cs="Arial"/>
          <w:b/>
          <w:sz w:val="22"/>
          <w:szCs w:val="22"/>
          <w:u w:val="single"/>
        </w:rPr>
      </w:pPr>
      <w:r>
        <w:rPr>
          <w:rFonts w:cs="Arial" w:ascii="Arial" w:hAnsi="Arial"/>
          <w:b/>
          <w:sz w:val="22"/>
          <w:szCs w:val="22"/>
          <w:u w:val="single"/>
        </w:rPr>
      </w:r>
    </w:p>
    <w:p>
      <w:pPr>
        <w:pStyle w:val="BodyTextIndent"/>
        <w:widowControl w:val="false"/>
        <w:spacing w:lineRule="atLeast" w:line="100"/>
        <w:ind w:firstLine="284"/>
        <w:jc w:val="center"/>
        <w:textAlignment w:val="auto"/>
        <w:rPr>
          <w:b/>
          <w:sz w:val="22"/>
          <w:szCs w:val="22"/>
          <w:u w:val="single"/>
        </w:rPr>
      </w:pPr>
      <w:r>
        <w:rPr>
          <w:b/>
          <w:sz w:val="22"/>
          <w:szCs w:val="22"/>
          <w:u w:val="single"/>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r>
        <w:br w:type="page"/>
      </w:r>
    </w:p>
    <w:p>
      <w:pPr>
        <w:pStyle w:val="BodyTextIndent"/>
        <w:widowControl w:val="false"/>
        <w:spacing w:lineRule="auto" w:line="240" w:before="0" w:after="0"/>
        <w:jc w:val="center"/>
        <w:rPr>
          <w:b/>
          <w:bCs/>
          <w:sz w:val="22"/>
          <w:szCs w:val="22"/>
          <w:shd w:fill="FFFFFF" w:val="clear"/>
          <w:lang w:val="pt-BR"/>
        </w:rPr>
      </w:pPr>
      <w:r>
        <w:rPr>
          <w:b/>
          <w:sz w:val="22"/>
          <w:szCs w:val="22"/>
        </w:rPr>
        <w:t>ANEXO V</w:t>
      </w:r>
      <w:r>
        <w:rPr>
          <w:b/>
          <w:sz w:val="22"/>
          <w:szCs w:val="22"/>
          <w:lang w:val="pt-BR"/>
        </w:rPr>
        <w:t>I</w:t>
      </w:r>
    </w:p>
    <w:p>
      <w:pPr>
        <w:pStyle w:val="Normal"/>
        <w:jc w:val="center"/>
        <w:rPr>
          <w:rFonts w:ascii="Arial" w:hAnsi="Arial" w:cs="Arial"/>
          <w:b/>
          <w:bCs/>
          <w:sz w:val="18"/>
        </w:rPr>
      </w:pPr>
      <w:r>
        <w:rPr>
          <w:rFonts w:cs="Arial" w:ascii="Arial" w:hAnsi="Arial"/>
          <w:color w:val="000000"/>
          <w:szCs w:val="22"/>
        </w:rPr>
        <w:t>====================================================================================</w:t>
      </w:r>
    </w:p>
    <w:p>
      <w:pPr>
        <w:pStyle w:val="Normal"/>
        <w:ind w:right="141"/>
        <w:jc w:val="center"/>
        <w:rPr>
          <w:rFonts w:ascii="Arial" w:hAnsi="Arial" w:cs="Arial"/>
          <w:color w:val="000000"/>
          <w:sz w:val="22"/>
          <w:szCs w:val="22"/>
        </w:rPr>
      </w:pPr>
      <w:r>
        <w:rPr>
          <w:rFonts w:cs="Arial" w:ascii="Arial" w:hAnsi="Arial"/>
          <w:b/>
          <w:bCs/>
        </w:rPr>
        <w:t>MINUTA DE CONTRATO OU TERMO EQUIVALENTE</w:t>
      </w:r>
    </w:p>
    <w:p>
      <w:pPr>
        <w:pStyle w:val="Normal"/>
        <w:jc w:val="center"/>
        <w:rPr>
          <w:rFonts w:ascii="Arial" w:hAnsi="Arial" w:cs="Arial"/>
          <w:b/>
          <w:bCs/>
          <w:sz w:val="18"/>
        </w:rPr>
      </w:pPr>
      <w:r>
        <w:rPr>
          <w:rFonts w:cs="Arial" w:ascii="Arial" w:hAnsi="Arial"/>
          <w:color w:val="000000"/>
          <w:szCs w:val="22"/>
        </w:rPr>
        <w:t>====================================================================================</w:t>
      </w:r>
    </w:p>
    <w:p>
      <w:pPr>
        <w:pStyle w:val="Normal"/>
        <w:jc w:val="both"/>
        <w:rPr>
          <w:b/>
          <w:sz w:val="24"/>
          <w:szCs w:val="24"/>
          <w:u w:val="single"/>
        </w:rPr>
      </w:pPr>
      <w:r>
        <w:rPr>
          <w:b/>
          <w:sz w:val="24"/>
          <w:szCs w:val="24"/>
          <w:u w:val="single"/>
        </w:rPr>
        <w:t>CONTRATO QUE ENTRE SI FAZEM A PREFEITURA DO MUNICÍPIO DE PIRACICABA E ............................., PARA FORNECIMENTO PARCELADO DE EQUIPAMENTO MÉDICO RESPIRATÓRIO BIPAP E CPAP COM ACESSÓRIOS.</w:t>
      </w:r>
    </w:p>
    <w:p>
      <w:pPr>
        <w:pStyle w:val="Normal"/>
        <w:jc w:val="both"/>
        <w:rPr>
          <w:b/>
          <w:sz w:val="24"/>
          <w:szCs w:val="24"/>
          <w:u w:val="single"/>
        </w:rPr>
      </w:pPr>
      <w:r>
        <w:rPr>
          <w:b/>
          <w:sz w:val="24"/>
          <w:szCs w:val="24"/>
          <w:u w:val="single"/>
        </w:rPr>
      </w:r>
    </w:p>
    <w:p>
      <w:pPr>
        <w:pStyle w:val="Normal"/>
        <w:jc w:val="both"/>
        <w:rPr>
          <w:b/>
          <w:sz w:val="24"/>
          <w:szCs w:val="24"/>
          <w:u w:val="single"/>
        </w:rPr>
      </w:pPr>
      <w:r>
        <w:rPr>
          <w:b/>
          <w:sz w:val="24"/>
          <w:szCs w:val="24"/>
          <w:u w:val="single"/>
        </w:rPr>
      </w:r>
    </w:p>
    <w:p>
      <w:pPr>
        <w:pStyle w:val="Normal"/>
        <w:jc w:val="both"/>
        <w:rPr>
          <w:b/>
          <w:sz w:val="24"/>
          <w:szCs w:val="24"/>
        </w:rPr>
      </w:pPr>
      <w:r>
        <w:rPr>
          <w:b/>
          <w:sz w:val="24"/>
          <w:szCs w:val="24"/>
        </w:rPr>
        <w:t xml:space="preserve">Data: </w:t>
      </w:r>
    </w:p>
    <w:p>
      <w:pPr>
        <w:pStyle w:val="Normal"/>
        <w:jc w:val="both"/>
        <w:rPr/>
      </w:pPr>
      <w:r>
        <w:rPr>
          <w:b/>
          <w:sz w:val="24"/>
          <w:szCs w:val="24"/>
        </w:rPr>
        <w:t xml:space="preserve">Prazo: </w:t>
      </w:r>
      <w:r>
        <w:rPr>
          <w:b/>
          <w:color w:val="000000"/>
          <w:sz w:val="24"/>
          <w:szCs w:val="24"/>
        </w:rPr>
        <w:t>até 31 de dezembro de 2026.</w:t>
      </w:r>
      <w:r>
        <w:rPr>
          <w:b/>
          <w:sz w:val="24"/>
          <w:szCs w:val="24"/>
        </w:rPr>
        <w:t xml:space="preserve"> </w:t>
      </w:r>
    </w:p>
    <w:p>
      <w:pPr>
        <w:pStyle w:val="Normal"/>
        <w:jc w:val="both"/>
        <w:rPr>
          <w:b/>
          <w:sz w:val="24"/>
          <w:szCs w:val="24"/>
        </w:rPr>
      </w:pPr>
      <w:r>
        <w:rPr>
          <w:b/>
          <w:sz w:val="24"/>
          <w:szCs w:val="24"/>
        </w:rPr>
        <w:t>Valor: R$ ........ (............).</w:t>
      </w:r>
    </w:p>
    <w:p>
      <w:pPr>
        <w:pStyle w:val="Normal"/>
        <w:jc w:val="both"/>
        <w:rPr/>
      </w:pPr>
      <w:r>
        <w:rPr>
          <w:b/>
          <w:sz w:val="24"/>
          <w:szCs w:val="24"/>
        </w:rPr>
        <w:t>Processo Administrativo nº 133.871/2026.</w:t>
      </w:r>
    </w:p>
    <w:p>
      <w:pPr>
        <w:pStyle w:val="Normal"/>
        <w:jc w:val="both"/>
        <w:rPr/>
      </w:pPr>
      <w:r>
        <w:rPr>
          <w:b/>
          <w:sz w:val="24"/>
          <w:szCs w:val="24"/>
        </w:rPr>
        <w:t>Pregão Eletrônico n.º ..../2026.</w:t>
      </w:r>
    </w:p>
    <w:p>
      <w:pPr>
        <w:pStyle w:val="Normal"/>
        <w:jc w:val="both"/>
        <w:rPr>
          <w:b/>
          <w:sz w:val="24"/>
          <w:szCs w:val="24"/>
        </w:rPr>
      </w:pPr>
      <w:r>
        <w:rPr>
          <w:b/>
          <w:sz w:val="24"/>
          <w:szCs w:val="24"/>
        </w:rPr>
        <w:t>Ata de Registro de Preços nº .../2026 (válida até … de ………. de 2027).</w:t>
      </w:r>
    </w:p>
    <w:p>
      <w:pPr>
        <w:pStyle w:val="Normal"/>
        <w:jc w:val="both"/>
        <w:rPr/>
      </w:pPr>
      <w:r>
        <w:rPr>
          <w:b/>
          <w:sz w:val="24"/>
          <w:szCs w:val="24"/>
        </w:rPr>
        <w:t xml:space="preserve">Contrato n.º </w:t>
      </w:r>
    </w:p>
    <w:p>
      <w:pPr>
        <w:pStyle w:val="Normal"/>
        <w:jc w:val="both"/>
        <w:rPr>
          <w:sz w:val="24"/>
          <w:szCs w:val="24"/>
        </w:rPr>
      </w:pPr>
      <w:r>
        <w:rPr>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ind w:firstLine="851"/>
        <w:jc w:val="both"/>
        <w:rPr>
          <w:b/>
          <w:strike/>
          <w:sz w:val="24"/>
          <w:szCs w:val="24"/>
        </w:rPr>
      </w:pPr>
      <w:r>
        <w:rPr>
          <w:b/>
          <w:strike/>
          <w:sz w:val="24"/>
          <w:szCs w:val="24"/>
        </w:rPr>
      </w:r>
    </w:p>
    <w:p>
      <w:pPr>
        <w:pStyle w:val="Normal"/>
        <w:jc w:val="both"/>
        <w:rPr>
          <w:b/>
          <w:strike/>
          <w:sz w:val="24"/>
          <w:szCs w:val="24"/>
        </w:rPr>
      </w:pPr>
      <w:r>
        <w:rPr>
          <w:b/>
          <w:strike/>
          <w:sz w:val="24"/>
          <w:szCs w:val="24"/>
        </w:rPr>
      </w:r>
    </w:p>
    <w:p>
      <w:pPr>
        <w:pStyle w:val="Normal"/>
        <w:ind w:firstLine="851"/>
        <w:jc w:val="both"/>
        <w:rPr>
          <w:b/>
          <w:sz w:val="24"/>
          <w:szCs w:val="24"/>
        </w:rPr>
      </w:pPr>
      <w:r>
        <w:rPr>
          <w:b/>
          <w:sz w:val="24"/>
          <w:szCs w:val="24"/>
        </w:rPr>
      </w:r>
    </w:p>
    <w:tbl>
      <w:tblPr>
        <w:tblW w:w="862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625"/>
      </w:tblGrid>
      <w:tr>
        <w:trPr>
          <w:trHeight w:val="225" w:hRule="atLeast"/>
        </w:trPr>
        <w:tc>
          <w:tcPr>
            <w:tcW w:w="8625"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1ª – DAS PARTES</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Saúde, Sr. </w:t>
      </w:r>
      <w:r>
        <w:rPr>
          <w:b/>
          <w:sz w:val="24"/>
          <w:szCs w:val="24"/>
        </w:rPr>
        <w:t>.......................</w:t>
      </w:r>
      <w:r>
        <w:rPr>
          <w:sz w:val="24"/>
          <w:szCs w:val="24"/>
        </w:rPr>
        <w:t xml:space="preserve">, inscrito no CPF nº .........................,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 Representante Legal, Sr(a). </w:t>
      </w:r>
      <w:r>
        <w:rPr>
          <w:b/>
          <w:bCs/>
          <w:sz w:val="24"/>
          <w:szCs w:val="24"/>
        </w:rPr>
        <w:t>……………….</w:t>
      </w:r>
      <w:r>
        <w:rPr>
          <w:sz w:val="24"/>
          <w:szCs w:val="24"/>
        </w:rPr>
        <w:t xml:space="preserve">, inscrito no CPF n.º ......., adiante designada simplesmente </w:t>
      </w:r>
      <w:r>
        <w:rPr>
          <w:b/>
          <w:sz w:val="24"/>
          <w:szCs w:val="24"/>
        </w:rPr>
        <w:t>CONTRATADA</w:t>
      </w:r>
      <w:r>
        <w:rPr>
          <w:sz w:val="24"/>
          <w:szCs w:val="24"/>
        </w:rPr>
        <w:t>, ajustam o que se segue:</w:t>
      </w:r>
    </w:p>
    <w:p>
      <w:pPr>
        <w:pStyle w:val="Normal"/>
        <w:ind w:firstLine="851"/>
        <w:jc w:val="both"/>
        <w:rPr>
          <w:b/>
          <w:sz w:val="24"/>
          <w:szCs w:val="24"/>
        </w:rPr>
      </w:pPr>
      <w:r>
        <w:rPr>
          <w:b/>
          <w:sz w:val="24"/>
          <w:szCs w:val="24"/>
        </w:rPr>
      </w:r>
    </w:p>
    <w:tbl>
      <w:tblPr>
        <w:tblW w:w="862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625"/>
      </w:tblGrid>
      <w:tr>
        <w:trPr/>
        <w:tc>
          <w:tcPr>
            <w:tcW w:w="8625"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2ª – DO OBJETO</w:t>
            </w:r>
          </w:p>
        </w:tc>
      </w:tr>
    </w:tbl>
    <w:p>
      <w:pPr>
        <w:pStyle w:val="Normal"/>
        <w:ind w:firstLine="851"/>
        <w:jc w:val="both"/>
        <w:rPr>
          <w:b/>
          <w:sz w:val="24"/>
          <w:szCs w:val="24"/>
        </w:rPr>
      </w:pPr>
      <w:r>
        <w:rPr>
          <w:b/>
          <w:sz w:val="24"/>
          <w:szCs w:val="24"/>
        </w:rPr>
      </w:r>
    </w:p>
    <w:p>
      <w:pPr>
        <w:pStyle w:val="BodyTextIndent"/>
        <w:ind w:firstLine="851"/>
        <w:rPr>
          <w:sz w:val="20"/>
          <w:szCs w:val="20"/>
        </w:rPr>
      </w:pPr>
      <w:r>
        <w:rPr>
          <w:b/>
        </w:rPr>
        <w:t>2.1. A CONTRATADA se obriga ao perfeito fornecimento do(s) item(ns) … de equipamento médico respiratório Bipap e Cpap com Acessórios, conforme descrição detalhada constante do Edital da Ata de Registro de Preços nº .../2026, bem como seu Termo de Referência, o qual fica fazendo parte integrante do presente instrumento.</w:t>
      </w:r>
    </w:p>
    <w:p>
      <w:pPr>
        <w:pStyle w:val="Normal"/>
        <w:keepLines/>
        <w:ind w:firstLine="851"/>
        <w:jc w:val="both"/>
        <w:rPr>
          <w:b/>
          <w:sz w:val="24"/>
          <w:szCs w:val="24"/>
        </w:rPr>
      </w:pPr>
      <w:r>
        <w:rPr>
          <w:b/>
          <w:sz w:val="24"/>
          <w:szCs w:val="24"/>
        </w:rPr>
      </w:r>
    </w:p>
    <w:tbl>
      <w:tblPr>
        <w:tblW w:w="862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625"/>
      </w:tblGrid>
      <w:tr>
        <w:trPr/>
        <w:tc>
          <w:tcPr>
            <w:tcW w:w="8625"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b/>
                <w:sz w:val="24"/>
                <w:szCs w:val="24"/>
                <w:lang w:bidi="hi-IN"/>
              </w:rPr>
            </w:pPr>
            <w:r>
              <w:rPr>
                <w:b/>
                <w:sz w:val="24"/>
                <w:szCs w:val="24"/>
                <w:lang w:bidi="hi-IN"/>
              </w:rPr>
              <w:t>CLÁUSULA 3ª – DOS RECURSOS FINANCEIROS</w:t>
            </w:r>
          </w:p>
        </w:tc>
      </w:tr>
    </w:tbl>
    <w:p>
      <w:pPr>
        <w:pStyle w:val="BodyTextIndent"/>
        <w:ind w:firstLine="851"/>
        <w:rPr>
          <w:b/>
        </w:rPr>
      </w:pPr>
      <w:r>
        <w:rPr>
          <w:b/>
        </w:rPr>
      </w:r>
    </w:p>
    <w:p>
      <w:pPr>
        <w:pStyle w:val="Normal"/>
        <w:ind w:firstLine="851"/>
        <w:jc w:val="both"/>
        <w:rPr/>
      </w:pPr>
      <w:r>
        <w:rPr>
          <w:b/>
          <w:sz w:val="24"/>
          <w:szCs w:val="24"/>
        </w:rPr>
        <w:t>3.1.</w:t>
      </w:r>
      <w:r>
        <w:rPr>
          <w:sz w:val="24"/>
          <w:szCs w:val="24"/>
        </w:rPr>
        <w:t xml:space="preserve"> </w:t>
      </w:r>
      <w:r>
        <w:rPr>
          <w:color w:val="000000"/>
          <w:sz w:val="24"/>
          <w:szCs w:val="24"/>
        </w:rPr>
        <w:t>A despesa supra será atendida pela dotação orçamentária nº …………….., constante do exercício de 2026, correspondente para 2027.</w:t>
      </w:r>
      <w:r>
        <w:rPr>
          <w:sz w:val="24"/>
          <w:szCs w:val="24"/>
        </w:rPr>
        <w:t xml:space="preserve"> </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r>
    </w:p>
    <w:tbl>
      <w:tblPr>
        <w:tblW w:w="862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625"/>
      </w:tblGrid>
      <w:tr>
        <w:trPr/>
        <w:tc>
          <w:tcPr>
            <w:tcW w:w="8625"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b/>
                <w:sz w:val="24"/>
                <w:szCs w:val="24"/>
                <w:lang w:bidi="hi-IN"/>
              </w:rPr>
            </w:pPr>
            <w:r>
              <w:rPr>
                <w:b/>
                <w:sz w:val="24"/>
                <w:szCs w:val="24"/>
                <w:lang w:bidi="hi-IN"/>
              </w:rPr>
              <w:t>CLÁUSULA 4ª – DO SUPORTE LEGAL</w:t>
            </w:r>
          </w:p>
        </w:tc>
      </w:tr>
    </w:tbl>
    <w:p>
      <w:pPr>
        <w:pStyle w:val="Normal"/>
        <w:ind w:firstLine="851"/>
        <w:jc w:val="both"/>
        <w:rPr>
          <w:sz w:val="24"/>
          <w:szCs w:val="24"/>
        </w:rPr>
      </w:pPr>
      <w:r>
        <w:rPr>
          <w:sz w:val="24"/>
          <w:szCs w:val="24"/>
        </w:rPr>
      </w:r>
    </w:p>
    <w:p>
      <w:pPr>
        <w:pStyle w:val="Normal"/>
        <w:keepLines/>
        <w:ind w:firstLine="851"/>
        <w:jc w:val="both"/>
        <w:rPr/>
      </w:pPr>
      <w:r>
        <w:rPr>
          <w:b/>
          <w:sz w:val="24"/>
          <w:szCs w:val="24"/>
        </w:rPr>
        <w:t>4.1.</w:t>
      </w:r>
      <w:r>
        <w:rPr>
          <w:sz w:val="24"/>
          <w:szCs w:val="24"/>
        </w:rPr>
        <w:t xml:space="preserve"> Este contrato é regulado pelos seguintes dispositivos legais:</w:t>
      </w:r>
    </w:p>
    <w:p>
      <w:pPr>
        <w:pStyle w:val="Normal"/>
        <w:keepLines/>
        <w:ind w:firstLine="851"/>
        <w:jc w:val="both"/>
        <w:rPr/>
      </w:pPr>
      <w:r>
        <w:rPr>
          <w:b/>
          <w:sz w:val="24"/>
          <w:szCs w:val="24"/>
        </w:rPr>
        <w:t>4.1.1.</w:t>
      </w:r>
      <w:r>
        <w:rPr>
          <w:sz w:val="24"/>
          <w:szCs w:val="24"/>
        </w:rPr>
        <w:t xml:space="preserve"> Constituição da República Federativa do Brasil;</w:t>
      </w:r>
    </w:p>
    <w:p>
      <w:pPr>
        <w:pStyle w:val="Normal"/>
        <w:keepLines/>
        <w:ind w:firstLine="851"/>
        <w:jc w:val="both"/>
        <w:rPr/>
      </w:pPr>
      <w:r>
        <w:rPr>
          <w:b/>
          <w:sz w:val="24"/>
          <w:szCs w:val="24"/>
        </w:rPr>
        <w:t>4.1.2.</w:t>
      </w:r>
      <w:r>
        <w:rPr>
          <w:sz w:val="24"/>
          <w:szCs w:val="24"/>
        </w:rPr>
        <w:t xml:space="preserve"> Lei Orgânica do Município de Piracicaba;</w:t>
      </w:r>
    </w:p>
    <w:p>
      <w:pPr>
        <w:pStyle w:val="Normal"/>
        <w:keepLines/>
        <w:ind w:firstLine="851"/>
        <w:jc w:val="both"/>
        <w:rPr/>
      </w:pPr>
      <w:r>
        <w:rPr>
          <w:b/>
          <w:sz w:val="24"/>
          <w:szCs w:val="24"/>
        </w:rPr>
        <w:t>4.1.3.</w:t>
      </w:r>
      <w:r>
        <w:rPr>
          <w:sz w:val="24"/>
          <w:szCs w:val="24"/>
        </w:rPr>
        <w:t xml:space="preserve"> Lei Federal nº 14.133, de 01/04/2021;</w:t>
      </w:r>
    </w:p>
    <w:p>
      <w:pPr>
        <w:pStyle w:val="Normal"/>
        <w:keepLines/>
        <w:ind w:firstLine="851"/>
        <w:jc w:val="both"/>
        <w:rPr/>
      </w:pPr>
      <w:r>
        <w:rPr>
          <w:b/>
          <w:sz w:val="24"/>
          <w:szCs w:val="24"/>
        </w:rPr>
        <w:t>4.1.4.</w:t>
      </w:r>
      <w:r>
        <w:rPr>
          <w:sz w:val="24"/>
          <w:szCs w:val="24"/>
        </w:rPr>
        <w:t xml:space="preserve"> Decreto Municipal nº 17.640, de 30/10/2018;</w:t>
      </w:r>
    </w:p>
    <w:p>
      <w:pPr>
        <w:pStyle w:val="Normal"/>
        <w:keepLines/>
        <w:ind w:firstLine="851"/>
        <w:jc w:val="both"/>
        <w:rPr/>
      </w:pPr>
      <w:r>
        <w:rPr>
          <w:b/>
          <w:sz w:val="24"/>
          <w:szCs w:val="24"/>
        </w:rPr>
        <w:t>4.1.5.</w:t>
      </w:r>
      <w:r>
        <w:rPr>
          <w:sz w:val="24"/>
          <w:szCs w:val="24"/>
        </w:rPr>
        <w:t xml:space="preserve"> Demais disposições legais aplicáveis, inclusive subsidiariamente, os princípios gerais de Direito.</w:t>
      </w:r>
    </w:p>
    <w:p>
      <w:pPr>
        <w:pStyle w:val="Normal"/>
        <w:keepLines/>
        <w:ind w:firstLine="851"/>
        <w:jc w:val="both"/>
        <w:rPr>
          <w:sz w:val="24"/>
          <w:szCs w:val="24"/>
        </w:rPr>
      </w:pPr>
      <w:r>
        <w:rPr>
          <w:sz w:val="24"/>
          <w:szCs w:val="24"/>
        </w:rPr>
      </w:r>
    </w:p>
    <w:tbl>
      <w:tblPr>
        <w:tblW w:w="862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625"/>
      </w:tblGrid>
      <w:tr>
        <w:trPr/>
        <w:tc>
          <w:tcPr>
            <w:tcW w:w="8625"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5ª – DO PREÇO</w:t>
            </w:r>
          </w:p>
        </w:tc>
      </w:tr>
    </w:tbl>
    <w:p>
      <w:pPr>
        <w:pStyle w:val="Normal"/>
        <w:ind w:firstLine="851"/>
        <w:jc w:val="both"/>
        <w:rPr>
          <w:sz w:val="24"/>
          <w:szCs w:val="24"/>
        </w:rPr>
      </w:pPr>
      <w:r>
        <w:rPr>
          <w:sz w:val="24"/>
          <w:szCs w:val="24"/>
        </w:rPr>
      </w:r>
    </w:p>
    <w:p>
      <w:pPr>
        <w:pStyle w:val="Normal"/>
        <w:ind w:firstLine="851"/>
        <w:jc w:val="both"/>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 (............)</w:t>
      </w:r>
      <w:r>
        <w:rPr>
          <w:sz w:val="24"/>
          <w:szCs w:val="24"/>
        </w:rPr>
        <w:t>, conforme valores apresentados por esta, em sua proposta.</w:t>
      </w:r>
    </w:p>
    <w:p>
      <w:pPr>
        <w:pStyle w:val="Normal"/>
        <w:ind w:firstLine="851"/>
        <w:jc w:val="both"/>
        <w:rPr>
          <w:b/>
          <w:sz w:val="24"/>
          <w:szCs w:val="24"/>
        </w:rPr>
      </w:pPr>
      <w:r>
        <w:rPr>
          <w:b/>
          <w:sz w:val="24"/>
          <w:szCs w:val="24"/>
        </w:rPr>
      </w:r>
    </w:p>
    <w:p>
      <w:pPr>
        <w:pStyle w:val="Normal"/>
        <w:ind w:firstLine="851"/>
        <w:jc w:val="both"/>
        <w:rPr/>
      </w:pPr>
      <w:r>
        <w:rPr>
          <w:b/>
          <w:sz w:val="24"/>
          <w:szCs w:val="24"/>
        </w:rPr>
        <w:t>5.2.</w:t>
      </w:r>
      <w:r>
        <w:rPr>
          <w:sz w:val="24"/>
          <w:szCs w:val="24"/>
        </w:rPr>
        <w:t xml:space="preserve"> Nos preços propostos já estão inclusos, além dos lucros, todas e quaisquer despesas diretas e indiretas, tais como, transportes e combustível, mão de 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b/>
          <w:sz w:val="24"/>
          <w:szCs w:val="24"/>
        </w:rPr>
      </w:pPr>
      <w:r>
        <w:rPr>
          <w:b/>
          <w:sz w:val="24"/>
          <w:szCs w:val="24"/>
        </w:rPr>
      </w:r>
    </w:p>
    <w:tbl>
      <w:tblPr>
        <w:tblW w:w="862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625"/>
      </w:tblGrid>
      <w:tr>
        <w:trPr/>
        <w:tc>
          <w:tcPr>
            <w:tcW w:w="8625"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6ª – DOS PAGAMENTOS</w:t>
            </w:r>
          </w:p>
        </w:tc>
      </w:tr>
    </w:tbl>
    <w:p>
      <w:pPr>
        <w:pStyle w:val="Normal"/>
        <w:ind w:firstLine="851"/>
        <w:jc w:val="both"/>
        <w:rPr>
          <w:sz w:val="24"/>
          <w:szCs w:val="24"/>
        </w:rPr>
      </w:pPr>
      <w:r>
        <w:rPr>
          <w:sz w:val="24"/>
          <w:szCs w:val="24"/>
        </w:rPr>
      </w:r>
    </w:p>
    <w:p>
      <w:pPr>
        <w:pStyle w:val="Normal"/>
        <w:ind w:firstLine="850"/>
        <w:jc w:val="both"/>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pPr>
        <w:pStyle w:val="Normal"/>
        <w:ind w:firstLine="850"/>
        <w:jc w:val="both"/>
        <w:rPr>
          <w:b/>
          <w:sz w:val="24"/>
          <w:szCs w:val="24"/>
        </w:rPr>
      </w:pPr>
      <w:r>
        <w:rPr>
          <w:b/>
          <w:sz w:val="24"/>
          <w:szCs w:val="24"/>
        </w:rPr>
      </w:r>
    </w:p>
    <w:p>
      <w:pPr>
        <w:pStyle w:val="Normal"/>
        <w:ind w:firstLine="850"/>
        <w:jc w:val="both"/>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conta-corrente indicados pela </w:t>
      </w:r>
      <w:r>
        <w:rPr>
          <w:b/>
          <w:sz w:val="24"/>
          <w:szCs w:val="24"/>
        </w:rPr>
        <w:t>CONTRATADA</w:t>
      </w:r>
      <w:r>
        <w:rPr>
          <w:sz w:val="24"/>
          <w:szCs w:val="24"/>
        </w:rPr>
        <w:t xml:space="preserve">. </w:t>
      </w:r>
    </w:p>
    <w:p>
      <w:pPr>
        <w:pStyle w:val="Normal"/>
        <w:ind w:firstLine="850"/>
        <w:jc w:val="both"/>
        <w:rPr>
          <w:sz w:val="24"/>
          <w:szCs w:val="24"/>
        </w:rPr>
      </w:pPr>
      <w:r>
        <w:rPr>
          <w:sz w:val="24"/>
          <w:szCs w:val="24"/>
        </w:rPr>
      </w:r>
    </w:p>
    <w:p>
      <w:pPr>
        <w:pStyle w:val="Normal"/>
        <w:ind w:firstLine="850"/>
        <w:jc w:val="both"/>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sz w:val="24"/>
          <w:szCs w:val="24"/>
        </w:rPr>
      </w:pPr>
      <w:r>
        <w:rPr>
          <w:sz w:val="24"/>
          <w:szCs w:val="24"/>
        </w:rPr>
      </w:r>
    </w:p>
    <w:p>
      <w:pPr>
        <w:pStyle w:val="Normal"/>
        <w:ind w:firstLine="850"/>
        <w:jc w:val="both"/>
        <w:rPr/>
      </w:pPr>
      <w:r>
        <w:rPr>
          <w:sz w:val="24"/>
          <w:szCs w:val="24"/>
        </w:rPr>
        <w:t xml:space="preserve">E-mail para emissão da NF-e: </w:t>
      </w:r>
      <w:hyperlink r:id="rId11">
        <w:r>
          <w:rPr>
            <w:rStyle w:val="Hyperlink"/>
            <w:sz w:val="24"/>
            <w:szCs w:val="24"/>
          </w:rPr>
          <w:t>notafiscal@piracicaba.sp.gov.br</w:t>
        </w:r>
      </w:hyperlink>
    </w:p>
    <w:p>
      <w:pPr>
        <w:pStyle w:val="Normal"/>
        <w:jc w:val="both"/>
        <w:rPr>
          <w:b/>
          <w:sz w:val="24"/>
          <w:szCs w:val="24"/>
        </w:rPr>
      </w:pPr>
      <w:r>
        <w:rPr>
          <w:b/>
          <w:sz w:val="24"/>
          <w:szCs w:val="24"/>
        </w:rPr>
      </w:r>
    </w:p>
    <w:p>
      <w:pPr>
        <w:pStyle w:val="Normal"/>
        <w:ind w:firstLine="850"/>
        <w:jc w:val="both"/>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pPr>
        <w:pStyle w:val="Normal"/>
        <w:ind w:firstLine="850"/>
        <w:jc w:val="both"/>
        <w:rPr>
          <w:sz w:val="24"/>
          <w:szCs w:val="24"/>
        </w:rPr>
      </w:pPr>
      <w:r>
        <w:rPr>
          <w:sz w:val="24"/>
          <w:szCs w:val="24"/>
        </w:rPr>
      </w:r>
    </w:p>
    <w:p>
      <w:pPr>
        <w:pStyle w:val="Normal"/>
        <w:ind w:firstLine="850"/>
        <w:jc w:val="both"/>
        <w:rPr/>
      </w:pPr>
      <w:r>
        <w:rPr>
          <w:b/>
          <w:sz w:val="24"/>
          <w:szCs w:val="24"/>
        </w:rPr>
        <w:t xml:space="preserve">6.3.1. </w:t>
      </w:r>
      <w:r>
        <w:rPr>
          <w:sz w:val="24"/>
          <w:szCs w:val="24"/>
        </w:rPr>
        <w:t>Certidão de Regularidade perante a Fazenda Federal (INSS), com validade em vigor;</w:t>
      </w:r>
    </w:p>
    <w:p>
      <w:pPr>
        <w:pStyle w:val="Normal"/>
        <w:ind w:firstLine="850"/>
        <w:jc w:val="both"/>
        <w:rPr>
          <w:sz w:val="24"/>
          <w:szCs w:val="24"/>
        </w:rPr>
      </w:pPr>
      <w:r>
        <w:rPr>
          <w:sz w:val="24"/>
          <w:szCs w:val="24"/>
        </w:rPr>
      </w:r>
    </w:p>
    <w:p>
      <w:pPr>
        <w:pStyle w:val="Normal"/>
        <w:ind w:firstLine="850"/>
        <w:jc w:val="both"/>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pPr>
        <w:pStyle w:val="Normal"/>
        <w:ind w:firstLine="850"/>
        <w:jc w:val="both"/>
        <w:rPr>
          <w:b/>
          <w:sz w:val="24"/>
          <w:szCs w:val="24"/>
        </w:rPr>
      </w:pPr>
      <w:r>
        <w:rPr>
          <w:b/>
          <w:sz w:val="24"/>
          <w:szCs w:val="24"/>
        </w:rPr>
      </w:r>
    </w:p>
    <w:p>
      <w:pPr>
        <w:pStyle w:val="Normal"/>
        <w:keepLines/>
        <w:ind w:firstLine="850"/>
        <w:jc w:val="both"/>
        <w:rPr/>
      </w:pPr>
      <w:r>
        <w:rPr>
          <w:b/>
          <w:sz w:val="24"/>
          <w:szCs w:val="24"/>
        </w:rPr>
        <w:t>6.3.3.</w:t>
      </w:r>
      <w:r>
        <w:rPr>
          <w:sz w:val="24"/>
          <w:szCs w:val="24"/>
        </w:rPr>
        <w:t xml:space="preserve"> Certidão de Regularidade perante a Fazenda Municipal, com validade em vigor, e;</w:t>
      </w:r>
    </w:p>
    <w:p>
      <w:pPr>
        <w:pStyle w:val="Normal"/>
        <w:keepLines/>
        <w:ind w:firstLine="850"/>
        <w:jc w:val="both"/>
        <w:rPr>
          <w:sz w:val="24"/>
          <w:szCs w:val="24"/>
        </w:rPr>
      </w:pPr>
      <w:r>
        <w:rPr>
          <w:sz w:val="24"/>
          <w:szCs w:val="24"/>
        </w:rPr>
      </w:r>
    </w:p>
    <w:p>
      <w:pPr>
        <w:pStyle w:val="Normal"/>
        <w:keepLines/>
        <w:ind w:firstLine="850"/>
        <w:jc w:val="both"/>
        <w:rPr/>
      </w:pPr>
      <w:r>
        <w:rPr>
          <w:b/>
          <w:sz w:val="24"/>
          <w:szCs w:val="24"/>
        </w:rPr>
        <w:t>6.3.4.</w:t>
      </w:r>
      <w:r>
        <w:rPr>
          <w:sz w:val="24"/>
          <w:szCs w:val="24"/>
        </w:rPr>
        <w:t xml:space="preserve"> Certidão Negativa de Débitos Trabalhistas (CNDT).</w:t>
      </w:r>
    </w:p>
    <w:p>
      <w:pPr>
        <w:pStyle w:val="Normal"/>
        <w:jc w:val="both"/>
        <w:rPr>
          <w:b/>
          <w:sz w:val="24"/>
          <w:szCs w:val="24"/>
        </w:rPr>
      </w:pPr>
      <w:r>
        <w:rPr>
          <w:b/>
          <w:sz w:val="24"/>
          <w:szCs w:val="24"/>
        </w:rPr>
      </w:r>
    </w:p>
    <w:p>
      <w:pPr>
        <w:pStyle w:val="Normal"/>
        <w:ind w:firstLine="850"/>
        <w:jc w:val="both"/>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pPr>
        <w:pStyle w:val="Normal"/>
        <w:ind w:firstLine="850"/>
        <w:jc w:val="both"/>
        <w:rPr>
          <w:sz w:val="24"/>
          <w:szCs w:val="24"/>
        </w:rPr>
      </w:pPr>
      <w:r>
        <w:rPr>
          <w:sz w:val="24"/>
          <w:szCs w:val="24"/>
        </w:rPr>
      </w:r>
    </w:p>
    <w:p>
      <w:pPr>
        <w:pStyle w:val="Normal"/>
        <w:ind w:firstLine="851"/>
        <w:jc w:val="both"/>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pPr>
        <w:pStyle w:val="Normal"/>
        <w:ind w:firstLine="851"/>
        <w:jc w:val="both"/>
        <w:rPr>
          <w:sz w:val="24"/>
          <w:szCs w:val="24"/>
        </w:rPr>
      </w:pPr>
      <w:r>
        <w:rPr>
          <w:sz w:val="24"/>
          <w:szCs w:val="24"/>
        </w:rPr>
      </w:r>
    </w:p>
    <w:tbl>
      <w:tblPr>
        <w:tblW w:w="8745" w:type="dxa"/>
        <w:jc w:val="left"/>
        <w:tblInd w:w="-14" w:type="dxa"/>
        <w:tblLayout w:type="fixed"/>
        <w:tblCellMar>
          <w:top w:w="0" w:type="dxa"/>
          <w:left w:w="108" w:type="dxa"/>
          <w:bottom w:w="0" w:type="dxa"/>
          <w:right w:w="108" w:type="dxa"/>
        </w:tblCellMar>
        <w:tblLook w:firstRow="1" w:noVBand="1" w:lastRow="0" w:firstColumn="1" w:lastColumn="0" w:noHBand="0" w:val="04a0"/>
      </w:tblPr>
      <w:tblGrid>
        <w:gridCol w:w="8745"/>
      </w:tblGrid>
      <w:tr>
        <w:trPr/>
        <w:tc>
          <w:tcPr>
            <w:tcW w:w="8745"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7ª – DA FISCALIZAÇÃO</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 do presente instrumento.</w:t>
      </w:r>
    </w:p>
    <w:p>
      <w:pPr>
        <w:pStyle w:val="Normal"/>
        <w:ind w:firstLine="851"/>
        <w:jc w:val="both"/>
        <w:rPr>
          <w:b/>
          <w:sz w:val="24"/>
          <w:szCs w:val="24"/>
        </w:rPr>
      </w:pPr>
      <w:r>
        <w:rPr>
          <w:b/>
          <w:sz w:val="24"/>
          <w:szCs w:val="24"/>
        </w:rPr>
      </w:r>
    </w:p>
    <w:tbl>
      <w:tblPr>
        <w:tblW w:w="8745" w:type="dxa"/>
        <w:jc w:val="left"/>
        <w:tblInd w:w="-14" w:type="dxa"/>
        <w:tblLayout w:type="fixed"/>
        <w:tblCellMar>
          <w:top w:w="0" w:type="dxa"/>
          <w:left w:w="108" w:type="dxa"/>
          <w:bottom w:w="0" w:type="dxa"/>
          <w:right w:w="108" w:type="dxa"/>
        </w:tblCellMar>
        <w:tblLook w:firstRow="1" w:noVBand="1" w:lastRow="0" w:firstColumn="1" w:lastColumn="0" w:noHBand="0" w:val="04a0"/>
      </w:tblPr>
      <w:tblGrid>
        <w:gridCol w:w="8745"/>
      </w:tblGrid>
      <w:tr>
        <w:trPr/>
        <w:tc>
          <w:tcPr>
            <w:tcW w:w="8745"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8ª – DO PRAZO DE VIGÊNCIA</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8.1.</w:t>
      </w:r>
      <w:r>
        <w:rPr>
          <w:sz w:val="24"/>
          <w:szCs w:val="24"/>
        </w:rPr>
        <w:t xml:space="preserve"> </w:t>
      </w:r>
      <w:r>
        <w:rPr>
          <w:color w:val="000000"/>
          <w:sz w:val="24"/>
          <w:szCs w:val="24"/>
        </w:rPr>
        <w:t>O presente contrato terá vigência até 31 de dezembro de 2026, podendo ser prorrogado, por igual período, renovadas as quantidades, desde que comprovado o preço vantajoso, conforme previsto no artigo 84 da Lei 14.133, de 2021, a contar da data da Ordem de Fornecimento.</w:t>
      </w:r>
      <w:r>
        <w:rPr>
          <w:sz w:val="24"/>
          <w:szCs w:val="24"/>
        </w:rPr>
        <w:t xml:space="preserve"> </w:t>
      </w:r>
    </w:p>
    <w:p>
      <w:pPr>
        <w:pStyle w:val="Normal"/>
        <w:ind w:firstLine="851"/>
        <w:jc w:val="both"/>
        <w:rPr>
          <w:sz w:val="24"/>
          <w:szCs w:val="24"/>
        </w:rPr>
      </w:pPr>
      <w:r>
        <w:rPr>
          <w:sz w:val="24"/>
          <w:szCs w:val="24"/>
        </w:rPr>
      </w:r>
    </w:p>
    <w:tbl>
      <w:tblPr>
        <w:tblW w:w="8745" w:type="dxa"/>
        <w:jc w:val="left"/>
        <w:tblInd w:w="-14" w:type="dxa"/>
        <w:tblLayout w:type="fixed"/>
        <w:tblCellMar>
          <w:top w:w="0" w:type="dxa"/>
          <w:left w:w="108" w:type="dxa"/>
          <w:bottom w:w="0" w:type="dxa"/>
          <w:right w:w="108" w:type="dxa"/>
        </w:tblCellMar>
        <w:tblLook w:firstRow="1" w:noVBand="1" w:lastRow="0" w:firstColumn="1" w:lastColumn="0" w:noHBand="0" w:val="04a0"/>
      </w:tblPr>
      <w:tblGrid>
        <w:gridCol w:w="8745"/>
      </w:tblGrid>
      <w:tr>
        <w:trPr/>
        <w:tc>
          <w:tcPr>
            <w:tcW w:w="8745"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9ª – DA EXTINÇÃO DO CONTRATO</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pPr>
        <w:pStyle w:val="Normal"/>
        <w:ind w:firstLine="851"/>
        <w:jc w:val="both"/>
        <w:rPr>
          <w:sz w:val="24"/>
          <w:szCs w:val="24"/>
        </w:rPr>
      </w:pPr>
      <w:r>
        <w:rPr>
          <w:sz w:val="24"/>
          <w:szCs w:val="24"/>
        </w:rPr>
      </w:r>
    </w:p>
    <w:tbl>
      <w:tblPr>
        <w:tblW w:w="8745" w:type="dxa"/>
        <w:jc w:val="left"/>
        <w:tblInd w:w="-14" w:type="dxa"/>
        <w:tblLayout w:type="fixed"/>
        <w:tblCellMar>
          <w:top w:w="0" w:type="dxa"/>
          <w:left w:w="108" w:type="dxa"/>
          <w:bottom w:w="0" w:type="dxa"/>
          <w:right w:w="108" w:type="dxa"/>
        </w:tblCellMar>
        <w:tblLook w:firstRow="1" w:noVBand="1" w:lastRow="0" w:firstColumn="1" w:lastColumn="0" w:noHBand="0" w:val="04a0"/>
      </w:tblPr>
      <w:tblGrid>
        <w:gridCol w:w="8745"/>
      </w:tblGrid>
      <w:tr>
        <w:trPr/>
        <w:tc>
          <w:tcPr>
            <w:tcW w:w="8745"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10 – DO RECEBIMENTO</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10.1.</w:t>
      </w:r>
      <w:r>
        <w:rPr>
          <w:sz w:val="24"/>
          <w:szCs w:val="24"/>
        </w:rPr>
        <w:t xml:space="preserve"> O objeto deste contrato será recebido por servidor a ser designado para o ato do recebimento, da seguinte forma:</w:t>
      </w:r>
    </w:p>
    <w:p>
      <w:pPr>
        <w:pStyle w:val="Normal"/>
        <w:ind w:firstLine="851"/>
        <w:jc w:val="both"/>
        <w:rPr>
          <w:b/>
          <w:sz w:val="24"/>
          <w:szCs w:val="24"/>
        </w:rPr>
      </w:pPr>
      <w:r>
        <w:rPr>
          <w:b/>
          <w:sz w:val="24"/>
          <w:szCs w:val="24"/>
        </w:rPr>
      </w:r>
    </w:p>
    <w:p>
      <w:pPr>
        <w:pStyle w:val="Normal"/>
        <w:ind w:firstLine="851"/>
        <w:jc w:val="both"/>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pPr>
        <w:pStyle w:val="Normal"/>
        <w:ind w:firstLine="851"/>
        <w:jc w:val="both"/>
        <w:rPr>
          <w:sz w:val="24"/>
          <w:szCs w:val="24"/>
        </w:rPr>
      </w:pPr>
      <w:r>
        <w:rPr>
          <w:sz w:val="24"/>
          <w:szCs w:val="24"/>
        </w:rPr>
      </w:r>
    </w:p>
    <w:p>
      <w:pPr>
        <w:pStyle w:val="Normal"/>
        <w:ind w:firstLine="851"/>
        <w:jc w:val="both"/>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pPr>
        <w:pStyle w:val="Normal"/>
        <w:ind w:firstLine="851"/>
        <w:jc w:val="both"/>
        <w:rPr>
          <w:b/>
          <w:sz w:val="24"/>
          <w:szCs w:val="24"/>
        </w:rPr>
      </w:pPr>
      <w:r>
        <w:rPr>
          <w:b/>
          <w:sz w:val="24"/>
          <w:szCs w:val="24"/>
        </w:rPr>
      </w:r>
    </w:p>
    <w:p>
      <w:pPr>
        <w:pStyle w:val="Normal"/>
        <w:ind w:firstLine="851"/>
        <w:jc w:val="both"/>
        <w:rPr/>
      </w:pPr>
      <w:r>
        <w:rPr>
          <w:b/>
          <w:sz w:val="24"/>
          <w:szCs w:val="24"/>
        </w:rPr>
        <w:t xml:space="preserve">10.2. </w:t>
      </w:r>
      <w:r>
        <w:rPr>
          <w:sz w:val="24"/>
          <w:szCs w:val="24"/>
        </w:rPr>
        <w:t>O recebimento de que trata este item far-se-á mediante recibo.</w:t>
      </w:r>
    </w:p>
    <w:p>
      <w:pPr>
        <w:pStyle w:val="Normal"/>
        <w:ind w:firstLine="851"/>
        <w:jc w:val="both"/>
        <w:rPr>
          <w:b/>
          <w:sz w:val="24"/>
          <w:szCs w:val="24"/>
        </w:rPr>
      </w:pPr>
      <w:r>
        <w:rPr>
          <w:b/>
          <w:sz w:val="24"/>
          <w:szCs w:val="24"/>
        </w:rPr>
      </w:r>
    </w:p>
    <w:p>
      <w:pPr>
        <w:pStyle w:val="Normal"/>
        <w:ind w:firstLine="851"/>
        <w:jc w:val="both"/>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pPr>
        <w:pStyle w:val="Normal"/>
        <w:jc w:val="both"/>
        <w:rPr>
          <w:sz w:val="24"/>
          <w:szCs w:val="24"/>
        </w:rPr>
      </w:pPr>
      <w:r>
        <w:rPr>
          <w:sz w:val="24"/>
          <w:szCs w:val="24"/>
        </w:rPr>
      </w:r>
    </w:p>
    <w:tbl>
      <w:tblPr>
        <w:tblW w:w="8745" w:type="dxa"/>
        <w:jc w:val="left"/>
        <w:tblInd w:w="-14" w:type="dxa"/>
        <w:tblLayout w:type="fixed"/>
        <w:tblCellMar>
          <w:top w:w="0" w:type="dxa"/>
          <w:left w:w="108" w:type="dxa"/>
          <w:bottom w:w="0" w:type="dxa"/>
          <w:right w:w="108" w:type="dxa"/>
        </w:tblCellMar>
        <w:tblLook w:firstRow="1" w:noVBand="1" w:lastRow="0" w:firstColumn="1" w:lastColumn="0" w:noHBand="0" w:val="04a0"/>
      </w:tblPr>
      <w:tblGrid>
        <w:gridCol w:w="8745"/>
      </w:tblGrid>
      <w:tr>
        <w:trPr/>
        <w:tc>
          <w:tcPr>
            <w:tcW w:w="8745"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b/>
                <w:sz w:val="24"/>
                <w:szCs w:val="24"/>
                <w:lang w:bidi="hi-IN"/>
              </w:rPr>
            </w:pPr>
            <w:r>
              <w:rPr>
                <w:b/>
                <w:sz w:val="24"/>
                <w:szCs w:val="24"/>
                <w:lang w:bidi="hi-IN"/>
              </w:rPr>
              <w:t>CLÁUSULA 11 – DAS SANÇÕES ADMINISTRATIVAS</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11.1.</w:t>
      </w:r>
      <w:r>
        <w:rPr>
          <w:sz w:val="24"/>
          <w:szCs w:val="24"/>
        </w:rPr>
        <w:t xml:space="preserve"> Comete infração administrativa, nos termos da lei, o licitante que, com dolo ou culpa: </w:t>
      </w:r>
    </w:p>
    <w:p>
      <w:pPr>
        <w:pStyle w:val="Normal"/>
        <w:ind w:firstLine="851"/>
        <w:jc w:val="both"/>
        <w:rPr>
          <w:b/>
          <w:sz w:val="24"/>
          <w:szCs w:val="24"/>
        </w:rPr>
      </w:pPr>
      <w:r>
        <w:rPr>
          <w:b/>
          <w:sz w:val="24"/>
          <w:szCs w:val="24"/>
        </w:rPr>
      </w:r>
    </w:p>
    <w:p>
      <w:pPr>
        <w:pStyle w:val="Normal"/>
        <w:ind w:firstLine="851"/>
        <w:jc w:val="both"/>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pPr>
        <w:pStyle w:val="Normal"/>
        <w:ind w:firstLine="851"/>
        <w:jc w:val="both"/>
        <w:rPr>
          <w:sz w:val="24"/>
          <w:szCs w:val="24"/>
        </w:rPr>
      </w:pPr>
      <w:r>
        <w:rPr>
          <w:sz w:val="24"/>
          <w:szCs w:val="24"/>
        </w:rPr>
      </w:r>
    </w:p>
    <w:p>
      <w:pPr>
        <w:pStyle w:val="Normal"/>
        <w:ind w:firstLine="851"/>
        <w:jc w:val="both"/>
        <w:rPr/>
      </w:pPr>
      <w:r>
        <w:rPr>
          <w:b/>
          <w:sz w:val="24"/>
          <w:szCs w:val="24"/>
        </w:rPr>
        <w:t>11.1.2.</w:t>
      </w:r>
      <w:r>
        <w:rPr>
          <w:sz w:val="24"/>
          <w:szCs w:val="24"/>
        </w:rPr>
        <w:t xml:space="preserve"> Salvo em decorrência de fato superveniente devidamente justificado, não mantiver a proposta em especial quando: </w:t>
      </w:r>
    </w:p>
    <w:p>
      <w:pPr>
        <w:pStyle w:val="Normal"/>
        <w:ind w:firstLine="851"/>
        <w:jc w:val="both"/>
        <w:rPr>
          <w:sz w:val="24"/>
          <w:szCs w:val="24"/>
        </w:rPr>
      </w:pPr>
      <w:r>
        <w:rPr>
          <w:sz w:val="24"/>
          <w:szCs w:val="24"/>
        </w:rPr>
      </w:r>
    </w:p>
    <w:p>
      <w:pPr>
        <w:pStyle w:val="Normal"/>
        <w:ind w:firstLine="851"/>
        <w:jc w:val="both"/>
        <w:rPr/>
      </w:pPr>
      <w:r>
        <w:rPr>
          <w:b/>
          <w:sz w:val="24"/>
          <w:szCs w:val="24"/>
        </w:rPr>
        <w:t>11.1.2.1.</w:t>
      </w:r>
      <w:r>
        <w:rPr>
          <w:sz w:val="24"/>
          <w:szCs w:val="24"/>
        </w:rPr>
        <w:t xml:space="preserve"> Não enviar a proposta adequada ao último lance ofertado ou após a negociação; </w:t>
      </w:r>
    </w:p>
    <w:p>
      <w:pPr>
        <w:pStyle w:val="Normal"/>
        <w:ind w:firstLine="851"/>
        <w:jc w:val="both"/>
        <w:rPr>
          <w:sz w:val="24"/>
          <w:szCs w:val="24"/>
        </w:rPr>
      </w:pPr>
      <w:r>
        <w:rPr>
          <w:sz w:val="24"/>
          <w:szCs w:val="24"/>
        </w:rPr>
      </w:r>
    </w:p>
    <w:p>
      <w:pPr>
        <w:pStyle w:val="Normal"/>
        <w:ind w:firstLine="851"/>
        <w:jc w:val="both"/>
        <w:rPr/>
      </w:pPr>
      <w:r>
        <w:rPr>
          <w:b/>
          <w:sz w:val="24"/>
          <w:szCs w:val="24"/>
        </w:rPr>
        <w:t>11.1.2.2.</w:t>
      </w:r>
      <w:r>
        <w:rPr>
          <w:sz w:val="24"/>
          <w:szCs w:val="24"/>
        </w:rPr>
        <w:t xml:space="preserve"> Recusar-se a enviar o detalhamento da proposta quando exigível; </w:t>
      </w:r>
    </w:p>
    <w:p>
      <w:pPr>
        <w:pStyle w:val="Normal"/>
        <w:ind w:firstLine="851"/>
        <w:jc w:val="both"/>
        <w:rPr>
          <w:sz w:val="24"/>
          <w:szCs w:val="24"/>
        </w:rPr>
      </w:pPr>
      <w:r>
        <w:rPr>
          <w:sz w:val="24"/>
          <w:szCs w:val="24"/>
        </w:rPr>
      </w:r>
    </w:p>
    <w:p>
      <w:pPr>
        <w:pStyle w:val="Normal"/>
        <w:ind w:firstLine="851"/>
        <w:jc w:val="both"/>
        <w:rPr/>
      </w:pPr>
      <w:r>
        <w:rPr>
          <w:b/>
          <w:sz w:val="24"/>
          <w:szCs w:val="24"/>
        </w:rPr>
        <w:t>11.1.2.3.</w:t>
      </w:r>
      <w:r>
        <w:rPr>
          <w:sz w:val="24"/>
          <w:szCs w:val="24"/>
        </w:rPr>
        <w:t xml:space="preserve"> Pedir para ser desclassificado quando encerrada a etapa competitiva; </w:t>
      </w:r>
    </w:p>
    <w:p>
      <w:pPr>
        <w:pStyle w:val="Normal"/>
        <w:jc w:val="both"/>
        <w:rPr>
          <w:sz w:val="24"/>
          <w:szCs w:val="24"/>
        </w:rPr>
      </w:pPr>
      <w:r>
        <w:rPr>
          <w:sz w:val="24"/>
          <w:szCs w:val="24"/>
        </w:rPr>
      </w:r>
    </w:p>
    <w:p>
      <w:pPr>
        <w:pStyle w:val="Normal"/>
        <w:ind w:firstLine="851"/>
        <w:jc w:val="both"/>
        <w:rPr/>
      </w:pPr>
      <w:r>
        <w:rPr>
          <w:b/>
          <w:sz w:val="24"/>
          <w:szCs w:val="24"/>
        </w:rPr>
        <w:t>11.1.2.4.</w:t>
      </w:r>
      <w:r>
        <w:rPr>
          <w:sz w:val="24"/>
          <w:szCs w:val="24"/>
        </w:rPr>
        <w:t xml:space="preserve"> Deixar de apresentar amostra; </w:t>
      </w:r>
    </w:p>
    <w:p>
      <w:pPr>
        <w:pStyle w:val="Normal"/>
        <w:ind w:firstLine="851"/>
        <w:jc w:val="both"/>
        <w:rPr>
          <w:sz w:val="24"/>
          <w:szCs w:val="24"/>
        </w:rPr>
      </w:pPr>
      <w:r>
        <w:rPr>
          <w:sz w:val="24"/>
          <w:szCs w:val="24"/>
        </w:rPr>
      </w:r>
    </w:p>
    <w:p>
      <w:pPr>
        <w:pStyle w:val="Normal"/>
        <w:ind w:firstLine="851"/>
        <w:jc w:val="both"/>
        <w:rPr/>
      </w:pPr>
      <w:r>
        <w:rPr>
          <w:b/>
          <w:sz w:val="24"/>
          <w:szCs w:val="24"/>
        </w:rPr>
        <w:t>11.1.2.5</w:t>
      </w:r>
      <w:r>
        <w:rPr>
          <w:sz w:val="24"/>
          <w:szCs w:val="24"/>
        </w:rPr>
        <w:t xml:space="preserve">. Apresentar proposta ou amostra em desacordo com as especificações do edital; </w:t>
      </w:r>
    </w:p>
    <w:p>
      <w:pPr>
        <w:pStyle w:val="Normal"/>
        <w:ind w:firstLine="851"/>
        <w:jc w:val="both"/>
        <w:rPr>
          <w:sz w:val="24"/>
          <w:szCs w:val="24"/>
        </w:rPr>
      </w:pPr>
      <w:r>
        <w:rPr>
          <w:sz w:val="24"/>
          <w:szCs w:val="24"/>
        </w:rPr>
      </w:r>
    </w:p>
    <w:p>
      <w:pPr>
        <w:pStyle w:val="Normal"/>
        <w:ind w:firstLine="851"/>
        <w:jc w:val="both"/>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pPr>
        <w:pStyle w:val="Normal"/>
        <w:ind w:firstLine="851"/>
        <w:jc w:val="both"/>
        <w:rPr>
          <w:sz w:val="24"/>
          <w:szCs w:val="24"/>
        </w:rPr>
      </w:pPr>
      <w:r>
        <w:rPr>
          <w:sz w:val="24"/>
          <w:szCs w:val="24"/>
        </w:rPr>
      </w:r>
    </w:p>
    <w:p>
      <w:pPr>
        <w:pStyle w:val="Normal"/>
        <w:ind w:firstLine="851"/>
        <w:jc w:val="both"/>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pPr>
        <w:pStyle w:val="Normal"/>
        <w:ind w:firstLine="851"/>
        <w:jc w:val="both"/>
        <w:rPr>
          <w:sz w:val="24"/>
          <w:szCs w:val="24"/>
        </w:rPr>
      </w:pPr>
      <w:r>
        <w:rPr>
          <w:sz w:val="24"/>
          <w:szCs w:val="24"/>
        </w:rPr>
      </w:r>
    </w:p>
    <w:p>
      <w:pPr>
        <w:pStyle w:val="Normal"/>
        <w:ind w:firstLine="851"/>
        <w:jc w:val="both"/>
        <w:rPr/>
      </w:pPr>
      <w:r>
        <w:rPr>
          <w:b/>
          <w:sz w:val="24"/>
          <w:szCs w:val="24"/>
        </w:rPr>
        <w:t>11.1.4.</w:t>
      </w:r>
      <w:r>
        <w:rPr>
          <w:sz w:val="24"/>
          <w:szCs w:val="24"/>
        </w:rPr>
        <w:t xml:space="preserve"> Apresentar declaração ou documentação falsa exigida para o certame ou prestar declaração falsa durante a licitação;</w:t>
      </w:r>
    </w:p>
    <w:p>
      <w:pPr>
        <w:pStyle w:val="Normal"/>
        <w:ind w:firstLine="851"/>
        <w:jc w:val="both"/>
        <w:rPr>
          <w:sz w:val="24"/>
          <w:szCs w:val="24"/>
        </w:rPr>
      </w:pPr>
      <w:r>
        <w:rPr>
          <w:sz w:val="24"/>
          <w:szCs w:val="24"/>
        </w:rPr>
      </w:r>
    </w:p>
    <w:p>
      <w:pPr>
        <w:pStyle w:val="Normal"/>
        <w:ind w:firstLine="851"/>
        <w:jc w:val="both"/>
        <w:rPr/>
      </w:pPr>
      <w:r>
        <w:rPr>
          <w:b/>
          <w:sz w:val="24"/>
          <w:szCs w:val="24"/>
        </w:rPr>
        <w:t>11.1.5.</w:t>
      </w:r>
      <w:r>
        <w:rPr>
          <w:sz w:val="24"/>
          <w:szCs w:val="24"/>
        </w:rPr>
        <w:t xml:space="preserve"> Fraudar a licitação </w:t>
      </w:r>
    </w:p>
    <w:p>
      <w:pPr>
        <w:pStyle w:val="Normal"/>
        <w:ind w:firstLine="851"/>
        <w:jc w:val="both"/>
        <w:rPr>
          <w:b/>
          <w:sz w:val="24"/>
          <w:szCs w:val="24"/>
        </w:rPr>
      </w:pPr>
      <w:r>
        <w:rPr>
          <w:b/>
          <w:sz w:val="24"/>
          <w:szCs w:val="24"/>
        </w:rPr>
      </w:r>
    </w:p>
    <w:p>
      <w:pPr>
        <w:pStyle w:val="Normal"/>
        <w:ind w:firstLine="851"/>
        <w:jc w:val="both"/>
        <w:rPr/>
      </w:pPr>
      <w:r>
        <w:rPr>
          <w:b/>
          <w:sz w:val="24"/>
          <w:szCs w:val="24"/>
        </w:rPr>
        <w:t>11.1.6.</w:t>
      </w:r>
      <w:r>
        <w:rPr>
          <w:sz w:val="24"/>
          <w:szCs w:val="24"/>
        </w:rPr>
        <w:t xml:space="preserve"> Comportar-se de modo inidôneo ou cometer fraude de qualquer natureza, em especial quando: </w:t>
      </w:r>
    </w:p>
    <w:p>
      <w:pPr>
        <w:pStyle w:val="Normal"/>
        <w:ind w:firstLine="851"/>
        <w:jc w:val="both"/>
        <w:rPr>
          <w:sz w:val="24"/>
          <w:szCs w:val="24"/>
        </w:rPr>
      </w:pPr>
      <w:r>
        <w:rPr>
          <w:sz w:val="24"/>
          <w:szCs w:val="24"/>
        </w:rPr>
      </w:r>
    </w:p>
    <w:p>
      <w:pPr>
        <w:pStyle w:val="Normal"/>
        <w:ind w:firstLine="851"/>
        <w:jc w:val="both"/>
        <w:rPr/>
      </w:pPr>
      <w:r>
        <w:rPr>
          <w:b/>
          <w:sz w:val="24"/>
          <w:szCs w:val="24"/>
        </w:rPr>
        <w:t>11.1.6.1.</w:t>
      </w:r>
      <w:r>
        <w:rPr>
          <w:sz w:val="24"/>
          <w:szCs w:val="24"/>
        </w:rPr>
        <w:t xml:space="preserve"> Agir em conluio ou em desconformidade com a lei; </w:t>
      </w:r>
    </w:p>
    <w:p>
      <w:pPr>
        <w:pStyle w:val="Normal"/>
        <w:ind w:firstLine="851"/>
        <w:jc w:val="both"/>
        <w:rPr>
          <w:sz w:val="24"/>
          <w:szCs w:val="24"/>
        </w:rPr>
      </w:pPr>
      <w:r>
        <w:rPr>
          <w:sz w:val="24"/>
          <w:szCs w:val="24"/>
        </w:rPr>
      </w:r>
    </w:p>
    <w:p>
      <w:pPr>
        <w:pStyle w:val="Normal"/>
        <w:ind w:firstLine="851"/>
        <w:jc w:val="both"/>
        <w:rPr/>
      </w:pPr>
      <w:r>
        <w:rPr>
          <w:b/>
          <w:sz w:val="24"/>
          <w:szCs w:val="24"/>
        </w:rPr>
        <w:t>11.1.6.2.</w:t>
      </w:r>
      <w:r>
        <w:rPr>
          <w:sz w:val="24"/>
          <w:szCs w:val="24"/>
        </w:rPr>
        <w:t xml:space="preserve"> Induzir deliberadamente a erro no julgamento; </w:t>
      </w:r>
    </w:p>
    <w:p>
      <w:pPr>
        <w:pStyle w:val="Normal"/>
        <w:ind w:firstLine="851"/>
        <w:jc w:val="both"/>
        <w:rPr>
          <w:b/>
          <w:sz w:val="24"/>
          <w:szCs w:val="24"/>
        </w:rPr>
      </w:pPr>
      <w:r>
        <w:rPr>
          <w:b/>
          <w:sz w:val="24"/>
          <w:szCs w:val="24"/>
        </w:rPr>
      </w:r>
    </w:p>
    <w:p>
      <w:pPr>
        <w:pStyle w:val="Normal"/>
        <w:ind w:firstLine="851"/>
        <w:jc w:val="both"/>
        <w:rPr/>
      </w:pPr>
      <w:r>
        <w:rPr>
          <w:b/>
          <w:sz w:val="24"/>
          <w:szCs w:val="24"/>
        </w:rPr>
        <w:t>11.1.6.3.</w:t>
      </w:r>
      <w:r>
        <w:rPr>
          <w:sz w:val="24"/>
          <w:szCs w:val="24"/>
        </w:rPr>
        <w:t xml:space="preserve"> Apresentar amostra falsificada ou deteriorada;</w:t>
      </w:r>
    </w:p>
    <w:p>
      <w:pPr>
        <w:pStyle w:val="Normal"/>
        <w:ind w:firstLine="851"/>
        <w:jc w:val="both"/>
        <w:rPr>
          <w:sz w:val="24"/>
          <w:szCs w:val="24"/>
        </w:rPr>
      </w:pPr>
      <w:r>
        <w:rPr>
          <w:sz w:val="24"/>
          <w:szCs w:val="24"/>
        </w:rPr>
      </w:r>
    </w:p>
    <w:p>
      <w:pPr>
        <w:pStyle w:val="Normal"/>
        <w:ind w:firstLine="851"/>
        <w:jc w:val="both"/>
        <w:rPr/>
      </w:pPr>
      <w:r>
        <w:rPr>
          <w:b/>
          <w:sz w:val="24"/>
          <w:szCs w:val="24"/>
        </w:rPr>
        <w:t>11.1.7.</w:t>
      </w:r>
      <w:r>
        <w:rPr>
          <w:sz w:val="24"/>
          <w:szCs w:val="24"/>
        </w:rPr>
        <w:t xml:space="preserve"> Praticar atos ilícitos com vistas a frustrar os objetivos da licitação </w:t>
      </w:r>
    </w:p>
    <w:p>
      <w:pPr>
        <w:pStyle w:val="Normal"/>
        <w:ind w:firstLine="851"/>
        <w:jc w:val="both"/>
        <w:rPr>
          <w:sz w:val="24"/>
          <w:szCs w:val="24"/>
        </w:rPr>
      </w:pPr>
      <w:r>
        <w:rPr>
          <w:sz w:val="24"/>
          <w:szCs w:val="24"/>
        </w:rPr>
      </w:r>
    </w:p>
    <w:p>
      <w:pPr>
        <w:pStyle w:val="Normal"/>
        <w:ind w:firstLine="851"/>
        <w:jc w:val="both"/>
        <w:rPr/>
      </w:pPr>
      <w:r>
        <w:rPr>
          <w:b/>
          <w:sz w:val="24"/>
          <w:szCs w:val="24"/>
        </w:rPr>
        <w:t>11.1.8.</w:t>
      </w:r>
      <w:r>
        <w:rPr>
          <w:sz w:val="24"/>
          <w:szCs w:val="24"/>
        </w:rPr>
        <w:t xml:space="preserve"> Praticar ato lesivo previsto no art. 5º da Lei n.º 12.846, de 2013. </w:t>
      </w:r>
    </w:p>
    <w:p>
      <w:pPr>
        <w:pStyle w:val="Normal"/>
        <w:ind w:firstLine="851"/>
        <w:jc w:val="both"/>
        <w:rPr>
          <w:sz w:val="16"/>
          <w:szCs w:val="16"/>
        </w:rPr>
      </w:pPr>
      <w:r>
        <w:rPr>
          <w:sz w:val="16"/>
          <w:szCs w:val="16"/>
        </w:rPr>
      </w:r>
    </w:p>
    <w:p>
      <w:pPr>
        <w:pStyle w:val="Normal"/>
        <w:ind w:firstLine="851"/>
        <w:jc w:val="both"/>
        <w:rPr/>
      </w:pPr>
      <w:r>
        <w:rPr>
          <w:b/>
          <w:sz w:val="24"/>
          <w:szCs w:val="24"/>
        </w:rPr>
        <w:t>11.2.</w:t>
      </w:r>
      <w:r>
        <w:rPr>
          <w:sz w:val="24"/>
          <w:szCs w:val="24"/>
        </w:rPr>
        <w:t xml:space="preserve"> A sanção de que trata o subitem poderá ser aplicada juntamente com as multas previstas, garantindo o exercício de prévia e ampla defesa.</w:t>
      </w:r>
    </w:p>
    <w:p>
      <w:pPr>
        <w:pStyle w:val="Normal"/>
        <w:ind w:firstLine="851"/>
        <w:jc w:val="both"/>
        <w:rPr>
          <w:sz w:val="24"/>
          <w:szCs w:val="24"/>
        </w:rPr>
      </w:pPr>
      <w:r>
        <w:rPr>
          <w:sz w:val="24"/>
          <w:szCs w:val="24"/>
        </w:rPr>
      </w:r>
    </w:p>
    <w:p>
      <w:pPr>
        <w:pStyle w:val="Normal"/>
        <w:ind w:firstLine="851"/>
        <w:jc w:val="both"/>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b/>
          <w:sz w:val="24"/>
          <w:szCs w:val="24"/>
        </w:rPr>
      </w:pPr>
      <w:r>
        <w:rPr>
          <w:b/>
          <w:sz w:val="24"/>
          <w:szCs w:val="24"/>
        </w:rPr>
      </w:r>
    </w:p>
    <w:p>
      <w:pPr>
        <w:pStyle w:val="Normal"/>
        <w:ind w:firstLine="851"/>
        <w:jc w:val="both"/>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b/>
          <w:sz w:val="16"/>
          <w:szCs w:val="16"/>
        </w:rPr>
      </w:pPr>
      <w:r>
        <w:rPr>
          <w:b/>
          <w:sz w:val="16"/>
          <w:szCs w:val="16"/>
        </w:rPr>
      </w:r>
    </w:p>
    <w:p>
      <w:pPr>
        <w:pStyle w:val="Normal"/>
        <w:ind w:firstLine="851"/>
        <w:jc w:val="both"/>
        <w:rPr/>
      </w:pPr>
      <w:r>
        <w:rPr>
          <w:b/>
          <w:sz w:val="24"/>
          <w:szCs w:val="24"/>
        </w:rPr>
        <w:t>11.3.1.</w:t>
      </w:r>
      <w:r>
        <w:rPr>
          <w:sz w:val="24"/>
          <w:szCs w:val="24"/>
        </w:rPr>
        <w:t xml:space="preserve"> Advertência; </w:t>
      </w:r>
    </w:p>
    <w:p>
      <w:pPr>
        <w:pStyle w:val="Normal"/>
        <w:ind w:firstLine="851"/>
        <w:jc w:val="both"/>
        <w:rPr>
          <w:sz w:val="16"/>
          <w:szCs w:val="16"/>
        </w:rPr>
      </w:pPr>
      <w:r>
        <w:rPr>
          <w:sz w:val="16"/>
          <w:szCs w:val="16"/>
        </w:rPr>
      </w:r>
    </w:p>
    <w:p>
      <w:pPr>
        <w:pStyle w:val="Normal"/>
        <w:ind w:firstLine="851"/>
        <w:jc w:val="both"/>
        <w:rPr/>
      </w:pPr>
      <w:r>
        <w:rPr>
          <w:b/>
          <w:sz w:val="24"/>
          <w:szCs w:val="24"/>
        </w:rPr>
        <w:t>11.3.2.</w:t>
      </w:r>
      <w:r>
        <w:rPr>
          <w:sz w:val="24"/>
          <w:szCs w:val="24"/>
        </w:rPr>
        <w:t xml:space="preserve"> Multa de mora;</w:t>
      </w:r>
    </w:p>
    <w:p>
      <w:pPr>
        <w:pStyle w:val="Normal"/>
        <w:ind w:firstLine="851"/>
        <w:jc w:val="both"/>
        <w:rPr>
          <w:sz w:val="16"/>
          <w:szCs w:val="16"/>
        </w:rPr>
      </w:pPr>
      <w:r>
        <w:rPr>
          <w:sz w:val="16"/>
          <w:szCs w:val="16"/>
        </w:rPr>
      </w:r>
    </w:p>
    <w:p>
      <w:pPr>
        <w:pStyle w:val="Normal"/>
        <w:ind w:firstLine="851"/>
        <w:jc w:val="both"/>
        <w:rPr/>
      </w:pPr>
      <w:r>
        <w:rPr>
          <w:b/>
          <w:sz w:val="24"/>
          <w:szCs w:val="24"/>
        </w:rPr>
        <w:t>11.3.2.1.</w:t>
      </w:r>
      <w:r>
        <w:rPr>
          <w:sz w:val="24"/>
          <w:szCs w:val="24"/>
        </w:rPr>
        <w:t xml:space="preserve"> Multa de 10% (dez por cento) sobre a parcela remanescente, no caso de inexecução parcial de contrato; </w:t>
      </w:r>
    </w:p>
    <w:p>
      <w:pPr>
        <w:pStyle w:val="Normal"/>
        <w:ind w:firstLine="851"/>
        <w:jc w:val="both"/>
        <w:rPr>
          <w:sz w:val="24"/>
          <w:szCs w:val="24"/>
        </w:rPr>
      </w:pPr>
      <w:r>
        <w:rPr>
          <w:sz w:val="24"/>
          <w:szCs w:val="24"/>
        </w:rPr>
      </w:r>
    </w:p>
    <w:p>
      <w:pPr>
        <w:pStyle w:val="Normal"/>
        <w:ind w:firstLine="851"/>
        <w:jc w:val="both"/>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pPr>
        <w:pStyle w:val="Normal"/>
        <w:ind w:firstLine="851"/>
        <w:jc w:val="both"/>
        <w:rPr>
          <w:sz w:val="16"/>
          <w:szCs w:val="16"/>
        </w:rPr>
      </w:pPr>
      <w:r>
        <w:rPr>
          <w:sz w:val="16"/>
          <w:szCs w:val="16"/>
        </w:rPr>
      </w:r>
    </w:p>
    <w:p>
      <w:pPr>
        <w:pStyle w:val="Normal"/>
        <w:ind w:firstLine="851"/>
        <w:jc w:val="both"/>
        <w:rPr/>
      </w:pPr>
      <w:r>
        <w:rPr>
          <w:b/>
          <w:sz w:val="24"/>
          <w:szCs w:val="24"/>
        </w:rPr>
        <w:t>11.3.2.3.</w:t>
      </w:r>
      <w:r>
        <w:rPr>
          <w:sz w:val="24"/>
          <w:szCs w:val="24"/>
        </w:rPr>
        <w:t xml:space="preserve"> Multa de 20% (vinte por cento) sobre o valor total do contrato, no caso de sua inexecução total; </w:t>
      </w:r>
    </w:p>
    <w:p>
      <w:pPr>
        <w:pStyle w:val="Normal"/>
        <w:ind w:firstLine="851"/>
        <w:jc w:val="both"/>
        <w:rPr>
          <w:sz w:val="24"/>
          <w:szCs w:val="24"/>
        </w:rPr>
      </w:pPr>
      <w:r>
        <w:rPr>
          <w:sz w:val="24"/>
          <w:szCs w:val="24"/>
        </w:rPr>
      </w:r>
    </w:p>
    <w:p>
      <w:pPr>
        <w:pStyle w:val="Normal"/>
        <w:ind w:firstLine="851"/>
        <w:jc w:val="both"/>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sz w:val="24"/>
          <w:szCs w:val="24"/>
        </w:rPr>
      </w:pPr>
      <w:r>
        <w:rPr>
          <w:sz w:val="24"/>
          <w:szCs w:val="24"/>
        </w:rPr>
      </w:r>
    </w:p>
    <w:p>
      <w:pPr>
        <w:pStyle w:val="Normal"/>
        <w:ind w:firstLine="851"/>
        <w:jc w:val="both"/>
        <w:rPr/>
      </w:pPr>
      <w:r>
        <w:rPr>
          <w:b/>
          <w:sz w:val="24"/>
          <w:szCs w:val="24"/>
        </w:rPr>
        <w:t>11.3.2.5.</w:t>
      </w:r>
      <w:r>
        <w:rPr>
          <w:sz w:val="24"/>
          <w:szCs w:val="24"/>
        </w:rPr>
        <w:t xml:space="preserve"> Multa de 20% (vinte por cento) sobre o valor total do contrato, no caso recusa injustificada de assinar/receber o contrato. </w:t>
      </w:r>
    </w:p>
    <w:p>
      <w:pPr>
        <w:pStyle w:val="Normal"/>
        <w:ind w:firstLine="851"/>
        <w:jc w:val="both"/>
        <w:rPr>
          <w:b/>
          <w:sz w:val="24"/>
          <w:szCs w:val="24"/>
        </w:rPr>
      </w:pPr>
      <w:r>
        <w:rPr>
          <w:b/>
          <w:sz w:val="24"/>
          <w:szCs w:val="24"/>
        </w:rPr>
      </w:r>
    </w:p>
    <w:p>
      <w:pPr>
        <w:pStyle w:val="Normal"/>
        <w:ind w:firstLine="851"/>
        <w:jc w:val="both"/>
        <w:rPr/>
      </w:pPr>
      <w:r>
        <w:rPr>
          <w:b/>
          <w:sz w:val="24"/>
          <w:szCs w:val="24"/>
        </w:rPr>
        <w:t>11.4.</w:t>
      </w:r>
      <w:r>
        <w:rPr>
          <w:sz w:val="24"/>
          <w:szCs w:val="24"/>
        </w:rPr>
        <w:t xml:space="preserve"> As multas são independentes entre si; a aplicação de uma, não exclui a aplicação de outras, bem como das demais penalidades previstas em lei. </w:t>
      </w:r>
    </w:p>
    <w:p>
      <w:pPr>
        <w:pStyle w:val="Normal"/>
        <w:ind w:firstLine="851"/>
        <w:jc w:val="both"/>
        <w:rPr>
          <w:b/>
          <w:sz w:val="24"/>
          <w:szCs w:val="24"/>
        </w:rPr>
      </w:pPr>
      <w:r>
        <w:rPr>
          <w:b/>
          <w:sz w:val="24"/>
          <w:szCs w:val="24"/>
        </w:rPr>
      </w:r>
    </w:p>
    <w:p>
      <w:pPr>
        <w:pStyle w:val="Normal"/>
        <w:ind w:firstLine="851"/>
        <w:jc w:val="both"/>
        <w:rPr/>
      </w:pPr>
      <w:r>
        <w:rPr>
          <w:b/>
          <w:sz w:val="24"/>
          <w:szCs w:val="24"/>
        </w:rPr>
        <w:t>11.5.</w:t>
      </w:r>
      <w:r>
        <w:rPr>
          <w:sz w:val="24"/>
          <w:szCs w:val="24"/>
        </w:rPr>
        <w:t xml:space="preserve"> Os prazos para defesa prévia serão de 15 (quinze) dias úteis. </w:t>
      </w:r>
    </w:p>
    <w:p>
      <w:pPr>
        <w:pStyle w:val="Normal"/>
        <w:ind w:firstLine="851"/>
        <w:jc w:val="both"/>
        <w:rPr>
          <w:b/>
          <w:sz w:val="16"/>
          <w:szCs w:val="16"/>
        </w:rPr>
      </w:pPr>
      <w:r>
        <w:rPr>
          <w:b/>
          <w:sz w:val="16"/>
          <w:szCs w:val="16"/>
        </w:rPr>
      </w:r>
    </w:p>
    <w:p>
      <w:pPr>
        <w:pStyle w:val="Normal"/>
        <w:ind w:firstLine="851"/>
        <w:jc w:val="both"/>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b/>
          <w:sz w:val="24"/>
          <w:szCs w:val="24"/>
        </w:rPr>
      </w:pPr>
      <w:r>
        <w:rPr>
          <w:b/>
          <w:sz w:val="24"/>
          <w:szCs w:val="24"/>
        </w:rPr>
      </w:r>
    </w:p>
    <w:p>
      <w:pPr>
        <w:pStyle w:val="Normal"/>
        <w:ind w:firstLine="851"/>
        <w:jc w:val="both"/>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sz w:val="24"/>
          <w:szCs w:val="24"/>
        </w:rPr>
      </w:pPr>
      <w:r>
        <w:rPr>
          <w:sz w:val="24"/>
          <w:szCs w:val="24"/>
        </w:rPr>
      </w:r>
    </w:p>
    <w:p>
      <w:pPr>
        <w:pStyle w:val="Normal"/>
        <w:ind w:firstLine="851"/>
        <w:jc w:val="both"/>
        <w:rPr/>
      </w:pPr>
      <w:r>
        <w:rPr>
          <w:b/>
          <w:sz w:val="24"/>
          <w:szCs w:val="24"/>
        </w:rPr>
        <w:t>11.8.</w:t>
      </w:r>
      <w:r>
        <w:rPr>
          <w:sz w:val="24"/>
          <w:szCs w:val="24"/>
        </w:rPr>
        <w:t xml:space="preserve"> Pelo descumprimento de quaisquer cláusulas ou condições do contrato, as multas e penalidade serão elevadas em dobro, em caso de reincidência. </w:t>
      </w:r>
    </w:p>
    <w:p>
      <w:pPr>
        <w:pStyle w:val="Normal"/>
        <w:ind w:firstLine="851"/>
        <w:jc w:val="both"/>
        <w:rPr>
          <w:sz w:val="24"/>
          <w:szCs w:val="24"/>
        </w:rPr>
      </w:pPr>
      <w:r>
        <w:rPr>
          <w:sz w:val="24"/>
          <w:szCs w:val="24"/>
        </w:rPr>
      </w:r>
    </w:p>
    <w:p>
      <w:pPr>
        <w:pStyle w:val="Normal"/>
        <w:ind w:firstLine="851"/>
        <w:jc w:val="both"/>
        <w:rPr/>
      </w:pPr>
      <w:r>
        <w:rPr>
          <w:b/>
          <w:sz w:val="24"/>
          <w:szCs w:val="24"/>
        </w:rPr>
        <w:t>11.9.</w:t>
      </w:r>
      <w:r>
        <w:rPr>
          <w:sz w:val="24"/>
          <w:szCs w:val="24"/>
        </w:rPr>
        <w:t xml:space="preserve"> A aplicação das sanções previstas neste edital não exclui, em hipótese alguma, a obrigação de reparação integral dos danos causados.</w:t>
      </w:r>
    </w:p>
    <w:p>
      <w:pPr>
        <w:pStyle w:val="Normal"/>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12 – DAS MEDIDAS ANTICORRUPÇÃO</w:t>
            </w:r>
          </w:p>
        </w:tc>
      </w:tr>
    </w:tbl>
    <w:p>
      <w:pPr>
        <w:pStyle w:val="Normal"/>
        <w:rPr>
          <w:b/>
          <w:sz w:val="24"/>
          <w:szCs w:val="24"/>
        </w:rPr>
      </w:pPr>
      <w:r>
        <w:rPr>
          <w:b/>
          <w:sz w:val="24"/>
          <w:szCs w:val="24"/>
        </w:rPr>
      </w:r>
    </w:p>
    <w:p>
      <w:pPr>
        <w:pStyle w:val="Normal"/>
        <w:ind w:firstLine="850"/>
        <w:jc w:val="both"/>
        <w:rPr/>
      </w:pPr>
      <w:r>
        <w:rPr>
          <w:b/>
          <w:sz w:val="24"/>
          <w:szCs w:val="24"/>
        </w:rPr>
        <w:t>12.1.</w:t>
      </w:r>
      <w:r>
        <w:rPr>
          <w:sz w:val="24"/>
          <w:szCs w:val="24"/>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13 – DAS DISPOSIÇÕES FINAIS</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sz w:val="24"/>
          <w:szCs w:val="24"/>
        </w:rPr>
      </w:pPr>
      <w:r>
        <w:rPr>
          <w:sz w:val="24"/>
          <w:szCs w:val="24"/>
        </w:rPr>
      </w:r>
    </w:p>
    <w:p>
      <w:pPr>
        <w:pStyle w:val="Normal"/>
        <w:keepLines/>
        <w:ind w:firstLine="851"/>
        <w:jc w:val="both"/>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pPr>
        <w:pStyle w:val="Normal"/>
        <w:keepLines/>
        <w:ind w:firstLine="851"/>
        <w:jc w:val="both"/>
        <w:rPr>
          <w:b/>
          <w:sz w:val="24"/>
          <w:szCs w:val="24"/>
        </w:rPr>
      </w:pPr>
      <w:r>
        <w:rPr>
          <w:b/>
          <w:sz w:val="24"/>
          <w:szCs w:val="24"/>
        </w:rPr>
      </w:r>
    </w:p>
    <w:p>
      <w:pPr>
        <w:pStyle w:val="Normal"/>
        <w:keepLines/>
        <w:ind w:firstLine="851"/>
        <w:jc w:val="both"/>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pPr>
        <w:pStyle w:val="Normal"/>
        <w:keepLines/>
        <w:ind w:firstLine="851"/>
        <w:jc w:val="both"/>
        <w:rPr>
          <w:sz w:val="24"/>
          <w:szCs w:val="24"/>
        </w:rPr>
      </w:pPr>
      <w:r>
        <w:rPr>
          <w:sz w:val="24"/>
          <w:szCs w:val="24"/>
        </w:rPr>
      </w:r>
    </w:p>
    <w:p>
      <w:pPr>
        <w:pStyle w:val="Normal"/>
        <w:keepLines/>
        <w:ind w:firstLine="851"/>
        <w:jc w:val="both"/>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pPr>
        <w:pStyle w:val="Normal"/>
        <w:keepLines/>
        <w:ind w:firstLine="851"/>
        <w:jc w:val="both"/>
        <w:rPr>
          <w:sz w:val="24"/>
          <w:szCs w:val="24"/>
        </w:rPr>
      </w:pPr>
      <w:r>
        <w:rPr>
          <w:sz w:val="24"/>
          <w:szCs w:val="24"/>
        </w:rPr>
      </w:r>
    </w:p>
    <w:p>
      <w:pPr>
        <w:pStyle w:val="Normal"/>
        <w:keepLines/>
        <w:ind w:firstLine="851"/>
        <w:jc w:val="both"/>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pPr>
        <w:pStyle w:val="Normal"/>
        <w:keepLines/>
        <w:jc w:val="both"/>
        <w:rPr>
          <w:b/>
          <w:sz w:val="24"/>
          <w:szCs w:val="24"/>
        </w:rPr>
      </w:pPr>
      <w:r>
        <w:rPr>
          <w:b/>
          <w:sz w:val="24"/>
          <w:szCs w:val="24"/>
        </w:rPr>
      </w:r>
    </w:p>
    <w:p>
      <w:pPr>
        <w:pStyle w:val="Normal"/>
        <w:ind w:firstLine="851"/>
        <w:jc w:val="both"/>
        <w:rPr/>
      </w:pPr>
      <w:r>
        <w:rPr>
          <w:b/>
          <w:sz w:val="24"/>
          <w:szCs w:val="24"/>
        </w:rPr>
        <w:t xml:space="preserve">13.6. </w:t>
      </w:r>
      <w:r>
        <w:rPr>
          <w:sz w:val="24"/>
          <w:szCs w:val="24"/>
        </w:rPr>
        <w:t>É vedada a subcontratação.</w:t>
      </w:r>
    </w:p>
    <w:p>
      <w:pPr>
        <w:pStyle w:val="Normal"/>
        <w:ind w:firstLine="851"/>
        <w:jc w:val="both"/>
        <w:rPr>
          <w:b/>
          <w:sz w:val="24"/>
          <w:szCs w:val="24"/>
        </w:rPr>
      </w:pPr>
      <w:r>
        <w:rPr>
          <w:b/>
          <w:sz w:val="24"/>
          <w:szCs w:val="24"/>
        </w:rPr>
      </w:r>
    </w:p>
    <w:p>
      <w:pPr>
        <w:pStyle w:val="Normal"/>
        <w:ind w:firstLine="851"/>
        <w:jc w:val="both"/>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dos equipamentos contratado.</w:t>
      </w:r>
    </w:p>
    <w:p>
      <w:pPr>
        <w:pStyle w:val="Normal"/>
        <w:keepLines/>
        <w:jc w:val="both"/>
        <w:rPr>
          <w:b/>
          <w:sz w:val="24"/>
          <w:szCs w:val="24"/>
        </w:rPr>
      </w:pPr>
      <w:r>
        <w:rPr>
          <w:b/>
          <w:sz w:val="24"/>
          <w:szCs w:val="24"/>
        </w:rPr>
      </w:r>
    </w:p>
    <w:p>
      <w:pPr>
        <w:pStyle w:val="Normal"/>
        <w:keepLines/>
        <w:ind w:firstLine="851"/>
        <w:jc w:val="both"/>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sz w:val="24"/>
          <w:szCs w:val="24"/>
        </w:rPr>
      </w:pPr>
      <w:r>
        <w:rPr>
          <w:sz w:val="24"/>
          <w:szCs w:val="24"/>
        </w:rPr>
      </w:r>
    </w:p>
    <w:p>
      <w:pPr>
        <w:pStyle w:val="Normal"/>
        <w:ind w:firstLine="851"/>
        <w:jc w:val="both"/>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pPr>
        <w:pStyle w:val="Normal"/>
        <w:ind w:firstLine="851"/>
        <w:jc w:val="both"/>
        <w:rPr>
          <w:sz w:val="24"/>
          <w:szCs w:val="24"/>
        </w:rPr>
      </w:pPr>
      <w:r>
        <w:rPr>
          <w:sz w:val="24"/>
          <w:szCs w:val="24"/>
        </w:rPr>
      </w:r>
    </w:p>
    <w:p>
      <w:pPr>
        <w:pStyle w:val="Normal"/>
        <w:ind w:firstLine="851"/>
        <w:jc w:val="both"/>
        <w:rPr/>
      </w:pPr>
      <w:r>
        <w:rPr>
          <w:sz w:val="24"/>
          <w:szCs w:val="24"/>
        </w:rPr>
        <w:t xml:space="preserve">Piracicaba, </w:t>
      </w:r>
    </w:p>
    <w:p>
      <w:pPr>
        <w:pStyle w:val="Normal"/>
        <w:jc w:val="both"/>
        <w:rPr>
          <w:sz w:val="24"/>
          <w:szCs w:val="24"/>
        </w:rPr>
      </w:pPr>
      <w:r>
        <w:rPr>
          <w:sz w:val="24"/>
          <w:szCs w:val="24"/>
        </w:rPr>
      </w:r>
    </w:p>
    <w:tbl>
      <w:tblPr>
        <w:tblW w:w="862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00"/>
        <w:gridCol w:w="234"/>
        <w:gridCol w:w="4191"/>
      </w:tblGrid>
      <w:tr>
        <w:trPr/>
        <w:tc>
          <w:tcPr>
            <w:tcW w:w="4200" w:type="dxa"/>
            <w:tcBorders>
              <w:top w:val="single" w:sz="4" w:space="0" w:color="000000"/>
              <w:left w:val="single" w:sz="4" w:space="0" w:color="000000"/>
              <w:bottom w:val="single" w:sz="4" w:space="0" w:color="000000"/>
            </w:tcBorders>
          </w:tcPr>
          <w:p>
            <w:pPr>
              <w:pStyle w:val="Normal"/>
              <w:snapToGrid w:val="false"/>
              <w:jc w:val="center"/>
              <w:rPr>
                <w:b/>
                <w:sz w:val="24"/>
                <w:szCs w:val="24"/>
                <w:lang w:bidi="hi-IN"/>
              </w:rPr>
            </w:pPr>
            <w:r>
              <w:rPr>
                <w:b/>
                <w:sz w:val="24"/>
                <w:szCs w:val="24"/>
                <w:lang w:bidi="hi-IN"/>
              </w:rPr>
            </w:r>
          </w:p>
          <w:p>
            <w:pPr>
              <w:pStyle w:val="Normal"/>
              <w:jc w:val="center"/>
              <w:rPr>
                <w:b/>
                <w:sz w:val="24"/>
                <w:szCs w:val="24"/>
                <w:lang w:bidi="hi-IN"/>
              </w:rPr>
            </w:pPr>
            <w:r>
              <w:rPr>
                <w:b/>
                <w:sz w:val="24"/>
                <w:szCs w:val="24"/>
                <w:lang w:bidi="hi-IN"/>
              </w:rPr>
            </w:r>
          </w:p>
          <w:p>
            <w:pPr>
              <w:pStyle w:val="Normal"/>
              <w:jc w:val="center"/>
              <w:rPr>
                <w:b/>
                <w:sz w:val="24"/>
                <w:szCs w:val="24"/>
                <w:lang w:bidi="hi-IN"/>
              </w:rPr>
            </w:pPr>
            <w:r>
              <w:rPr>
                <w:b/>
                <w:sz w:val="24"/>
                <w:szCs w:val="24"/>
                <w:lang w:bidi="hi-IN"/>
              </w:rPr>
            </w:r>
          </w:p>
          <w:p>
            <w:pPr>
              <w:pStyle w:val="Normal"/>
              <w:jc w:val="center"/>
              <w:rPr>
                <w:b/>
                <w:sz w:val="24"/>
                <w:szCs w:val="24"/>
                <w:lang w:bidi="hi-IN"/>
              </w:rPr>
            </w:pPr>
            <w:r>
              <w:rPr>
                <w:b/>
                <w:sz w:val="24"/>
                <w:szCs w:val="24"/>
                <w:lang w:bidi="hi-IN"/>
              </w:rPr>
            </w:r>
          </w:p>
          <w:p>
            <w:pPr>
              <w:pStyle w:val="Normal"/>
              <w:jc w:val="center"/>
              <w:rPr>
                <w:b/>
                <w:sz w:val="24"/>
                <w:szCs w:val="24"/>
                <w:lang w:bidi="hi-IN"/>
              </w:rPr>
            </w:pPr>
            <w:r>
              <w:rPr>
                <w:b/>
                <w:sz w:val="24"/>
                <w:szCs w:val="24"/>
                <w:lang w:bidi="hi-IN"/>
              </w:rPr>
            </w:r>
          </w:p>
          <w:p>
            <w:pPr>
              <w:pStyle w:val="Normal"/>
              <w:rPr>
                <w:b/>
                <w:sz w:val="24"/>
                <w:szCs w:val="24"/>
                <w:lang w:bidi="hi-IN"/>
              </w:rPr>
            </w:pPr>
            <w:r>
              <w:rPr>
                <w:b/>
                <w:sz w:val="24"/>
                <w:szCs w:val="24"/>
                <w:lang w:bidi="hi-IN"/>
              </w:rPr>
            </w:r>
          </w:p>
          <w:p>
            <w:pPr>
              <w:pStyle w:val="Normal"/>
              <w:rPr>
                <w:b/>
                <w:sz w:val="24"/>
                <w:szCs w:val="24"/>
                <w:lang w:bidi="hi-IN"/>
              </w:rPr>
            </w:pPr>
            <w:r>
              <w:rPr>
                <w:b/>
                <w:sz w:val="24"/>
                <w:szCs w:val="24"/>
                <w:lang w:bidi="hi-IN"/>
              </w:rPr>
            </w:r>
          </w:p>
          <w:p>
            <w:pPr>
              <w:pStyle w:val="Normal"/>
              <w:jc w:val="center"/>
              <w:rPr>
                <w:b/>
                <w:sz w:val="24"/>
                <w:szCs w:val="24"/>
                <w:lang w:bidi="hi-IN"/>
              </w:rPr>
            </w:pPr>
            <w:r>
              <w:rPr>
                <w:b/>
                <w:sz w:val="24"/>
                <w:szCs w:val="24"/>
                <w:lang w:bidi="hi-IN"/>
              </w:rPr>
              <w:t>AUTORIDADE</w:t>
            </w:r>
          </w:p>
          <w:p>
            <w:pPr>
              <w:pStyle w:val="Normal"/>
              <w:jc w:val="center"/>
              <w:rPr>
                <w:lang w:bidi="hi-IN"/>
              </w:rPr>
            </w:pPr>
            <w:r>
              <w:rPr>
                <w:b/>
                <w:sz w:val="24"/>
                <w:szCs w:val="24"/>
                <w:lang w:bidi="hi-IN"/>
              </w:rPr>
              <w:t>Secretário Municipal de Saúde</w:t>
            </w:r>
          </w:p>
        </w:tc>
        <w:tc>
          <w:tcPr>
            <w:tcW w:w="234" w:type="dxa"/>
            <w:tcBorders>
              <w:left w:val="single" w:sz="4" w:space="0" w:color="000000"/>
            </w:tcBorders>
          </w:tcPr>
          <w:p>
            <w:pPr>
              <w:pStyle w:val="Normal"/>
              <w:snapToGrid w:val="false"/>
              <w:jc w:val="both"/>
              <w:rPr>
                <w:b/>
                <w:sz w:val="24"/>
                <w:szCs w:val="24"/>
                <w:lang w:bidi="hi-IN"/>
              </w:rPr>
            </w:pPr>
            <w:r>
              <w:rPr>
                <w:b/>
                <w:sz w:val="24"/>
                <w:szCs w:val="24"/>
                <w:lang w:bidi="hi-IN"/>
              </w:rPr>
            </w:r>
          </w:p>
        </w:tc>
        <w:tc>
          <w:tcPr>
            <w:tcW w:w="4191"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b/>
                <w:sz w:val="24"/>
                <w:szCs w:val="24"/>
                <w:lang w:bidi="hi-IN"/>
              </w:rPr>
            </w:pPr>
            <w:r>
              <w:rPr>
                <w:b/>
                <w:sz w:val="24"/>
                <w:szCs w:val="24"/>
                <w:lang w:bidi="hi-IN"/>
              </w:rPr>
            </w:r>
          </w:p>
          <w:p>
            <w:pPr>
              <w:pStyle w:val="Normal"/>
              <w:jc w:val="center"/>
              <w:rPr>
                <w:b/>
                <w:sz w:val="24"/>
                <w:szCs w:val="24"/>
                <w:lang w:bidi="hi-IN"/>
              </w:rPr>
            </w:pPr>
            <w:r>
              <w:rPr>
                <w:b/>
                <w:sz w:val="24"/>
                <w:szCs w:val="24"/>
                <w:lang w:bidi="hi-IN"/>
              </w:rPr>
            </w:r>
          </w:p>
          <w:p>
            <w:pPr>
              <w:pStyle w:val="Normal"/>
              <w:jc w:val="center"/>
              <w:rPr>
                <w:b/>
                <w:sz w:val="24"/>
                <w:szCs w:val="24"/>
                <w:lang w:bidi="hi-IN"/>
              </w:rPr>
            </w:pPr>
            <w:r>
              <w:rPr>
                <w:b/>
                <w:sz w:val="24"/>
                <w:szCs w:val="24"/>
                <w:lang w:bidi="hi-IN"/>
              </w:rPr>
            </w:r>
          </w:p>
          <w:p>
            <w:pPr>
              <w:pStyle w:val="Normal"/>
              <w:jc w:val="center"/>
              <w:rPr>
                <w:b/>
                <w:sz w:val="24"/>
                <w:szCs w:val="24"/>
                <w:lang w:bidi="hi-IN"/>
              </w:rPr>
            </w:pPr>
            <w:r>
              <w:rPr>
                <w:b/>
                <w:sz w:val="24"/>
                <w:szCs w:val="24"/>
                <w:lang w:bidi="hi-IN"/>
              </w:rPr>
            </w:r>
          </w:p>
          <w:p>
            <w:pPr>
              <w:pStyle w:val="Normal"/>
              <w:jc w:val="center"/>
              <w:rPr>
                <w:b/>
                <w:sz w:val="24"/>
                <w:szCs w:val="24"/>
                <w:lang w:bidi="hi-IN"/>
              </w:rPr>
            </w:pPr>
            <w:r>
              <w:rPr>
                <w:b/>
                <w:sz w:val="24"/>
                <w:szCs w:val="24"/>
                <w:lang w:bidi="hi-IN"/>
              </w:rPr>
            </w:r>
          </w:p>
          <w:p>
            <w:pPr>
              <w:pStyle w:val="Normal"/>
              <w:jc w:val="center"/>
              <w:rPr>
                <w:b/>
                <w:sz w:val="24"/>
                <w:szCs w:val="24"/>
                <w:lang w:bidi="hi-IN"/>
              </w:rPr>
            </w:pPr>
            <w:r>
              <w:rPr>
                <w:b/>
                <w:sz w:val="24"/>
                <w:szCs w:val="24"/>
                <w:lang w:bidi="hi-IN"/>
              </w:rPr>
            </w:r>
          </w:p>
          <w:p>
            <w:pPr>
              <w:pStyle w:val="Normal"/>
              <w:rPr>
                <w:b/>
                <w:sz w:val="24"/>
                <w:szCs w:val="24"/>
                <w:lang w:bidi="hi-IN"/>
              </w:rPr>
            </w:pPr>
            <w:r>
              <w:rPr>
                <w:b/>
                <w:sz w:val="24"/>
                <w:szCs w:val="24"/>
                <w:lang w:bidi="hi-IN"/>
              </w:rPr>
            </w:r>
          </w:p>
          <w:p>
            <w:pPr>
              <w:pStyle w:val="Normal"/>
              <w:jc w:val="center"/>
              <w:rPr>
                <w:b/>
                <w:sz w:val="24"/>
                <w:szCs w:val="24"/>
                <w:lang w:bidi="hi-IN"/>
              </w:rPr>
            </w:pPr>
            <w:r>
              <w:rPr>
                <w:b/>
                <w:sz w:val="24"/>
                <w:szCs w:val="24"/>
                <w:lang w:bidi="hi-IN"/>
              </w:rPr>
              <w:t>::: EMPRESA CONTRATADA :::</w:t>
            </w:r>
          </w:p>
          <w:p>
            <w:pPr>
              <w:pStyle w:val="Normal"/>
              <w:jc w:val="center"/>
              <w:rPr>
                <w:b/>
                <w:sz w:val="24"/>
                <w:szCs w:val="24"/>
                <w:lang w:bidi="hi-IN"/>
              </w:rPr>
            </w:pPr>
            <w:r>
              <w:rPr>
                <w:b/>
                <w:sz w:val="24"/>
                <w:szCs w:val="24"/>
                <w:lang w:bidi="hi-IN"/>
              </w:rPr>
              <w:t>Representante Legal</w:t>
            </w:r>
          </w:p>
        </w:tc>
      </w:tr>
    </w:tbl>
    <w:p>
      <w:pPr>
        <w:pStyle w:val="Normal"/>
        <w:rPr>
          <w:b/>
          <w:sz w:val="24"/>
          <w:szCs w:val="24"/>
        </w:rPr>
      </w:pPr>
      <w:r>
        <w:rPr>
          <w:b/>
          <w:sz w:val="24"/>
          <w:szCs w:val="24"/>
        </w:rPr>
      </w:r>
    </w:p>
    <w:p>
      <w:pPr>
        <w:pStyle w:val="Normal"/>
        <w:jc w:val="both"/>
        <w:rPr>
          <w:b/>
          <w:sz w:val="24"/>
          <w:szCs w:val="24"/>
          <w:u w:val="single"/>
        </w:rPr>
      </w:pPr>
      <w:r>
        <w:rPr>
          <w:b/>
          <w:sz w:val="24"/>
          <w:szCs w:val="24"/>
          <w:u w:val="single"/>
        </w:rPr>
        <w:t>TESTEMUNHAS:</w:t>
      </w:r>
    </w:p>
    <w:p>
      <w:pPr>
        <w:pStyle w:val="Normal"/>
        <w:jc w:val="both"/>
        <w:rPr>
          <w:b/>
          <w:sz w:val="24"/>
          <w:szCs w:val="24"/>
          <w:u w:val="single"/>
        </w:rPr>
      </w:pPr>
      <w:r>
        <w:rPr>
          <w:b/>
          <w:sz w:val="24"/>
          <w:szCs w:val="24"/>
          <w:u w:val="single"/>
        </w:rPr>
      </w:r>
    </w:p>
    <w:tbl>
      <w:tblPr>
        <w:tblW w:w="862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00"/>
        <w:gridCol w:w="234"/>
        <w:gridCol w:w="4191"/>
      </w:tblGrid>
      <w:tr>
        <w:trPr>
          <w:trHeight w:val="1089" w:hRule="atLeast"/>
        </w:trPr>
        <w:tc>
          <w:tcPr>
            <w:tcW w:w="4200" w:type="dxa"/>
            <w:tcBorders>
              <w:top w:val="single" w:sz="4" w:space="0" w:color="000000"/>
              <w:left w:val="single" w:sz="4" w:space="0" w:color="000000"/>
              <w:bottom w:val="single" w:sz="4" w:space="0" w:color="000000"/>
            </w:tcBorders>
          </w:tcPr>
          <w:p>
            <w:pPr>
              <w:pStyle w:val="Normal"/>
              <w:snapToGrid w:val="false"/>
              <w:rPr>
                <w:b/>
                <w:sz w:val="24"/>
                <w:szCs w:val="24"/>
                <w:lang w:bidi="hi-IN"/>
              </w:rPr>
            </w:pPr>
            <w:r>
              <w:rPr>
                <w:b/>
                <w:sz w:val="24"/>
                <w:szCs w:val="24"/>
                <w:lang w:bidi="hi-IN"/>
              </w:rPr>
            </w:r>
          </w:p>
          <w:p>
            <w:pPr>
              <w:pStyle w:val="Normal"/>
              <w:rPr>
                <w:b/>
                <w:sz w:val="24"/>
                <w:szCs w:val="24"/>
                <w:lang w:bidi="hi-IN"/>
              </w:rPr>
            </w:pPr>
            <w:r>
              <w:rPr>
                <w:b/>
                <w:sz w:val="24"/>
                <w:szCs w:val="24"/>
                <w:lang w:bidi="hi-IN"/>
              </w:rPr>
            </w:r>
          </w:p>
          <w:p>
            <w:pPr>
              <w:pStyle w:val="Normal"/>
              <w:rPr>
                <w:b/>
                <w:sz w:val="24"/>
                <w:szCs w:val="24"/>
                <w:lang w:bidi="hi-IN"/>
              </w:rPr>
            </w:pPr>
            <w:r>
              <w:rPr>
                <w:b/>
                <w:sz w:val="24"/>
                <w:szCs w:val="24"/>
                <w:lang w:bidi="hi-IN"/>
              </w:rPr>
              <w:t>_________________________</w:t>
            </w:r>
          </w:p>
          <w:p>
            <w:pPr>
              <w:pStyle w:val="Normal"/>
              <w:rPr>
                <w:b/>
                <w:sz w:val="24"/>
                <w:szCs w:val="24"/>
                <w:lang w:bidi="hi-IN"/>
              </w:rPr>
            </w:pPr>
            <w:r>
              <w:rPr>
                <w:b/>
                <w:sz w:val="24"/>
                <w:szCs w:val="24"/>
                <w:lang w:bidi="hi-IN"/>
              </w:rPr>
              <w:t>Nome:</w:t>
            </w:r>
          </w:p>
          <w:p>
            <w:pPr>
              <w:pStyle w:val="Normal"/>
              <w:rPr>
                <w:b/>
                <w:sz w:val="24"/>
                <w:szCs w:val="24"/>
                <w:lang w:bidi="hi-IN"/>
              </w:rPr>
            </w:pPr>
            <w:r>
              <w:rPr>
                <w:b/>
                <w:sz w:val="24"/>
                <w:szCs w:val="24"/>
                <w:lang w:bidi="hi-IN"/>
              </w:rPr>
              <w:t>CPF:</w:t>
            </w:r>
          </w:p>
        </w:tc>
        <w:tc>
          <w:tcPr>
            <w:tcW w:w="234" w:type="dxa"/>
            <w:tcBorders>
              <w:left w:val="single" w:sz="4" w:space="0" w:color="000000"/>
            </w:tcBorders>
          </w:tcPr>
          <w:p>
            <w:pPr>
              <w:pStyle w:val="Normal"/>
              <w:snapToGrid w:val="false"/>
              <w:jc w:val="both"/>
              <w:rPr>
                <w:b/>
                <w:sz w:val="24"/>
                <w:szCs w:val="24"/>
                <w:lang w:bidi="hi-IN"/>
              </w:rPr>
            </w:pPr>
            <w:r>
              <w:rPr>
                <w:b/>
                <w:sz w:val="24"/>
                <w:szCs w:val="24"/>
                <w:lang w:bidi="hi-IN"/>
              </w:rPr>
            </w:r>
          </w:p>
        </w:tc>
        <w:tc>
          <w:tcPr>
            <w:tcW w:w="4191" w:type="dxa"/>
            <w:tcBorders>
              <w:top w:val="single" w:sz="4" w:space="0" w:color="000000"/>
              <w:left w:val="single" w:sz="4" w:space="0" w:color="000000"/>
              <w:bottom w:val="single" w:sz="4" w:space="0" w:color="000000"/>
              <w:right w:val="single" w:sz="4" w:space="0" w:color="000000"/>
            </w:tcBorders>
          </w:tcPr>
          <w:p>
            <w:pPr>
              <w:pStyle w:val="Normal"/>
              <w:snapToGrid w:val="false"/>
              <w:rPr>
                <w:b/>
                <w:sz w:val="24"/>
                <w:szCs w:val="24"/>
                <w:lang w:bidi="hi-IN"/>
              </w:rPr>
            </w:pPr>
            <w:r>
              <w:rPr>
                <w:b/>
                <w:sz w:val="24"/>
                <w:szCs w:val="24"/>
                <w:lang w:bidi="hi-IN"/>
              </w:rPr>
            </w:r>
          </w:p>
          <w:p>
            <w:pPr>
              <w:pStyle w:val="Normal"/>
              <w:rPr>
                <w:b/>
                <w:sz w:val="24"/>
                <w:szCs w:val="24"/>
                <w:lang w:bidi="hi-IN"/>
              </w:rPr>
            </w:pPr>
            <w:r>
              <w:rPr>
                <w:b/>
                <w:sz w:val="24"/>
                <w:szCs w:val="24"/>
                <w:lang w:bidi="hi-IN"/>
              </w:rPr>
            </w:r>
          </w:p>
          <w:p>
            <w:pPr>
              <w:pStyle w:val="Normal"/>
              <w:rPr>
                <w:b/>
                <w:sz w:val="24"/>
                <w:szCs w:val="24"/>
                <w:lang w:bidi="hi-IN"/>
              </w:rPr>
            </w:pPr>
            <w:r>
              <w:rPr>
                <w:b/>
                <w:sz w:val="24"/>
                <w:szCs w:val="24"/>
                <w:lang w:bidi="hi-IN"/>
              </w:rPr>
              <w:t>__________________________</w:t>
            </w:r>
          </w:p>
          <w:p>
            <w:pPr>
              <w:pStyle w:val="Normal"/>
              <w:rPr>
                <w:b/>
                <w:sz w:val="24"/>
                <w:szCs w:val="24"/>
                <w:lang w:bidi="hi-IN"/>
              </w:rPr>
            </w:pPr>
            <w:r>
              <w:rPr>
                <w:b/>
                <w:sz w:val="24"/>
                <w:szCs w:val="24"/>
                <w:lang w:bidi="hi-IN"/>
              </w:rPr>
              <w:t>Nome:</w:t>
            </w:r>
          </w:p>
          <w:p>
            <w:pPr>
              <w:pStyle w:val="Normal"/>
              <w:jc w:val="both"/>
              <w:rPr>
                <w:b/>
                <w:sz w:val="24"/>
                <w:szCs w:val="24"/>
                <w:lang w:bidi="hi-IN"/>
              </w:rPr>
            </w:pPr>
            <w:r>
              <w:rPr>
                <w:b/>
                <w:sz w:val="24"/>
                <w:szCs w:val="24"/>
                <w:lang w:bidi="hi-IN"/>
              </w:rPr>
              <w:t>CPF:</w:t>
            </w:r>
          </w:p>
        </w:tc>
      </w:tr>
    </w:tbl>
    <w:p>
      <w:pPr>
        <w:pStyle w:val="Normal"/>
        <w:rPr>
          <w:sz w:val="24"/>
          <w:szCs w:val="24"/>
        </w:rPr>
      </w:pPr>
      <w:r>
        <w:rPr>
          <w:sz w:val="24"/>
          <w:szCs w:val="24"/>
        </w:rPr>
      </w:r>
    </w:p>
    <w:p>
      <w:pPr>
        <w:pStyle w:val="BodyTextIndent"/>
        <w:widowControl w:val="false"/>
        <w:spacing w:lineRule="auto" w:line="240"/>
        <w:ind w:firstLine="561"/>
        <w:jc w:val="center"/>
        <w:rPr/>
      </w:pPr>
      <w:r>
        <w:rPr/>
      </w:r>
      <w:bookmarkStart w:id="17" w:name="_GoBack"/>
      <w:bookmarkStart w:id="18" w:name="_GoBack"/>
      <w:bookmarkEnd w:id="18"/>
    </w:p>
    <w:p>
      <w:pPr>
        <w:pStyle w:val="Normal"/>
        <w:jc w:val="both"/>
        <w:rPr/>
      </w:pPr>
      <w:r>
        <w:rPr/>
      </w:r>
    </w:p>
    <w:p>
      <w:pPr>
        <w:pStyle w:val="Normal"/>
        <w:ind w:firstLine="567"/>
        <w:jc w:val="both"/>
        <w:rPr/>
      </w:pPr>
      <w:r>
        <w:rPr/>
      </w:r>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134" w:right="850" w:gutter="0" w:header="283" w:top="1134" w:footer="283" w:bottom="568"/>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swiss"/>
    <w:pitch w:val="variable"/>
  </w:font>
  <w:font w:name="Liberation Sans">
    <w:altName w:val="Arial"/>
    <w:charset w:val="00"/>
    <w:family w:val="swiss"/>
    <w:pitch w:val="variable"/>
  </w:font>
  <w:font w:name="Tahoma">
    <w:charset w:val="00"/>
    <w:family w:val="swiss"/>
    <w:pitch w:val="variable"/>
  </w:font>
  <w:font w:name="Verdana">
    <w:charset w:val="00"/>
    <w:family w:val="swiss"/>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269/2026 NOVA VERSÃO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32</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32</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269/2026 NOVA VERSÃO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32</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32</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33">
          <wp:simplePos x="0" y="0"/>
          <wp:positionH relativeFrom="column">
            <wp:posOffset>-41910</wp:posOffset>
          </wp:positionH>
          <wp:positionV relativeFrom="paragraph">
            <wp:posOffset>-172720</wp:posOffset>
          </wp:positionV>
          <wp:extent cx="1770380" cy="989965"/>
          <wp:effectExtent l="0" t="0" r="0" b="0"/>
          <wp:wrapTopAndBottom/>
          <wp:docPr id="1"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05410" simplePos="0" locked="0" layoutInCell="0" allowOverlap="1" relativeHeight="128" wp14:anchorId="7B013B7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19.9pt;margin-top:6.75pt;width:367.7pt;height:70.45pt;mso-wrap-style:square;v-text-anchor:top;mso-position-horizontal:right;mso-position-horizontal-relative:margin;mso-position-vertical-relative:page" wp14:anchorId="7B013B7F">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33">
          <wp:simplePos x="0" y="0"/>
          <wp:positionH relativeFrom="column">
            <wp:posOffset>-41910</wp:posOffset>
          </wp:positionH>
          <wp:positionV relativeFrom="paragraph">
            <wp:posOffset>-172720</wp:posOffset>
          </wp:positionV>
          <wp:extent cx="1770380" cy="989965"/>
          <wp:effectExtent l="0" t="0" r="0" b="0"/>
          <wp:wrapTopAndBottom/>
          <wp:docPr id="3"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05410" simplePos="0" locked="0" layoutInCell="0" allowOverlap="1" relativeHeight="128" wp14:anchorId="7B013B7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19.9pt;margin-top:6.75pt;width:367.7pt;height:70.45pt;mso-wrap-style:square;v-text-anchor:top;mso-position-horizontal:right;mso-position-horizontal-relative:margin;mso-position-vertical-relative:page" wp14:anchorId="7B013B7F">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2"/>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none"/>
      <w:suff w:val="nothing"/>
      <w:lvlText w:val=""/>
      <w:lvlJc w:val="left"/>
      <w:pPr>
        <w:tabs>
          <w:tab w:val="num" w:pos="0"/>
        </w:tabs>
        <w:ind w:left="432" w:hanging="432"/>
      </w:pPr>
      <w:rPr>
        <w:sz w:val="20"/>
        <w:b/>
        <w:rFonts w:ascii="Arial" w:hAnsi="Arial"/>
      </w:rPr>
    </w:lvl>
    <w:lvl w:ilvl="1">
      <w:start w:val="1"/>
      <w:numFmt w:val="none"/>
      <w:suff w:val="nothing"/>
      <w:lvlText w:val=""/>
      <w:lvlJc w:val="left"/>
      <w:pPr>
        <w:tabs>
          <w:tab w:val="num" w:pos="0"/>
        </w:tabs>
        <w:ind w:left="576" w:hanging="576"/>
      </w:pPr>
      <w:rPr>
        <w:sz w:val="20"/>
        <w:b/>
        <w:rFonts w:ascii="Arial" w:hAnsi="Arial"/>
      </w:rPr>
    </w:lvl>
    <w:lvl w:ilvl="2">
      <w:start w:val="1"/>
      <w:numFmt w:val="none"/>
      <w:suff w:val="nothing"/>
      <w:lvlText w:val=""/>
      <w:lvlJc w:val="left"/>
      <w:pPr>
        <w:tabs>
          <w:tab w:val="num" w:pos="0"/>
        </w:tabs>
        <w:ind w:left="720" w:hanging="720"/>
      </w:pPr>
      <w:rPr>
        <w:sz w:val="20"/>
        <w:b/>
        <w:rFonts w:ascii="Arial" w:hAnsi="Arial"/>
      </w:rPr>
    </w:lvl>
    <w:lvl w:ilvl="3">
      <w:start w:val="1"/>
      <w:numFmt w:val="none"/>
      <w:suff w:val="nothing"/>
      <w:lvlText w:val=""/>
      <w:lvlJc w:val="left"/>
      <w:pPr>
        <w:tabs>
          <w:tab w:val="num" w:pos="0"/>
        </w:tabs>
        <w:ind w:left="864" w:hanging="864"/>
      </w:pPr>
      <w:rPr>
        <w:sz w:val="20"/>
        <w:b/>
        <w:rFonts w:ascii="Arial" w:hAnsi="Arial"/>
      </w:rPr>
    </w:lvl>
    <w:lvl w:ilvl="4">
      <w:start w:val="1"/>
      <w:numFmt w:val="none"/>
      <w:suff w:val="nothing"/>
      <w:lvlText w:val=""/>
      <w:lvlJc w:val="left"/>
      <w:pPr>
        <w:tabs>
          <w:tab w:val="num" w:pos="0"/>
        </w:tabs>
        <w:ind w:left="1008" w:hanging="1008"/>
      </w:pPr>
      <w:rPr>
        <w:sz w:val="20"/>
        <w:b/>
        <w:rFonts w:ascii="Arial" w:hAnsi="Arial"/>
      </w:rPr>
    </w:lvl>
    <w:lvl w:ilvl="5">
      <w:start w:val="1"/>
      <w:numFmt w:val="none"/>
      <w:suff w:val="nothing"/>
      <w:lvlText w:val=""/>
      <w:lvlJc w:val="left"/>
      <w:pPr>
        <w:tabs>
          <w:tab w:val="num" w:pos="0"/>
        </w:tabs>
        <w:ind w:left="1152" w:hanging="1152"/>
      </w:pPr>
      <w:rPr>
        <w:sz w:val="20"/>
        <w:b/>
        <w:rFonts w:ascii="Arial" w:hAnsi="Arial"/>
      </w:rPr>
    </w:lvl>
    <w:lvl w:ilvl="6">
      <w:start w:val="1"/>
      <w:numFmt w:val="none"/>
      <w:suff w:val="nothing"/>
      <w:lvlText w:val=""/>
      <w:lvlJc w:val="left"/>
      <w:pPr>
        <w:tabs>
          <w:tab w:val="num" w:pos="0"/>
        </w:tabs>
        <w:ind w:left="1296" w:hanging="1296"/>
      </w:pPr>
      <w:rPr>
        <w:sz w:val="20"/>
        <w:b/>
        <w:rFonts w:ascii="Arial" w:hAnsi="Arial"/>
      </w:rPr>
    </w:lvl>
    <w:lvl w:ilvl="7">
      <w:start w:val="1"/>
      <w:numFmt w:val="none"/>
      <w:suff w:val="nothing"/>
      <w:lvlText w:val=""/>
      <w:lvlJc w:val="left"/>
      <w:pPr>
        <w:tabs>
          <w:tab w:val="num" w:pos="0"/>
        </w:tabs>
        <w:ind w:left="1440" w:hanging="1440"/>
      </w:pPr>
      <w:rPr>
        <w:sz w:val="20"/>
        <w:b/>
        <w:rFonts w:ascii="Arial" w:hAnsi="Arial"/>
      </w:rPr>
    </w:lvl>
    <w:lvl w:ilvl="8">
      <w:start w:val="1"/>
      <w:numFmt w:val="none"/>
      <w:suff w:val="nothing"/>
      <w:lvlText w:val=""/>
      <w:lvlJc w:val="left"/>
      <w:pPr>
        <w:tabs>
          <w:tab w:val="num" w:pos="0"/>
        </w:tabs>
        <w:ind w:left="1584" w:hanging="1584"/>
      </w:pPr>
      <w:rPr>
        <w:sz w:val="20"/>
        <w:b/>
        <w:rFonts w:ascii="Arial" w:hAnsi="Arial"/>
      </w:rPr>
    </w:lvl>
  </w:abstractNum>
  <w:abstractNum w:abstractNumId="11">
    <w:lvl w:ilvl="0">
      <w:start w:val="1"/>
      <w:numFmt w:val="none"/>
      <w:suff w:val="nothing"/>
      <w:lvlText w:val=""/>
      <w:lvlJc w:val="left"/>
      <w:pPr>
        <w:tabs>
          <w:tab w:val="num" w:pos="0"/>
        </w:tabs>
        <w:ind w:left="432" w:hanging="432"/>
      </w:pPr>
      <w:rPr>
        <w:sz w:val="20"/>
        <w:b/>
        <w:rFonts w:ascii="Arial" w:hAnsi="Arial"/>
      </w:rPr>
    </w:lvl>
    <w:lvl w:ilvl="1">
      <w:start w:val="1"/>
      <w:numFmt w:val="none"/>
      <w:suff w:val="nothing"/>
      <w:lvlText w:val=""/>
      <w:lvlJc w:val="left"/>
      <w:pPr>
        <w:tabs>
          <w:tab w:val="num" w:pos="0"/>
        </w:tabs>
        <w:ind w:left="576" w:hanging="576"/>
      </w:pPr>
      <w:rPr>
        <w:sz w:val="20"/>
        <w:b/>
        <w:rFonts w:ascii="Arial" w:hAnsi="Arial"/>
      </w:rPr>
    </w:lvl>
    <w:lvl w:ilvl="2">
      <w:start w:val="1"/>
      <w:numFmt w:val="none"/>
      <w:suff w:val="nothing"/>
      <w:lvlText w:val=""/>
      <w:lvlJc w:val="left"/>
      <w:pPr>
        <w:tabs>
          <w:tab w:val="num" w:pos="0"/>
        </w:tabs>
        <w:ind w:left="720" w:hanging="720"/>
      </w:pPr>
      <w:rPr>
        <w:sz w:val="20"/>
        <w:b/>
        <w:rFonts w:ascii="Arial" w:hAnsi="Arial"/>
      </w:rPr>
    </w:lvl>
    <w:lvl w:ilvl="3">
      <w:start w:val="1"/>
      <w:numFmt w:val="none"/>
      <w:suff w:val="nothing"/>
      <w:lvlText w:val=""/>
      <w:lvlJc w:val="left"/>
      <w:pPr>
        <w:tabs>
          <w:tab w:val="num" w:pos="0"/>
        </w:tabs>
        <w:ind w:left="864" w:hanging="864"/>
      </w:pPr>
      <w:rPr>
        <w:sz w:val="20"/>
        <w:b/>
        <w:rFonts w:ascii="Arial" w:hAnsi="Arial"/>
      </w:rPr>
    </w:lvl>
    <w:lvl w:ilvl="4">
      <w:start w:val="1"/>
      <w:numFmt w:val="none"/>
      <w:suff w:val="nothing"/>
      <w:lvlText w:val=""/>
      <w:lvlJc w:val="left"/>
      <w:pPr>
        <w:tabs>
          <w:tab w:val="num" w:pos="0"/>
        </w:tabs>
        <w:ind w:left="1008" w:hanging="1008"/>
      </w:pPr>
      <w:rPr>
        <w:sz w:val="20"/>
        <w:b/>
        <w:rFonts w:ascii="Arial" w:hAnsi="Arial"/>
      </w:rPr>
    </w:lvl>
    <w:lvl w:ilvl="5">
      <w:start w:val="1"/>
      <w:numFmt w:val="none"/>
      <w:suff w:val="nothing"/>
      <w:lvlText w:val=""/>
      <w:lvlJc w:val="left"/>
      <w:pPr>
        <w:tabs>
          <w:tab w:val="num" w:pos="0"/>
        </w:tabs>
        <w:ind w:left="1152" w:hanging="1152"/>
      </w:pPr>
      <w:rPr>
        <w:sz w:val="20"/>
        <w:b/>
        <w:rFonts w:ascii="Arial" w:hAnsi="Arial"/>
      </w:rPr>
    </w:lvl>
    <w:lvl w:ilvl="6">
      <w:start w:val="1"/>
      <w:numFmt w:val="none"/>
      <w:suff w:val="nothing"/>
      <w:lvlText w:val=""/>
      <w:lvlJc w:val="left"/>
      <w:pPr>
        <w:tabs>
          <w:tab w:val="num" w:pos="0"/>
        </w:tabs>
        <w:ind w:left="1296" w:hanging="1296"/>
      </w:pPr>
      <w:rPr>
        <w:sz w:val="20"/>
        <w:b/>
        <w:rFonts w:ascii="Arial" w:hAnsi="Arial"/>
      </w:rPr>
    </w:lvl>
    <w:lvl w:ilvl="7">
      <w:start w:val="1"/>
      <w:numFmt w:val="none"/>
      <w:suff w:val="nothing"/>
      <w:lvlText w:val=""/>
      <w:lvlJc w:val="left"/>
      <w:pPr>
        <w:tabs>
          <w:tab w:val="num" w:pos="0"/>
        </w:tabs>
        <w:ind w:left="1440" w:hanging="1440"/>
      </w:pPr>
      <w:rPr>
        <w:sz w:val="20"/>
        <w:b/>
        <w:rFonts w:ascii="Arial" w:hAnsi="Arial"/>
      </w:rPr>
    </w:lvl>
    <w:lvl w:ilvl="8">
      <w:start w:val="1"/>
      <w:numFmt w:val="none"/>
      <w:suff w:val="nothing"/>
      <w:lvlText w:val=""/>
      <w:lvlJc w:val="left"/>
      <w:pPr>
        <w:tabs>
          <w:tab w:val="num" w:pos="0"/>
        </w:tabs>
        <w:ind w:left="1584" w:hanging="1584"/>
      </w:pPr>
      <w:rPr>
        <w:sz w:val="20"/>
        <w:b/>
        <w:rFonts w:ascii="Arial" w:hAnsi="Arial"/>
      </w:rPr>
    </w:lvl>
  </w:abstractNum>
  <w:abstractNum w:abstractNumId="12">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3">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4">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5">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6">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7">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8">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9">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0">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2">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3">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4">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5">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6">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7">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8">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9">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0">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2">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3">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4">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5">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6">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7">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8">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3"/>
  </w:num>
  <w:num w:numId="41">
    <w:abstractNumId w:val="3"/>
    <w:lvlOverride w:ilvl="0">
      <w:lvl w:ilvl="0">
        <w:start w:val="1"/>
        <w:numFmt w:val="none"/>
        <w:suff w:val="nothing"/>
        <w:lvlText w:val=""/>
        <w:lvlJc w:val="left"/>
        <w:pPr>
          <w:tabs>
            <w:tab w:val="num" w:pos="0"/>
          </w:tabs>
          <w:ind w:left="432" w:hanging="432"/>
        </w:pPr>
        <w:rPr>
          <w:sz w:val="20"/>
          <w:b/>
          <w:rFonts w:ascii="Arial" w:hAnsi="Arial"/>
        </w:rPr>
      </w:lvl>
    </w:lvlOverride>
    <w:lvlOverride w:ilvl="0">
      <w:startOverride w:val="1"/>
    </w:lvlOverride>
    <w:lvlOverride w:ilvl="1">
      <w:lvl w:ilvl="1">
        <w:start w:val="1"/>
        <w:numFmt w:val="none"/>
        <w:suff w:val="nothing"/>
        <w:lvlText w:val=""/>
        <w:lvlJc w:val="left"/>
        <w:pPr>
          <w:tabs>
            <w:tab w:val="num" w:pos="0"/>
          </w:tabs>
          <w:ind w:left="576" w:hanging="576"/>
        </w:pPr>
        <w:rPr>
          <w:sz w:val="20"/>
          <w:b/>
          <w:rFonts w:ascii="Arial" w:hAnsi="Arial"/>
        </w:rPr>
      </w:lvl>
    </w:lvlOverride>
    <w:lvlOverride w:ilvl="1">
      <w:startOverride w:val="1"/>
    </w:lvlOverride>
    <w:lvlOverride w:ilvl="2">
      <w:lvl w:ilvl="2">
        <w:start w:val="1"/>
        <w:numFmt w:val="none"/>
        <w:suff w:val="nothing"/>
        <w:lvlText w:val=""/>
        <w:lvlJc w:val="left"/>
        <w:pPr>
          <w:tabs>
            <w:tab w:val="num" w:pos="0"/>
          </w:tabs>
          <w:ind w:left="720" w:hanging="720"/>
        </w:pPr>
        <w:rPr>
          <w:sz w:val="20"/>
          <w:b/>
          <w:rFonts w:ascii="Arial" w:hAnsi="Arial"/>
        </w:rPr>
      </w:lvl>
      <w:startOverride w:val="1"/>
    </w:lvlOverride>
    <w:lvlOverride w:ilvl="2">
      <w:startOverride w:val="1"/>
    </w:lvlOverride>
    <w:lvlOverride w:ilvl="3">
      <w:lvl w:ilvl="3">
        <w:start w:val="1"/>
        <w:numFmt w:val="none"/>
        <w:suff w:val="nothing"/>
        <w:lvlText w:val=""/>
        <w:lvlJc w:val="left"/>
        <w:pPr>
          <w:tabs>
            <w:tab w:val="num" w:pos="0"/>
          </w:tabs>
          <w:ind w:left="864" w:hanging="864"/>
        </w:pPr>
        <w:rPr>
          <w:sz w:val="20"/>
          <w:b/>
          <w:rFonts w:ascii="Arial" w:hAnsi="Arial"/>
        </w:rPr>
      </w:lvl>
    </w:lvlOverride>
    <w:lvlOverride w:ilvl="3">
      <w:startOverride w:val="1"/>
    </w:lvlOverride>
    <w:lvlOverride w:ilvl="4">
      <w:lvl w:ilvl="4">
        <w:start w:val="1"/>
        <w:numFmt w:val="none"/>
        <w:suff w:val="nothing"/>
        <w:lvlText w:val=""/>
        <w:lvlJc w:val="left"/>
        <w:pPr>
          <w:tabs>
            <w:tab w:val="num" w:pos="0"/>
          </w:tabs>
          <w:ind w:left="1008" w:hanging="1008"/>
        </w:pPr>
        <w:rPr>
          <w:sz w:val="20"/>
          <w:b/>
          <w:rFonts w:ascii="Arial" w:hAnsi="Arial"/>
        </w:rPr>
      </w:lvl>
    </w:lvlOverride>
    <w:lvlOverride w:ilvl="4">
      <w:startOverride w:val="1"/>
    </w:lvlOverride>
    <w:lvlOverride w:ilvl="5">
      <w:lvl w:ilvl="5">
        <w:start w:val="1"/>
        <w:numFmt w:val="none"/>
        <w:suff w:val="nothing"/>
        <w:lvlText w:val=""/>
        <w:lvlJc w:val="left"/>
        <w:pPr>
          <w:tabs>
            <w:tab w:val="num" w:pos="0"/>
          </w:tabs>
          <w:ind w:left="1152" w:hanging="1152"/>
        </w:pPr>
        <w:rPr>
          <w:sz w:val="20"/>
          <w:b/>
          <w:rFonts w:ascii="Arial" w:hAnsi="Arial"/>
        </w:rPr>
      </w:lvl>
    </w:lvlOverride>
    <w:lvlOverride w:ilvl="5">
      <w:startOverride w:val="1"/>
    </w:lvlOverride>
    <w:lvlOverride w:ilvl="6">
      <w:lvl w:ilvl="6">
        <w:start w:val="1"/>
        <w:numFmt w:val="none"/>
        <w:suff w:val="nothing"/>
        <w:lvlText w:val=""/>
        <w:lvlJc w:val="left"/>
        <w:pPr>
          <w:tabs>
            <w:tab w:val="num" w:pos="0"/>
          </w:tabs>
          <w:ind w:left="1296" w:hanging="1296"/>
        </w:pPr>
        <w:rPr>
          <w:sz w:val="20"/>
          <w:b/>
          <w:rFonts w:ascii="Arial" w:hAnsi="Arial"/>
        </w:rPr>
      </w:lvl>
    </w:lvlOverride>
    <w:lvlOverride w:ilvl="6">
      <w:startOverride w:val="1"/>
    </w:lvlOverride>
    <w:lvlOverride w:ilvl="7">
      <w:lvl w:ilvl="7">
        <w:start w:val="1"/>
        <w:numFmt w:val="none"/>
        <w:suff w:val="nothing"/>
        <w:lvlText w:val=""/>
        <w:lvlJc w:val="left"/>
        <w:pPr>
          <w:tabs>
            <w:tab w:val="num" w:pos="0"/>
          </w:tabs>
          <w:ind w:left="1440" w:hanging="1440"/>
        </w:pPr>
        <w:rPr>
          <w:sz w:val="20"/>
          <w:b/>
          <w:rFonts w:ascii="Arial" w:hAnsi="Arial"/>
        </w:rPr>
      </w:lvl>
    </w:lvlOverride>
    <w:lvlOverride w:ilvl="7">
      <w:startOverride w:val="1"/>
    </w:lvlOverride>
    <w:lvlOverride w:ilvl="8">
      <w:lvl w:ilvl="8">
        <w:start w:val="1"/>
        <w:numFmt w:val="none"/>
        <w:suff w:val="nothing"/>
        <w:lvlText w:val=""/>
        <w:lvlJc w:val="left"/>
        <w:pPr>
          <w:tabs>
            <w:tab w:val="num" w:pos="0"/>
          </w:tabs>
          <w:ind w:left="1584" w:hanging="1584"/>
        </w:pPr>
        <w:rPr>
          <w:sz w:val="20"/>
          <w:b/>
          <w:rFonts w:ascii="Arial" w:hAnsi="Arial"/>
        </w:rPr>
      </w:lvl>
    </w:lvlOverride>
  </w:num>
  <w:num w:numId="42">
    <w:abstractNumId w:val="3"/>
    <w:lvlOverride w:ilvl="0">
      <w:lvl w:ilvl="0">
        <w:start w:val="1"/>
        <w:numFmt w:val="none"/>
        <w:suff w:val="nothing"/>
        <w:lvlText w:val=""/>
        <w:lvlJc w:val="left"/>
        <w:pPr>
          <w:tabs>
            <w:tab w:val="num" w:pos="0"/>
          </w:tabs>
          <w:ind w:left="432" w:hanging="432"/>
        </w:pPr>
        <w:rPr>
          <w:sz w:val="20"/>
          <w:b/>
          <w:rFonts w:ascii="Arial" w:hAnsi="Arial"/>
        </w:rPr>
      </w:lvl>
    </w:lvlOverride>
    <w:lvlOverride w:ilvl="0">
      <w:startOverride w:val="1"/>
    </w:lvlOverride>
    <w:lvlOverride w:ilvl="1">
      <w:lvl w:ilvl="1">
        <w:start w:val="1"/>
        <w:numFmt w:val="none"/>
        <w:suff w:val="nothing"/>
        <w:lvlText w:val=""/>
        <w:lvlJc w:val="left"/>
        <w:pPr>
          <w:tabs>
            <w:tab w:val="num" w:pos="0"/>
          </w:tabs>
          <w:ind w:left="576" w:hanging="576"/>
        </w:pPr>
        <w:rPr>
          <w:sz w:val="20"/>
          <w:b/>
          <w:rFonts w:ascii="Arial" w:hAnsi="Arial"/>
        </w:rPr>
      </w:lvl>
    </w:lvlOverride>
    <w:lvlOverride w:ilvl="1">
      <w:startOverride w:val="1"/>
    </w:lvlOverride>
    <w:lvlOverride w:ilvl="2">
      <w:lvl w:ilvl="2">
        <w:start w:val="1"/>
        <w:numFmt w:val="none"/>
        <w:suff w:val="nothing"/>
        <w:lvlText w:val=""/>
        <w:lvlJc w:val="left"/>
        <w:pPr>
          <w:tabs>
            <w:tab w:val="num" w:pos="0"/>
          </w:tabs>
          <w:ind w:left="720" w:hanging="720"/>
        </w:pPr>
        <w:rPr>
          <w:sz w:val="20"/>
          <w:b/>
          <w:rFonts w:ascii="Arial" w:hAnsi="Arial"/>
        </w:rPr>
      </w:lvl>
      <w:startOverride w:val="1"/>
    </w:lvlOverride>
    <w:lvlOverride w:ilvl="2">
      <w:startOverride w:val="1"/>
    </w:lvlOverride>
    <w:lvlOverride w:ilvl="3">
      <w:lvl w:ilvl="3">
        <w:start w:val="1"/>
        <w:numFmt w:val="none"/>
        <w:suff w:val="nothing"/>
        <w:lvlText w:val=""/>
        <w:lvlJc w:val="left"/>
        <w:pPr>
          <w:tabs>
            <w:tab w:val="num" w:pos="0"/>
          </w:tabs>
          <w:ind w:left="864" w:hanging="864"/>
        </w:pPr>
        <w:rPr>
          <w:sz w:val="20"/>
          <w:b/>
          <w:rFonts w:ascii="Arial" w:hAnsi="Arial"/>
        </w:rPr>
      </w:lvl>
    </w:lvlOverride>
    <w:lvlOverride w:ilvl="3">
      <w:startOverride w:val="1"/>
    </w:lvlOverride>
    <w:lvlOverride w:ilvl="4">
      <w:lvl w:ilvl="4">
        <w:start w:val="1"/>
        <w:numFmt w:val="none"/>
        <w:suff w:val="nothing"/>
        <w:lvlText w:val=""/>
        <w:lvlJc w:val="left"/>
        <w:pPr>
          <w:tabs>
            <w:tab w:val="num" w:pos="0"/>
          </w:tabs>
          <w:ind w:left="1008" w:hanging="1008"/>
        </w:pPr>
        <w:rPr>
          <w:sz w:val="20"/>
          <w:b/>
          <w:rFonts w:ascii="Arial" w:hAnsi="Arial"/>
        </w:rPr>
      </w:lvl>
    </w:lvlOverride>
    <w:lvlOverride w:ilvl="4">
      <w:startOverride w:val="1"/>
    </w:lvlOverride>
    <w:lvlOverride w:ilvl="5">
      <w:lvl w:ilvl="5">
        <w:start w:val="1"/>
        <w:numFmt w:val="none"/>
        <w:suff w:val="nothing"/>
        <w:lvlText w:val=""/>
        <w:lvlJc w:val="left"/>
        <w:pPr>
          <w:tabs>
            <w:tab w:val="num" w:pos="0"/>
          </w:tabs>
          <w:ind w:left="1152" w:hanging="1152"/>
        </w:pPr>
        <w:rPr>
          <w:sz w:val="20"/>
          <w:b/>
          <w:rFonts w:ascii="Arial" w:hAnsi="Arial"/>
        </w:rPr>
      </w:lvl>
    </w:lvlOverride>
    <w:lvlOverride w:ilvl="5">
      <w:startOverride w:val="1"/>
    </w:lvlOverride>
    <w:lvlOverride w:ilvl="6">
      <w:lvl w:ilvl="6">
        <w:start w:val="1"/>
        <w:numFmt w:val="none"/>
        <w:suff w:val="nothing"/>
        <w:lvlText w:val=""/>
        <w:lvlJc w:val="left"/>
        <w:pPr>
          <w:tabs>
            <w:tab w:val="num" w:pos="0"/>
          </w:tabs>
          <w:ind w:left="1296" w:hanging="1296"/>
        </w:pPr>
        <w:rPr>
          <w:sz w:val="20"/>
          <w:b/>
          <w:rFonts w:ascii="Arial" w:hAnsi="Arial"/>
        </w:rPr>
      </w:lvl>
    </w:lvlOverride>
    <w:lvlOverride w:ilvl="6">
      <w:startOverride w:val="1"/>
    </w:lvlOverride>
    <w:lvlOverride w:ilvl="7">
      <w:lvl w:ilvl="7">
        <w:start w:val="1"/>
        <w:numFmt w:val="none"/>
        <w:suff w:val="nothing"/>
        <w:lvlText w:val=""/>
        <w:lvlJc w:val="left"/>
        <w:pPr>
          <w:tabs>
            <w:tab w:val="num" w:pos="0"/>
          </w:tabs>
          <w:ind w:left="1440" w:hanging="1440"/>
        </w:pPr>
        <w:rPr>
          <w:sz w:val="20"/>
          <w:b/>
          <w:rFonts w:ascii="Arial" w:hAnsi="Arial"/>
        </w:rPr>
      </w:lvl>
    </w:lvlOverride>
    <w:lvlOverride w:ilvl="7">
      <w:startOverride w:val="1"/>
    </w:lvlOverride>
    <w:lvlOverride w:ilvl="8">
      <w:lvl w:ilvl="8">
        <w:start w:val="1"/>
        <w:numFmt w:val="none"/>
        <w:suff w:val="nothing"/>
        <w:lvlText w:val=""/>
        <w:lvlJc w:val="left"/>
        <w:pPr>
          <w:tabs>
            <w:tab w:val="num" w:pos="0"/>
          </w:tabs>
          <w:ind w:left="1584" w:hanging="1584"/>
        </w:pPr>
        <w:rPr>
          <w:sz w:val="20"/>
          <w:b/>
          <w:rFonts w:ascii="Arial" w:hAnsi="Arial"/>
        </w:rPr>
      </w:lvl>
    </w:lvlOverride>
  </w:num>
  <w:num w:numId="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 w:numId="51">
    <w:abstractNumId w:val="1"/>
  </w:num>
  <w:num w:numId="52">
    <w:abstractNumId w:val="1"/>
  </w:num>
  <w:num w:numId="53">
    <w:abstractNumId w:val="1"/>
  </w:num>
  <w:num w:numId="54">
    <w:abstractNumId w:val="1"/>
  </w:num>
  <w:num w:numId="55">
    <w:abstractNumId w:val="1"/>
  </w:num>
  <w:num w:numId="56">
    <w:abstractNumId w:val="1"/>
  </w:num>
  <w:num w:numId="57">
    <w:abstractNumId w:val="1"/>
  </w:num>
  <w:num w:numId="58">
    <w:abstractNumId w:val="1"/>
  </w:num>
  <w:num w:numId="59">
    <w:abstractNumId w:val="1"/>
  </w:num>
  <w:num w:numId="60">
    <w:abstractNumId w:val="1"/>
  </w:num>
  <w:num w:numId="61">
    <w:abstractNumId w:val="1"/>
  </w:num>
  <w:num w:numId="62">
    <w:abstractNumId w:val="1"/>
  </w:num>
  <w:num w:numId="63">
    <w:abstractNumId w:val="32"/>
    <w:lvlOverride w:ilvl="0">
      <w:startOverride w:val="1"/>
    </w:lvlOverride>
  </w:num>
  <w:num w:numId="64">
    <w:abstractNumId w:val="32"/>
  </w:num>
  <w:num w:numId="65">
    <w:abstractNumId w:val="32"/>
  </w:num>
  <w:num w:numId="66">
    <w:abstractNumId w:val="32"/>
  </w:num>
  <w:num w:numId="67">
    <w:abstractNumId w:val="32"/>
  </w:num>
  <w:num w:numId="68">
    <w:abstractNumId w:val="32"/>
  </w:num>
  <w:num w:numId="69">
    <w:abstractNumId w:val="32"/>
  </w:num>
</w:numbering>
</file>

<file path=word/settings.xml><?xml version="1.0" encoding="utf-8"?>
<w:settings xmlns:w="http://schemas.openxmlformats.org/wordprocessingml/2006/main">
  <w:zoom w:percent="100"/>
  <w:displayBackgroundShape/>
  <w:defaultTabStop w:val="709"/>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UnresolvedMention" w:customStyle="1">
    <w:name w:val="Unresolved Mention"/>
    <w:basedOn w:val="DefaultParagraphFont"/>
    <w:uiPriority w:val="99"/>
    <w:semiHidden/>
    <w:unhideWhenUsed/>
    <w:qFormat/>
    <w:rsid w:val="007a7a52"/>
    <w:rPr>
      <w:color w:val="605E5C"/>
      <w:shd w:fill="E1DFDD" w:val="clear"/>
    </w:rPr>
  </w:style>
  <w:style w:type="character" w:styleId="Nvel2-RedChar" w:customStyle="1">
    <w:name w:val="Nível 2 -Red Char"/>
    <w:link w:val="Nvel2-Red"/>
    <w:qFormat/>
    <w:rsid w:val="00d71aea"/>
    <w:rPr>
      <w:rFonts w:ascii="Arial" w:hAnsi="Arial" w:eastAsia="MS Mincho" w:cs="Arial"/>
      <w:i/>
      <w:iCs/>
      <w:color w:val="FF0000"/>
    </w:rPr>
  </w:style>
  <w:style w:type="character" w:styleId="ouChar" w:customStyle="1">
    <w:name w:val="ou Char"/>
    <w:link w:val="ou"/>
    <w:qFormat/>
    <w:rsid w:val="00d71aea"/>
    <w:rPr>
      <w:rFonts w:ascii="Arial" w:hAnsi="Arial" w:eastAsia="Cambria" w:cs="Arial"/>
      <w:b/>
      <w:bCs/>
      <w:i/>
      <w:iCs/>
      <w:color w:val="FF0000"/>
      <w:sz w:val="24"/>
      <w:szCs w:val="24"/>
      <w:u w:val="single"/>
    </w:rPr>
  </w:style>
  <w:style w:type="paragraph" w:styleId="Ttulo">
    <w:name w:val="Título"/>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user">
    <w:name w:val="Título (user)"/>
    <w:basedOn w:val="Normal"/>
    <w:next w:val="BodyText"/>
    <w:qFormat/>
    <w:pPr>
      <w:keepNext w:val="true"/>
      <w:spacing w:before="240" w:after="120"/>
    </w:pPr>
    <w:rPr>
      <w:rFonts w:ascii="Liberation Sans" w:hAnsi="Liberation Sans" w:eastAsia="Microsoft YaHei" w:cs="Arial Unicode MS"/>
      <w:sz w:val="28"/>
      <w:szCs w:val="28"/>
    </w:rPr>
  </w:style>
  <w:style w:type="paragraph" w:styleId="ndiceuser" w:customStyle="1">
    <w:name w:val="Índice (user)"/>
    <w:basedOn w:val="Normal"/>
    <w:qFormat/>
    <w:pPr>
      <w:suppressLineNumbers/>
    </w:pPr>
    <w:rPr>
      <w:rFonts w:cs="Arial Unicode MS"/>
    </w:rPr>
  </w:style>
  <w:style w:type="paragraph" w:styleId="Title">
    <w:name w:val="Title"/>
    <w:basedOn w:val="Ttulo21"/>
    <w:next w:val="BodyText"/>
    <w:qFormat/>
    <w:pPr/>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Standard1"/>
    <w:qFormat/>
    <w:rsid w:val="00e95547"/>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left="1276"/>
    </w:pPr>
    <w:rPr/>
  </w:style>
  <w:style w:type="paragraph" w:styleId="Nvel2-Red" w:customStyle="1">
    <w:name w:val="Nível 2 -Red"/>
    <w:basedOn w:val="Nivel2"/>
    <w:link w:val="Nvel2-RedChar"/>
    <w:qFormat/>
    <w:rsid w:val="00d71aea"/>
    <w:pPr>
      <w:numPr>
        <w:ilvl w:val="0"/>
        <w:numId w:val="0"/>
      </w:numPr>
      <w:tabs>
        <w:tab w:val="clear" w:pos="709"/>
        <w:tab w:val="left" w:pos="0" w:leader="none"/>
      </w:tabs>
    </w:pPr>
    <w:rPr>
      <w:i/>
      <w:iCs/>
      <w:color w:val="FF0000"/>
    </w:rPr>
  </w:style>
  <w:style w:type="paragraph" w:styleId="ou" w:customStyle="1">
    <w:name w:val="ou"/>
    <w:basedOn w:val="ListParagraph"/>
    <w:link w:val="ouChar"/>
    <w:qFormat/>
    <w:rsid w:val="00d71aea"/>
    <w:pPr>
      <w:suppressAutoHyphens w:val="false"/>
      <w:spacing w:lineRule="auto" w:line="259" w:before="60" w:after="60"/>
      <w:ind w:left="0"/>
      <w:jc w:val="center"/>
    </w:pPr>
    <w:rPr>
      <w:rFonts w:ascii="Arial" w:hAnsi="Arial" w:eastAsia="Cambria" w:cs="Arial"/>
      <w:b/>
      <w:bCs/>
      <w:i/>
      <w:iCs/>
      <w:color w:val="FF0000"/>
      <w:kern w:val="0"/>
      <w:sz w:val="24"/>
      <w:szCs w:val="24"/>
      <w:u w:val="single"/>
      <w:lang w:eastAsia="pt-BR"/>
    </w:rPr>
  </w:style>
  <w:style w:type="paragraph" w:styleId="textos" w:customStyle="1">
    <w:name w:val="textos"/>
    <w:basedOn w:val="Normal"/>
    <w:qFormat/>
    <w:rsid w:val="00b2786d"/>
    <w:pPr>
      <w:spacing w:lineRule="atLeast" w:line="271" w:before="280" w:after="280"/>
    </w:pPr>
    <w:rPr>
      <w:rFonts w:ascii="Verdana" w:hAnsi="Verdana" w:cs="Verdana"/>
      <w:color w:val="333333"/>
      <w:kern w:val="0"/>
      <w:sz w:val="19"/>
      <w:szCs w:val="19"/>
      <w:lang w:eastAsia="ar-SA"/>
    </w:rPr>
  </w:style>
  <w:style w:type="paragraph" w:styleId="Pa5" w:customStyle="1">
    <w:name w:val="Pa5"/>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Pa4" w:customStyle="1">
    <w:name w:val="Pa4"/>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Contedodatabelauser" w:customStyle="1">
    <w:name w:val="Conteúdo da tabela (user)"/>
    <w:basedOn w:val="Standard"/>
    <w:qFormat/>
    <w:rsid w:val="00e95547"/>
    <w:pPr>
      <w:suppressLineNumbers/>
    </w:pPr>
    <w:rPr>
      <w:rFonts w:ascii="Liberation Serif" w:hAnsi="Liberation Serif" w:eastAsia="SimSun" w:cs="Mangal"/>
      <w:sz w:val="24"/>
      <w:szCs w:val="24"/>
      <w:lang w:bidi="hi-IN"/>
    </w:rPr>
  </w:style>
  <w:style w:type="paragraph" w:styleId="Pa6" w:customStyle="1">
    <w:name w:val="Pa6"/>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Standard1" w:customStyle="1">
    <w:name w:val="Standard1"/>
    <w:qFormat/>
    <w:rsid w:val="00e95547"/>
    <w:pPr>
      <w:widowControl/>
      <w:suppressAutoHyphens w:val="true"/>
      <w:bidi w:val="0"/>
      <w:spacing w:before="0" w:after="0"/>
      <w:jc w:val="left"/>
      <w:textAlignment w:val="baseline"/>
    </w:pPr>
    <w:rPr>
      <w:rFonts w:ascii="Liberation Serif" w:hAnsi="Liberation Serif" w:eastAsia="SimSun, 宋体" w:cs="Mangal"/>
      <w:color w:val="auto"/>
      <w:kern w:val="2"/>
      <w:sz w:val="24"/>
      <w:szCs w:val="24"/>
      <w:lang w:val="pt-BR" w:eastAsia="zh-CN" w:bidi="hi-IN"/>
    </w:rPr>
  </w:style>
  <w:style w:type="paragraph" w:styleId="Contedodoquadrouser" w:customStyle="1">
    <w:name w:val="Conteúdo do quadro (user)"/>
    <w:basedOn w:val="Normal"/>
    <w:qFormat/>
    <w:pPr/>
    <w:rPr/>
  </w:style>
  <w:style w:type="numbering" w:styleId="Semlistauser" w:default="1">
    <w:name w:val="Sem lista (user)"/>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Home/Login"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mailto:notafiscal@piracicaba.sp.gov.br" TargetMode="External"/><Relationship Id="rId11" Type="http://schemas.openxmlformats.org/officeDocument/2006/relationships/hyperlink" Target="mailto:notafiscal@piracicaba.sp.gov.br"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Relationship Id="rId23" Type="http://schemas.openxmlformats.org/officeDocument/2006/relationships/customXml" Target="../customXml/item2.xml"/><Relationship Id="rId24" Type="http://schemas.openxmlformats.org/officeDocument/2006/relationships/customXml" Target="../customXml/item3.xml"/><Relationship Id="rId25"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3965C8-7008-40CB-B32D-DC8BDC9A8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Application>LibreOffice/25.2.7.2$Windows_X86_64 LibreOffice_project/5cbfd1ab6520636bb5f7b99185aa69bd7456825d</Application>
  <AppVersion>15.0000</AppVersion>
  <Pages>32</Pages>
  <Words>12161</Words>
  <Characters>70900</Characters>
  <CharactersWithSpaces>82588</CharactersWithSpaces>
  <Paragraphs>636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2026-07-18T15:05:00Z</dcterms:created>
  <dc:creator>Silvia de Abreu Maiani Simoes</dc:creator>
  <dc:description/>
  <dc:language>pt-BR</dc:language>
  <cp:lastModifiedBy/>
  <cp:lastPrinted>2026-10-19T09:49:15Z</cp:lastPrinted>
  <dcterms:modified xsi:type="dcterms:W3CDTF">2026-10-19T10:10:07Z</dcterms:modified>
  <cp:revision>53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