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sz w:val="20"/>
          <w:szCs w:val="20"/>
        </w:rPr>
      </w:pPr>
      <w:r>
        <w:rPr>
          <w:b/>
          <w:sz w:val="20"/>
          <w:szCs w:val="20"/>
        </w:rPr>
        <w:t xml:space="preserve">EDITAL DE PREGÃO ELETRÔNICO </w:t>
      </w:r>
      <w:r>
        <w:rPr>
          <w:b/>
          <w:sz w:val="20"/>
          <w:szCs w:val="20"/>
          <w:lang w:val="pt-BR"/>
        </w:rPr>
        <w:t xml:space="preserve">nº </w:t>
      </w:r>
      <w:r>
        <w:rPr>
          <w:b/>
          <w:sz w:val="20"/>
          <w:szCs w:val="20"/>
          <w:lang w:val="pt-BR"/>
        </w:rPr>
        <w:t>300</w:t>
      </w:r>
      <w:r>
        <w:rPr>
          <w:b/>
          <w:sz w:val="20"/>
          <w:szCs w:val="20"/>
          <w:lang w:val="pt-BR"/>
        </w:rPr>
        <w:t>/</w:t>
      </w:r>
      <w:r>
        <w:rPr>
          <w:b/>
          <w:sz w:val="20"/>
          <w:szCs w:val="20"/>
          <w:lang w:val="pt-BR"/>
        </w:rPr>
        <w:t>2026</w:t>
      </w:r>
      <w:r>
        <w:rPr>
          <w:b/>
          <w:sz w:val="20"/>
          <w:szCs w:val="20"/>
        </w:rPr>
        <w:t xml:space="preserve"> </w:t>
      </w:r>
    </w:p>
    <w:p>
      <w:pPr>
        <w:pStyle w:val="BodyTextIndent"/>
        <w:widowControl w:val="false"/>
        <w:shd w:val="clear" w:color="auto" w:fill="CCCCCC"/>
        <w:overflowPunct w:val="true"/>
        <w:spacing w:lineRule="auto" w:line="240"/>
        <w:jc w:val="center"/>
        <w:rPr>
          <w:b/>
          <w:sz w:val="20"/>
          <w:szCs w:val="20"/>
          <w:lang w:val="pt-BR"/>
        </w:rPr>
      </w:pPr>
      <w:r>
        <w:rPr>
          <w:b/>
          <w:sz w:val="20"/>
          <w:szCs w:val="20"/>
          <w:lang w:val="pt-BR"/>
        </w:rPr>
        <w:t>REGISTRO DE PREÇOS</w:t>
      </w:r>
    </w:p>
    <w:p>
      <w:pPr>
        <w:pStyle w:val="BodyTextIndent"/>
        <w:widowControl w:val="false"/>
        <w:overflowPunct w:val="true"/>
        <w:spacing w:lineRule="auto" w:line="240"/>
        <w:jc w:val="center"/>
        <w:rPr>
          <w:sz w:val="20"/>
          <w:szCs w:val="20"/>
        </w:rPr>
      </w:pPr>
      <w:r>
        <w:rPr>
          <w:sz w:val="20"/>
          <w:szCs w:val="20"/>
        </w:rPr>
      </w:r>
    </w:p>
    <w:p>
      <w:pPr>
        <w:pStyle w:val="BodyTextIndent"/>
        <w:widowControl w:val="false"/>
        <w:overflowPunct w:val="tru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true"/>
        <w:spacing w:lineRule="auto" w:line="240"/>
        <w:jc w:val="center"/>
        <w:rPr>
          <w:sz w:val="20"/>
          <w:szCs w:val="20"/>
        </w:rPr>
      </w:pPr>
      <w:r>
        <w:rPr>
          <w:sz w:val="20"/>
          <w:szCs w:val="20"/>
        </w:rPr>
      </w:r>
    </w:p>
    <w:p>
      <w:pPr>
        <w:pStyle w:val="BodyTextIndent"/>
        <w:widowControl w:val="false"/>
        <w:shd w:val="clear" w:color="auto" w:fill="DDDDDD"/>
        <w:overflowPunct w:val="true"/>
        <w:spacing w:lineRule="auto" w:line="240"/>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4"/>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155.482/2026</w:t>
      </w:r>
    </w:p>
    <w:p>
      <w:pPr>
        <w:pStyle w:val="BodyTextIndent"/>
        <w:widowControl w:val="false"/>
        <w:numPr>
          <w:ilvl w:val="0"/>
          <w:numId w:val="4"/>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27</w:t>
      </w:r>
      <w:r>
        <w:rPr>
          <w:b/>
          <w:sz w:val="20"/>
          <w:szCs w:val="20"/>
          <w:lang w:val="pt-BR"/>
        </w:rPr>
        <w:t>/</w:t>
      </w:r>
      <w:r>
        <w:rPr>
          <w:b/>
          <w:sz w:val="20"/>
          <w:szCs w:val="20"/>
          <w:lang w:val="pt-BR"/>
        </w:rPr>
        <w:t>10</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27</w:t>
      </w:r>
      <w:r>
        <w:rPr>
          <w:b/>
          <w:sz w:val="20"/>
          <w:szCs w:val="20"/>
          <w:lang w:val="pt-BR"/>
        </w:rPr>
        <w:t>/</w:t>
      </w:r>
      <w:r>
        <w:rPr>
          <w:b/>
          <w:sz w:val="20"/>
          <w:szCs w:val="20"/>
          <w:lang w:val="pt-BR"/>
        </w:rPr>
        <w:t>10</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true"/>
        <w:spacing w:lineRule="auto" w:line="240"/>
        <w:jc w:val="lef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6"/>
        </w:numPr>
        <w:tabs>
          <w:tab w:val="clear" w:pos="709"/>
          <w:tab w:val="left" w:pos="284" w:leader="none"/>
        </w:tabs>
        <w:spacing w:lineRule="auto" w:line="276"/>
        <w:jc w:val="both"/>
        <w:rPr/>
      </w:pPr>
      <w:r>
        <w:rPr>
          <w:rFonts w:cs="Arial" w:ascii="Arial" w:hAnsi="Arial"/>
        </w:rPr>
        <w:t>Objeto:</w:t>
      </w:r>
      <w:r>
        <w:rPr>
          <w:rFonts w:cs="Arial" w:ascii="Arial" w:hAnsi="Arial"/>
          <w:b/>
        </w:rPr>
        <w:t xml:space="preserve"> </w:t>
      </w:r>
      <w:r>
        <w:rPr>
          <w:rFonts w:ascii="Arial" w:hAnsi="Arial"/>
          <w:b/>
          <w:bCs/>
          <w:i w:val="false"/>
          <w:strike w:val="false"/>
          <w:dstrike w:val="false"/>
          <w:outline w:val="false"/>
          <w:shadow w:val="false"/>
          <w:sz w:val="20"/>
          <w:szCs w:val="20"/>
          <w:u w:val="none"/>
          <w:em w:val="none"/>
        </w:rPr>
        <w:t>Registro de Preços para fornecimento parcelado de insumos odontológicos (instrumentais e materiais cirúrgicos).</w:t>
      </w:r>
    </w:p>
    <w:p>
      <w:pPr>
        <w:pStyle w:val="Normal"/>
        <w:numPr>
          <w:ilvl w:val="0"/>
          <w:numId w:val="4"/>
        </w:numPr>
        <w:tabs>
          <w:tab w:val="clear" w:pos="709"/>
          <w:tab w:val="left" w:pos="284" w:leader="none"/>
        </w:tabs>
        <w:spacing w:lineRule="auto" w:line="276"/>
        <w:jc w:val="both"/>
        <w:rPr/>
      </w:pPr>
      <w:r>
        <w:rPr>
          <w:rFonts w:cs="Arial" w:ascii="Arial" w:hAnsi="Arial"/>
        </w:rPr>
        <w:t xml:space="preserve">Unidade Requisitante: </w:t>
      </w:r>
      <w:r>
        <w:rPr>
          <w:rFonts w:cs="Arial" w:ascii="Arial" w:hAnsi="Arial"/>
          <w:b/>
          <w:bCs/>
        </w:rPr>
        <w:t>Secretaria Municipal de Saúde – Gerência de Suprimentos.</w:t>
      </w:r>
    </w:p>
    <w:p>
      <w:pPr>
        <w:pStyle w:val="Normal"/>
        <w:numPr>
          <w:ilvl w:val="0"/>
          <w:numId w:val="4"/>
        </w:numPr>
        <w:tabs>
          <w:tab w:val="clear" w:pos="709"/>
          <w:tab w:val="left" w:pos="284" w:leader="none"/>
        </w:tabs>
        <w:spacing w:lineRule="auto" w:line="276"/>
        <w:jc w:val="both"/>
        <w:rPr/>
      </w:pPr>
      <w:r>
        <w:rPr>
          <w:rFonts w:cs="Arial" w:ascii="Arial" w:hAnsi="Arial"/>
        </w:rPr>
        <w:t>Fonte de recursos: 0.301.0014.2083.0000 – Fonte 0205030009. Lei Complementar nº 141, de 13 de janeiro de 2012; Portaria nº 3.992, de 28 de dezembro de 2017.</w:t>
      </w:r>
    </w:p>
    <w:p>
      <w:pPr>
        <w:pStyle w:val="Normal"/>
        <w:tabs>
          <w:tab w:val="clear" w:pos="709"/>
          <w:tab w:val="left" w:pos="284" w:leader="none"/>
        </w:tabs>
        <w:spacing w:lineRule="auto" w:line="276"/>
        <w:ind w:left="567"/>
        <w:jc w:val="both"/>
        <w:rPr/>
      </w:pPr>
      <w:r>
        <w:rPr>
          <w:rFonts w:cs="Arial" w:ascii="Arial" w:hAnsi="Arial"/>
        </w:rPr>
        <w:t>10.301.0014.2083.0000 – Fonte 0202030098. Lei Estadual nº 18.387, de 06 de janeiro de 2026</w:t>
      </w:r>
    </w:p>
    <w:p>
      <w:pPr>
        <w:pStyle w:val="Normal"/>
        <w:numPr>
          <w:ilvl w:val="0"/>
          <w:numId w:val="4"/>
        </w:numPr>
        <w:tabs>
          <w:tab w:val="clear" w:pos="709"/>
          <w:tab w:val="left" w:pos="284" w:leader="none"/>
        </w:tabs>
        <w:spacing w:lineRule="auto" w:line="276"/>
        <w:jc w:val="both"/>
        <w:rPr/>
      </w:pPr>
      <w:r>
        <w:rPr>
          <w:rFonts w:cs="Arial" w:ascii="Arial" w:hAnsi="Arial"/>
        </w:rPr>
        <w:t xml:space="preserve">Valor estimado da contratação: </w:t>
      </w:r>
      <w:r>
        <w:rPr>
          <w:rFonts w:cs="Arial" w:ascii="Arial" w:hAnsi="Arial"/>
          <w:b/>
        </w:rPr>
        <w:t>R$ 137.084,60 (cento e trinta e sete mil e oitenta e quatro reais e sessenta centavos).</w:t>
      </w:r>
    </w:p>
    <w:p>
      <w:pPr>
        <w:pStyle w:val="Normal"/>
        <w:numPr>
          <w:ilvl w:val="0"/>
          <w:numId w:val="4"/>
        </w:numPr>
        <w:tabs>
          <w:tab w:val="clear" w:pos="709"/>
          <w:tab w:val="left" w:pos="284" w:leader="none"/>
        </w:tabs>
        <w:spacing w:lineRule="auto" w:line="276"/>
        <w:jc w:val="both"/>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5"/>
        </w:numPr>
        <w:tabs>
          <w:tab w:val="clear" w:pos="709"/>
          <w:tab w:val="left" w:pos="284" w:leader="none"/>
        </w:tabs>
        <w:spacing w:lineRule="auto" w:line="276"/>
        <w:jc w:val="both"/>
        <w:rPr/>
      </w:pPr>
      <w:r>
        <w:rPr>
          <w:rFonts w:cs="Arial" w:ascii="Arial" w:hAnsi="Arial"/>
        </w:rPr>
        <w:t>Critério de julgamento: Menor preço por item.</w:t>
      </w:r>
    </w:p>
    <w:p>
      <w:pPr>
        <w:pStyle w:val="Normal"/>
        <w:widowControl w:val="false"/>
        <w:numPr>
          <w:ilvl w:val="0"/>
          <w:numId w:val="5"/>
        </w:numPr>
        <w:tabs>
          <w:tab w:val="clear" w:pos="709"/>
          <w:tab w:val="left" w:pos="284" w:leader="none"/>
        </w:tabs>
        <w:spacing w:lineRule="auto" w:line="276"/>
        <w:jc w:val="both"/>
        <w:rPr/>
      </w:pPr>
      <w:r>
        <w:rPr>
          <w:rFonts w:cs="Arial" w:ascii="Arial" w:hAnsi="Arial"/>
        </w:rPr>
        <w:t>Base de disputa: Preço unitário do item.</w:t>
      </w:r>
    </w:p>
    <w:p>
      <w:pPr>
        <w:pStyle w:val="Normal"/>
        <w:widowControl w:val="false"/>
        <w:numPr>
          <w:ilvl w:val="0"/>
          <w:numId w:val="5"/>
        </w:numPr>
        <w:tabs>
          <w:tab w:val="clear" w:pos="709"/>
          <w:tab w:val="left" w:pos="284" w:leader="none"/>
        </w:tabs>
        <w:spacing w:lineRule="auto" w:line="276"/>
        <w:jc w:val="both"/>
        <w:rPr/>
      </w:pPr>
      <w:r>
        <w:rPr>
          <w:rFonts w:cs="Arial" w:ascii="Arial" w:hAnsi="Arial"/>
        </w:rPr>
        <w:t>Modo de disputa: Aberto</w:t>
      </w:r>
    </w:p>
    <w:p>
      <w:pPr>
        <w:pStyle w:val="Normal"/>
        <w:widowControl w:val="false"/>
        <w:numPr>
          <w:ilvl w:val="0"/>
          <w:numId w:val="5"/>
        </w:numPr>
        <w:tabs>
          <w:tab w:val="clear" w:pos="709"/>
          <w:tab w:val="left" w:pos="284" w:leader="none"/>
        </w:tabs>
        <w:spacing w:lineRule="auto" w:line="276"/>
        <w:jc w:val="both"/>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17"/>
        </w:numPr>
        <w:tabs>
          <w:tab w:val="clear" w:pos="709"/>
          <w:tab w:val="left" w:pos="284" w:leader="none"/>
        </w:tabs>
        <w:spacing w:lineRule="auto" w:line="276"/>
        <w:jc w:val="both"/>
        <w:rPr/>
      </w:pPr>
      <w:r>
        <w:rPr>
          <w:rFonts w:cs="Arial" w:ascii="Arial" w:hAnsi="Arial"/>
        </w:rPr>
        <w:t>Prazo de validade: 90 (noventa) dias.</w:t>
      </w:r>
    </w:p>
    <w:p>
      <w:pPr>
        <w:pStyle w:val="Normal"/>
        <w:numPr>
          <w:ilvl w:val="0"/>
          <w:numId w:val="4"/>
        </w:numPr>
        <w:tabs>
          <w:tab w:val="clear" w:pos="709"/>
          <w:tab w:val="left" w:pos="284" w:leader="none"/>
        </w:tabs>
        <w:spacing w:lineRule="auto" w:line="276"/>
        <w:jc w:val="both"/>
        <w:rPr/>
      </w:pPr>
      <w:r>
        <w:rPr>
          <w:rFonts w:cs="Arial" w:ascii="Arial" w:hAnsi="Arial"/>
        </w:rPr>
        <w:t>Prazo de pagamento: 15 (quinze) dias úteis, contados da data do recebimento da nota fiscal, em atendimento ao Decreto Municipal Nº 17.640/18.</w:t>
      </w:r>
    </w:p>
    <w:p>
      <w:pPr>
        <w:pStyle w:val="Normal"/>
        <w:numPr>
          <w:ilvl w:val="0"/>
          <w:numId w:val="4"/>
        </w:numPr>
        <w:tabs>
          <w:tab w:val="clear" w:pos="709"/>
          <w:tab w:val="left" w:pos="284" w:leader="none"/>
        </w:tabs>
        <w:spacing w:lineRule="auto" w:line="276"/>
        <w:jc w:val="both"/>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e a </w:t>
      </w:r>
      <w:r>
        <w:rPr>
          <w:rFonts w:cs="Arial" w:ascii="Arial" w:hAnsi="Arial"/>
          <w:b/>
        </w:rPr>
        <w:t>marca do fabricante, nome comercial</w:t>
      </w:r>
      <w:r>
        <w:rPr>
          <w:rFonts w:cs="Arial" w:ascii="Arial" w:hAnsi="Arial"/>
        </w:rPr>
        <w:t xml:space="preserve"> e</w:t>
      </w:r>
      <w:r>
        <w:rPr>
          <w:rFonts w:cs="Arial" w:ascii="Arial" w:hAnsi="Arial"/>
          <w:b/>
          <w:bCs/>
        </w:rPr>
        <w:t xml:space="preserve"> modelo </w:t>
      </w:r>
      <w:r>
        <w:rPr>
          <w:rFonts w:cs="Arial" w:ascii="Arial" w:hAnsi="Arial"/>
        </w:rPr>
        <w:t>do produto cotado, sendo admitida apenas uma marca por item.</w:t>
      </w:r>
    </w:p>
    <w:p>
      <w:pPr>
        <w:pStyle w:val="Normal"/>
        <w:numPr>
          <w:ilvl w:val="0"/>
          <w:numId w:val="4"/>
        </w:numPr>
        <w:tabs>
          <w:tab w:val="clear" w:pos="709"/>
          <w:tab w:val="left" w:pos="284" w:leader="none"/>
        </w:tabs>
        <w:spacing w:lineRule="auto" w:line="276"/>
        <w:jc w:val="both"/>
        <w:rPr/>
      </w:pP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4"/>
        </w:numPr>
        <w:tabs>
          <w:tab w:val="clear" w:pos="709"/>
          <w:tab w:val="left" w:pos="284" w:leader="none"/>
        </w:tabs>
        <w:spacing w:lineRule="auto" w:line="276"/>
        <w:jc w:val="both"/>
        <w:rPr/>
      </w:pPr>
      <w:r>
        <w:rPr>
          <w:rFonts w:cs="Arial" w:ascii="Arial" w:hAnsi="Arial"/>
        </w:rPr>
        <w:t xml:space="preserve">Catálogos técnicos contendo o descritivo, folder </w:t>
      </w:r>
      <w:r>
        <w:rPr>
          <w:rFonts w:cs="Arial" w:ascii="Arial" w:hAnsi="Arial"/>
          <w:u w:val="single"/>
        </w:rPr>
        <w:t>e</w:t>
      </w:r>
      <w:r>
        <w:rPr>
          <w:rFonts w:cs="Arial" w:ascii="Arial" w:hAnsi="Arial"/>
        </w:rPr>
        <w:t xml:space="preserve"> foto do produto ofertado, comprovando as especificações técnicas exigidas no edital.</w:t>
      </w:r>
    </w:p>
    <w:p>
      <w:pPr>
        <w:pStyle w:val="Normal"/>
        <w:numPr>
          <w:ilvl w:val="1"/>
          <w:numId w:val="4"/>
        </w:numPr>
        <w:tabs>
          <w:tab w:val="clear" w:pos="709"/>
          <w:tab w:val="left" w:pos="284" w:leader="none"/>
        </w:tabs>
        <w:spacing w:lineRule="auto" w:line="276"/>
        <w:jc w:val="both"/>
        <w:rPr/>
      </w:pPr>
      <w:r>
        <w:rPr>
          <w:rFonts w:cs="Arial" w:ascii="Arial" w:hAnsi="Arial"/>
        </w:rPr>
        <w:t xml:space="preserve">Considerando que o registro sanitário possui prazo de vigência e pode sofrer alterações quanto à sua situação, deverá ser apresentado o Certificado de Registro do Produto válido, emitido pela ANVISA, por meio do espelho da consulta pública do registro, obtido no portal da ANVISA (https://consultas.anvisa.gov.br), com data de emissão não superior a 12 (doze) meses, </w:t>
      </w:r>
      <w:r>
        <w:rPr>
          <w:rFonts w:cs="Arial" w:ascii="Arial" w:hAnsi="Arial"/>
          <w:b/>
          <w:bCs/>
        </w:rPr>
        <w:t>exceto para o item 8</w:t>
      </w:r>
      <w:r>
        <w:rPr>
          <w:rFonts w:cs="Arial" w:ascii="Arial" w:hAnsi="Arial"/>
        </w:rPr>
        <w:t>.</w:t>
      </w:r>
    </w:p>
    <w:p>
      <w:pPr>
        <w:pStyle w:val="Normal"/>
        <w:tabs>
          <w:tab w:val="clear" w:pos="709"/>
          <w:tab w:val="left" w:pos="567" w:leader="none"/>
        </w:tabs>
        <w:spacing w:lineRule="auto" w:line="276"/>
        <w:jc w:val="both"/>
        <w:rPr/>
      </w:pPr>
      <w:r>
        <w:rPr>
          <w:rFonts w:eastAsia="Calibri" w:cs="Arial;Helvetica" w:ascii="Arial;Helvetica" w:hAnsi="Arial;Helvetica"/>
          <w:b/>
          <w:bCs/>
          <w:i/>
          <w:iCs/>
          <w:color w:val="000000"/>
          <w:u w:val="single"/>
          <w:shd w:fill="FFFFFF" w:val="clear"/>
        </w:rPr>
        <w:t>ATENÇÃO</w:t>
      </w:r>
      <w:r>
        <w:rPr>
          <w:rFonts w:eastAsia="Calibri" w:cs="Arial;Helvetica" w:ascii="Arial;Helvetica" w:hAnsi="Arial;Helvetica"/>
          <w:b/>
          <w:bCs/>
          <w:color w:val="000000"/>
          <w:shd w:fill="FFFFFF" w:val="clear"/>
        </w:rPr>
        <w:t>:</w:t>
      </w:r>
      <w:r>
        <w:rPr>
          <w:rFonts w:eastAsia="Calibri" w:cs="Arial;Helvetica" w:ascii="Arial;Helvetica" w:hAnsi="Arial;Helvetica"/>
          <w:color w:val="000000"/>
          <w:shd w:fill="FFFFFF" w:val="clear"/>
        </w:rPr>
        <w:t xml:space="preserve"> A apresentação apenas da numeração do registro na ANVISA em proposta, bula ou catálogo será considerada critério de desclassificação, por não permitir a verificação objetiva da vigência e da regularidade do produto ofertado.</w:t>
      </w:r>
    </w:p>
    <w:p>
      <w:pPr>
        <w:pStyle w:val="Normal"/>
        <w:numPr>
          <w:ilvl w:val="0"/>
          <w:numId w:val="4"/>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170" w:hRule="atLeast"/>
        </w:trPr>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rPr>
            </w:pPr>
            <w:r>
              <w:rPr>
                <w:rFonts w:cs="Arial" w:ascii="Arial" w:hAnsi="Arial"/>
                <w:b/>
              </w:rPr>
              <w:t>Descritivo</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01</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15</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ROL</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FIO ORTODÔNTICO DURO ELÁSTICO Nº 1 – 1,00 MM: fio odontológico confeccionado em liga de aço inoxidável cromo-níquel (CrNi), com seção transversal redonda, diâmetro nominal de 1,00 mm, equivalente a aproximadamente .040”, indicado para confecção de aparelhos ortodônticos removíveis, arcos, grampos, molas, alças e demais componentes ortodônticos. Deve apresentar superfície lisa e polida, adequada resistência mecânica, elasticidade, formabilidade e resistência à corrosão. Produto fornecido não estéril. Apresentação comercial: rolo contendo, no mínimo, 40 g, acondicionado em embalagem que preserve a integridade do produto e contenha identificação do fabricante, número do lote, medida do fio e demais informações de rastreabilidade. Produto com regularização válida na Anvisa. Marcas/modelos de referência: Fio Ortodôntico Duro Elástico CrNi Redondo Ø1,00 mm (.040”) – Morelli; Fio Duro Elástico SS CrNi Ø1,00 mm (.040”) – Orthometric; ou equivalente de qualidade igual ou superior.</w:t>
            </w:r>
          </w:p>
        </w:tc>
      </w:tr>
      <w:tr>
        <w:trPr>
          <w:trHeight w:val="170" w:hRule="atLeast"/>
        </w:trPr>
        <w:tc>
          <w:tcPr>
            <w:tcW w:w="850" w:type="dxa"/>
            <w:tcBorders>
              <w:top w:val="single" w:sz="4" w:space="0" w:color="000000"/>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02</w:t>
            </w:r>
          </w:p>
        </w:tc>
        <w:tc>
          <w:tcPr>
            <w:tcW w:w="850" w:type="dxa"/>
            <w:tcBorders>
              <w:top w:val="single" w:sz="4" w:space="0" w:color="000000"/>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DRENO DE PENROSE Nº 1 EM SILICONE: dispositivo médico-cirúrgico flexível, indicado para drenagem passiva, por capilaridade, de líquidos e secreções em cavidades ou feridas operatórias. Confeccionado em silicone de grau médico, isento de látex, com linha ou componente radiopaco, diâmetro nominal de 6 mm e comprimento aproximado de 30 cm. Produto estéril, descartável e de uso único. Apresentação comercial: embalagem individual contendo 1 unidade, que preserve sua integridade e esterilidade e contenha identificação do fabricante, número do lote, prazo de validade e demais informações de rastreabilidade. Produto com regularização válida na Anvisa. Marcas/modelos de referência: Well Lead 602.00.603; Foyomed FY024506F;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03</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70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EMB</w:t>
            </w:r>
          </w:p>
        </w:tc>
        <w:tc>
          <w:tcPr>
            <w:tcW w:w="7369" w:type="dxa"/>
            <w:tcBorders>
              <w:left w:val="single" w:sz="4" w:space="0" w:color="000000"/>
              <w:bottom w:val="single" w:sz="4" w:space="0" w:color="000000"/>
              <w:right w:val="single" w:sz="4" w:space="0" w:color="000000"/>
            </w:tcBorders>
            <w:vAlign w:val="center"/>
          </w:tcPr>
          <w:p>
            <w:pPr>
              <w:pStyle w:val="Contedodatabelauser"/>
              <w:spacing w:lineRule="auto" w:line="276"/>
              <w:jc w:val="both"/>
              <w:rPr/>
            </w:pPr>
            <w:r>
              <w:rPr>
                <w:rFonts w:cs="Arial" w:ascii="Arial" w:hAnsi="Arial"/>
              </w:rPr>
              <w:t>SUBSTITUTO ÓSSEO XENÓGENO DE ORIGEM BOVINA: biomaterial implantável, granulado, constituído por matriz mineral inorgânica de osso bovino, composta predominantemente por fosfatos de cálcio, desproteinizada e acelular, biocompatível e osteocondutora. Deve apresentar estrutura micro e macroporosa, com capacidade de hidratação e absorção de sangue, indicada para preenchimento de defeitos ósseos, preservação alveolar, correção de defeitos periodontais ou peri-implantares e procedimentos de regeneração e aumento de volume ósseo. Granulometria pequena ou média, com partículas de aproximadamente 0,25 a 1,0 mm. Apresentação contendo 0,5 g e volume mínimo aproximado de 0,5 cm³. Produto estéril, de uso único, acondicionado em embalagem individual que preserve sua integridade e esterilidade, contendo identificação do fabricante, lote, prazo de validade e registro válido na Anvisa. Marcas/modelos de referência: Lumina-Bone Médio – Criteria, GenOx Inorg – Baumer, Geistlich Bio-Oss Small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04</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70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spacing w:lineRule="auto" w:line="276"/>
              <w:jc w:val="both"/>
              <w:rPr/>
            </w:pPr>
            <w:r>
              <w:rPr>
                <w:rFonts w:cs="Arial" w:ascii="Arial" w:hAnsi="Arial"/>
              </w:rPr>
              <w:t>MEMBRANA DE COLÁGENO REABSORVÍVEL PARA REGENERAÇÃO ÓSSEA E TECIDUAL GUIADA: biomaterial implantável constituído por matriz de colágeno nativo tipos I e III, de origem suína, biocompatível e bioabsorvível, indicado para atuar como barreira em procedimentos de regeneração óssea guiada e regeneração tecidual guiada em cirurgia odontológica. Deve apresentar estrutura porosa, ser hidrofílica, moldável e resistente à manipulação, permitindo adaptação ao leito cirúrgico. Dimensões aproximadas de 20 × 30 mm e espessura aproximada entre 0,15 e 0,50 mm. Produto estéril, descartável e de uso único, fornecido em embalagem individual que preserve sua integridade e esterilidade, contendo identificação do fabricante, número do lote, prazo de validade e registro válido na Anvisa. Marcas/modelos de referência: Jason membrane – Botiss/Straumann, Geistlich Bio-Gide Compressed 20 × 30 mm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05</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5</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t>CAI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CERA ÓSSEA HEMOSTÁTICA: biomaterial hemostático cirúrgico, estéril e não absorvível, apresentado em tablete maleável, composto por mistura de cera de abelha purificada, parafina e diluente compatível. Indicado para o controle de hemorragias provenientes de superfícies ósseas, atuando por tamponamento e formação de barreira mecânica local, sem ação bioquímica sobre o processo de coagulação. Deve permitir fácil manipulação e adaptação à superfície óssea. Produto descartável e de uso único. Apresentação: caixa contendo 12 envelopes individuais estéreis, cada um com 2,5 g, devidamente identificados com fabricante, número do lote e prazo de validade. Produto com registro válido na Anvisa. Marcas/modelos de referência: Bone Wax W31G – Ethicon; Bone Wax CO1000 – Covidien/Medtronic;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06</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PINÇA PARA CALÁZIO MÉDIA, NÃO VAZADA, 16 MM: instrumental cirúrgico reutilizável, não cortante, indicado para apreensão, estabilização e compressão de tecidos em procedimentos cirúrgicos. Confeccionado em aço inoxidável de qualidade cirúrgica, resistente à corrosão e aos processos repetidos de limpeza, desinfecção e esterilização em autoclave. Deve possuir formato reto, área de contato fechada, não vazada, com dimensão aproximada de 16 mm, comprimento total aproximado de 16 cm e sistema de ajuste e travamento que permita compressão firme, gradual e estável. Deve apresentar acabamento liso e polido, sem rebarbas, porosidades, trincas, arestas cortantes ou irregularidades, com adequado alinhamento e fechamento das áreas de contato. Instrumental fornecido não estéril. Apresentação comercial: embalagem individual contendo 1 unidade. Garantia mínima de 5 anos contra defeitos de fabricação, contada a partir do recebimento definitivo. Produto com regularização válida na Anvisa e fabricante em conformidade com as normas sanitárias vigentes. Marca/modelo de referência: Fato Instrumentos – Pinça para Calázio 16 mm;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07</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PINÇA PARA CALÁZIO GRANDE, NÃO VAZADA, 30 MM: instrumental cirúrgico reutilizável e não cortante, indicado para apreensão, estabilização e compressão de tecidos durante procedimentos cirúrgicos. Confeccionado em aço inoxidável de qualidade cirúrgica, resistente à corrosão e aos processos repetidos de limpeza, desinfecção e esterilização em autoclave. Deve possuir área ativa não vazada, com dimensão aproximada de 30 mm, comprimento total aproximado de 16 cm e sistema de ajuste e travamento que permita compressão firme, gradual e estável. Deve apresentar acabamento liso e polido, adequado alinhamento e fechamento das áreas de contato, sem rebarbas, porosidades, trincas, arestas cortantes ou outras irregularidades. Instrumental fornecido não estéril. Apresentação comercial: embalagem individual contendo 1 unidade. Garantia mínima de 5 anos contra defeitos de fabricação, contada a partir do recebimento definitivo. Produto com regularização válida na Anvisa e fabricante em conformidade com a legislação sanitária vigente. Marca/modelo de referência: Pinça para Calázio Grande 30 mm – Rhosse;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08</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16</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BANDEJA RETANGULAR LISA EM AÇO INOXIDÁVEL: recipiente reutilizável indicado para acomodação, organização, transporte e apoio de instrumentais e materiais durante procedimentos médicos e odontológicos. Confeccionada em aço inoxidável de qualidade adequada para uso em serviços de saúde, resistente à corrosão, aos agentes de limpeza e desinfecção e aos processos repetidos de esterilização em autoclave. Deve possuir superfície lisa e polida, cantos arredondados e acabamento uniforme, sem rebarbas, porosidades, trincas, arestas cortantes ou outras irregularidades que dificultem a higienização. Dimensões aproximadas de 29 × 18 × 1,5 cm, admitida pequena variação dimensional que não comprometa sua capacidade e finalidade. Apresentação comercial: embalagem individual contendo 1 unidade, que preserve a integridade do produto e apresente identificação do fabricante. Garantia mínima de 1 ano contra defeitos de fabricação, contada a partir do recebimento definitivo. Produto com regularização válida na Anvisa, quando aplicável. Marcas de referência: Açonox, Artinox, Fratelli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09</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875</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ESPELHO BUCAL DE PRIMEIRO PLANO Nº 5 COM CABO: instrumental odontológico reutilizável, indicado para visualização indireta da cavidade bucal, afastamento de tecidos moles e reflexão da luz durante procedimentos clínicos. Espelho nº 5, com superfície refletiva posicionada no primeiro plano — Front Surface — proporcionando imagem única, nítida, de alta definição, sem duplicidade, sombras, efeito fantasma ou distorções. Deve possuir suporte metálico resistente à corrosão e cabo rosqueável, confeccionado em aço inoxidável de qualidade adequada para uso odontológico, com formato anatômico e superfície que permita preensão firme e segura. O conjunto deve ser resistente aos processos repetidos de limpeza, desinfecção e esterilização em autoclave, conforme orientações do fabricante. Deve apresentar acabamento uniforme, sem rebarbas, porosidades, trincas ou irregularidades. Instrumental fornecido não estéril. Apresentação de fornecimento: conjunto contendo 1 espelho bucal de primeiro plano nº 5 e 1 cabo em aço inoxidável, acondicionados em embalagem conjunta ou em embalagens individuais que preservem a integridade dos componentes. A identificação do fabricante deverá estar gravada de forma permanente no instrumental, e o número do lote deverá constar na embalagem. Garantia mínima de 1 ano contra defeitos de fabricação, contada a partir do recebimento definitivo. Produto com regularização válida na Anvisa. Marcas/modelos de referência: Espelho Bucal Primeiro Plano com Cabo, código 85-11 – Golgran; Espelho de Primeiro Plano nº 5 – SS White/Duflex, acompanhado de cabo compatível em aço inoxidável;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10</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150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ESPELHO BUCAL CLÍNICO INFANTIL Nº 3 COM CABO: instrumental odontológico reutilizável, indicado para visualização indireta da cavidade bucal, reflexão da luz e afastamento de tecidos moles durante exames e procedimentos clínicos, especialmente em odontopediatria. Espelho plano nº 3, sem aumento, com superfície refletiva que proporcione imagem nítida, sem duplicidade ou distorções, e diâmetro aproximado de 20 a 21 mm. Deve possuir haste e suporte confeccionados em aço inoxidável resistente à corrosão, com encaixe rosqueável compatível com o cabo. Cabo confeccionado em aço inoxidável, com formato anatômico, superfície que permita preensão firme e comprimento aproximado de 11 cm, admitida variação de até 1 cm. O conjunto deverá ser resistente aos processos repetidos de limpeza, desinfecção e esterilização em autoclave, conforme orientações do fabricante, e apresentar acabamento uniforme, sem rebarbas, porosidades, trincas ou outras irregularidades. A identificação do fabricante deverá estar gravada de forma permanente nos componentes, quando tecnicamente aplicável, e o número do lote deverá constar na embalagem. Instrumental fornecido não estéril. Apresentação comercial: conjunto contendo 1 espelho bucal plano nº 3 e 1 cabo compatível em aço inoxidável, acondicionado em embalagem que preserve a integridade dos componentes e contenha os dados de identificação e procedência. Garantia mínima de 1 ano contra defeitos de fabricação, contada a partir do recebimento definitivo. Produto com regularização válida na Anvisa. Marcas/modelos de referência: Espelho Bucal Plano nº 3, código 85-1, acompanhado do Cabo para Espelho Bucal em aço inoxidável, código 42-4 – Golgran; Espelho Bucal nº 3 acompanhado de Cabo para Espelho nº 25 em aço inoxidável – Duflex/SS White;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11</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400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SERINGA CARPULE ARTICULADA COM REFLUXO: instrumental odontológico reutilizável, indicado para administração de anestésicos locais em procedimentos clínicos e cirúrgicos. Confeccionado em aço inoxidável de qualidade adequada para uso odontológico, resistente à corrosão e aos processos repetidos de limpeza, desinfecção e esterilização em autoclave. Deve possuir corpo articulado, permitindo a colocação e a retirada do tubete anestésico de forma prática e segura, e mecanismo de refluxo que possibilite a realização de aspiração prévia à deposição do anestésico, auxiliando na verificação de eventual posicionamento intravascular. Compatível com tubetes anestésicos odontológicos padronizados de aproximadamente 1,8 mL e com agulhas gengivais de encaixe rosqueável. Deve apresentar empunhadura anatômica, acionamento suave, adequado alinhamento dos componentes e mecanismo firme, sem folgas excessivas ou travamentos. Comprimento aproximado entre 12 e 13 cm. Deve possuir acabamento liso e polido, sem rebarbas, porosidades, trincas, pontos de corrosão, arestas cortantes ou outras irregularidades que comprometam sua utilização, limpeza ou esterilização. Instrumental fornecido não estéril. Apresentação comercial: embalagem individual contendo 1 unidade, que preserve a integridade do produto e contenha identificação do fabricante, número do lote e demais informações de procedência. A identificação do fabricante deverá estar gravada de forma permanente no instrumental. Garantia mínima de 2 anos contra defeitos de fabricação, contada a partir do recebimento definitivo. Produto com regularização válida na Anvisa. Marcas/modelos de referência: Seringa Carpule com Refluxo Articulada Duflex – SS White; Injetor Carpule com Refluxo – Thimon;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12</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CABO PARA BISTURI Nº 5: instrumental cirúrgico reutilizável, não cortante e não articulado, indicado para fixação de lâminas de bisturi utilizadas em procedimentos cirúrgicos médicos e odontológicos. Confeccionado em aço inoxidável de qualidade cirúrgica, resistente à corrosão e aos processos repetidos de limpeza, desinfecção e esterilização em autoclave. Deve possuir formato reto, corpo arredondado ou circular, com superfície corrugada, serrilhada ou texturizada que proporcione preensão firme e segura durante o manuseio. Comprimento aproximado entre 11 e 12 cm e espessura aproximada de 8 mm. Deve apresentar sistema de encaixe preciso, permitindo fixação firme e estável da lâmina, sem folgas, desalinhamentos ou desprendimento durante o procedimento. Acabamento liso e uniforme nas demais superfícies, sem rebarbas, porosidades, trincas, pontos de corrosão ou arestas irregulares. Instrumental fornecido não estéril. Apresentação comercial: embalagem individual contendo 1 unidade, que preserve a integridade do produto e contenha identificação do fabricante, número do lote e demais informações de procedência. A identificação do fabricante deverá estar gravada de forma permanente no instrumental. Garantia mínima de 1 ano contra defeitos de fabricação, contada a partir do recebimento definitivo. Produto com regularização válida na Anvisa. Marcas/modelos de referência: Cabo para Bisturi nº 05, código 41-3 – Golgran; Cabo Bisturi nº 05 Reto – Thimon; ou equivalente de qualidade igual ou superior.</w:t>
            </w:r>
          </w:p>
        </w:tc>
      </w:tr>
      <w:tr>
        <w:trPr>
          <w:trHeight w:val="170" w:hRule="atLeast"/>
        </w:trPr>
        <w:tc>
          <w:tcPr>
            <w:tcW w:w="850" w:type="dxa"/>
            <w:tcBorders>
              <w:left w:val="single" w:sz="4" w:space="0" w:color="000000"/>
              <w:bottom w:val="single" w:sz="4" w:space="0" w:color="000000"/>
            </w:tcBorders>
            <w:vAlign w:val="center"/>
          </w:tcPr>
          <w:p>
            <w:pPr>
              <w:pStyle w:val="Normal"/>
              <w:jc w:val="center"/>
              <w:rPr>
                <w:rFonts w:ascii="Arial" w:hAnsi="Arial" w:cs="Arial"/>
                <w:b/>
                <w:bCs/>
              </w:rPr>
            </w:pPr>
            <w:r>
              <w:rPr>
                <w:rFonts w:cs="Arial" w:ascii="Arial" w:hAnsi="Arial"/>
                <w:b/>
                <w:bCs/>
              </w:rPr>
              <w:t>13</w:t>
            </w:r>
          </w:p>
        </w:tc>
        <w:tc>
          <w:tcPr>
            <w:tcW w:w="850" w:type="dxa"/>
            <w:tcBorders>
              <w:lef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100</w:t>
            </w:r>
          </w:p>
        </w:tc>
        <w:tc>
          <w:tcPr>
            <w:tcW w:w="850" w:type="dxa"/>
            <w:tcBorders>
              <w:left w:val="single" w:sz="4" w:space="0" w:color="000000"/>
              <w:bottom w:val="single" w:sz="4" w:space="0" w:color="000000"/>
            </w:tcBorders>
          </w:tcPr>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r>
          </w:p>
          <w:p>
            <w:pPr>
              <w:pStyle w:val="Contedodatabelauser"/>
              <w:jc w:val="center"/>
              <w:rPr>
                <w:rFonts w:ascii="Arial" w:hAnsi="Arial" w:cs="Arial"/>
              </w:rPr>
            </w:pPr>
            <w:r>
              <w:rPr>
                <w:rFonts w:cs="Arial" w:ascii="Arial" w:hAnsi="Arial"/>
              </w:rPr>
              <w:t>UNI</w:t>
            </w:r>
          </w:p>
        </w:tc>
        <w:tc>
          <w:tcPr>
            <w:tcW w:w="7369" w:type="dxa"/>
            <w:tcBorders>
              <w:left w:val="single" w:sz="4" w:space="0" w:color="000000"/>
              <w:bottom w:val="single" w:sz="4" w:space="0" w:color="000000"/>
              <w:right w:val="single" w:sz="4" w:space="0" w:color="000000"/>
            </w:tcBorders>
            <w:vAlign w:val="center"/>
          </w:tcPr>
          <w:p>
            <w:pPr>
              <w:pStyle w:val="Contedodatabelauser"/>
              <w:jc w:val="both"/>
              <w:rPr>
                <w:rFonts w:ascii="Arial" w:hAnsi="Arial" w:cs="Arial"/>
              </w:rPr>
            </w:pPr>
            <w:r>
              <w:rPr>
                <w:rFonts w:cs="Arial" w:ascii="Arial" w:hAnsi="Arial"/>
              </w:rPr>
              <w:t>CURETA PERIODONTAL MCCALL Nº 13/14 COM CABO OCO: instrumental odontológico reutilizável, duplo, não articulado e cortante, indicado para raspagem periodontal, remoção de cálculo dentário e alisamento de superfícies radiculares. Modelo McCall nº 13/14, com duas pontas ativas devidamente afiadas, simétricas e com formato compatível com o padrão do instrumental. Pontas ativas confeccionadas em aço inoxidável AISI 420 ou liga de aço inoxidável de qualidade equivalente ou superior, com dureza e resistência adequadas à manutenção do fio de corte. Cabo oco confeccionado em aço inoxidável, com formato anatômico e superfície corrugada, serrilhada ou texturizada, proporcionando preensão firme, sensibilidade tátil e menor fadiga durante o uso. Diâmetro aproximado do cabo entre 8 e 10 mm. Instrumental resistente à corrosão e aos processos repetidos de limpeza, desinfecção e esterilização em autoclave. Deve apresentar pontas corretamente alinhadas, acabamento liso e uniforme, sem rebarbas, porosidades, trincas, pontos de corrosão, arestas irregulares ou folgas entre o cabo e as hastes. Instrumental fornecido não estéril. Apresentação comercial: embalagem individual contendo 1 unidade, que preserve a integridade do produto e contenha identificação do fabricante, número do lote e demais informações necessárias à rastreabilidade. A identificação do fabricante deverá estar gravada de forma permanente no instrumental. Garantia mínima de 1 ano contra defeitos de fabricação, contada a partir do recebimento definitivo. Produto com regularização válida na Anvisa. Marca/modelo de referência: Cureta McCall 13-14 Millennium, código 7-4 – Golgran; ou equivalente de qualidade igual ou superior.</w:t>
            </w:r>
          </w:p>
        </w:tc>
      </w:tr>
    </w:tbl>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5. DA AMOSTRA:</w:t>
      </w:r>
    </w:p>
    <w:p>
      <w:pPr>
        <w:pStyle w:val="ListParagraph"/>
        <w:numPr>
          <w:ilvl w:val="0"/>
          <w:numId w:val="18"/>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A Unidade Requisitante (U.R.) se reserva o direito de solicitar amostras de todos os itens, desde que seja imprescindível uma avaliação técnica física do produto e/ou nos casos de marcas não utilizadas anteriormente.</w:t>
      </w:r>
    </w:p>
    <w:p>
      <w:pPr>
        <w:pStyle w:val="ListParagraph"/>
        <w:numPr>
          <w:ilvl w:val="0"/>
          <w:numId w:val="4"/>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pPr>
        <w:pStyle w:val="ListParagraph"/>
        <w:numPr>
          <w:ilvl w:val="0"/>
          <w:numId w:val="4"/>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As amostras, caso sejam solicitadas, deverão ser entregues no prazo de até 05 (cinco) dias úteis, a partir da data de sua solicitação, que será feita através de e-mail, sob pena de desclassificação pelo não cumprimento.</w:t>
      </w:r>
    </w:p>
    <w:p>
      <w:pPr>
        <w:pStyle w:val="ListParagraph"/>
        <w:numPr>
          <w:ilvl w:val="0"/>
          <w:numId w:val="4"/>
        </w:numPr>
        <w:tabs>
          <w:tab w:val="clear" w:pos="709"/>
          <w:tab w:val="left" w:pos="284" w:leader="none"/>
        </w:tabs>
        <w:spacing w:lineRule="auto" w:line="240" w:before="0" w:after="0"/>
        <w:jc w:val="both"/>
        <w:rPr>
          <w:rFonts w:ascii="Arial" w:hAnsi="Arial" w:cs="Arial"/>
          <w:b/>
          <w:sz w:val="20"/>
          <w:szCs w:val="20"/>
        </w:rPr>
      </w:pPr>
      <w:r>
        <w:rPr>
          <w:rFonts w:cs="Arial" w:ascii="Arial" w:hAnsi="Arial"/>
          <w:sz w:val="20"/>
          <w:szCs w:val="20"/>
          <w:lang w:eastAsia="pt-BR"/>
        </w:rPr>
        <w:t xml:space="preserve">Local e horário de entrega das amostras: </w:t>
      </w:r>
    </w:p>
    <w:p>
      <w:pPr>
        <w:pStyle w:val="ListParagraph"/>
        <w:tabs>
          <w:tab w:val="clear" w:pos="709"/>
          <w:tab w:val="left" w:pos="284" w:leader="none"/>
        </w:tabs>
        <w:spacing w:lineRule="auto" w:line="240" w:before="0" w:after="0"/>
        <w:ind w:left="340"/>
        <w:jc w:val="both"/>
        <w:rPr>
          <w:rFonts w:ascii="Arial" w:hAnsi="Arial" w:cs="Arial"/>
          <w:b/>
          <w:sz w:val="20"/>
          <w:szCs w:val="20"/>
        </w:rPr>
      </w:pPr>
      <w:r>
        <w:rPr>
          <w:rFonts w:cs="Arial" w:ascii="Arial" w:hAnsi="Arial"/>
          <w:b/>
          <w:sz w:val="20"/>
          <w:szCs w:val="20"/>
        </w:rPr>
        <w:t>Almoxarifado I – A/C: Gerência de Suprimentos</w:t>
      </w:r>
    </w:p>
    <w:p>
      <w:pPr>
        <w:pStyle w:val="Normal"/>
        <w:ind w:left="340"/>
        <w:jc w:val="both"/>
        <w:rPr/>
      </w:pPr>
      <w:r>
        <w:rPr>
          <w:rFonts w:cs="Arial" w:ascii="Arial" w:hAnsi="Arial"/>
          <w:b/>
        </w:rPr>
        <w:t xml:space="preserve">Rua: Capitão Antônio Corrêa Barbosa, 2233, 8º andar, Chácara Nazareth, CEP 13.400-900, Piracicaba-SP </w:t>
      </w:r>
    </w:p>
    <w:p>
      <w:pPr>
        <w:pStyle w:val="Normal"/>
        <w:ind w:left="340"/>
        <w:jc w:val="both"/>
        <w:rPr/>
      </w:pPr>
      <w:r>
        <w:rPr>
          <w:rFonts w:cs="Arial" w:ascii="Arial" w:hAnsi="Arial"/>
          <w:b/>
          <w:lang w:eastAsia="pt-BR"/>
        </w:rPr>
        <w:t>Horário de entrega: das 08:00 às 16:00 horas, de segunda a sexta-feira.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rPr>
          <w:rFonts w:ascii="Arial" w:hAnsi="Arial" w:cs="Arial"/>
        </w:rPr>
      </w:pPr>
      <w:r>
        <w:rPr>
          <w:rFonts w:cs="Arial" w:ascii="Arial" w:hAnsi="Arial"/>
          <w:b/>
          <w:bCs/>
        </w:rPr>
        <w:t>6. DA EMBALAGEM:</w:t>
      </w:r>
    </w:p>
    <w:p>
      <w:pPr>
        <w:pStyle w:val="Normal"/>
        <w:numPr>
          <w:ilvl w:val="0"/>
          <w:numId w:val="19"/>
        </w:numPr>
        <w:tabs>
          <w:tab w:val="clear" w:pos="709"/>
          <w:tab w:val="left" w:pos="284" w:leader="none"/>
        </w:tabs>
        <w:jc w:val="both"/>
        <w:rPr>
          <w:rFonts w:ascii="Arial" w:hAnsi="Arial" w:cs="Arial"/>
        </w:rPr>
      </w:pP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Em caso de produtos com ponta afiada ou perfurocortante devem ser acondicionados de forma a proteger suas pontas ativas evitando acidente durante o manuseio de conferência e contagem no recebimento do material. </w:t>
      </w:r>
    </w:p>
    <w:p>
      <w:pPr>
        <w:pStyle w:val="Normal"/>
        <w:numPr>
          <w:ilvl w:val="0"/>
          <w:numId w:val="4"/>
        </w:numPr>
        <w:tabs>
          <w:tab w:val="clear" w:pos="709"/>
          <w:tab w:val="left" w:pos="284" w:leader="none"/>
        </w:tabs>
        <w:jc w:val="both"/>
        <w:rPr>
          <w:rFonts w:ascii="Arial" w:hAnsi="Arial" w:cs="Arial"/>
        </w:rPr>
      </w:pPr>
      <w:r>
        <w:rPr>
          <w:rFonts w:cs="Arial" w:ascii="Arial" w:hAnsi="Arial"/>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7. DA ENTREGA:</w:t>
      </w:r>
    </w:p>
    <w:p>
      <w:pPr>
        <w:pStyle w:val="Normal"/>
        <w:numPr>
          <w:ilvl w:val="0"/>
          <w:numId w:val="20"/>
        </w:numPr>
        <w:tabs>
          <w:tab w:val="clear" w:pos="709"/>
          <w:tab w:val="left" w:pos="284" w:leader="none"/>
        </w:tabs>
        <w:jc w:val="both"/>
        <w:rPr>
          <w:rFonts w:ascii="Arial" w:hAnsi="Arial" w:cs="Arial"/>
          <w:lang w:eastAsia="pt-BR"/>
        </w:rPr>
      </w:pPr>
      <w:r>
        <w:rPr>
          <w:rFonts w:cs="Arial" w:ascii="Arial" w:hAnsi="Arial"/>
          <w:lang w:eastAsia="pt-BR"/>
        </w:rPr>
        <w:t>Prazo de entrega: Até o máximo de</w:t>
      </w:r>
      <w:r>
        <w:rPr>
          <w:rFonts w:cs="Arial" w:ascii="Arial" w:hAnsi="Arial"/>
          <w:b/>
          <w:bCs/>
          <w:lang w:eastAsia="pt-BR"/>
        </w:rPr>
        <w:t xml:space="preserve"> 10 (dez) dias úteis,</w:t>
      </w:r>
      <w:r>
        <w:rPr>
          <w:rFonts w:cs="Arial" w:ascii="Arial" w:hAnsi="Arial"/>
          <w:lang w:eastAsia="pt-BR"/>
        </w:rPr>
        <w:t xml:space="preserve"> a contar da Ordem de Fornecimento, de acordo com a programação emitida pela Unidade Requisitante. </w:t>
      </w:r>
    </w:p>
    <w:p>
      <w:pPr>
        <w:pStyle w:val="Normal"/>
        <w:numPr>
          <w:ilvl w:val="0"/>
          <w:numId w:val="4"/>
        </w:numPr>
        <w:tabs>
          <w:tab w:val="clear" w:pos="709"/>
          <w:tab w:val="left" w:pos="284" w:leader="none"/>
        </w:tabs>
        <w:jc w:val="both"/>
        <w:rPr>
          <w:rFonts w:ascii="Arial" w:hAnsi="Arial" w:cs="Arial"/>
        </w:rPr>
      </w:pPr>
      <w:r>
        <w:rPr>
          <w:rFonts w:cs="Arial" w:ascii="Arial" w:hAnsi="Arial"/>
        </w:rPr>
        <w:t>A empresa vencedora deverá seguir programação da Prefeitura Municipal de Piracicaba quanto a data, horário e quantidade dos produtos a serem entregues.</w:t>
      </w:r>
    </w:p>
    <w:p>
      <w:pPr>
        <w:pStyle w:val="Normal"/>
        <w:numPr>
          <w:ilvl w:val="0"/>
          <w:numId w:val="4"/>
        </w:numPr>
        <w:tabs>
          <w:tab w:val="clear" w:pos="709"/>
          <w:tab w:val="left" w:pos="284" w:leader="none"/>
        </w:tabs>
        <w:jc w:val="both"/>
        <w:rPr>
          <w:rFonts w:ascii="Arial" w:hAnsi="Arial" w:cs="Arial"/>
        </w:rPr>
      </w:pPr>
      <w:r>
        <w:rPr>
          <w:rFonts w:cs="Arial" w:ascii="Arial" w:hAnsi="Arial"/>
          <w:lang w:eastAsia="pt-BR"/>
        </w:rPr>
        <w:t xml:space="preserve">Local de entrega: </w:t>
      </w:r>
    </w:p>
    <w:p>
      <w:pPr>
        <w:pStyle w:val="Normal"/>
        <w:tabs>
          <w:tab w:val="clear" w:pos="709"/>
          <w:tab w:val="left" w:pos="284" w:leader="none"/>
        </w:tabs>
        <w:ind w:left="283"/>
        <w:jc w:val="both"/>
        <w:rPr/>
      </w:pPr>
      <w:r>
        <w:rPr>
          <w:rFonts w:cs="Arial" w:ascii="Arial" w:hAnsi="Arial"/>
          <w:b/>
          <w:bCs/>
          <w:lang w:eastAsia="pt-BR"/>
        </w:rPr>
        <w:t>Secretaria Municipal de Saúde – Setor: Almoxarifado Taquaral</w:t>
      </w:r>
    </w:p>
    <w:p>
      <w:pPr>
        <w:pStyle w:val="Normal"/>
        <w:tabs>
          <w:tab w:val="clear" w:pos="709"/>
          <w:tab w:val="left" w:pos="284" w:leader="none"/>
        </w:tabs>
        <w:ind w:left="283"/>
        <w:jc w:val="both"/>
        <w:rPr/>
      </w:pPr>
      <w:r>
        <w:rPr>
          <w:rFonts w:cs="Arial" w:ascii="Arial" w:hAnsi="Arial"/>
          <w:b/>
          <w:bCs/>
          <w:lang w:eastAsia="pt-BR"/>
        </w:rPr>
        <w:t>Avenida Professor José Ribeiro Borges, nº 50 (CT UNIMEP), bairro Taquaral, CEP 13.421-741, Piracicaba/SP.</w:t>
      </w:r>
    </w:p>
    <w:p>
      <w:pPr>
        <w:pStyle w:val="Normal"/>
        <w:tabs>
          <w:tab w:val="clear" w:pos="709"/>
          <w:tab w:val="left" w:pos="284" w:leader="none"/>
        </w:tabs>
        <w:ind w:left="283"/>
        <w:jc w:val="both"/>
        <w:rPr/>
      </w:pPr>
      <w:r>
        <w:rPr>
          <w:rFonts w:cs="Arial" w:ascii="Arial" w:hAnsi="Arial"/>
          <w:b/>
          <w:bCs/>
          <w:lang w:eastAsia="pt-BR"/>
        </w:rPr>
        <w:t>Horário de entrega: de 08:00 às 11:00 e 13:00 às 15:00 horas, de segunda a sexta-feira.</w:t>
      </w:r>
    </w:p>
    <w:p>
      <w:pPr>
        <w:pStyle w:val="Normal"/>
        <w:keepLines/>
        <w:numPr>
          <w:ilvl w:val="0"/>
          <w:numId w:val="4"/>
        </w:numPr>
        <w:tabs>
          <w:tab w:val="clear" w:pos="709"/>
          <w:tab w:val="left" w:pos="284" w:leader="none"/>
        </w:tabs>
        <w:jc w:val="both"/>
        <w:rPr>
          <w:rFonts w:ascii="Arial" w:hAnsi="Arial" w:cs="Arial"/>
        </w:rPr>
      </w:pPr>
      <w:r>
        <w:rPr>
          <w:rFonts w:cs="Arial" w:ascii="Arial" w:hAnsi="Arial"/>
        </w:rPr>
        <w:t>É obrigatório que o material seja entregue com pelo menos 80% do seu tempo de validade.</w:t>
      </w:r>
    </w:p>
    <w:p>
      <w:pPr>
        <w:pStyle w:val="Normal"/>
        <w:keepLines/>
        <w:numPr>
          <w:ilvl w:val="0"/>
          <w:numId w:val="4"/>
        </w:numPr>
        <w:tabs>
          <w:tab w:val="clear" w:pos="709"/>
          <w:tab w:val="left" w:pos="284" w:leader="none"/>
        </w:tabs>
        <w:jc w:val="both"/>
        <w:rPr>
          <w:rFonts w:ascii="Arial" w:hAnsi="Arial" w:cs="Arial"/>
        </w:rPr>
      </w:pPr>
      <w:r>
        <w:rPr>
          <w:rFonts w:cs="Arial" w:ascii="Arial" w:hAnsi="Arial"/>
        </w:rPr>
        <w:t>Produtos com validade entre 65 e 80% serão aceitos com carta de compromisso de troca, a ser executada com 60 dias de antecedência à data de expiração da validade.</w:t>
      </w:r>
    </w:p>
    <w:p>
      <w:pPr>
        <w:pStyle w:val="Normal"/>
        <w:numPr>
          <w:ilvl w:val="0"/>
          <w:numId w:val="4"/>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numPr>
          <w:ilvl w:val="0"/>
          <w:numId w:val="4"/>
        </w:numPr>
        <w:tabs>
          <w:tab w:val="clear" w:pos="709"/>
          <w:tab w:val="left" w:pos="284" w:leader="none"/>
        </w:tabs>
        <w:jc w:val="both"/>
        <w:rPr>
          <w:rFonts w:ascii="Arial" w:hAnsi="Arial" w:cs="Arial"/>
        </w:rPr>
      </w:pPr>
      <w:r>
        <w:rPr>
          <w:rFonts w:cs="Arial" w:ascii="Arial" w:hAnsi="Arial"/>
        </w:rPr>
        <w:t>O recebimento será considerado provisório, para efeito de posterior verificação da quantidade e conformidade dos produtos com as especificações, no prazo de até 03 (três) dias, a contar da entrega.</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O recebimento será considerado definitivo, após a verificação da qualidade dos produtos e consequente aceitação, no prazo de até 30 (trinta) dias, a contar do recebimento provisório. </w:t>
      </w:r>
    </w:p>
    <w:p>
      <w:pPr>
        <w:pStyle w:val="Normal"/>
        <w:numPr>
          <w:ilvl w:val="0"/>
          <w:numId w:val="4"/>
        </w:numPr>
        <w:tabs>
          <w:tab w:val="clear" w:pos="709"/>
          <w:tab w:val="left" w:pos="284" w:leader="none"/>
        </w:tabs>
        <w:jc w:val="both"/>
        <w:rPr>
          <w:rFonts w:ascii="Arial" w:hAnsi="Arial" w:cs="Arial"/>
        </w:rPr>
      </w:pPr>
      <w:r>
        <w:rPr>
          <w:rFonts w:cs="Arial" w:ascii="Arial" w:hAnsi="Arial"/>
        </w:rPr>
        <w:t>Se for constatada qualquer alteração na qualidade ou composição durante a validade dos produtos, a contratada se compromete a trocá-los sem ônus para a contratante, no prazo máximo de 10 (dez) dias, a contar da notificação.</w:t>
      </w:r>
    </w:p>
    <w:p>
      <w:pPr>
        <w:pStyle w:val="Normal"/>
        <w:numPr>
          <w:ilvl w:val="0"/>
          <w:numId w:val="4"/>
        </w:numPr>
        <w:tabs>
          <w:tab w:val="clear" w:pos="709"/>
          <w:tab w:val="left" w:pos="284" w:leader="none"/>
        </w:tabs>
        <w:jc w:val="both"/>
        <w:rPr>
          <w:rFonts w:ascii="Arial" w:hAnsi="Arial" w:cs="Arial"/>
        </w:rPr>
      </w:pPr>
      <w:r>
        <w:rPr>
          <w:rFonts w:cs="Arial" w:ascii="Arial" w:hAnsi="Arial"/>
        </w:rPr>
        <w:t>Todos os itens devem ser novos, não podem ser usados, nem recondicionados.</w:t>
      </w:r>
    </w:p>
    <w:p>
      <w:pPr>
        <w:pStyle w:val="Normal"/>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8. DO FORNECIMENTO DE INFORMAÇÕES:</w:t>
      </w:r>
    </w:p>
    <w:p>
      <w:pPr>
        <w:pStyle w:val="Normal"/>
        <w:numPr>
          <w:ilvl w:val="0"/>
          <w:numId w:val="21"/>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Autorização de Funcionamento da Empresa (AFE) emitida pela ANVISA (ou cópia da sua publicação em D.O.U.) vigente e compatível com o objeto da licitação, de acordo com a legislação em vigor.</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Licença Sanitária (Estadual ou Municipal): vigente e compatível com o objeto da licitação, de acordo com a legislação em vigor.</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7"/>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08 de outubro de 2026.</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ind w:firstLine="561"/>
        <w:jc w:val="center"/>
        <w:rPr>
          <w:rFonts w:ascii="Arial" w:hAnsi="Arial" w:cs="Arial"/>
          <w:b/>
        </w:rPr>
      </w:pPr>
      <w:r>
        <w:rPr>
          <w:rFonts w:cs="Arial" w:ascii="Arial" w:hAnsi="Arial"/>
          <w:b/>
        </w:rPr>
        <w:t>Larissa Palomo Monferdini</w:t>
      </w:r>
    </w:p>
    <w:p>
      <w:pPr>
        <w:pStyle w:val="Normal"/>
        <w:ind w:firstLine="561"/>
        <w:jc w:val="center"/>
        <w:rPr>
          <w:rFonts w:ascii="Arial" w:hAnsi="Arial" w:cs="Arial"/>
          <w:b/>
        </w:rPr>
      </w:pPr>
      <w:r>
        <w:rPr>
          <w:rFonts w:cs="Arial" w:ascii="Arial" w:hAnsi="Arial"/>
          <w:b/>
        </w:rPr>
        <w:t>Chefe de Setor</w:t>
      </w:r>
      <w:r>
        <w:br w:type="page"/>
      </w:r>
    </w:p>
    <w:p>
      <w:pPr>
        <w:pStyle w:val="Heading2"/>
        <w:numPr>
          <w:ilvl w:val="1"/>
          <w:numId w:val="1"/>
        </w:numPr>
        <w:spacing w:before="0" w:after="0"/>
        <w:ind w:hanging="0" w:lef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rPr>
      </w:pPr>
      <w:r>
        <w:rPr>
          <w:rFonts w:cs="Arial" w:ascii="Arial" w:hAnsi="Arial"/>
          <w:strike/>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ind w:firstLine="284" w:left="0"/>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true"/>
        <w:spacing w:lineRule="auto" w:line="240"/>
        <w:ind w:firstLine="284"/>
        <w:textAlignment w:val="auto"/>
        <w:rPr>
          <w:sz w:val="20"/>
          <w:szCs w:val="20"/>
          <w:lang w:val="pt-BR"/>
        </w:rPr>
      </w:pPr>
      <w:r>
        <w:rPr>
          <w:sz w:val="20"/>
          <w:szCs w:val="20"/>
          <w:lang w:val="pt-BR"/>
        </w:rPr>
      </w:r>
    </w:p>
    <w:p>
      <w:pPr>
        <w:pStyle w:val="BodyTextIndent"/>
        <w:overflowPunct w:val="tru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overflowPunct w:val="true"/>
        <w:spacing w:lineRule="auto" w:line="240"/>
        <w:ind w:firstLine="284"/>
        <w:textAlignment w:val="auto"/>
        <w:rPr>
          <w:sz w:val="20"/>
          <w:szCs w:val="20"/>
        </w:rPr>
      </w:pPr>
      <w:r>
        <w:rPr>
          <w:sz w:val="20"/>
          <w:szCs w:val="20"/>
        </w:rPr>
      </w:r>
    </w:p>
    <w:p>
      <w:pPr>
        <w:pStyle w:val="BodyTextIndent"/>
        <w:overflowPunct w:val="tru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tru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highlight w:val="yellow"/>
        </w:rPr>
      </w:pPr>
      <w:r>
        <w:rPr>
          <w:rFonts w:cs="Arial" w:ascii="Arial" w:hAnsi="Arial"/>
          <w:highlight w:val="yellow"/>
        </w:rPr>
      </w:r>
    </w:p>
    <w:p>
      <w:pPr>
        <w:pStyle w:val="Heading8"/>
        <w:numPr>
          <w:ilvl w:val="7"/>
          <w:numId w:val="22"/>
        </w:numPr>
        <w:ind w:firstLine="284" w:left="0"/>
        <w:rPr>
          <w:rFonts w:cs="Arial"/>
          <w:caps/>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highlight w:val="yellow"/>
        </w:rPr>
      </w:pPr>
      <w:r>
        <w:rPr>
          <w:rFonts w:cs="Arial" w:ascii="Arial" w:hAnsi="Arial"/>
          <w:color w:val="00B050"/>
        </w:rPr>
        <w:t xml:space="preserve"> </w:t>
      </w:r>
    </w:p>
    <w:p>
      <w:pPr>
        <w:pStyle w:val="Heading8"/>
        <w:numPr>
          <w:ilvl w:val="7"/>
          <w:numId w:val="1"/>
        </w:numPr>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
        </w:numPr>
        <w:ind w:firstLine="284" w:left="0"/>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
        </w:numPr>
        <w:ind w:firstLine="284" w:left="0"/>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1"/>
        </w:numPr>
        <w:ind w:firstLine="284" w:left="0"/>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
        </w:numPr>
        <w:ind w:firstLine="284" w:left="0"/>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1"/>
        </w:numPr>
        <w:ind w:firstLine="284" w:left="0"/>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
        </w:numPr>
        <w:ind w:firstLine="284" w:left="0"/>
        <w:jc w:val="both"/>
        <w:rPr>
          <w:rFonts w:ascii="Arial" w:hAnsi="Arial" w:cs="Arial"/>
        </w:rPr>
      </w:pPr>
      <w:r>
        <w:rPr>
          <w:rFonts w:cs="Arial" w:ascii="Arial" w:hAnsi="Arial"/>
        </w:rPr>
      </w:r>
    </w:p>
    <w:p>
      <w:pPr>
        <w:pStyle w:val="BodyText"/>
        <w:numPr>
          <w:ilvl w:val="0"/>
          <w:numId w:val="1"/>
        </w:numPr>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numPr>
          <w:ilvl w:val="0"/>
          <w:numId w:val="1"/>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sz w:val="20"/>
          <w:szCs w:val="20"/>
          <w:lang w:val="pt-BR"/>
        </w:rPr>
      </w:pPr>
      <w:r>
        <w:rPr>
          <w:sz w:val="20"/>
          <w:szCs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6</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1"/>
        </w:numPr>
        <w:ind w:firstLine="284" w:left="0"/>
        <w:rPr>
          <w:sz w:val="20"/>
          <w:szCs w:val="20"/>
        </w:rPr>
      </w:pPr>
      <w:r>
        <w:rPr>
          <w:sz w:val="20"/>
          <w:szCs w:val="20"/>
        </w:rPr>
      </w:r>
    </w:p>
    <w:p>
      <w:pPr>
        <w:pStyle w:val="BodyText"/>
        <w:numPr>
          <w:ilvl w:val="0"/>
          <w:numId w:val="1"/>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pPr>
        <w:pStyle w:val="BodyText"/>
        <w:numPr>
          <w:ilvl w:val="0"/>
          <w:numId w:val="1"/>
        </w:numPr>
        <w:tabs>
          <w:tab w:val="clear" w:pos="709"/>
          <w:tab w:val="left" w:pos="284" w:leader="none"/>
        </w:tabs>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 recurso e o pedido de reconsideração terão efeito suspensivo do ato ou da decisão recorrida até a decisão final da autoridade competente.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 xml:space="preserve">Anexo II: </w:t>
      </w:r>
      <w:r>
        <w:rPr>
          <w:rFonts w:cs="Arial" w:ascii="Arial" w:hAnsi="Arial"/>
          <w:sz w:val="18"/>
        </w:rPr>
        <w:t>Declaração de elaboração independente de proposta e atuação conforme ao marco legal anticorrupção</w:t>
      </w:r>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left="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tru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true"/>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7"/>
        <w:gridCol w:w="849"/>
        <w:gridCol w:w="4540"/>
        <w:gridCol w:w="1413"/>
        <w:gridCol w:w="1703"/>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Item</w:t>
            </w:r>
          </w:p>
        </w:tc>
        <w:tc>
          <w:tcPr>
            <w:tcW w:w="847"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Quant.</w:t>
            </w:r>
          </w:p>
        </w:tc>
        <w:tc>
          <w:tcPr>
            <w:tcW w:w="849"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Unid.</w:t>
            </w:r>
          </w:p>
        </w:tc>
        <w:tc>
          <w:tcPr>
            <w:tcW w:w="4540"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rPr>
            </w:pPr>
            <w:r>
              <w:rPr>
                <w:rFonts w:cs="Arial" w:ascii="Arial" w:hAnsi="Arial"/>
                <w:b/>
              </w:rPr>
              <w:t>Descritivo</w:t>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3"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4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4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true"/>
        <w:spacing w:lineRule="auto" w:line="240"/>
        <w:jc w:val="center"/>
        <w:rPr>
          <w:color w:val="auto"/>
          <w:sz w:val="20"/>
          <w:szCs w:val="20"/>
        </w:rPr>
      </w:pPr>
      <w:r>
        <w:rPr>
          <w:color w:val="auto"/>
          <w:sz w:val="20"/>
          <w:szCs w:val="20"/>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true"/>
        <w:spacing w:lineRule="auto" w:line="240"/>
        <w:rPr>
          <w:b/>
          <w:bCs/>
          <w:sz w:val="20"/>
          <w:szCs w:val="20"/>
        </w:rPr>
      </w:pPr>
      <w:r>
        <w:rPr>
          <w:b/>
          <w:bCs/>
          <w:sz w:val="20"/>
          <w:szCs w:val="20"/>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left"/>
        <w:tblInd w:w="1" w:type="dxa"/>
        <w:tblLayout w:type="fixed"/>
        <w:tblCellMar>
          <w:top w:w="0" w:type="dxa"/>
          <w:left w:w="2" w:type="dxa"/>
          <w:bottom w:w="0" w:type="dxa"/>
          <w:right w:w="0" w:type="dxa"/>
        </w:tblCellMar>
        <w:tblLook w:firstRow="0" w:noVBand="0" w:lastRow="0" w:firstColumn="0" w:lastColumn="0" w:noHBand="0" w:val="0000"/>
      </w:tblPr>
      <w:tblGrid>
        <w:gridCol w:w="765"/>
        <w:gridCol w:w="887"/>
        <w:gridCol w:w="1078"/>
        <w:gridCol w:w="4938"/>
        <w:gridCol w:w="2165"/>
      </w:tblGrid>
      <w:tr>
        <w:trPr/>
        <w:tc>
          <w:tcPr>
            <w:tcW w:w="765"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Item</w:t>
            </w:r>
          </w:p>
        </w:tc>
        <w:tc>
          <w:tcPr>
            <w:tcW w:w="887"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Quant</w:t>
            </w:r>
          </w:p>
        </w:tc>
        <w:tc>
          <w:tcPr>
            <w:tcW w:w="1078"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Unids</w:t>
            </w:r>
          </w:p>
        </w:tc>
        <w:tc>
          <w:tcPr>
            <w:tcW w:w="4938" w:type="dxa"/>
            <w:tcBorders>
              <w:top w:val="single" w:sz="2" w:space="0" w:color="000000"/>
              <w:left w:val="single" w:sz="2" w:space="0" w:color="000000"/>
              <w:bottom w:val="single" w:sz="2" w:space="0" w:color="000000"/>
              <w:right w:val="single" w:sz="4" w:space="0" w:color="000000"/>
            </w:tcBorders>
            <w:shd w:color="auto" w:fill="DDDDDD" w:val="clear"/>
          </w:tcPr>
          <w:p>
            <w:pPr>
              <w:pStyle w:val="Contedodatabela"/>
              <w:jc w:val="center"/>
              <w:rPr>
                <w:rFonts w:ascii="Arial" w:hAnsi="Arial" w:cs="Arial"/>
                <w:b/>
              </w:rPr>
            </w:pPr>
            <w:r>
              <w:rPr>
                <w:rFonts w:cs="Arial" w:ascii="Arial" w:hAnsi="Arial"/>
                <w:b/>
              </w:rPr>
              <w:t>Descritivo</w:t>
            </w:r>
          </w:p>
        </w:tc>
        <w:tc>
          <w:tcPr>
            <w:tcW w:w="2165" w:type="dxa"/>
            <w:tcBorders>
              <w:top w:val="single" w:sz="4" w:space="0" w:color="000000"/>
              <w:left w:val="single" w:sz="4" w:space="0" w:color="000000"/>
              <w:bottom w:val="single" w:sz="4" w:space="0" w:color="000000"/>
              <w:right w:val="single" w:sz="4" w:space="0" w:color="000000"/>
            </w:tcBorders>
            <w:shd w:color="auto" w:fill="DDDDDD" w:val="clear"/>
          </w:tcPr>
          <w:p>
            <w:pPr>
              <w:pStyle w:val="Contedodatabela"/>
              <w:jc w:val="center"/>
              <w:rPr>
                <w:rFonts w:ascii="Arial" w:hAnsi="Arial" w:cs="Arial"/>
              </w:rPr>
            </w:pPr>
            <w:r>
              <w:rPr>
                <w:rFonts w:cs="Arial" w:ascii="Arial" w:hAnsi="Arial"/>
                <w:b/>
              </w:rPr>
              <w:t>Preço unitário</w:t>
            </w:r>
          </w:p>
        </w:tc>
      </w:tr>
      <w:tr>
        <w:trPr/>
        <w:tc>
          <w:tcPr>
            <w:tcW w:w="765" w:type="dxa"/>
            <w:tcBorders>
              <w:left w:val="single" w:sz="2" w:space="0" w:color="000000"/>
              <w:bottom w:val="single" w:sz="2" w:space="0" w:color="000000"/>
            </w:tcBorders>
            <w:shd w:color="auto" w:fill="auto" w:val="clear"/>
          </w:tcPr>
          <w:p>
            <w:pPr>
              <w:pStyle w:val="Normal"/>
              <w:snapToGrid w:val="false"/>
              <w:jc w:val="center"/>
              <w:rPr>
                <w:rFonts w:ascii="Arial" w:hAnsi="Arial" w:cs="Arial"/>
              </w:rPr>
            </w:pPr>
            <w:r>
              <w:rPr>
                <w:rFonts w:cs="Arial" w:ascii="Arial" w:hAnsi="Arial"/>
              </w:rPr>
            </w:r>
          </w:p>
        </w:tc>
        <w:tc>
          <w:tcPr>
            <w:tcW w:w="887"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1078"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4938" w:type="dxa"/>
            <w:tcBorders>
              <w:left w:val="single" w:sz="2" w:space="0" w:color="000000"/>
              <w:bottom w:val="single" w:sz="2" w:space="0" w:color="000000"/>
              <w:right w:val="single" w:sz="4" w:space="0" w:color="000000"/>
            </w:tcBorders>
            <w:shd w:color="auto" w:fill="auto" w:val="clear"/>
            <w:vAlign w:val="center"/>
          </w:tcPr>
          <w:p>
            <w:pPr>
              <w:pStyle w:val="Normal"/>
              <w:snapToGrid w:val="false"/>
              <w:jc w:val="both"/>
              <w:rPr>
                <w:rFonts w:ascii="Arial" w:hAnsi="Arial" w:cs="Arial"/>
                <w:color w:val="000000"/>
              </w:rPr>
            </w:pPr>
            <w:r>
              <w:rPr>
                <w:rFonts w:cs="Arial" w:ascii="Arial" w:hAnsi="Arial"/>
                <w:color w:val="000000"/>
              </w:rPr>
            </w:r>
          </w:p>
        </w:tc>
        <w:tc>
          <w:tcPr>
            <w:tcW w:w="2165"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u w:val="single"/>
        </w:rPr>
      </w:pPr>
      <w:r>
        <w:rPr>
          <w:rFonts w:cs="Arial" w:ascii="Arial" w:hAnsi="Arial"/>
          <w:b/>
          <w:u w:val="single"/>
        </w:rPr>
      </w:r>
      <w:r>
        <w:br w:type="page"/>
      </w:r>
    </w:p>
    <w:p>
      <w:pPr>
        <w:pStyle w:val="BodyTextIndent"/>
        <w:widowControl w:val="false"/>
        <w:overflowPunct w:val="true"/>
        <w:spacing w:lineRule="auto" w:line="240" w:before="0" w:after="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rPr>
      </w:pPr>
      <w:r>
        <w:rPr>
          <w:rFonts w:cs="Arial" w:ascii="Arial" w:hAnsi="Arial"/>
          <w:b/>
          <w:bCs/>
        </w:rPr>
        <w:t>MINUTA DE CONTRATO OU TERMO EQUIVALENTE</w:t>
      </w:r>
    </w:p>
    <w:p>
      <w:pPr>
        <w:pStyle w:val="Normal"/>
        <w:jc w:val="center"/>
        <w:rPr>
          <w:rFonts w:ascii="Arial" w:hAnsi="Arial" w:cs="Arial"/>
          <w:color w:val="000000"/>
        </w:rPr>
      </w:pPr>
      <w:r>
        <w:rPr>
          <w:rFonts w:cs="Arial" w:ascii="Arial" w:hAnsi="Arial"/>
          <w:color w:val="000000"/>
        </w:rPr>
        <w:t>====================================================================================</w:t>
      </w:r>
    </w:p>
    <w:p>
      <w:pPr>
        <w:pStyle w:val="Normal"/>
        <w:jc w:val="both"/>
        <w:rPr>
          <w:rFonts w:ascii="Arial" w:hAnsi="Arial" w:cs="Arial"/>
          <w:b/>
          <w:u w:val="single"/>
        </w:rPr>
      </w:pPr>
      <w:r>
        <w:rPr>
          <w:rFonts w:cs="Arial" w:ascii="Arial" w:hAnsi="Arial"/>
          <w:b/>
          <w:u w:val="single"/>
        </w:rPr>
        <w:t>CONTRATO QUE ENTRE SI FAZEM A PREFEITURA DO MUNICÍPIO DE PIRACICABA E ..........................., PARA FORNECIMENTO PARCELADO DE INSUMOS ODONTOLÓGICOS (INSTRUMENTAIS E MATERIAIS CIRÚRGICOS).</w:t>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u w:val="single"/>
        </w:rPr>
      </w:pPr>
      <w:r>
        <w:rPr>
          <w:rFonts w:cs="Arial" w:ascii="Arial" w:hAnsi="Arial"/>
          <w:b/>
          <w:u w:val="single"/>
        </w:rPr>
      </w:r>
    </w:p>
    <w:p>
      <w:pPr>
        <w:pStyle w:val="Normal"/>
        <w:jc w:val="both"/>
        <w:rPr>
          <w:rFonts w:ascii="Arial" w:hAnsi="Arial" w:cs="Arial"/>
          <w:b/>
        </w:rPr>
      </w:pPr>
      <w:r>
        <w:rPr>
          <w:rFonts w:cs="Arial" w:ascii="Arial" w:hAnsi="Arial"/>
          <w:b/>
        </w:rPr>
        <w:t xml:space="preserve">Data: </w:t>
      </w:r>
    </w:p>
    <w:p>
      <w:pPr>
        <w:pStyle w:val="Normal"/>
        <w:jc w:val="both"/>
        <w:rPr>
          <w:rFonts w:ascii="Arial" w:hAnsi="Arial" w:cs="Arial"/>
        </w:rPr>
      </w:pPr>
      <w:r>
        <w:rPr>
          <w:rFonts w:cs="Arial" w:ascii="Arial" w:hAnsi="Arial"/>
          <w:b/>
        </w:rPr>
        <w:t xml:space="preserve">Prazo: </w:t>
      </w:r>
      <w:r>
        <w:rPr>
          <w:rFonts w:cs="Arial" w:ascii="Arial" w:hAnsi="Arial"/>
          <w:b/>
          <w:color w:val="000000"/>
        </w:rPr>
        <w:t>até 31 de dezembro de 2026.</w:t>
      </w:r>
      <w:r>
        <w:rPr>
          <w:rFonts w:cs="Arial" w:ascii="Arial" w:hAnsi="Arial"/>
          <w:b/>
        </w:rPr>
        <w:t xml:space="preserve"> </w:t>
      </w:r>
    </w:p>
    <w:p>
      <w:pPr>
        <w:pStyle w:val="Normal"/>
        <w:jc w:val="both"/>
        <w:rPr>
          <w:rFonts w:ascii="Arial" w:hAnsi="Arial" w:cs="Arial"/>
          <w:b/>
        </w:rPr>
      </w:pPr>
      <w:r>
        <w:rPr>
          <w:rFonts w:cs="Arial" w:ascii="Arial" w:hAnsi="Arial"/>
          <w:b/>
        </w:rPr>
        <w:t>Valor: R$ ........ (............).</w:t>
      </w:r>
    </w:p>
    <w:p>
      <w:pPr>
        <w:pStyle w:val="Normal"/>
        <w:jc w:val="both"/>
        <w:rPr>
          <w:rFonts w:ascii="Arial" w:hAnsi="Arial" w:cs="Arial"/>
        </w:rPr>
      </w:pPr>
      <w:r>
        <w:rPr>
          <w:rFonts w:cs="Arial" w:ascii="Arial" w:hAnsi="Arial"/>
          <w:b/>
        </w:rPr>
        <w:t>Processo Administrativo nº 155.482/2026</w:t>
      </w:r>
    </w:p>
    <w:p>
      <w:pPr>
        <w:pStyle w:val="Normal"/>
        <w:jc w:val="both"/>
        <w:rPr>
          <w:rFonts w:ascii="Arial" w:hAnsi="Arial" w:cs="Arial"/>
        </w:rPr>
      </w:pPr>
      <w:r>
        <w:rPr>
          <w:rFonts w:cs="Arial" w:ascii="Arial" w:hAnsi="Arial"/>
          <w:b/>
        </w:rPr>
        <w:t>Pregão Eletrônico n.º ..../2025.</w:t>
      </w:r>
    </w:p>
    <w:p>
      <w:pPr>
        <w:pStyle w:val="Normal"/>
        <w:jc w:val="both"/>
        <w:rPr>
          <w:rFonts w:ascii="Arial" w:hAnsi="Arial" w:cs="Arial"/>
          <w:b/>
        </w:rPr>
      </w:pPr>
      <w:r>
        <w:rPr>
          <w:rFonts w:cs="Arial" w:ascii="Arial" w:hAnsi="Arial"/>
          <w:b/>
        </w:rPr>
        <w:t>Ata de Registro de Preços n.º …/2025 (válida até … de ………. de 2026).</w:t>
      </w:r>
    </w:p>
    <w:p>
      <w:pPr>
        <w:pStyle w:val="Normal"/>
        <w:jc w:val="both"/>
        <w:rPr>
          <w:rFonts w:ascii="Arial" w:hAnsi="Arial" w:cs="Arial"/>
        </w:rPr>
      </w:pPr>
      <w:r>
        <w:rPr>
          <w:rFonts w:cs="Arial" w:ascii="Arial" w:hAnsi="Arial"/>
          <w:b/>
        </w:rPr>
        <w:t xml:space="preserve">Contrato n.º </w:t>
      </w:r>
    </w:p>
    <w:p>
      <w:pPr>
        <w:pStyle w:val="Normal"/>
        <w:jc w:val="both"/>
        <w:rPr>
          <w:rFonts w:ascii="Arial" w:hAnsi="Arial" w:cs="Arial"/>
        </w:rPr>
      </w:pPr>
      <w:r>
        <w:rPr>
          <w:rFonts w:cs="Arial" w:ascii="Arial" w:hAnsi="Arial"/>
        </w:rPr>
      </w:r>
    </w:p>
    <w:p>
      <w:pPr>
        <w:pStyle w:val="Normal"/>
        <w:jc w:val="both"/>
        <w:rPr>
          <w:rFonts w:ascii="Arial" w:hAnsi="Arial" w:cs="Arial"/>
          <w:strike/>
        </w:rPr>
      </w:pPr>
      <w:r>
        <w:rPr>
          <w:rFonts w:cs="Arial" w:ascii="Arial" w:hAnsi="Arial"/>
          <w:strike/>
        </w:rPr>
      </w:r>
    </w:p>
    <w:p>
      <w:pPr>
        <w:pStyle w:val="Normal"/>
        <w:jc w:val="both"/>
        <w:rPr>
          <w:rFonts w:ascii="Arial" w:hAnsi="Arial" w:cs="Arial"/>
          <w:b/>
          <w:strike/>
        </w:rPr>
      </w:pPr>
      <w:r>
        <w:rPr>
          <w:rFonts w:cs="Arial" w:ascii="Arial" w:hAnsi="Arial"/>
          <w:b/>
          <w:strike/>
        </w:rPr>
      </w:r>
    </w:p>
    <w:p>
      <w:pPr>
        <w:pStyle w:val="Normal"/>
        <w:jc w:val="both"/>
        <w:rPr>
          <w:rFonts w:ascii="Arial" w:hAnsi="Arial" w:cs="Arial"/>
          <w:b/>
          <w:strike/>
        </w:rPr>
      </w:pPr>
      <w:r>
        <w:rPr>
          <w:rFonts w:cs="Arial" w:ascii="Arial" w:hAnsi="Arial"/>
          <w:b/>
          <w:strike/>
        </w:rPr>
      </w:r>
    </w:p>
    <w:p>
      <w:pPr>
        <w:pStyle w:val="Normal"/>
        <w:jc w:val="both"/>
        <w:rPr>
          <w:rFonts w:ascii="Arial" w:hAnsi="Arial" w:cs="Arial"/>
          <w:b/>
          <w:strike/>
        </w:rPr>
      </w:pPr>
      <w:r>
        <w:rPr>
          <w:rFonts w:cs="Arial" w:ascii="Arial" w:hAnsi="Arial"/>
          <w:b/>
          <w:strike/>
        </w:rPr>
      </w:r>
    </w:p>
    <w:p>
      <w:pPr>
        <w:pStyle w:val="Normal"/>
        <w:ind w:firstLine="851"/>
        <w:jc w:val="both"/>
        <w:rPr>
          <w:rFonts w:ascii="Arial" w:hAnsi="Arial" w:cs="Arial"/>
          <w:b/>
        </w:rPr>
      </w:pPr>
      <w:r>
        <w:rPr>
          <w:rFonts w:cs="Arial" w:ascii="Arial" w:hAnsi="Arial"/>
          <w:b/>
        </w:rPr>
      </w:r>
    </w:p>
    <w:tbl>
      <w:tblPr>
        <w:tblW w:w="8506"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8506"/>
      </w:tblGrid>
      <w:tr>
        <w:trPr>
          <w:trHeight w:val="225" w:hRule="atLeast"/>
        </w:trPr>
        <w:tc>
          <w:tcPr>
            <w:tcW w:w="8506"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1ª – DAS PARTES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xml:space="preserve">, com sede à Rua Antônio Corrêa Barbosa, n.º 2.233, bairro Chácara Nazareth, nesta cidade e Estado, com CNPJ n.º 46.341.038/0001-29, representada pelo seu Secretário Municipal de Saúde, Sr. </w:t>
      </w:r>
      <w:r>
        <w:rPr>
          <w:rFonts w:cs="Arial" w:ascii="Arial" w:hAnsi="Arial"/>
          <w:b/>
        </w:rPr>
        <w:t>GUSTAVO LAPOSTA DE AGUIAR</w:t>
      </w:r>
      <w:r>
        <w:rPr>
          <w:rFonts w:cs="Arial" w:ascii="Arial" w:hAnsi="Arial"/>
        </w:rPr>
        <w:t xml:space="preserve">, inscrito no CPF nº 370.679.618-07,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 Representante Legal, Sr(a). ..........,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rPr>
      </w:pPr>
      <w:r>
        <w:rPr>
          <w:rFonts w:cs="Arial" w:ascii="Arial" w:hAnsi="Arial"/>
          <w:b/>
        </w:rPr>
      </w:r>
    </w:p>
    <w:tbl>
      <w:tblPr>
        <w:tblW w:w="8452" w:type="dxa"/>
        <w:jc w:val="left"/>
        <w:tblInd w:w="166" w:type="dxa"/>
        <w:tblLayout w:type="fixed"/>
        <w:tblCellMar>
          <w:top w:w="0" w:type="dxa"/>
          <w:left w:w="108" w:type="dxa"/>
          <w:bottom w:w="0" w:type="dxa"/>
          <w:right w:w="108" w:type="dxa"/>
        </w:tblCellMar>
        <w:tblLook w:firstRow="0" w:noVBand="0" w:lastRow="0" w:firstColumn="0" w:lastColumn="0" w:noHBand="0" w:val="0000"/>
      </w:tblPr>
      <w:tblGrid>
        <w:gridCol w:w="8452"/>
      </w:tblGrid>
      <w:tr>
        <w:trPr/>
        <w:tc>
          <w:tcPr>
            <w:tcW w:w="845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2ª – DO OBJETO</w:t>
            </w:r>
          </w:p>
        </w:tc>
      </w:tr>
    </w:tbl>
    <w:p>
      <w:pPr>
        <w:pStyle w:val="Normal"/>
        <w:ind w:firstLine="851"/>
        <w:jc w:val="both"/>
        <w:rPr>
          <w:rFonts w:ascii="Arial" w:hAnsi="Arial" w:cs="Arial"/>
          <w:b/>
        </w:rPr>
      </w:pPr>
      <w:r>
        <w:rPr>
          <w:rFonts w:cs="Arial" w:ascii="Arial" w:hAnsi="Arial"/>
          <w:b/>
        </w:rPr>
      </w:r>
    </w:p>
    <w:p>
      <w:pPr>
        <w:pStyle w:val="BodyTextIndent"/>
        <w:ind w:firstLine="851"/>
        <w:rPr>
          <w:sz w:val="20"/>
          <w:szCs w:val="20"/>
        </w:rPr>
      </w:pPr>
      <w:r>
        <w:rPr>
          <w:b/>
          <w:sz w:val="20"/>
          <w:szCs w:val="20"/>
        </w:rPr>
        <w:t xml:space="preserve">2.1. A CONTRATADA se obriga a perfeita entrega do item … para fornecimento parcelado de insumos odontológicos (instrumentais e materiais cirúrgicos), conforme descrição detalhada constante do Edital da </w:t>
      </w:r>
      <w:r>
        <w:rPr>
          <w:b/>
          <w:color w:val="auto"/>
          <w:sz w:val="20"/>
          <w:szCs w:val="20"/>
        </w:rPr>
        <w:t>Ata de Registro de Preços n.º …/2025</w:t>
      </w:r>
      <w:r>
        <w:rPr>
          <w:b/>
          <w:sz w:val="20"/>
          <w:szCs w:val="20"/>
        </w:rPr>
        <w:t>, bem como seu Termo de Referência, o qual fica fazendo parte integrante do presente instrumento.</w:t>
      </w:r>
    </w:p>
    <w:p>
      <w:pPr>
        <w:pStyle w:val="Normal"/>
        <w:keepLines/>
        <w:ind w:firstLine="851"/>
        <w:jc w:val="both"/>
        <w:rPr>
          <w:rFonts w:ascii="Arial" w:hAnsi="Arial" w:cs="Arial"/>
          <w:b/>
        </w:rPr>
      </w:pPr>
      <w:r>
        <w:rPr>
          <w:rFonts w:cs="Arial" w:ascii="Arial" w:hAnsi="Arial"/>
          <w:b/>
        </w:rPr>
      </w:r>
    </w:p>
    <w:tbl>
      <w:tblPr>
        <w:tblW w:w="8452" w:type="dxa"/>
        <w:jc w:val="left"/>
        <w:tblInd w:w="166" w:type="dxa"/>
        <w:tblLayout w:type="fixed"/>
        <w:tblCellMar>
          <w:top w:w="0" w:type="dxa"/>
          <w:left w:w="108" w:type="dxa"/>
          <w:bottom w:w="0" w:type="dxa"/>
          <w:right w:w="108" w:type="dxa"/>
        </w:tblCellMar>
        <w:tblLook w:firstRow="0" w:noVBand="0" w:lastRow="0" w:firstColumn="0" w:lastColumn="0" w:noHBand="0" w:val="0000"/>
      </w:tblPr>
      <w:tblGrid>
        <w:gridCol w:w="8452"/>
      </w:tblGrid>
      <w:tr>
        <w:trPr/>
        <w:tc>
          <w:tcPr>
            <w:tcW w:w="845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3ª – DOS RECURSOS FINANCEIROS</w:t>
            </w:r>
          </w:p>
        </w:tc>
      </w:tr>
    </w:tbl>
    <w:p>
      <w:pPr>
        <w:pStyle w:val="BodyTextIndent"/>
        <w:ind w:firstLine="851"/>
        <w:rPr>
          <w:b/>
          <w:sz w:val="20"/>
          <w:szCs w:val="20"/>
        </w:rPr>
      </w:pPr>
      <w:r>
        <w:rPr>
          <w:b/>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w:t>
      </w:r>
      <w:r>
        <w:rPr>
          <w:rFonts w:cs="Arial" w:ascii="Arial" w:hAnsi="Arial"/>
          <w:color w:val="000000"/>
        </w:rPr>
        <w:t>A despesa supra será atendida pela dotação orçamentária nº ………….., constante do exercício de 2026.</w:t>
      </w:r>
      <w:r>
        <w:rPr>
          <w:rFonts w:cs="Arial" w:ascii="Arial" w:hAnsi="Arial"/>
        </w:rPr>
        <w:t xml:space="preserve"> </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 (............)</w:t>
      </w:r>
      <w:r>
        <w:rPr>
          <w:rFonts w:cs="Arial" w:ascii="Arial" w:hAnsi="Arial"/>
        </w:rPr>
        <w:t>, conforme valores apresentados por esta, em sua proposta.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 de 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de Saúde, no prazo estipulado pela </w:t>
      </w:r>
      <w:r>
        <w:rPr>
          <w:rFonts w:cs="Arial" w:ascii="Arial" w:hAnsi="Arial"/>
          <w:b/>
        </w:rPr>
        <w:t>CONTRATADA</w:t>
      </w:r>
      <w:r>
        <w:rPr>
          <w:rFonts w:cs="Arial" w:ascii="Arial" w:hAnsi="Arial"/>
        </w:rPr>
        <w:t xml:space="preserve">, contado da data de emissão da nota fiscal e depositados no banco e conta-corrente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rPr>
        <w:t xml:space="preserve">E-mail para emissão da NF-e: </w:t>
      </w:r>
      <w:hyperlink r:id="rId11">
        <w:r>
          <w:rPr>
            <w:rStyle w:val="Hyperlink"/>
            <w:rFonts w:cs="Arial" w:ascii="Arial" w:hAnsi="Arial"/>
          </w:rPr>
          <w:t>notafiscal@piracicaba.sp.gov.br</w:t>
        </w:r>
      </w:hyperlink>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Fazenda Estadual, com validade em vigor, e;</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Negativa de Débitos Trabalhistas (CNDT).</w:t>
      </w:r>
    </w:p>
    <w:p>
      <w:pPr>
        <w:pStyle w:val="Normal"/>
        <w:jc w:val="both"/>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8750"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7ª – DA FISCALIZAÇÃO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de Saúde é o órgão credenciado pela </w:t>
      </w:r>
      <w:r>
        <w:rPr>
          <w:rFonts w:cs="Arial" w:ascii="Arial" w:hAnsi="Arial"/>
          <w:b/>
        </w:rPr>
        <w:t>CONTRATANTE</w:t>
      </w:r>
      <w:r>
        <w:rPr>
          <w:rFonts w:cs="Arial" w:ascii="Arial" w:hAnsi="Arial"/>
        </w:rPr>
        <w:t xml:space="preserve"> para vistoriar a execução do presente contrato e prestar toda a assistência e orientações que se fizerem necessárias, indicando o(s) servidor(es) Sr.(a) ...........… e Sr.(a) ...........…, respectivamente, como gestor e fiscal do presente instrumento.</w:t>
      </w:r>
    </w:p>
    <w:p>
      <w:pPr>
        <w:pStyle w:val="Normal"/>
        <w:ind w:firstLine="851"/>
        <w:jc w:val="both"/>
        <w:rPr>
          <w:rFonts w:ascii="Arial" w:hAnsi="Arial" w:cs="Arial"/>
          <w:b/>
        </w:rPr>
      </w:pPr>
      <w:r>
        <w:rPr>
          <w:rFonts w:cs="Arial" w:ascii="Arial" w:hAnsi="Arial"/>
          <w:b/>
        </w:rPr>
      </w:r>
    </w:p>
    <w:tbl>
      <w:tblPr>
        <w:tblW w:w="8750"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8ª – DO PRAZO DE VIGÊNCIA</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w:t>
      </w:r>
      <w:r>
        <w:rPr>
          <w:rFonts w:cs="Arial" w:ascii="Arial" w:hAnsi="Arial"/>
          <w:color w:val="000000"/>
        </w:rPr>
        <w:t>O presente contrato terá vigência até 31 de dezembro de 2026, podendo ser prorrogado, por igual período, renovadas as quantidades, desde que comprovado o preço vantajoso, conforme previsto no artigo 84 da Lei 14.133, de 2021, a contar da data da Ordem de Fornecimento.</w:t>
      </w:r>
      <w:r>
        <w:rPr>
          <w:rFonts w:cs="Arial" w:ascii="Arial" w:hAnsi="Arial"/>
        </w:rPr>
        <w:t xml:space="preserve"> </w:t>
      </w:r>
    </w:p>
    <w:p>
      <w:pPr>
        <w:pStyle w:val="Normal"/>
        <w:ind w:firstLine="851"/>
        <w:jc w:val="both"/>
        <w:rPr>
          <w:rFonts w:ascii="Arial" w:hAnsi="Arial" w:cs="Arial"/>
        </w:rPr>
      </w:pPr>
      <w:r>
        <w:rPr>
          <w:rFonts w:cs="Arial" w:ascii="Arial" w:hAnsi="Arial"/>
        </w:rPr>
      </w:r>
    </w:p>
    <w:tbl>
      <w:tblPr>
        <w:tblW w:w="8750"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9ª – DA EXTINÇÃO DO CONTRATO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9.1.</w:t>
      </w:r>
      <w:r>
        <w:rPr>
          <w:rFonts w:cs="Arial" w:ascii="Arial" w:hAnsi="Arial"/>
        </w:rPr>
        <w:t xml:space="preserve"> Independentemente de interpelação judicial, o contrato será extinto nas hipóteses previstas no art. 137 da Lei Federal nº 14.133/21e suas alterações.</w:t>
      </w:r>
    </w:p>
    <w:p>
      <w:pPr>
        <w:pStyle w:val="Normal"/>
        <w:ind w:firstLine="851"/>
        <w:jc w:val="both"/>
        <w:rPr>
          <w:rFonts w:ascii="Arial" w:hAnsi="Arial" w:cs="Arial"/>
        </w:rPr>
      </w:pPr>
      <w:r>
        <w:rPr>
          <w:rFonts w:cs="Arial" w:ascii="Arial" w:hAnsi="Arial"/>
        </w:rPr>
      </w:r>
    </w:p>
    <w:tbl>
      <w:tblPr>
        <w:tblW w:w="8750"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10 – DO RECEBIMENTO</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10.1.2.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10.2. </w:t>
      </w:r>
      <w:r>
        <w:rPr>
          <w:rFonts w:cs="Arial" w:ascii="Arial" w:hAnsi="Arial"/>
        </w:rPr>
        <w:t>O recebimento de que trata este item far-se-á mediante recibo.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10.3.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8750"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0"/>
      </w:tblGrid>
      <w:tr>
        <w:trPr/>
        <w:tc>
          <w:tcPr>
            <w:tcW w:w="8750"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rFonts w:ascii="Arial" w:hAnsi="Arial" w:cs="Arial"/>
                <w:b/>
              </w:rPr>
            </w:pPr>
            <w:r>
              <w:rPr>
                <w:rFonts w:cs="Arial" w:ascii="Arial" w:hAnsi="Arial"/>
                <w:b/>
              </w:rPr>
              <w:t>CLÁUSULA 11 – DAS SANÇÕES ADMINISTRATIVAS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11.1.5.</w:t>
      </w:r>
      <w:r>
        <w:rPr>
          <w:rFonts w:cs="Arial" w:ascii="Arial" w:hAnsi="Arial"/>
        </w:rPr>
        <w:t xml:space="preserve"> Fraudar a licitação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w:t>
      </w:r>
      <w:r>
        <w:rPr>
          <w:rFonts w:cs="Arial" w:ascii="Arial" w:hAnsi="Arial"/>
        </w:rPr>
        <w:t xml:space="preserve"> Comportar-se de modo inidôneo ou cometer fraude de qualquer natureza,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11.1.6.2.</w:t>
      </w:r>
      <w:r>
        <w:rPr>
          <w:rFonts w:cs="Arial" w:ascii="Arial" w:hAnsi="Arial"/>
        </w:rPr>
        <w:t xml:space="preserve"> Induzir deliberadamente a erro no julgamento;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11.1.6.3.</w:t>
      </w:r>
      <w:r>
        <w:rPr>
          <w:rFonts w:cs="Arial" w:ascii="Arial" w:hAnsi="Arial"/>
        </w:rPr>
        <w:t xml:space="preserve"> Apresentar amostra falsificada ou deteriorada;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11.7.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12 – DAS MEDIDAS ANTICORRUPÇÃO</w:t>
            </w:r>
          </w:p>
        </w:tc>
      </w:tr>
    </w:tbl>
    <w:p>
      <w:pPr>
        <w:pStyle w:val="Normal"/>
        <w:rPr>
          <w:rFonts w:ascii="Arial" w:hAnsi="Arial" w:cs="Arial"/>
          <w:b/>
        </w:rPr>
      </w:pPr>
      <w:r>
        <w:rPr>
          <w:rFonts w:cs="Arial" w:ascii="Arial" w:hAnsi="Arial"/>
          <w:b/>
        </w:rPr>
      </w:r>
    </w:p>
    <w:p>
      <w:pPr>
        <w:pStyle w:val="Normal"/>
        <w:ind w:firstLine="850"/>
        <w:jc w:val="both"/>
        <w:rPr>
          <w:rFonts w:ascii="Arial" w:hAnsi="Arial" w:cs="Arial"/>
        </w:rPr>
      </w:pPr>
      <w:r>
        <w:rPr>
          <w:rFonts w:cs="Arial" w:ascii="Arial" w:hAnsi="Arial"/>
          <w:b/>
        </w:rPr>
        <w:t>12.1.</w:t>
      </w:r>
      <w:r>
        <w:rPr>
          <w:rFonts w:cs="Arial" w:ascii="Arial" w:hAnsi="Arial"/>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rFonts w:ascii="Arial" w:hAnsi="Arial" w:cs="Arial"/>
                <w:b/>
              </w:rPr>
            </w:pPr>
            <w:r>
              <w:rPr>
                <w:rFonts w:cs="Arial" w:ascii="Arial" w:hAnsi="Arial"/>
                <w:b/>
              </w:rPr>
              <w:t>CLÁUSULA 13 – DAS DISPOSIÇÕES FINAIS</w:t>
            </w:r>
          </w:p>
        </w:tc>
      </w:tr>
    </w:tbl>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13.1.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13.6. </w:t>
      </w:r>
      <w:r>
        <w:rPr>
          <w:rFonts w:cs="Arial" w:ascii="Arial" w:hAnsi="Arial"/>
        </w:rPr>
        <w:t>É vedada a subcontratação.</w:t>
      </w:r>
    </w:p>
    <w:p>
      <w:pPr>
        <w:pStyle w:val="Normal"/>
        <w:ind w:firstLine="851"/>
        <w:jc w:val="both"/>
        <w:rPr>
          <w:rFonts w:ascii="Arial" w:hAnsi="Arial" w:cs="Arial"/>
          <w:b/>
        </w:rPr>
      </w:pPr>
      <w:r>
        <w:rPr>
          <w:rFonts w:cs="Arial" w:ascii="Arial" w:hAnsi="Arial"/>
          <w:b/>
        </w:rPr>
      </w:r>
    </w:p>
    <w:p>
      <w:pPr>
        <w:pStyle w:val="Normal"/>
        <w:ind w:firstLine="851"/>
        <w:jc w:val="both"/>
        <w:rPr>
          <w:rFonts w:ascii="Arial" w:hAnsi="Arial" w:cs="Arial"/>
        </w:rPr>
      </w:pPr>
      <w:r>
        <w:rPr>
          <w:rFonts w:cs="Arial" w:ascii="Arial" w:hAnsi="Arial"/>
          <w:b/>
        </w:rPr>
        <w:t xml:space="preserve">13.7. </w:t>
      </w:r>
      <w:r>
        <w:rPr>
          <w:rFonts w:cs="Arial" w:ascii="Arial" w:hAnsi="Arial"/>
        </w:rPr>
        <w:t xml:space="preserve">A </w:t>
      </w:r>
      <w:r>
        <w:rPr>
          <w:rFonts w:cs="Arial" w:ascii="Arial" w:hAnsi="Arial"/>
          <w:b/>
        </w:rPr>
        <w:t xml:space="preserve">CONTRATADA </w:t>
      </w:r>
      <w:r>
        <w:rPr>
          <w:rFonts w:cs="Arial" w:ascii="Arial" w:hAnsi="Arial"/>
        </w:rPr>
        <w:t>assume inteira responsabilidade pela perfeita entrega do objeto contratado.</w:t>
      </w:r>
    </w:p>
    <w:p>
      <w:pPr>
        <w:pStyle w:val="Normal"/>
        <w:keepLines/>
        <w:jc w:val="both"/>
        <w:rPr>
          <w:rFonts w:ascii="Arial" w:hAnsi="Arial" w:cs="Arial"/>
          <w:b/>
        </w:rPr>
      </w:pPr>
      <w:r>
        <w:rPr>
          <w:rFonts w:cs="Arial" w:ascii="Arial" w:hAnsi="Arial"/>
          <w:b/>
        </w:rPr>
      </w:r>
    </w:p>
    <w:p>
      <w:pPr>
        <w:pStyle w:val="Normal"/>
        <w:keepLines/>
        <w:ind w:firstLine="851"/>
        <w:jc w:val="both"/>
        <w:rPr>
          <w:rFonts w:ascii="Arial" w:hAnsi="Arial" w:cs="Arial"/>
        </w:rPr>
      </w:pPr>
      <w:r>
        <w:rPr>
          <w:rFonts w:cs="Arial" w:ascii="Arial" w:hAnsi="Arial"/>
          <w:b/>
        </w:rPr>
        <w:t>13.8.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13.9.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 xml:space="preserve">Piracicaba, </w:t>
      </w:r>
    </w:p>
    <w:p>
      <w:pPr>
        <w:pStyle w:val="Normal"/>
        <w:jc w:val="both"/>
        <w:rPr>
          <w:rFonts w:ascii="Arial" w:hAnsi="Arial" w:cs="Arial"/>
        </w:rPr>
      </w:pPr>
      <w:r>
        <w:rPr>
          <w:rFonts w:cs="Arial" w:ascii="Arial" w:hAnsi="Arial"/>
        </w:rPr>
      </w:r>
    </w:p>
    <w:tbl>
      <w:tblPr>
        <w:tblW w:w="861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202"/>
        <w:gridCol w:w="237"/>
        <w:gridCol w:w="4179"/>
      </w:tblGrid>
      <w:tr>
        <w:trPr>
          <w:trHeight w:val="2102" w:hRule="atLeast"/>
        </w:trPr>
        <w:tc>
          <w:tcPr>
            <w:tcW w:w="4202" w:type="dxa"/>
            <w:tcBorders>
              <w:top w:val="single" w:sz="4" w:space="0" w:color="000000"/>
              <w:left w:val="single" w:sz="4" w:space="0" w:color="000000"/>
              <w:bottom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GUSTAVO LAPOSTA DE AGUIAR</w:t>
            </w:r>
          </w:p>
          <w:p>
            <w:pPr>
              <w:pStyle w:val="Normal"/>
              <w:jc w:val="center"/>
              <w:rPr>
                <w:rFonts w:ascii="Arial" w:hAnsi="Arial" w:cs="Arial"/>
              </w:rPr>
            </w:pPr>
            <w:r>
              <w:rPr>
                <w:rFonts w:cs="Arial" w:ascii="Arial" w:hAnsi="Arial"/>
                <w:b/>
              </w:rPr>
              <w:t>Secretário Municipal de Saúde</w:t>
            </w:r>
            <w:bookmarkStart w:id="16" w:name="_GoBack"/>
            <w:bookmarkEnd w:id="16"/>
          </w:p>
        </w:tc>
        <w:tc>
          <w:tcPr>
            <w:tcW w:w="237" w:type="dxa"/>
            <w:tcBorders>
              <w:left w:val="single" w:sz="4" w:space="0" w:color="000000"/>
            </w:tcBorders>
          </w:tcPr>
          <w:p>
            <w:pPr>
              <w:pStyle w:val="Normal"/>
              <w:snapToGrid w:val="false"/>
              <w:jc w:val="both"/>
              <w:rPr>
                <w:rFonts w:ascii="Arial" w:hAnsi="Arial" w:cs="Arial"/>
                <w:b/>
              </w:rPr>
            </w:pPr>
            <w:r>
              <w:rPr>
                <w:rFonts w:cs="Arial" w:ascii="Arial" w:hAnsi="Arial"/>
                <w:b/>
              </w:rPr>
            </w:r>
          </w:p>
        </w:tc>
        <w:tc>
          <w:tcPr>
            <w:tcW w:w="4179"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jc w:val="center"/>
              <w:rPr>
                <w:rFonts w:ascii="Arial" w:hAnsi="Arial" w:cs="Arial"/>
                <w:b/>
              </w:rPr>
            </w:pPr>
            <w:r>
              <w:rPr>
                <w:rFonts w:cs="Arial" w:ascii="Arial" w:hAnsi="Arial"/>
                <w:b/>
              </w:rPr>
              <w:t>::: EMPRESA CONTRATADA :::</w:t>
            </w:r>
          </w:p>
          <w:p>
            <w:pPr>
              <w:pStyle w:val="Normal"/>
              <w:jc w:val="center"/>
              <w:rPr>
                <w:rFonts w:ascii="Arial" w:hAnsi="Arial" w:cs="Arial"/>
                <w:b/>
              </w:rPr>
            </w:pPr>
            <w:r>
              <w:rPr>
                <w:rFonts w:cs="Arial" w:ascii="Arial" w:hAnsi="Arial"/>
                <w:b/>
              </w:rPr>
              <w:t>Representante Legal</w:t>
            </w:r>
          </w:p>
        </w:tc>
      </w:tr>
    </w:tbl>
    <w:p>
      <w:pPr>
        <w:pStyle w:val="Normal"/>
        <w:rPr>
          <w:rFonts w:ascii="Arial" w:hAnsi="Arial" w:cs="Arial"/>
          <w:b/>
        </w:rPr>
      </w:pPr>
      <w:r>
        <w:rPr>
          <w:rFonts w:cs="Arial" w:ascii="Arial" w:hAnsi="Arial"/>
          <w:b/>
        </w:rPr>
      </w:r>
    </w:p>
    <w:p>
      <w:pPr>
        <w:pStyle w:val="Normal"/>
        <w:jc w:val="both"/>
        <w:rPr>
          <w:rFonts w:ascii="Arial" w:hAnsi="Arial" w:cs="Arial"/>
          <w:b/>
          <w:u w:val="single"/>
        </w:rPr>
      </w:pPr>
      <w:r>
        <w:rPr>
          <w:rFonts w:cs="Arial" w:ascii="Arial" w:hAnsi="Arial"/>
          <w:b/>
          <w:u w:val="single"/>
        </w:rPr>
        <w:t>TESTEMUNHAS:</w:t>
      </w:r>
    </w:p>
    <w:p>
      <w:pPr>
        <w:pStyle w:val="Normal"/>
        <w:jc w:val="both"/>
        <w:rPr>
          <w:rFonts w:ascii="Arial" w:hAnsi="Arial" w:cs="Arial"/>
          <w:b/>
          <w:u w:val="single"/>
        </w:rPr>
      </w:pPr>
      <w:r>
        <w:rPr>
          <w:rFonts w:cs="Arial" w:ascii="Arial" w:hAnsi="Arial"/>
          <w:b/>
          <w:u w:val="single"/>
        </w:rPr>
      </w:r>
    </w:p>
    <w:tbl>
      <w:tblPr>
        <w:tblW w:w="8618"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196"/>
        <w:gridCol w:w="237"/>
        <w:gridCol w:w="4185"/>
      </w:tblGrid>
      <w:tr>
        <w:trPr>
          <w:trHeight w:val="1089" w:hRule="atLeast"/>
        </w:trPr>
        <w:tc>
          <w:tcPr>
            <w:tcW w:w="4196" w:type="dxa"/>
            <w:tcBorders>
              <w:top w:val="single" w:sz="4" w:space="0" w:color="000000"/>
              <w:left w:val="single" w:sz="4" w:space="0" w:color="000000"/>
              <w:bottom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w:t>
            </w:r>
          </w:p>
          <w:p>
            <w:pPr>
              <w:pStyle w:val="Normal"/>
              <w:rPr>
                <w:rFonts w:ascii="Arial" w:hAnsi="Arial" w:cs="Arial"/>
                <w:b/>
              </w:rPr>
            </w:pPr>
            <w:r>
              <w:rPr>
                <w:rFonts w:cs="Arial" w:ascii="Arial" w:hAnsi="Arial"/>
                <w:b/>
              </w:rPr>
              <w:t>Nome:</w:t>
            </w:r>
          </w:p>
          <w:p>
            <w:pPr>
              <w:pStyle w:val="Normal"/>
              <w:rPr>
                <w:rFonts w:ascii="Arial" w:hAnsi="Arial" w:cs="Arial"/>
                <w:b/>
              </w:rPr>
            </w:pPr>
            <w:r>
              <w:rPr>
                <w:rFonts w:cs="Arial" w:ascii="Arial" w:hAnsi="Arial"/>
                <w:b/>
              </w:rPr>
              <w:t>CPF:</w:t>
            </w:r>
          </w:p>
        </w:tc>
        <w:tc>
          <w:tcPr>
            <w:tcW w:w="237" w:type="dxa"/>
            <w:tcBorders>
              <w:left w:val="single" w:sz="4" w:space="0" w:color="000000"/>
            </w:tcBorders>
          </w:tcPr>
          <w:p>
            <w:pPr>
              <w:pStyle w:val="Normal"/>
              <w:snapToGrid w:val="false"/>
              <w:jc w:val="both"/>
              <w:rPr>
                <w:rFonts w:ascii="Arial" w:hAnsi="Arial" w:cs="Arial"/>
                <w:b/>
              </w:rPr>
            </w:pPr>
            <w:r>
              <w:rPr>
                <w:rFonts w:cs="Arial" w:ascii="Arial" w:hAnsi="Arial"/>
                <w:b/>
              </w:rPr>
            </w:r>
          </w:p>
        </w:tc>
        <w:tc>
          <w:tcPr>
            <w:tcW w:w="4185" w:type="dxa"/>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t>__________________________</w:t>
            </w:r>
          </w:p>
          <w:p>
            <w:pPr>
              <w:pStyle w:val="Normal"/>
              <w:rPr>
                <w:rFonts w:ascii="Arial" w:hAnsi="Arial" w:cs="Arial"/>
                <w:b/>
              </w:rPr>
            </w:pPr>
            <w:r>
              <w:rPr>
                <w:rFonts w:cs="Arial" w:ascii="Arial" w:hAnsi="Arial"/>
                <w:b/>
              </w:rPr>
              <w:t>Nome:</w:t>
            </w:r>
          </w:p>
          <w:p>
            <w:pPr>
              <w:pStyle w:val="Normal"/>
              <w:jc w:val="both"/>
              <w:rPr>
                <w:rFonts w:ascii="Arial" w:hAnsi="Arial" w:cs="Arial"/>
                <w:b/>
              </w:rPr>
            </w:pPr>
            <w:r>
              <w:rPr>
                <w:rFonts w:cs="Arial" w:ascii="Arial" w:hAnsi="Arial"/>
                <w:b/>
              </w:rPr>
              <w:t>CPF:</w:t>
            </w:r>
          </w:p>
        </w:tc>
      </w:tr>
    </w:tbl>
    <w:p>
      <w:pPr>
        <w:pStyle w:val="Normal"/>
        <w:rPr>
          <w:sz w:val="24"/>
          <w:szCs w:val="24"/>
        </w:rPr>
      </w:pPr>
      <w:r>
        <w:rPr>
          <w:sz w:val="24"/>
          <w:szCs w:val="24"/>
        </w:rPr>
      </w:r>
    </w:p>
    <w:p>
      <w:pPr>
        <w:pStyle w:val="Normal"/>
        <w:jc w:val="center"/>
        <w:rPr>
          <w:rFonts w:ascii="Arial" w:hAnsi="Arial" w:cs="Arial"/>
          <w:b/>
          <w:bCs/>
        </w:rPr>
      </w:pPr>
      <w:r>
        <w:rPr>
          <w:rFonts w:cs="Arial" w:ascii="Arial" w:hAnsi="Arial"/>
          <w:b/>
          <w:bCs/>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418"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Arial">
    <w:charset w:val="00"/>
    <w:family w:val="roman"/>
    <w:pitch w:val="variable"/>
  </w:font>
  <w:font w:name="Arial">
    <w:altName w:val="Helvetic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300</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w:t>
    </w:r>
    <w:r>
      <w:rPr>
        <w:rFonts w:cs="Arial" w:ascii="Arial" w:hAnsi="Arial"/>
        <w:sz w:val="16"/>
      </w:rPr>
      <w:t>300</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32</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3">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0" simplePos="0" locked="0" layoutInCell="0" allowOverlap="1" relativeHeight="128" wp14:anchorId="7749FE0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28.25pt;margin-top:6.75pt;width:367.7pt;height:70.45pt;mso-wrap-style:square;v-text-anchor:top;mso-position-horizontal:right;mso-position-horizontal-relative:margin;mso-position-vertical-relative:page" wp14:anchorId="7749FE05">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3">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0" simplePos="0" locked="0" layoutInCell="0" allowOverlap="1" relativeHeight="128" wp14:anchorId="7749FE0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28.25pt;margin-top:6.75pt;width:367.7pt;height:70.45pt;mso-wrap-style:square;v-text-anchor:top;mso-position-horizontal:right;mso-position-horizontal-relative:margin;mso-position-vertical-relative:page" wp14:anchorId="7749FE05">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4"/>
    <w:lvlOverride w:ilvl="0">
      <w:startOverride w:val="1"/>
    </w:lvlOverride>
  </w:num>
  <w:num w:numId="20">
    <w:abstractNumId w:val="4"/>
    <w:lvlOverride w:ilvl="0">
      <w:startOverride w:val="1"/>
    </w:lvlOverride>
  </w:num>
  <w:num w:numId="21">
    <w:abstractNumId w:val="4"/>
    <w:lvlOverride w:ilvl="0">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Marcadoresuser" w:customStyle="1">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overflowPunct w:val="fals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6"/>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6"/>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left="1276"/>
    </w:pPr>
    <w:rPr/>
  </w:style>
  <w:style w:type="paragraph" w:styleId="Contedodoquadrouser" w:customStyle="1">
    <w:name w:val="Conteúdo do quadro (user)"/>
    <w:basedOn w:val="Normal"/>
    <w:qFormat/>
    <w:pPr/>
    <w:rPr/>
  </w:style>
  <w:style w:type="paragraph" w:styleId="Contedodatabelauser" w:customStyle="1">
    <w:name w:val="Conteúdo da tabela (user)"/>
    <w:basedOn w:val="Normal"/>
    <w:qFormat/>
    <w:pPr>
      <w:suppressLineNumbers/>
    </w:pPr>
    <w:rPr/>
  </w:style>
  <w:style w:type="numbering" w:styleId="Semlistauser" w:customStyle="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http://purl.org/dc/terms/"/>
    <ds:schemaRef ds:uri="60198707-c4ff-4d5d-8bc5-5efdd47f407d"/>
    <ds:schemaRef ds:uri="http://schemas.microsoft.com/office/2006/documentManagement/types"/>
    <ds:schemaRef ds:uri="http://schemas.openxmlformats.org/package/2006/metadata/core-properties"/>
    <ds:schemaRef ds:uri="http://purl.org/dc/elements/1.1/"/>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51305E09-43A4-4B7B-95B1-B145B677F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Application>LibreOffice/25.2.7.2$Windows_X86_64 LibreOffice_project/5cbfd1ab6520636bb5f7b99185aa69bd7456825d</Application>
  <AppVersion>15.0000</AppVersion>
  <Pages>32</Pages>
  <Words>13144</Words>
  <Characters>77150</Characters>
  <CharactersWithSpaces>89793</CharactersWithSpaces>
  <Paragraphs>618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2024-07-03T17:05:00Z</dcterms:created>
  <dc:creator>Thiago Luiz Araujo Santos</dc:creator>
  <dc:description/>
  <dc:language>pt-BR</dc:language>
  <cp:lastModifiedBy/>
  <cp:lastPrinted>2022-08-03T17:48:00Z</cp:lastPrinted>
  <dcterms:modified xsi:type="dcterms:W3CDTF">2026-10-08T13:56:08Z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