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196A9E">
        <w:rPr>
          <w:b/>
          <w:color w:val="auto"/>
          <w:sz w:val="20"/>
          <w:szCs w:val="20"/>
          <w:lang w:val="pt-BR"/>
        </w:rPr>
        <w:t xml:space="preserve">DISPENSA ELETRÔNICA nº </w:t>
      </w:r>
      <w:r w:rsidR="002C3061">
        <w:rPr>
          <w:b/>
          <w:color w:val="auto"/>
          <w:sz w:val="20"/>
          <w:szCs w:val="20"/>
          <w:lang w:val="pt-BR"/>
        </w:rPr>
        <w:t>94</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2C3061">
        <w:rPr>
          <w:b/>
          <w:color w:val="auto"/>
          <w:sz w:val="20"/>
          <w:szCs w:val="20"/>
          <w:lang w:val="pt-BR"/>
        </w:rPr>
        <w:t>179</w:t>
      </w:r>
      <w:r w:rsidR="008A765A">
        <w:rPr>
          <w:b/>
          <w:color w:val="auto"/>
          <w:sz w:val="20"/>
          <w:szCs w:val="20"/>
          <w:lang w:val="pt-BR"/>
        </w:rPr>
        <w:t>.</w:t>
      </w:r>
      <w:r w:rsidR="002C3061">
        <w:rPr>
          <w:b/>
          <w:color w:val="auto"/>
          <w:sz w:val="20"/>
          <w:szCs w:val="20"/>
          <w:lang w:val="pt-BR"/>
        </w:rPr>
        <w:t>360</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2C3061">
        <w:rPr>
          <w:color w:val="auto"/>
          <w:sz w:val="20"/>
          <w:szCs w:val="20"/>
          <w:lang w:val="pt-BR"/>
        </w:rPr>
        <w:t>19/10</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2C3061">
        <w:rPr>
          <w:color w:val="auto"/>
          <w:sz w:val="20"/>
          <w:szCs w:val="20"/>
          <w:lang w:val="pt-BR"/>
        </w:rPr>
        <w:t>19/10</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2C3061">
      <w:pPr>
        <w:numPr>
          <w:ilvl w:val="0"/>
          <w:numId w:val="4"/>
        </w:numPr>
        <w:tabs>
          <w:tab w:val="left" w:pos="284"/>
        </w:tabs>
        <w:jc w:val="both"/>
        <w:rPr>
          <w:rFonts w:ascii="Arial" w:hAnsi="Arial" w:cs="Arial"/>
        </w:rPr>
      </w:pPr>
      <w:r>
        <w:rPr>
          <w:rFonts w:ascii="Arial" w:hAnsi="Arial" w:cs="Arial"/>
        </w:rPr>
        <w:t xml:space="preserve">Objeto: </w:t>
      </w:r>
      <w:bookmarkStart w:id="0" w:name="_GoBack"/>
      <w:r w:rsidR="002C3061" w:rsidRPr="002C3061">
        <w:rPr>
          <w:rFonts w:ascii="Arial" w:hAnsi="Arial" w:cs="Arial"/>
          <w:b/>
        </w:rPr>
        <w:t xml:space="preserve">Aquisição de licenças de softwares e ferramentas </w:t>
      </w:r>
      <w:r w:rsidR="002C3061">
        <w:rPr>
          <w:rFonts w:ascii="Arial" w:hAnsi="Arial" w:cs="Arial"/>
          <w:b/>
        </w:rPr>
        <w:t>digitais para uso institucional</w:t>
      </w:r>
      <w:r w:rsidR="00196A9E">
        <w:rPr>
          <w:rFonts w:ascii="Arial" w:hAnsi="Arial" w:cs="Arial"/>
          <w:b/>
        </w:rPr>
        <w:t>.</w:t>
      </w:r>
    </w:p>
    <w:p w:rsidR="00464AF3" w:rsidRDefault="00196A9E" w:rsidP="002C3061">
      <w:pPr>
        <w:numPr>
          <w:ilvl w:val="0"/>
          <w:numId w:val="4"/>
        </w:numPr>
        <w:tabs>
          <w:tab w:val="left" w:pos="284"/>
        </w:tabs>
        <w:jc w:val="both"/>
        <w:rPr>
          <w:rFonts w:ascii="Arial" w:hAnsi="Arial" w:cs="Arial"/>
        </w:rPr>
      </w:pPr>
      <w:r>
        <w:rPr>
          <w:rFonts w:ascii="Arial" w:hAnsi="Arial" w:cs="Arial"/>
        </w:rPr>
        <w:t xml:space="preserve">Unidade Requisitante: </w:t>
      </w:r>
      <w:r w:rsidR="002C3061" w:rsidRPr="002C3061">
        <w:rPr>
          <w:rFonts w:ascii="Arial" w:hAnsi="Arial" w:cs="Arial"/>
        </w:rPr>
        <w:t>Secretaria de Assistência, Desenvolvimento Social e Família</w:t>
      </w:r>
      <w:r>
        <w:rPr>
          <w:rFonts w:ascii="Arial" w:hAnsi="Arial" w:cs="Arial"/>
        </w:rPr>
        <w:t>.</w:t>
      </w:r>
      <w:r w:rsidR="001450D0">
        <w:rPr>
          <w:rFonts w:ascii="Arial" w:hAnsi="Arial" w:cs="Arial"/>
        </w:rPr>
        <w:t xml:space="preserve"> </w:t>
      </w:r>
    </w:p>
    <w:p w:rsidR="00464AF3" w:rsidRPr="00196A9E" w:rsidRDefault="001450D0" w:rsidP="00196A9E">
      <w:pPr>
        <w:numPr>
          <w:ilvl w:val="0"/>
          <w:numId w:val="4"/>
        </w:numPr>
        <w:tabs>
          <w:tab w:val="left" w:pos="284"/>
        </w:tabs>
        <w:jc w:val="both"/>
        <w:rPr>
          <w:rFonts w:ascii="Arial" w:hAnsi="Arial" w:cs="Arial"/>
        </w:rPr>
      </w:pPr>
      <w:r>
        <w:rPr>
          <w:rFonts w:ascii="Arial" w:hAnsi="Arial" w:cs="Arial"/>
        </w:rPr>
        <w:t xml:space="preserve">Valor estimado da contratação: </w:t>
      </w:r>
      <w:r w:rsidR="00196A9E" w:rsidRPr="00196A9E">
        <w:rPr>
          <w:rFonts w:ascii="Arial" w:hAnsi="Arial" w:cs="Arial"/>
          <w:b/>
          <w:bCs/>
        </w:rPr>
        <w:t xml:space="preserve">R$ </w:t>
      </w:r>
      <w:r w:rsidR="0096128B">
        <w:rPr>
          <w:rFonts w:ascii="Arial" w:hAnsi="Arial" w:cs="Arial"/>
          <w:b/>
          <w:bCs/>
        </w:rPr>
        <w:t>3.573,</w:t>
      </w:r>
      <w:bookmarkEnd w:id="0"/>
      <w:r w:rsidR="0096128B">
        <w:rPr>
          <w:rFonts w:ascii="Arial" w:hAnsi="Arial" w:cs="Arial"/>
          <w:b/>
          <w:bCs/>
        </w:rPr>
        <w:t>08 (Três mil, quinhentos e setenta e três reais e oito centavos</w:t>
      </w:r>
      <w:r w:rsidR="00196A9E" w:rsidRPr="00196A9E">
        <w:rPr>
          <w:rFonts w:ascii="Arial" w:hAnsi="Arial" w:cs="Arial"/>
          <w:b/>
          <w:bCs/>
        </w:rPr>
        <w:t>).</w:t>
      </w:r>
    </w:p>
    <w:p w:rsidR="0096128B" w:rsidRDefault="00196A9E" w:rsidP="0096128B">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 xml:space="preserve">Fonte de Recursos: </w:t>
      </w:r>
      <w:r w:rsidR="0096128B" w:rsidRPr="0096128B">
        <w:rPr>
          <w:rFonts w:ascii="Arial" w:eastAsia="Times New Roman" w:hAnsi="Arial" w:cs="Arial"/>
          <w:sz w:val="20"/>
          <w:szCs w:val="20"/>
        </w:rPr>
        <w:t>Programa de trabalho: 08.244.0016.2069.0000 - Bloco de Gestão do SUAS</w:t>
      </w:r>
    </w:p>
    <w:p w:rsidR="00196A9E" w:rsidRPr="0096128B" w:rsidRDefault="0096128B" w:rsidP="0096128B">
      <w:pPr>
        <w:pStyle w:val="PargrafodaLista"/>
        <w:tabs>
          <w:tab w:val="left" w:pos="284"/>
        </w:tabs>
        <w:spacing w:after="0" w:line="240" w:lineRule="auto"/>
        <w:ind w:left="0"/>
        <w:jc w:val="both"/>
        <w:rPr>
          <w:rFonts w:ascii="Arial" w:eastAsia="Times New Roman" w:hAnsi="Arial" w:cs="Arial"/>
          <w:sz w:val="20"/>
          <w:szCs w:val="20"/>
        </w:rPr>
      </w:pPr>
      <w:r>
        <w:rPr>
          <w:rFonts w:ascii="Arial" w:eastAsia="Times New Roman" w:hAnsi="Arial" w:cs="Arial"/>
          <w:sz w:val="20"/>
          <w:szCs w:val="20"/>
        </w:rPr>
        <w:tab/>
      </w:r>
      <w:r w:rsidRPr="0096128B">
        <w:rPr>
          <w:rFonts w:ascii="Arial" w:eastAsia="Times New Roman" w:hAnsi="Arial" w:cs="Arial"/>
          <w:sz w:val="20"/>
          <w:szCs w:val="20"/>
        </w:rPr>
        <w:t>Fonte: 0101011000 - TESOURO - GERAL</w:t>
      </w:r>
      <w:r w:rsidR="00196A9E" w:rsidRPr="0096128B">
        <w:rPr>
          <w:rFonts w:ascii="Arial" w:eastAsia="Times New Roman" w:hAnsi="Arial" w:cs="Arial"/>
          <w:sz w:val="20"/>
          <w:szCs w:val="20"/>
        </w:rPr>
        <w:t xml:space="preserve"> </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 xml:space="preserve">Prazo de contratação: </w:t>
      </w:r>
      <w:r w:rsidR="0096128B">
        <w:rPr>
          <w:rFonts w:ascii="Arial" w:eastAsia="Times New Roman" w:hAnsi="Arial" w:cs="Arial"/>
          <w:sz w:val="20"/>
          <w:szCs w:val="20"/>
        </w:rPr>
        <w:t>12 meses</w:t>
      </w:r>
      <w:r w:rsidRPr="00196A9E">
        <w:rPr>
          <w:rFonts w:ascii="Arial" w:eastAsia="Times New Roman" w:hAnsi="Arial" w:cs="Arial"/>
          <w:sz w:val="20"/>
          <w:szCs w:val="20"/>
        </w:rPr>
        <w:t>.</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sidR="0096128B">
        <w:rPr>
          <w:rFonts w:ascii="Arial" w:hAnsi="Arial" w:cs="Arial"/>
          <w:b/>
          <w:sz w:val="20"/>
          <w:szCs w:val="20"/>
        </w:rPr>
        <w:t>preço unitário e total,</w:t>
      </w:r>
      <w:r>
        <w:rPr>
          <w:rFonts w:ascii="Arial" w:hAnsi="Arial" w:cs="Arial"/>
          <w:sz w:val="20"/>
          <w:szCs w:val="20"/>
        </w:rPr>
        <w:t xml:space="preserve"> </w:t>
      </w:r>
      <w:r>
        <w:rPr>
          <w:rFonts w:ascii="Arial" w:hAnsi="Arial" w:cs="Arial"/>
          <w:b/>
          <w:sz w:val="20"/>
          <w:szCs w:val="20"/>
        </w:rPr>
        <w:t>a marca</w:t>
      </w:r>
      <w:r w:rsidR="0096128B">
        <w:rPr>
          <w:rFonts w:ascii="Arial" w:hAnsi="Arial" w:cs="Arial"/>
          <w:b/>
          <w:sz w:val="20"/>
          <w:szCs w:val="20"/>
        </w:rPr>
        <w:t xml:space="preserve"> e</w:t>
      </w:r>
      <w:r w:rsidR="0096128B" w:rsidRPr="0096128B">
        <w:rPr>
          <w:rFonts w:eastAsia="Times New Roman"/>
          <w:sz w:val="24"/>
          <w:szCs w:val="24"/>
        </w:rPr>
        <w:t xml:space="preserve"> </w:t>
      </w:r>
      <w:r w:rsidR="0096128B" w:rsidRPr="0096128B">
        <w:rPr>
          <w:rFonts w:ascii="Arial" w:hAnsi="Arial" w:cs="Arial"/>
          <w:b/>
          <w:sz w:val="20"/>
          <w:szCs w:val="20"/>
        </w:rPr>
        <w:t>versão exata</w:t>
      </w:r>
      <w:r w:rsidR="0096128B" w:rsidRPr="0096128B">
        <w:rPr>
          <w:rFonts w:ascii="Arial" w:hAnsi="Arial" w:cs="Arial"/>
          <w:sz w:val="20"/>
          <w:szCs w:val="20"/>
        </w:rPr>
        <w:t xml:space="preserve"> da licença cotada</w:t>
      </w:r>
      <w:r>
        <w:rPr>
          <w:rFonts w:ascii="Arial" w:hAnsi="Arial" w:cs="Arial"/>
          <w:sz w:val="20"/>
          <w:szCs w:val="20"/>
        </w:rPr>
        <w:t>.</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985"/>
        <w:gridCol w:w="6235"/>
      </w:tblGrid>
      <w:tr w:rsidR="00464AF3" w:rsidTr="005C37D3">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1985"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6235"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5C37D3">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5C37D3">
            <w:pPr>
              <w:pStyle w:val="Contedodatabela"/>
              <w:widowControl w:val="0"/>
              <w:jc w:val="center"/>
              <w:rPr>
                <w:rFonts w:ascii="Arial" w:hAnsi="Arial" w:cs="Arial"/>
              </w:rPr>
            </w:pPr>
            <w:r>
              <w:rPr>
                <w:rFonts w:ascii="Arial" w:hAnsi="Arial" w:cs="Arial"/>
              </w:rPr>
              <w:t>01</w:t>
            </w:r>
          </w:p>
        </w:tc>
        <w:tc>
          <w:tcPr>
            <w:tcW w:w="1985" w:type="dxa"/>
            <w:tcBorders>
              <w:top w:val="single" w:sz="4" w:space="0" w:color="000000"/>
              <w:left w:val="single" w:sz="4" w:space="0" w:color="000000"/>
              <w:bottom w:val="single" w:sz="4" w:space="0" w:color="000000"/>
            </w:tcBorders>
            <w:vAlign w:val="center"/>
          </w:tcPr>
          <w:p w:rsidR="00464AF3" w:rsidRDefault="005C37D3">
            <w:pPr>
              <w:pStyle w:val="Contedodatabela"/>
              <w:widowControl w:val="0"/>
              <w:jc w:val="center"/>
              <w:rPr>
                <w:rFonts w:ascii="Arial" w:hAnsi="Arial" w:cs="Arial"/>
              </w:rPr>
            </w:pPr>
            <w:r w:rsidRPr="005C37D3">
              <w:rPr>
                <w:rFonts w:ascii="Arial" w:hAnsi="Arial" w:cs="Arial"/>
              </w:rPr>
              <w:t>Licença por usuário</w:t>
            </w:r>
          </w:p>
        </w:tc>
        <w:tc>
          <w:tcPr>
            <w:tcW w:w="6235" w:type="dxa"/>
            <w:tcBorders>
              <w:top w:val="single" w:sz="4" w:space="0" w:color="000000"/>
              <w:left w:val="single" w:sz="4" w:space="0" w:color="000000"/>
              <w:bottom w:val="single" w:sz="4" w:space="0" w:color="000000"/>
              <w:right w:val="single" w:sz="4" w:space="0" w:color="000000"/>
            </w:tcBorders>
          </w:tcPr>
          <w:p w:rsidR="00464AF3" w:rsidRDefault="005C37D3">
            <w:pPr>
              <w:pStyle w:val="TableParagraph"/>
              <w:spacing w:before="13" w:line="259" w:lineRule="auto"/>
              <w:ind w:left="81" w:right="45"/>
              <w:jc w:val="both"/>
              <w:rPr>
                <w:rFonts w:ascii="Arial" w:eastAsia="Times New Roman" w:hAnsi="Arial" w:cs="Arial"/>
                <w:kern w:val="2"/>
                <w:sz w:val="20"/>
                <w:szCs w:val="20"/>
                <w:lang w:val="pt-BR" w:eastAsia="zh-CN"/>
              </w:rPr>
            </w:pPr>
            <w:r w:rsidRPr="005C37D3">
              <w:rPr>
                <w:rFonts w:ascii="Arial" w:eastAsia="Times New Roman" w:hAnsi="Arial" w:cs="Arial"/>
                <w:kern w:val="2"/>
                <w:sz w:val="20"/>
                <w:szCs w:val="20"/>
                <w:lang w:val="pt-BR" w:eastAsia="zh-CN"/>
              </w:rPr>
              <w:t>Licença Microsoft 365 Business Standard com Copilot (12 meses)</w:t>
            </w:r>
          </w:p>
        </w:tc>
      </w:tr>
      <w:tr w:rsidR="001C7635" w:rsidTr="005C37D3">
        <w:trPr>
          <w:trHeight w:val="283"/>
          <w:jc w:val="center"/>
        </w:trPr>
        <w:tc>
          <w:tcPr>
            <w:tcW w:w="850" w:type="dxa"/>
            <w:tcBorders>
              <w:top w:val="single" w:sz="4" w:space="0" w:color="000000"/>
              <w:left w:val="single" w:sz="4" w:space="0" w:color="000000"/>
              <w:bottom w:val="single" w:sz="4" w:space="0" w:color="000000"/>
            </w:tcBorders>
            <w:vAlign w:val="center"/>
          </w:tcPr>
          <w:p w:rsidR="001C7635" w:rsidRDefault="001C7635">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1C7635" w:rsidRDefault="005C37D3">
            <w:pPr>
              <w:pStyle w:val="Contedodatabela"/>
              <w:widowControl w:val="0"/>
              <w:jc w:val="center"/>
              <w:rPr>
                <w:rFonts w:ascii="Arial" w:hAnsi="Arial" w:cs="Arial"/>
              </w:rPr>
            </w:pPr>
            <w:r>
              <w:rPr>
                <w:rFonts w:ascii="Arial" w:hAnsi="Arial" w:cs="Arial"/>
              </w:rPr>
              <w:t>01</w:t>
            </w:r>
          </w:p>
        </w:tc>
        <w:tc>
          <w:tcPr>
            <w:tcW w:w="1985" w:type="dxa"/>
            <w:tcBorders>
              <w:top w:val="single" w:sz="4" w:space="0" w:color="000000"/>
              <w:left w:val="single" w:sz="4" w:space="0" w:color="000000"/>
              <w:bottom w:val="single" w:sz="4" w:space="0" w:color="000000"/>
            </w:tcBorders>
            <w:vAlign w:val="center"/>
          </w:tcPr>
          <w:p w:rsidR="001C7635" w:rsidRDefault="005C37D3">
            <w:pPr>
              <w:pStyle w:val="Contedodatabela"/>
              <w:widowControl w:val="0"/>
              <w:jc w:val="center"/>
              <w:rPr>
                <w:rFonts w:ascii="Arial" w:hAnsi="Arial" w:cs="Arial"/>
              </w:rPr>
            </w:pPr>
            <w:r w:rsidRPr="005C37D3">
              <w:rPr>
                <w:rFonts w:ascii="Arial" w:hAnsi="Arial" w:cs="Arial"/>
              </w:rPr>
              <w:t>Licença por usuário</w:t>
            </w:r>
          </w:p>
        </w:tc>
        <w:tc>
          <w:tcPr>
            <w:tcW w:w="6235" w:type="dxa"/>
            <w:tcBorders>
              <w:top w:val="single" w:sz="4" w:space="0" w:color="000000"/>
              <w:left w:val="single" w:sz="4" w:space="0" w:color="000000"/>
              <w:bottom w:val="single" w:sz="4" w:space="0" w:color="000000"/>
              <w:right w:val="single" w:sz="4" w:space="0" w:color="000000"/>
            </w:tcBorders>
          </w:tcPr>
          <w:p w:rsidR="001C7635" w:rsidRDefault="005C37D3">
            <w:pPr>
              <w:pStyle w:val="TableParagraph"/>
              <w:spacing w:before="13" w:line="259" w:lineRule="auto"/>
              <w:ind w:left="81" w:right="45"/>
              <w:jc w:val="both"/>
              <w:rPr>
                <w:rFonts w:ascii="Arial" w:eastAsia="Times New Roman" w:hAnsi="Arial" w:cs="Arial"/>
                <w:kern w:val="2"/>
                <w:sz w:val="20"/>
                <w:szCs w:val="20"/>
                <w:lang w:val="pt-BR" w:eastAsia="zh-CN"/>
              </w:rPr>
            </w:pPr>
            <w:r w:rsidRPr="005C37D3">
              <w:rPr>
                <w:rFonts w:ascii="Arial" w:eastAsia="Times New Roman" w:hAnsi="Arial" w:cs="Arial"/>
                <w:kern w:val="2"/>
                <w:sz w:val="20"/>
                <w:szCs w:val="20"/>
                <w:lang w:val="pt-BR" w:eastAsia="zh-CN"/>
              </w:rPr>
              <w:t>Licença Microsoft Power BI Pro (12 meses)</w:t>
            </w:r>
          </w:p>
        </w:tc>
      </w:tr>
      <w:tr w:rsidR="001C7635" w:rsidTr="005C37D3">
        <w:trPr>
          <w:trHeight w:val="283"/>
          <w:jc w:val="center"/>
        </w:trPr>
        <w:tc>
          <w:tcPr>
            <w:tcW w:w="850" w:type="dxa"/>
            <w:tcBorders>
              <w:top w:val="single" w:sz="4" w:space="0" w:color="000000"/>
              <w:left w:val="single" w:sz="4" w:space="0" w:color="000000"/>
              <w:bottom w:val="single" w:sz="4" w:space="0" w:color="000000"/>
            </w:tcBorders>
            <w:vAlign w:val="center"/>
          </w:tcPr>
          <w:p w:rsidR="001C7635" w:rsidRDefault="001C7635">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rsidR="001C7635" w:rsidRDefault="005C37D3">
            <w:pPr>
              <w:pStyle w:val="Contedodatabela"/>
              <w:widowControl w:val="0"/>
              <w:jc w:val="center"/>
              <w:rPr>
                <w:rFonts w:ascii="Arial" w:hAnsi="Arial" w:cs="Arial"/>
              </w:rPr>
            </w:pPr>
            <w:r>
              <w:rPr>
                <w:rFonts w:ascii="Arial" w:hAnsi="Arial" w:cs="Arial"/>
              </w:rPr>
              <w:t>01</w:t>
            </w:r>
          </w:p>
        </w:tc>
        <w:tc>
          <w:tcPr>
            <w:tcW w:w="1985" w:type="dxa"/>
            <w:tcBorders>
              <w:top w:val="single" w:sz="4" w:space="0" w:color="000000"/>
              <w:left w:val="single" w:sz="4" w:space="0" w:color="000000"/>
              <w:bottom w:val="single" w:sz="4" w:space="0" w:color="000000"/>
            </w:tcBorders>
            <w:vAlign w:val="center"/>
          </w:tcPr>
          <w:p w:rsidR="001C7635" w:rsidRDefault="005C37D3">
            <w:pPr>
              <w:pStyle w:val="Contedodatabela"/>
              <w:widowControl w:val="0"/>
              <w:jc w:val="center"/>
              <w:rPr>
                <w:rFonts w:ascii="Arial" w:hAnsi="Arial" w:cs="Arial"/>
              </w:rPr>
            </w:pPr>
            <w:r w:rsidRPr="005C37D3">
              <w:rPr>
                <w:rFonts w:ascii="Arial" w:hAnsi="Arial" w:cs="Arial"/>
              </w:rPr>
              <w:t>Licença por usuário</w:t>
            </w:r>
          </w:p>
        </w:tc>
        <w:tc>
          <w:tcPr>
            <w:tcW w:w="6235" w:type="dxa"/>
            <w:tcBorders>
              <w:top w:val="single" w:sz="4" w:space="0" w:color="000000"/>
              <w:left w:val="single" w:sz="4" w:space="0" w:color="000000"/>
              <w:bottom w:val="single" w:sz="4" w:space="0" w:color="000000"/>
              <w:right w:val="single" w:sz="4" w:space="0" w:color="000000"/>
            </w:tcBorders>
          </w:tcPr>
          <w:p w:rsidR="001C7635" w:rsidRDefault="005C37D3">
            <w:pPr>
              <w:pStyle w:val="TableParagraph"/>
              <w:spacing w:before="13" w:line="259" w:lineRule="auto"/>
              <w:ind w:left="81" w:right="45"/>
              <w:jc w:val="both"/>
              <w:rPr>
                <w:rFonts w:ascii="Arial" w:eastAsia="Times New Roman" w:hAnsi="Arial" w:cs="Arial"/>
                <w:kern w:val="2"/>
                <w:sz w:val="20"/>
                <w:szCs w:val="20"/>
                <w:lang w:val="pt-BR" w:eastAsia="zh-CN"/>
              </w:rPr>
            </w:pPr>
            <w:r w:rsidRPr="005C37D3">
              <w:rPr>
                <w:rFonts w:ascii="Arial" w:eastAsia="Times New Roman" w:hAnsi="Arial" w:cs="Arial"/>
                <w:kern w:val="2"/>
                <w:sz w:val="20"/>
                <w:szCs w:val="20"/>
                <w:lang w:val="pt-BR" w:eastAsia="zh-CN"/>
              </w:rPr>
              <w:t>Licença Canva Pro (12 meses)</w:t>
            </w:r>
          </w:p>
        </w:tc>
      </w:tr>
    </w:tbl>
    <w:p w:rsidR="00464AF3" w:rsidRDefault="00464AF3">
      <w:pPr>
        <w:tabs>
          <w:tab w:val="left" w:pos="284"/>
        </w:tabs>
        <w:jc w:val="both"/>
        <w:rPr>
          <w:rFonts w:ascii="Arial" w:eastAsia="Arial" w:hAnsi="Arial" w:cs="Arial"/>
          <w:sz w:val="10"/>
          <w:szCs w:val="10"/>
        </w:rPr>
      </w:pPr>
    </w:p>
    <w:p w:rsidR="005C37D3" w:rsidRDefault="00F2208F" w:rsidP="00F2208F">
      <w:pPr>
        <w:pStyle w:val="PargrafodaLista"/>
        <w:numPr>
          <w:ilvl w:val="0"/>
          <w:numId w:val="24"/>
        </w:numPr>
        <w:tabs>
          <w:tab w:val="left" w:pos="284"/>
        </w:tabs>
        <w:spacing w:after="0" w:line="240" w:lineRule="auto"/>
        <w:jc w:val="both"/>
        <w:rPr>
          <w:rFonts w:ascii="Arial" w:hAnsi="Arial" w:cs="Arial"/>
          <w:b/>
          <w:sz w:val="20"/>
          <w:szCs w:val="20"/>
        </w:rPr>
      </w:pPr>
      <w:r w:rsidRPr="00F2208F">
        <w:rPr>
          <w:rFonts w:ascii="Arial" w:hAnsi="Arial" w:cs="Arial"/>
          <w:b/>
          <w:sz w:val="20"/>
          <w:szCs w:val="20"/>
        </w:rPr>
        <w:t>Descritivo Técnico:</w:t>
      </w:r>
    </w:p>
    <w:p w:rsidR="00F2208F" w:rsidRPr="00F2208F" w:rsidRDefault="00F2208F" w:rsidP="00F2208F">
      <w:pPr>
        <w:jc w:val="both"/>
        <w:rPr>
          <w:rFonts w:ascii="Arial" w:eastAsia="Calibri" w:hAnsi="Arial" w:cs="Arial"/>
          <w:b/>
        </w:rPr>
      </w:pPr>
      <w:r w:rsidRPr="00F2208F">
        <w:rPr>
          <w:rFonts w:ascii="Arial" w:eastAsia="Calibri" w:hAnsi="Arial" w:cs="Arial"/>
          <w:b/>
        </w:rPr>
        <w:t>Item 01 - Microsoft 365 Business Standard com Copilot (12 meses) -  Especificação mínima</w:t>
      </w:r>
    </w:p>
    <w:p w:rsidR="00F2208F" w:rsidRPr="00F2208F" w:rsidRDefault="00F2208F" w:rsidP="00F2208F">
      <w:pPr>
        <w:jc w:val="both"/>
        <w:rPr>
          <w:rFonts w:ascii="Arial" w:eastAsia="Calibri" w:hAnsi="Arial" w:cs="Arial"/>
        </w:rPr>
      </w:pPr>
      <w:r w:rsidRPr="00F2208F">
        <w:rPr>
          <w:rFonts w:ascii="Arial" w:eastAsia="Calibri" w:hAnsi="Arial" w:cs="Arial"/>
        </w:rPr>
        <w:t>Fornecimento de licença de uso por assinatura anual (12 meses), do Microsoft 365 Business Standard com Copilot contendo, no mínimo:</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Licenciamento por usuário, com vigência de 12 (doze) meses;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Instalação e utilização em até 5 computadores, 5 tablets e 5 smartphones por usuário licenciado;</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Aplicativos de desktop completos: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Word;</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Excel;</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PowerPoint;</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Outlook;</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OneNote;</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Access (Windows);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Teams para comunicação e colaboração;</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Exchange Online com caixa postal corporativa;</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OneDrive com 1 TB de armazenamento por usuário;</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SharePoint para compartilhamento e gerenciamento de documentos;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Microsoft 365 Copilot integrado aos aplicativos compatíveis da suíte, permitindo assistência baseada em inteligência artificial para elaboração, revisão e organização de documentos, planilhas, apresentações, e-mails e demais conteúdos compatíveis;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Atualizações automáticas durante toda a vigência da assinatura;</w:t>
      </w:r>
    </w:p>
    <w:p w:rsidR="00F2208F" w:rsidRPr="00F2208F" w:rsidRDefault="00F2208F" w:rsidP="00F2208F">
      <w:pPr>
        <w:jc w:val="both"/>
        <w:rPr>
          <w:rFonts w:ascii="Arial" w:eastAsia="Calibri" w:hAnsi="Arial" w:cs="Arial"/>
        </w:rPr>
      </w:pPr>
      <w:r w:rsidRPr="00F2208F">
        <w:rPr>
          <w:rFonts w:ascii="Arial" w:eastAsia="Calibri" w:hAnsi="Arial" w:cs="Arial"/>
        </w:rPr>
        <w:lastRenderedPageBreak/>
        <w:t>•</w:t>
      </w:r>
      <w:r w:rsidRPr="00F2208F">
        <w:rPr>
          <w:rFonts w:ascii="Arial" w:eastAsia="Calibri" w:hAnsi="Arial" w:cs="Arial"/>
        </w:rPr>
        <w:tab/>
        <w:t>Provisionamento eletrônico das licenças no ambiente Microsoft 365 da Administração, sem fornecimento de mídia física.</w:t>
      </w:r>
    </w:p>
    <w:p w:rsidR="00F2208F" w:rsidRPr="00230BF1" w:rsidRDefault="00F2208F" w:rsidP="00F2208F">
      <w:pPr>
        <w:jc w:val="both"/>
        <w:rPr>
          <w:rFonts w:ascii="Arial" w:eastAsia="Calibri" w:hAnsi="Arial" w:cs="Arial"/>
          <w:b/>
        </w:rPr>
      </w:pPr>
      <w:r w:rsidRPr="00230BF1">
        <w:rPr>
          <w:rFonts w:ascii="Arial" w:eastAsia="Calibri" w:hAnsi="Arial" w:cs="Arial"/>
          <w:b/>
        </w:rPr>
        <w:t>Item 02 - Microsoft Power BI Pro (12 meses) -  Especificação mínima</w:t>
      </w:r>
    </w:p>
    <w:p w:rsidR="00F2208F" w:rsidRPr="00F2208F" w:rsidRDefault="00F2208F" w:rsidP="00F2208F">
      <w:pPr>
        <w:jc w:val="both"/>
        <w:rPr>
          <w:rFonts w:ascii="Arial" w:eastAsia="Calibri" w:hAnsi="Arial" w:cs="Arial"/>
        </w:rPr>
      </w:pPr>
      <w:r w:rsidRPr="00F2208F">
        <w:rPr>
          <w:rFonts w:ascii="Arial" w:eastAsia="Calibri" w:hAnsi="Arial" w:cs="Arial"/>
        </w:rPr>
        <w:t>Fornecimento de licença de uso por assinatura anual (12 meses), do Microsoft Power BI Pro, contemplando, no mínimo:</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Licenciamento por usuário, com vigência de 12 (doze) meses;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Acesso ao serviço Microsoft Power BI Pro para criação, edição, publicação e compartilhamento de painéis, relatórios e conjuntos de dados;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Criação de relatórios interativos por meio do Power BI Desktop, com publicação no serviço Power BI;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Compartilhamento e colaboração em workspaces com outros usuários licenciados Power BI Pro;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Conexão a múltiplas fontes de dados compatíveis com a plataforma Microsoft Power BI;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Armazenamento de até 10 GB por licença no serviço Power BI;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Tamanho máximo de 1 GB por modelo semântico (dataset);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Atualização agendada de conjuntos de dados em até 8 atualizações diárias por modelo;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 xml:space="preserve">Acesso por navegador e por aplicativo móvel oficial compatível com Android e iOS; </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Atualizações automáticas durante toda a vigência da assinatura;</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Provisionamento eletrônico da licença no ambiente Microsoft 365 da Administração, sem fornecimento de mídia física</w:t>
      </w:r>
      <w:r w:rsidR="00230BF1">
        <w:rPr>
          <w:rFonts w:ascii="Arial" w:eastAsia="Calibri" w:hAnsi="Arial" w:cs="Arial"/>
        </w:rPr>
        <w:t>.</w:t>
      </w:r>
    </w:p>
    <w:p w:rsidR="00F2208F" w:rsidRPr="00230BF1" w:rsidRDefault="00F2208F" w:rsidP="00F2208F">
      <w:pPr>
        <w:jc w:val="both"/>
        <w:rPr>
          <w:rFonts w:ascii="Arial" w:eastAsia="Calibri" w:hAnsi="Arial" w:cs="Arial"/>
          <w:b/>
        </w:rPr>
      </w:pPr>
      <w:r w:rsidRPr="00230BF1">
        <w:rPr>
          <w:rFonts w:ascii="Arial" w:eastAsia="Calibri" w:hAnsi="Arial" w:cs="Arial"/>
          <w:b/>
        </w:rPr>
        <w:t>It</w:t>
      </w:r>
      <w:r w:rsidR="00230BF1">
        <w:rPr>
          <w:rFonts w:ascii="Arial" w:eastAsia="Calibri" w:hAnsi="Arial" w:cs="Arial"/>
          <w:b/>
        </w:rPr>
        <w:t xml:space="preserve">em 03 – Canva Pro (12 meses) - </w:t>
      </w:r>
      <w:r w:rsidRPr="00230BF1">
        <w:rPr>
          <w:rFonts w:ascii="Arial" w:eastAsia="Calibri" w:hAnsi="Arial" w:cs="Arial"/>
          <w:b/>
        </w:rPr>
        <w:t>Especificação mínima</w:t>
      </w:r>
    </w:p>
    <w:p w:rsidR="00F2208F" w:rsidRPr="00F2208F" w:rsidRDefault="00F2208F" w:rsidP="00F2208F">
      <w:pPr>
        <w:jc w:val="both"/>
        <w:rPr>
          <w:rFonts w:ascii="Arial" w:eastAsia="Calibri" w:hAnsi="Arial" w:cs="Arial"/>
        </w:rPr>
      </w:pPr>
      <w:r w:rsidRPr="00F2208F">
        <w:rPr>
          <w:rFonts w:ascii="Arial" w:eastAsia="Calibri" w:hAnsi="Arial" w:cs="Arial"/>
        </w:rPr>
        <w:t>Fornecimento de licença de uso por assinatura anual (12 meses), do Canva Pro, contemplando, no mínimo:</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Licenciamento por usuário, com vigência de 12 (doze) meses;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Acesso integral às funcionalidades premium da plataforma Canva Pro;</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Criação, edição e compartilhamento de artes, apresentações, documentos, infográficos, cartazes, folders e demais materiais gráficos;</w:t>
      </w:r>
    </w:p>
    <w:p w:rsidR="00F2208F" w:rsidRPr="00F2208F" w:rsidRDefault="00F2208F" w:rsidP="00F2208F">
      <w:pPr>
        <w:jc w:val="both"/>
        <w:rPr>
          <w:rFonts w:ascii="Arial" w:eastAsia="Calibri" w:hAnsi="Arial" w:cs="Arial"/>
        </w:rPr>
      </w:pPr>
      <w:r w:rsidRPr="00F2208F">
        <w:rPr>
          <w:rFonts w:ascii="Arial" w:eastAsia="Calibri" w:hAnsi="Arial" w:cs="Arial"/>
        </w:rPr>
        <w:t>•</w:t>
      </w:r>
      <w:r w:rsidRPr="00F2208F">
        <w:rPr>
          <w:rFonts w:ascii="Arial" w:eastAsia="Calibri" w:hAnsi="Arial" w:cs="Arial"/>
        </w:rPr>
        <w:tab/>
        <w:t>Acesso à biblioteca premium de templates, fotografias, ilustrações, ícones, elementos gráficos, vídeos e áudios disponibilizados pela plataforma;</w:t>
      </w:r>
    </w:p>
    <w:p w:rsidR="00F2208F" w:rsidRPr="00F2208F" w:rsidRDefault="00F2208F" w:rsidP="00F2208F">
      <w:pPr>
        <w:jc w:val="both"/>
        <w:rPr>
          <w:rFonts w:ascii="Arial" w:eastAsia="Calibri" w:hAnsi="Arial" w:cs="Arial"/>
        </w:rPr>
      </w:pPr>
      <w:r w:rsidRPr="00F2208F">
        <w:rPr>
          <w:rFonts w:ascii="Arial" w:eastAsia="Calibri" w:hAnsi="Arial" w:cs="Arial"/>
        </w:rPr>
        <w:t>Ferramentas de edição de imagens e vídeos, incluindo remoção de fundo, redimensionamento de designs (Magic Resize) e recursos avançados de edição;</w:t>
      </w:r>
    </w:p>
    <w:p w:rsidR="00F2208F" w:rsidRPr="00F2208F" w:rsidRDefault="00F2208F" w:rsidP="00F2208F">
      <w:pPr>
        <w:jc w:val="both"/>
        <w:rPr>
          <w:rFonts w:ascii="Arial" w:eastAsia="Calibri" w:hAnsi="Arial" w:cs="Arial"/>
        </w:rPr>
      </w:pPr>
      <w:r w:rsidRPr="00F2208F">
        <w:rPr>
          <w:rFonts w:ascii="Arial" w:eastAsia="Calibri" w:hAnsi="Arial" w:cs="Arial"/>
        </w:rPr>
        <w:t>Recursos de inteligência artificial disponibilizados no plano Canva Pro durante a vigência da assinatura, incluindo funcionalidades de geração e edição de conteúdo compatíveis com a licença contratada;</w:t>
      </w:r>
    </w:p>
    <w:p w:rsidR="00F2208F" w:rsidRPr="00F2208F" w:rsidRDefault="00F2208F" w:rsidP="00F2208F">
      <w:pPr>
        <w:jc w:val="both"/>
        <w:rPr>
          <w:rFonts w:ascii="Arial" w:eastAsia="Calibri" w:hAnsi="Arial" w:cs="Arial"/>
        </w:rPr>
      </w:pPr>
      <w:r w:rsidRPr="00F2208F">
        <w:rPr>
          <w:rFonts w:ascii="Arial" w:eastAsia="Calibri" w:hAnsi="Arial" w:cs="Arial"/>
        </w:rPr>
        <w:t>Armazenamento em nuvem para projetos e arquivos vinculados à conta licenciada;</w:t>
      </w:r>
    </w:p>
    <w:p w:rsidR="00F2208F" w:rsidRPr="00F2208F" w:rsidRDefault="00F2208F" w:rsidP="00F2208F">
      <w:pPr>
        <w:jc w:val="both"/>
        <w:rPr>
          <w:rFonts w:ascii="Arial" w:eastAsia="Calibri" w:hAnsi="Arial" w:cs="Arial"/>
        </w:rPr>
      </w:pPr>
      <w:r w:rsidRPr="00F2208F">
        <w:rPr>
          <w:rFonts w:ascii="Arial" w:eastAsia="Calibri" w:hAnsi="Arial" w:cs="Arial"/>
        </w:rPr>
        <w:t>Exportação de arquivos em formatos compatíveis com PDF, PNG, JPG, SVG (quando aplicável), MP4 e GIF;</w:t>
      </w:r>
    </w:p>
    <w:p w:rsidR="00F2208F" w:rsidRPr="00F2208F" w:rsidRDefault="00F2208F" w:rsidP="00F2208F">
      <w:pPr>
        <w:jc w:val="both"/>
        <w:rPr>
          <w:rFonts w:ascii="Arial" w:eastAsia="Calibri" w:hAnsi="Arial" w:cs="Arial"/>
        </w:rPr>
      </w:pPr>
      <w:r w:rsidRPr="00F2208F">
        <w:rPr>
          <w:rFonts w:ascii="Arial" w:eastAsia="Calibri" w:hAnsi="Arial" w:cs="Arial"/>
        </w:rPr>
        <w:t>Acesso via navegador e aplicativos oficiais compatíveis com Windows, macOS, Android e iOS;</w:t>
      </w:r>
    </w:p>
    <w:p w:rsidR="00F2208F" w:rsidRPr="00F2208F" w:rsidRDefault="00F2208F" w:rsidP="00F2208F">
      <w:pPr>
        <w:jc w:val="both"/>
        <w:rPr>
          <w:rFonts w:ascii="Arial" w:eastAsia="Calibri" w:hAnsi="Arial" w:cs="Arial"/>
        </w:rPr>
      </w:pPr>
      <w:r w:rsidRPr="00F2208F">
        <w:rPr>
          <w:rFonts w:ascii="Arial" w:eastAsia="Calibri" w:hAnsi="Arial" w:cs="Arial"/>
        </w:rPr>
        <w:t>Atualizações automáticas durante toda a vigência da assinatura;</w:t>
      </w:r>
    </w:p>
    <w:p w:rsidR="00F2208F" w:rsidRPr="00F2208F" w:rsidRDefault="00F2208F" w:rsidP="00F2208F">
      <w:pPr>
        <w:jc w:val="both"/>
        <w:rPr>
          <w:rFonts w:ascii="Arial" w:eastAsia="Calibri" w:hAnsi="Arial" w:cs="Arial"/>
        </w:rPr>
      </w:pPr>
      <w:r w:rsidRPr="00F2208F">
        <w:rPr>
          <w:rFonts w:ascii="Arial" w:eastAsia="Calibri" w:hAnsi="Arial" w:cs="Arial"/>
        </w:rPr>
        <w:t>Ativação por meio da conta institucional indicada pela Administração, sem fornecimento de mídia física.</w:t>
      </w:r>
    </w:p>
    <w:p w:rsidR="00F2208F" w:rsidRPr="00230BF1" w:rsidRDefault="00F2208F" w:rsidP="00F2208F">
      <w:pPr>
        <w:jc w:val="both"/>
        <w:rPr>
          <w:rFonts w:ascii="Arial" w:eastAsia="Calibri" w:hAnsi="Arial" w:cs="Arial"/>
          <w:b/>
        </w:rPr>
      </w:pPr>
      <w:r w:rsidRPr="00230BF1">
        <w:rPr>
          <w:rFonts w:ascii="Arial" w:eastAsia="Calibri" w:hAnsi="Arial" w:cs="Arial"/>
          <w:b/>
        </w:rPr>
        <w:t>Requisitos de fornecimento</w:t>
      </w:r>
    </w:p>
    <w:p w:rsidR="00F2208F" w:rsidRPr="00F2208F" w:rsidRDefault="00F2208F" w:rsidP="00F2208F">
      <w:pPr>
        <w:jc w:val="both"/>
        <w:rPr>
          <w:rFonts w:ascii="Arial" w:eastAsia="Calibri" w:hAnsi="Arial" w:cs="Arial"/>
        </w:rPr>
      </w:pPr>
      <w:r w:rsidRPr="00F2208F">
        <w:rPr>
          <w:rFonts w:ascii="Arial" w:eastAsia="Calibri" w:hAnsi="Arial" w:cs="Arial"/>
        </w:rPr>
        <w:t>As licenças deverão ser originais, oficiais e fornecidas por parceiro autorizado do fabricante, por meio de licenciamento eletrônico.</w:t>
      </w:r>
    </w:p>
    <w:p w:rsidR="00F2208F" w:rsidRPr="00F2208F" w:rsidRDefault="00F2208F" w:rsidP="00F2208F">
      <w:pPr>
        <w:jc w:val="both"/>
        <w:rPr>
          <w:rFonts w:ascii="Arial" w:eastAsia="Calibri" w:hAnsi="Arial" w:cs="Arial"/>
        </w:rPr>
      </w:pPr>
      <w:r w:rsidRPr="00F2208F">
        <w:rPr>
          <w:rFonts w:ascii="Arial" w:eastAsia="Calibri" w:hAnsi="Arial" w:cs="Arial"/>
        </w:rPr>
        <w:t>A entrega será considerada concluída após a disponibilização das licenças e sua confirmação de ativação pela Administração.</w:t>
      </w:r>
    </w:p>
    <w:p w:rsidR="005C37D3" w:rsidRDefault="005C37D3">
      <w:pPr>
        <w:tabs>
          <w:tab w:val="left" w:pos="284"/>
        </w:tabs>
        <w:jc w:val="both"/>
        <w:rPr>
          <w:rFonts w:ascii="Arial" w:eastAsia="Arial" w:hAnsi="Arial" w:cs="Arial"/>
          <w:sz w:val="10"/>
          <w:szCs w:val="10"/>
        </w:rPr>
      </w:pPr>
    </w:p>
    <w:p w:rsidR="00464AF3" w:rsidRDefault="00464AF3">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 xml:space="preserve">4. DA </w:t>
      </w:r>
      <w:r w:rsidR="00230BF1" w:rsidRPr="00230BF1">
        <w:rPr>
          <w:rFonts w:ascii="Arial" w:hAnsi="Arial" w:cs="Arial"/>
          <w:b/>
          <w:bCs/>
        </w:rPr>
        <w:t>SUBCONTRATAÇÃO</w:t>
      </w:r>
      <w:r>
        <w:rPr>
          <w:rFonts w:ascii="Arial" w:hAnsi="Arial" w:cs="Arial"/>
          <w:b/>
          <w:bCs/>
        </w:rPr>
        <w:t>:</w:t>
      </w:r>
    </w:p>
    <w:p w:rsidR="00464AF3" w:rsidRDefault="00196A9E" w:rsidP="00230BF1">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00230BF1" w:rsidRPr="00230BF1">
        <w:rPr>
          <w:rFonts w:ascii="Arial" w:eastAsia="Calibri" w:hAnsi="Arial" w:cs="Arial"/>
        </w:rPr>
        <w:t>Não é admitida a subcontratação do objeto contratual. A CONTRATADA deverá fornecer, por seus próprios meios, a integralidade dos produtos ora contratados.</w:t>
      </w:r>
    </w:p>
    <w:p w:rsidR="00230BF1" w:rsidRDefault="00230BF1" w:rsidP="00230BF1">
      <w:pPr>
        <w:jc w:val="both"/>
        <w:rPr>
          <w:rFonts w:ascii="Arial" w:eastAsia="Calibri" w:hAnsi="Arial" w:cs="Arial"/>
        </w:rPr>
      </w:pPr>
    </w:p>
    <w:p w:rsidR="00464AF3" w:rsidRDefault="00B24295">
      <w:pPr>
        <w:shd w:val="clear" w:color="auto" w:fill="CCCCCC"/>
        <w:ind w:firstLine="567"/>
        <w:jc w:val="both"/>
        <w:rPr>
          <w:rFonts w:ascii="Arial" w:hAnsi="Arial" w:cs="Arial"/>
        </w:rPr>
      </w:pPr>
      <w:r>
        <w:rPr>
          <w:rFonts w:ascii="Arial" w:hAnsi="Arial" w:cs="Arial"/>
          <w:b/>
          <w:bCs/>
        </w:rPr>
        <w:t>5</w:t>
      </w:r>
      <w:r w:rsidR="001450D0">
        <w:rPr>
          <w:rFonts w:ascii="Arial" w:hAnsi="Arial" w:cs="Arial"/>
          <w:b/>
          <w:bCs/>
        </w:rPr>
        <w:t>. DA ENTREGA:</w:t>
      </w:r>
    </w:p>
    <w:p w:rsidR="00C9593F" w:rsidRPr="00C9593F" w:rsidRDefault="00C9593F" w:rsidP="00C9593F">
      <w:pPr>
        <w:jc w:val="both"/>
        <w:rPr>
          <w:rFonts w:ascii="Arial" w:hAnsi="Arial" w:cs="Arial"/>
          <w:lang w:eastAsia="pt-BR"/>
        </w:rPr>
      </w:pPr>
      <w:r w:rsidRPr="00C9593F">
        <w:rPr>
          <w:rFonts w:ascii="Arial" w:hAnsi="Arial" w:cs="Arial"/>
          <w:b/>
          <w:lang w:eastAsia="pt-BR"/>
        </w:rPr>
        <w:t>a)</w:t>
      </w:r>
      <w:r>
        <w:rPr>
          <w:rFonts w:ascii="Arial" w:hAnsi="Arial" w:cs="Arial"/>
          <w:lang w:eastAsia="pt-BR"/>
        </w:rPr>
        <w:t xml:space="preserve"> </w:t>
      </w:r>
      <w:r w:rsidRPr="00C9593F">
        <w:rPr>
          <w:rFonts w:ascii="Arial" w:hAnsi="Arial" w:cs="Arial"/>
          <w:lang w:eastAsia="pt-BR"/>
        </w:rPr>
        <w:t>A entrega do objeto consiste no fornecimento, provisionamento e ativação das licenças Microsoft 365 Business Standard com Copilot, Microsoft Power BI Pro e Canva Pro, todas na modalidade de licenciamento eletrônico, com vigência de 12 (doze) meses.</w:t>
      </w:r>
    </w:p>
    <w:p w:rsidR="00C9593F" w:rsidRPr="00C9593F" w:rsidRDefault="00C9593F" w:rsidP="00C9593F">
      <w:pPr>
        <w:jc w:val="both"/>
        <w:rPr>
          <w:rFonts w:ascii="Arial" w:hAnsi="Arial" w:cs="Arial"/>
          <w:lang w:eastAsia="pt-BR"/>
        </w:rPr>
      </w:pPr>
      <w:r w:rsidRPr="00C9593F">
        <w:rPr>
          <w:rFonts w:ascii="Arial" w:hAnsi="Arial" w:cs="Arial"/>
          <w:b/>
          <w:lang w:eastAsia="pt-BR"/>
        </w:rPr>
        <w:t>b)</w:t>
      </w:r>
      <w:r>
        <w:rPr>
          <w:rFonts w:ascii="Arial" w:hAnsi="Arial" w:cs="Arial"/>
          <w:lang w:eastAsia="pt-BR"/>
        </w:rPr>
        <w:t xml:space="preserve"> </w:t>
      </w:r>
      <w:r w:rsidRPr="00C9593F">
        <w:rPr>
          <w:rFonts w:ascii="Arial" w:hAnsi="Arial" w:cs="Arial"/>
          <w:lang w:eastAsia="pt-BR"/>
        </w:rPr>
        <w:t>Para as licenças Microsoft 365 Business Standard com Copilot e Microsoft Power BI Pro, o fornecedor deverá disponibilizá-las no ambiente Microsoft 365 (tenant) da Administração, atribuindo-as aos usuários indicados. Caso já exista tenant institucional, as licenças deverão ser provisionadas nesse ambiente. Caso não exista, o fornecedor deverá prestar o suporte necessário para a criação e configuração inicial do ambiente, sem ônus adicional para a Administração.</w:t>
      </w:r>
    </w:p>
    <w:p w:rsidR="00C9593F" w:rsidRPr="00C9593F" w:rsidRDefault="00C9593F" w:rsidP="00C9593F">
      <w:pPr>
        <w:jc w:val="both"/>
        <w:rPr>
          <w:rFonts w:ascii="Arial" w:hAnsi="Arial" w:cs="Arial"/>
          <w:lang w:eastAsia="pt-BR"/>
        </w:rPr>
      </w:pPr>
      <w:r w:rsidRPr="00C9593F">
        <w:rPr>
          <w:rFonts w:ascii="Arial" w:hAnsi="Arial" w:cs="Arial"/>
          <w:b/>
          <w:lang w:eastAsia="pt-BR"/>
        </w:rPr>
        <w:t>c)</w:t>
      </w:r>
      <w:r>
        <w:rPr>
          <w:rFonts w:ascii="Arial" w:hAnsi="Arial" w:cs="Arial"/>
          <w:lang w:eastAsia="pt-BR"/>
        </w:rPr>
        <w:t xml:space="preserve"> </w:t>
      </w:r>
      <w:r w:rsidRPr="00C9593F">
        <w:rPr>
          <w:rFonts w:ascii="Arial" w:hAnsi="Arial" w:cs="Arial"/>
          <w:lang w:eastAsia="pt-BR"/>
        </w:rPr>
        <w:t>A licença Canva Pro deverá ser ativada e vinculada ao usuário indicado pela Administração, observadas as condições oficiais de licenciamento do fabricante.</w:t>
      </w:r>
    </w:p>
    <w:p w:rsidR="00C9593F" w:rsidRPr="00C9593F" w:rsidRDefault="00C9593F" w:rsidP="00C9593F">
      <w:pPr>
        <w:jc w:val="both"/>
        <w:rPr>
          <w:rFonts w:ascii="Arial" w:hAnsi="Arial" w:cs="Arial"/>
          <w:lang w:eastAsia="pt-BR"/>
        </w:rPr>
      </w:pPr>
      <w:r w:rsidRPr="00C9593F">
        <w:rPr>
          <w:rFonts w:ascii="Arial" w:hAnsi="Arial" w:cs="Arial"/>
          <w:b/>
          <w:lang w:eastAsia="pt-BR"/>
        </w:rPr>
        <w:lastRenderedPageBreak/>
        <w:t>d)</w:t>
      </w:r>
      <w:r>
        <w:rPr>
          <w:rFonts w:ascii="Arial" w:hAnsi="Arial" w:cs="Arial"/>
          <w:lang w:eastAsia="pt-BR"/>
        </w:rPr>
        <w:t xml:space="preserve"> </w:t>
      </w:r>
      <w:r w:rsidRPr="00C9593F">
        <w:rPr>
          <w:rFonts w:ascii="Arial" w:hAnsi="Arial" w:cs="Arial"/>
          <w:lang w:eastAsia="pt-BR"/>
        </w:rPr>
        <w:t>Após o provisionamento das licenças Microsoft, a Contratada deverá repassar à Administração todas as credenciais e permissões administrativas necessárias para a gestão do ambiente Microsoft 365, quando aplicável, garantindo autonomia da Administração na gestão das licenças contratadas.</w:t>
      </w:r>
    </w:p>
    <w:p w:rsidR="00C9593F" w:rsidRPr="00C9593F" w:rsidRDefault="00C9593F" w:rsidP="00C9593F">
      <w:pPr>
        <w:jc w:val="both"/>
        <w:rPr>
          <w:rFonts w:ascii="Arial" w:hAnsi="Arial" w:cs="Arial"/>
          <w:lang w:eastAsia="pt-BR"/>
        </w:rPr>
      </w:pPr>
      <w:r w:rsidRPr="00C9593F">
        <w:rPr>
          <w:rFonts w:ascii="Arial" w:hAnsi="Arial" w:cs="Arial"/>
          <w:b/>
          <w:lang w:eastAsia="pt-BR"/>
        </w:rPr>
        <w:t>e)</w:t>
      </w:r>
      <w:r>
        <w:rPr>
          <w:rFonts w:ascii="Arial" w:hAnsi="Arial" w:cs="Arial"/>
          <w:lang w:eastAsia="pt-BR"/>
        </w:rPr>
        <w:t xml:space="preserve"> </w:t>
      </w:r>
      <w:r w:rsidRPr="00C9593F">
        <w:rPr>
          <w:rFonts w:ascii="Arial" w:hAnsi="Arial" w:cs="Arial"/>
          <w:lang w:eastAsia="pt-BR"/>
        </w:rPr>
        <w:t>Todo o processo de provisionamento, criação e configuração do ambiente Microsoft 365, quando necessária, ativação das licenças e repasse das credenciais administrativas deverá ser concluído no prazo máximo de 20 (vinte) dias corridos, contados da emissão da Ordem de Fornecimento.</w:t>
      </w:r>
    </w:p>
    <w:p w:rsidR="00464AF3" w:rsidRDefault="00C9593F" w:rsidP="00C9593F">
      <w:pPr>
        <w:pStyle w:val="PargrafodaLista"/>
        <w:ind w:left="0"/>
        <w:jc w:val="both"/>
        <w:rPr>
          <w:rFonts w:ascii="Arial" w:eastAsia="Times New Roman" w:hAnsi="Arial" w:cs="Arial"/>
          <w:sz w:val="20"/>
          <w:szCs w:val="20"/>
          <w:lang w:eastAsia="pt-BR"/>
        </w:rPr>
      </w:pPr>
      <w:r w:rsidRPr="00C9593F">
        <w:rPr>
          <w:rFonts w:ascii="Arial" w:eastAsia="Times New Roman" w:hAnsi="Arial" w:cs="Arial"/>
          <w:b/>
          <w:sz w:val="20"/>
          <w:szCs w:val="20"/>
          <w:lang w:eastAsia="pt-BR"/>
        </w:rPr>
        <w:t>f)</w:t>
      </w:r>
      <w:r>
        <w:rPr>
          <w:rFonts w:ascii="Arial" w:eastAsia="Times New Roman" w:hAnsi="Arial" w:cs="Arial"/>
          <w:sz w:val="20"/>
          <w:szCs w:val="20"/>
          <w:lang w:eastAsia="pt-BR"/>
        </w:rPr>
        <w:t xml:space="preserve"> </w:t>
      </w:r>
      <w:r w:rsidRPr="00C9593F">
        <w:rPr>
          <w:rFonts w:ascii="Arial" w:eastAsia="Times New Roman" w:hAnsi="Arial" w:cs="Arial"/>
          <w:sz w:val="20"/>
          <w:szCs w:val="20"/>
          <w:lang w:eastAsia="pt-BR"/>
        </w:rPr>
        <w:t>A vigência das assinaturas será de 12 (doze) meses, contados da data de ativação das licenças pela Administração.</w:t>
      </w:r>
    </w:p>
    <w:p w:rsidR="00C9593F" w:rsidRDefault="00B24295" w:rsidP="00C9593F">
      <w:pPr>
        <w:shd w:val="clear" w:color="auto" w:fill="DDDDDD"/>
        <w:ind w:firstLine="567"/>
        <w:jc w:val="both"/>
        <w:rPr>
          <w:rFonts w:ascii="Arial" w:hAnsi="Arial" w:cs="Arial"/>
        </w:rPr>
      </w:pPr>
      <w:r>
        <w:rPr>
          <w:rFonts w:ascii="Arial" w:hAnsi="Arial" w:cs="Arial"/>
          <w:b/>
          <w:bCs/>
        </w:rPr>
        <w:t>6</w:t>
      </w:r>
      <w:r w:rsidR="00C9593F">
        <w:rPr>
          <w:rFonts w:ascii="Arial" w:hAnsi="Arial" w:cs="Arial"/>
          <w:b/>
          <w:bCs/>
        </w:rPr>
        <w:t>. DO GARANTIA E SUPORTE TÉCNICO:</w:t>
      </w:r>
    </w:p>
    <w:p w:rsidR="00C9593F" w:rsidRDefault="00C9593F" w:rsidP="00C9593F">
      <w:pPr>
        <w:pStyle w:val="PargrafodaLista"/>
        <w:ind w:left="0"/>
        <w:jc w:val="both"/>
        <w:rPr>
          <w:rFonts w:ascii="Arial" w:eastAsia="Times New Roman" w:hAnsi="Arial" w:cs="Arial"/>
          <w:sz w:val="20"/>
          <w:szCs w:val="20"/>
          <w:lang w:eastAsia="pt-BR"/>
        </w:rPr>
      </w:pPr>
      <w:r w:rsidRPr="00C9593F">
        <w:rPr>
          <w:rFonts w:ascii="Arial" w:eastAsia="Times New Roman" w:hAnsi="Arial" w:cs="Arial"/>
          <w:b/>
          <w:sz w:val="20"/>
          <w:szCs w:val="20"/>
          <w:lang w:eastAsia="pt-BR"/>
        </w:rPr>
        <w:t>a)</w:t>
      </w:r>
      <w:r>
        <w:rPr>
          <w:rFonts w:ascii="Arial" w:eastAsia="Times New Roman" w:hAnsi="Arial" w:cs="Arial"/>
          <w:sz w:val="20"/>
          <w:szCs w:val="20"/>
          <w:lang w:eastAsia="pt-BR"/>
        </w:rPr>
        <w:t xml:space="preserve"> </w:t>
      </w:r>
      <w:r w:rsidRPr="00C9593F">
        <w:rPr>
          <w:rFonts w:ascii="Arial" w:eastAsia="Times New Roman" w:hAnsi="Arial" w:cs="Arial"/>
          <w:sz w:val="20"/>
          <w:szCs w:val="20"/>
          <w:lang w:eastAsia="pt-BR"/>
        </w:rPr>
        <w:t>A garantia do software, incluindo suporte técnico para ativação e o direito a todas as atualizações e novas versões, deverá se estender por todo o prazo de vigência da assinatura de 12 (doze) meses.</w:t>
      </w:r>
    </w:p>
    <w:p w:rsidR="00464AF3" w:rsidRDefault="00B24295">
      <w:pPr>
        <w:shd w:val="clear" w:color="auto" w:fill="DDDDDD"/>
        <w:ind w:firstLine="567"/>
        <w:jc w:val="both"/>
        <w:rPr>
          <w:rFonts w:ascii="Arial" w:hAnsi="Arial" w:cs="Arial"/>
        </w:rPr>
      </w:pPr>
      <w:r>
        <w:rPr>
          <w:rFonts w:ascii="Arial" w:hAnsi="Arial" w:cs="Arial"/>
          <w:b/>
          <w:bCs/>
        </w:rPr>
        <w:t>7</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B24295">
      <w:pPr>
        <w:shd w:val="clear" w:color="auto" w:fill="CCCCCC"/>
        <w:ind w:firstLine="567"/>
        <w:jc w:val="both"/>
        <w:rPr>
          <w:rFonts w:ascii="Arial" w:hAnsi="Arial" w:cs="Arial"/>
        </w:rPr>
      </w:pPr>
      <w:r>
        <w:rPr>
          <w:rFonts w:ascii="Arial" w:hAnsi="Arial" w:cs="Arial"/>
          <w:b/>
          <w:bCs/>
        </w:rPr>
        <w:t>8</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C9593F" w:rsidRDefault="00C9593F" w:rsidP="00C9593F">
      <w:pPr>
        <w:numPr>
          <w:ilvl w:val="1"/>
          <w:numId w:val="7"/>
        </w:numPr>
        <w:tabs>
          <w:tab w:val="left" w:pos="284"/>
        </w:tabs>
        <w:jc w:val="both"/>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33BA6" w:rsidRDefault="00433BA6" w:rsidP="00433BA6">
      <w:pPr>
        <w:tabs>
          <w:tab w:val="left" w:pos="284"/>
          <w:tab w:val="left" w:pos="426"/>
        </w:tabs>
        <w:jc w:val="both"/>
        <w:rPr>
          <w:rFonts w:ascii="Arial" w:hAnsi="Arial" w:cs="Arial"/>
        </w:rPr>
      </w:pPr>
    </w:p>
    <w:p w:rsidR="00433BA6" w:rsidRPr="00433BA6" w:rsidRDefault="00433BA6" w:rsidP="00433BA6">
      <w:pPr>
        <w:pStyle w:val="PargrafodaLista"/>
        <w:numPr>
          <w:ilvl w:val="0"/>
          <w:numId w:val="7"/>
        </w:numPr>
        <w:tabs>
          <w:tab w:val="left" w:pos="284"/>
          <w:tab w:val="left" w:pos="426"/>
        </w:tabs>
        <w:spacing w:after="0"/>
        <w:jc w:val="both"/>
        <w:rPr>
          <w:rFonts w:ascii="Arial" w:hAnsi="Arial" w:cs="Arial"/>
          <w:b/>
        </w:rPr>
      </w:pPr>
      <w:r w:rsidRPr="00433BA6">
        <w:rPr>
          <w:rFonts w:ascii="Arial" w:hAnsi="Arial" w:cs="Arial"/>
          <w:b/>
        </w:rPr>
        <w:t>QUALIFICAÇÃO TÉCNICA</w:t>
      </w:r>
    </w:p>
    <w:p w:rsidR="00B24295" w:rsidRDefault="00433BA6" w:rsidP="00433BA6">
      <w:pPr>
        <w:numPr>
          <w:ilvl w:val="1"/>
          <w:numId w:val="7"/>
        </w:numPr>
        <w:tabs>
          <w:tab w:val="left" w:pos="284"/>
          <w:tab w:val="left" w:pos="426"/>
        </w:tabs>
        <w:jc w:val="both"/>
        <w:rPr>
          <w:rFonts w:ascii="Arial" w:hAnsi="Arial" w:cs="Arial"/>
        </w:rPr>
      </w:pPr>
      <w:r w:rsidRPr="00433BA6">
        <w:rPr>
          <w:rFonts w:ascii="Arial" w:hAnsi="Arial" w:cs="Arial"/>
        </w:rPr>
        <w:t xml:space="preserve">Declaração de que, na assinatura do contrato, apresentará a comprovação </w:t>
      </w:r>
      <w:r w:rsidR="00B24295" w:rsidRPr="00B24295">
        <w:rPr>
          <w:rFonts w:ascii="Arial" w:hAnsi="Arial" w:cs="Arial"/>
        </w:rPr>
        <w:t>emitida pelo fabricante de que é uma revenda autorizada a comercializar os produtos ofertados.</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D84120">
        <w:rPr>
          <w:rFonts w:ascii="Arial" w:hAnsi="Arial" w:cs="Arial"/>
        </w:rPr>
        <w:t>13 de outubro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B733F1">
        <w:rPr>
          <w:rFonts w:ascii="Arial" w:hAnsi="Arial" w:cs="Arial"/>
          <w:b/>
        </w:rPr>
        <w:t>Chef</w:t>
      </w:r>
      <w:bookmarkStart w:id="1" w:name="_GoBack_Copia_1"/>
      <w:bookmarkEnd w:id="1"/>
      <w:r w:rsidRPr="00B733F1">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lastRenderedPageBreak/>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lastRenderedPageBreak/>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lastRenderedPageBreak/>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lastRenderedPageBreak/>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93F" w:rsidRDefault="00C9593F">
      <w:r>
        <w:separator/>
      </w:r>
    </w:p>
  </w:endnote>
  <w:endnote w:type="continuationSeparator" w:id="0">
    <w:p w:rsidR="00C9593F" w:rsidRDefault="00C9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93F" w:rsidRDefault="00C9593F">
    <w:pPr>
      <w:pStyle w:val="Contedodoquadro"/>
      <w:jc w:val="center"/>
      <w:rPr>
        <w:rFonts w:ascii="Arial" w:hAnsi="Arial" w:cs="Arial"/>
        <w:b/>
        <w:sz w:val="16"/>
      </w:rPr>
    </w:pPr>
    <w:r>
      <w:rPr>
        <w:rFonts w:ascii="Arial" w:hAnsi="Arial" w:cs="Arial"/>
        <w:color w:val="000000"/>
        <w:sz w:val="16"/>
      </w:rPr>
      <w:t xml:space="preserve">Dispensa Eletrônica nº 94/2026 -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BC5F3E">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BC5F3E">
      <w:rPr>
        <w:rFonts w:ascii="Arial" w:hAnsi="Arial" w:cs="Arial"/>
        <w:b/>
        <w:noProof/>
        <w:color w:val="000000"/>
        <w:sz w:val="16"/>
      </w:rPr>
      <w:t>14</w:t>
    </w:r>
    <w:r>
      <w:rPr>
        <w:rFonts w:ascii="Arial" w:hAnsi="Arial" w:cs="Arial"/>
        <w:b/>
        <w:color w:val="000000"/>
        <w:sz w:val="16"/>
      </w:rPr>
      <w:fldChar w:fldCharType="end"/>
    </w:r>
  </w:p>
  <w:p w:rsidR="00C9593F" w:rsidRDefault="00C9593F">
    <w:pPr>
      <w:jc w:val="center"/>
    </w:pPr>
  </w:p>
  <w:p w:rsidR="00C9593F" w:rsidRDefault="00C9593F" w:rsidP="009A51DE">
    <w:pPr>
      <w:tabs>
        <w:tab w:val="center" w:pos="4961"/>
        <w:tab w:val="left" w:pos="6900"/>
      </w:tabs>
    </w:pPr>
    <w:r>
      <w:rPr>
        <w:noProof/>
        <w:lang w:eastAsia="pt-BR"/>
      </w:rPr>
      <w:drawing>
        <wp:inline distT="0" distB="0" distL="0" distR="0" wp14:anchorId="68D1A1D6" wp14:editId="4D3A7851">
          <wp:extent cx="6300470" cy="506076"/>
          <wp:effectExtent l="0" t="0" r="0" b="0"/>
          <wp:docPr id="3" name="Imagem 3"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06076"/>
                  </a:xfrm>
                  <a:prstGeom prst="rect">
                    <a:avLst/>
                  </a:prstGeom>
                  <a:noFill/>
                  <a:ln>
                    <a:noFill/>
                  </a:ln>
                </pic:spPr>
              </pic:pic>
            </a:graphicData>
          </a:graphic>
        </wp:inline>
      </w:drawing>
    </w: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93F" w:rsidRDefault="00C9593F">
      <w:r>
        <w:separator/>
      </w:r>
    </w:p>
  </w:footnote>
  <w:footnote w:type="continuationSeparator" w:id="0">
    <w:p w:rsidR="00C9593F" w:rsidRDefault="00C959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93F" w:rsidRDefault="00C9593F">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C9593F" w:rsidRDefault="00C9593F">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9593F" w:rsidRDefault="00C9593F">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C9593F" w:rsidRDefault="00C9593F">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9593F" w:rsidRDefault="00C9593F">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2DF415C1"/>
    <w:multiLevelType w:val="multilevel"/>
    <w:tmpl w:val="7B94722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449134D9"/>
    <w:multiLevelType w:val="multilevel"/>
    <w:tmpl w:val="2AF0A3C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9" w15:restartNumberingAfterBreak="0">
    <w:nsid w:val="632729B8"/>
    <w:multiLevelType w:val="multilevel"/>
    <w:tmpl w:val="BCD26628"/>
    <w:numStyleLink w:val="PrefPira"/>
  </w:abstractNum>
  <w:abstractNum w:abstractNumId="20"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9DA6924"/>
    <w:multiLevelType w:val="multilevel"/>
    <w:tmpl w:val="BCD26628"/>
    <w:numStyleLink w:val="PrefPira"/>
  </w:abstractNum>
  <w:abstractNum w:abstractNumId="22"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3"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3"/>
  </w:num>
  <w:num w:numId="2">
    <w:abstractNumId w:val="10"/>
  </w:num>
  <w:num w:numId="3">
    <w:abstractNumId w:val="8"/>
  </w:num>
  <w:num w:numId="4">
    <w:abstractNumId w:val="17"/>
  </w:num>
  <w:num w:numId="5">
    <w:abstractNumId w:val="5"/>
  </w:num>
  <w:num w:numId="6">
    <w:abstractNumId w:val="15"/>
  </w:num>
  <w:num w:numId="7">
    <w:abstractNumId w:val="1"/>
  </w:num>
  <w:num w:numId="8">
    <w:abstractNumId w:val="11"/>
  </w:num>
  <w:num w:numId="9">
    <w:abstractNumId w:val="20"/>
  </w:num>
  <w:num w:numId="10">
    <w:abstractNumId w:val="22"/>
  </w:num>
  <w:num w:numId="11">
    <w:abstractNumId w:val="14"/>
  </w:num>
  <w:num w:numId="12">
    <w:abstractNumId w:val="4"/>
  </w:num>
  <w:num w:numId="13">
    <w:abstractNumId w:val="12"/>
  </w:num>
  <w:num w:numId="14">
    <w:abstractNumId w:val="18"/>
  </w:num>
  <w:num w:numId="15">
    <w:abstractNumId w:val="3"/>
  </w:num>
  <w:num w:numId="16">
    <w:abstractNumId w:val="23"/>
  </w:num>
  <w:num w:numId="17">
    <w:abstractNumId w:val="9"/>
  </w:num>
  <w:num w:numId="18">
    <w:abstractNumId w:val="0"/>
  </w:num>
  <w:num w:numId="19">
    <w:abstractNumId w:val="2"/>
  </w:num>
  <w:num w:numId="20">
    <w:abstractNumId w:val="8"/>
    <w:lvlOverride w:ilvl="0">
      <w:startOverride w:val="1"/>
    </w:lvlOverride>
  </w:num>
  <w:num w:numId="21">
    <w:abstractNumId w:val="8"/>
  </w:num>
  <w:num w:numId="22">
    <w:abstractNumId w:val="8"/>
  </w:num>
  <w:num w:numId="23">
    <w:abstractNumId w:val="8"/>
  </w:num>
  <w:num w:numId="24">
    <w:abstractNumId w:val="8"/>
  </w:num>
  <w:num w:numId="25">
    <w:abstractNumId w:val="12"/>
    <w:lvlOverride w:ilvl="0">
      <w:startOverride w:val="1"/>
    </w:lvlOverride>
  </w:num>
  <w:num w:numId="26">
    <w:abstractNumId w:val="12"/>
  </w:num>
  <w:num w:numId="27">
    <w:abstractNumId w:val="12"/>
  </w:num>
  <w:num w:numId="28">
    <w:abstractNumId w:val="12"/>
  </w:num>
  <w:num w:numId="29">
    <w:abstractNumId w:val="1"/>
    <w:lvlOverride w:ilvl="0">
      <w:startOverride w:val="1"/>
    </w:lvlOverride>
    <w:lvlOverride w:ilvl="1">
      <w:startOverride w:val="1"/>
    </w:lvlOverride>
  </w:num>
  <w:num w:numId="30">
    <w:abstractNumId w:val="1"/>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1"/>
    <w:lvlOverride w:ilvl="2">
      <w:lvl w:ilvl="2">
        <w:start w:val="1"/>
        <w:numFmt w:val="decimal"/>
        <w:lvlText w:val="%2.%3."/>
        <w:lvlJc w:val="left"/>
        <w:pPr>
          <w:ind w:left="0" w:firstLine="0"/>
        </w:pPr>
        <w:rPr>
          <w:rFonts w:ascii="Arial" w:hAnsi="Arial" w:hint="default"/>
          <w:b/>
          <w:sz w:val="20"/>
        </w:rPr>
      </w:lvl>
    </w:lvlOverride>
  </w:num>
  <w:num w:numId="34">
    <w:abstractNumId w:val="16"/>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defaultTabStop w:val="709"/>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1C7635"/>
    <w:rsid w:val="0023004D"/>
    <w:rsid w:val="00230BF1"/>
    <w:rsid w:val="002C3061"/>
    <w:rsid w:val="00433BA6"/>
    <w:rsid w:val="00464AF3"/>
    <w:rsid w:val="005C37D3"/>
    <w:rsid w:val="00755F42"/>
    <w:rsid w:val="008A765A"/>
    <w:rsid w:val="0096128B"/>
    <w:rsid w:val="009A51DE"/>
    <w:rsid w:val="009E71E4"/>
    <w:rsid w:val="00B24295"/>
    <w:rsid w:val="00B733F1"/>
    <w:rsid w:val="00BC5F3E"/>
    <w:rsid w:val="00C05D85"/>
    <w:rsid w:val="00C314CD"/>
    <w:rsid w:val="00C9593F"/>
    <w:rsid w:val="00D84120"/>
    <w:rsid w:val="00DC0CFC"/>
    <w:rsid w:val="00EB05D0"/>
    <w:rsid w:val="00EF2F25"/>
    <w:rsid w:val="00F2208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D51097"/>
  <w15:docId w15:val="{B5522EDD-95F9-4B18-8F1B-60C31783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593F"/>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510CD5-1ABE-4F82-87EB-10F0BFD51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14</Pages>
  <Words>5808</Words>
  <Characters>31368</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7</cp:revision>
  <cp:lastPrinted>2023-08-30T16:56:00Z</cp:lastPrinted>
  <dcterms:created xsi:type="dcterms:W3CDTF">2026-10-13T13:54:00Z</dcterms:created>
  <dcterms:modified xsi:type="dcterms:W3CDTF">2026-10-13T17:26:00Z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