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sz w:val="20"/>
          <w:szCs w:val="20"/>
        </w:rPr>
      </w:pPr>
      <w:r>
        <w:rPr>
          <w:b/>
          <w:sz w:val="20"/>
          <w:szCs w:val="20"/>
        </w:rPr>
        <w:t xml:space="preserve">EDITAL DE PREGÃO ELETRÔNICO </w:t>
      </w:r>
      <w:r>
        <w:rPr>
          <w:b/>
          <w:sz w:val="20"/>
          <w:szCs w:val="20"/>
          <w:lang w:val="pt-BR"/>
        </w:rPr>
        <w:t>nº 314/2026</w:t>
      </w:r>
      <w:r>
        <w:rPr>
          <w:b/>
          <w:sz w:val="20"/>
          <w:szCs w:val="20"/>
        </w:rPr>
        <w:t xml:space="preserve"> </w:t>
      </w:r>
    </w:p>
    <w:p>
      <w:pPr>
        <w:pStyle w:val="BodyTextIndent"/>
        <w:widowControl w:val="false"/>
        <w:shd w:val="clear" w:color="auto" w:fill="CCCCCC"/>
        <w:overflowPunct w:val="false"/>
        <w:spacing w:lineRule="auto" w:line="240"/>
        <w:jc w:val="center"/>
        <w:rPr>
          <w:b/>
          <w:sz w:val="20"/>
          <w:szCs w:val="20"/>
          <w:lang w:val="pt-BR"/>
        </w:rPr>
      </w:pPr>
      <w:r>
        <w:rPr>
          <w:b/>
          <w:sz w:val="20"/>
          <w:szCs w:val="20"/>
          <w:lang w:val="pt-BR"/>
        </w:rPr>
        <w:t>REGISTRO DE PREÇOS</w:t>
      </w:r>
    </w:p>
    <w:p>
      <w:pPr>
        <w:pStyle w:val="BodyTextIndent"/>
        <w:widowControl w:val="false"/>
        <w:overflowPunct w:val="false"/>
        <w:spacing w:lineRule="auto" w:line="240"/>
        <w:rPr>
          <w:b/>
          <w:sz w:val="20"/>
          <w:szCs w:val="20"/>
          <w:lang w:val="pt-BR"/>
        </w:rPr>
      </w:pPr>
      <w:r>
        <w:rPr>
          <w:b/>
          <w:sz w:val="20"/>
          <w:szCs w:val="20"/>
          <w:lang w:val="pt-BR"/>
        </w:rPr>
      </w:r>
    </w:p>
    <w:p>
      <w:pPr>
        <w:pStyle w:val="BodyTextIndent"/>
        <w:widowControl w:val="false"/>
        <w:overflowPunct w:val="false"/>
        <w:spacing w:lineRule="auto" w:line="240"/>
        <w:jc w:val="center"/>
        <w:rPr>
          <w:b/>
          <w:sz w:val="20"/>
          <w:szCs w:val="20"/>
          <w:lang w:val="pt-BR"/>
        </w:rPr>
      </w:pPr>
      <w:r>
        <w:rPr>
          <w:b/>
          <w:sz w:val="20"/>
          <w:szCs w:val="20"/>
          <w:lang w:val="pt-BR"/>
        </w:rPr>
        <w:t>TERMO DE REFERÊNCIA</w:t>
      </w:r>
    </w:p>
    <w:p>
      <w:pPr>
        <w:pStyle w:val="BodyTextIndent"/>
        <w:widowControl w:val="false"/>
        <w:overflowPunct w:val="false"/>
        <w:spacing w:lineRule="auto" w:line="240"/>
        <w:rPr>
          <w:b/>
          <w:sz w:val="20"/>
          <w:szCs w:val="20"/>
          <w:lang w:val="pt-BR"/>
        </w:rPr>
      </w:pPr>
      <w:r>
        <w:rPr>
          <w:b/>
          <w:sz w:val="20"/>
          <w:szCs w:val="20"/>
          <w:lang w:val="pt-BR"/>
        </w:rPr>
      </w:r>
    </w:p>
    <w:p>
      <w:pPr>
        <w:pStyle w:val="BodyTextIndent"/>
        <w:widowControl w:val="false"/>
        <w:shd w:val="clear" w:color="auto" w:fill="DDDDDD"/>
        <w:overflowPunct w:val="false"/>
        <w:spacing w:lineRule="auto" w:line="240"/>
        <w:ind w:firstLine="561"/>
        <w:jc w:val="start"/>
        <w:rPr>
          <w:sz w:val="20"/>
          <w:szCs w:val="20"/>
          <w:lang w:val="pt-BR"/>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3"/>
        </w:numPr>
        <w:tabs>
          <w:tab w:val="clear" w:pos="709"/>
          <w:tab w:val="left" w:pos="284" w:leader="none"/>
        </w:tabs>
        <w:overflowPunct w:val="false"/>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107.361/2026</w:t>
      </w:r>
    </w:p>
    <w:p>
      <w:pPr>
        <w:pStyle w:val="BodyTextIndent"/>
        <w:widowControl w:val="false"/>
        <w:numPr>
          <w:ilvl w:val="0"/>
          <w:numId w:val="3"/>
        </w:numPr>
        <w:tabs>
          <w:tab w:val="clear" w:pos="709"/>
          <w:tab w:val="left" w:pos="284" w:leader="none"/>
        </w:tabs>
        <w:overflowPunct w:val="false"/>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06/11/2026 - 08 </w:t>
      </w:r>
      <w:r>
        <w:rPr>
          <w:b/>
          <w:sz w:val="20"/>
          <w:szCs w:val="20"/>
        </w:rPr>
        <w:t>horas</w:t>
      </w:r>
      <w:r>
        <w:rPr>
          <w:b/>
          <w:sz w:val="20"/>
          <w:szCs w:val="20"/>
          <w:lang w:val="pt-BR"/>
        </w:rPr>
        <w:t>;</w:t>
      </w:r>
    </w:p>
    <w:p>
      <w:pPr>
        <w:pStyle w:val="BodyTextIndent"/>
        <w:widowControl w:val="false"/>
        <w:numPr>
          <w:ilvl w:val="0"/>
          <w:numId w:val="3"/>
        </w:numPr>
        <w:tabs>
          <w:tab w:val="clear" w:pos="709"/>
          <w:tab w:val="left" w:pos="284" w:leader="none"/>
        </w:tabs>
        <w:overflowPunct w:val="false"/>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06/11/2026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3"/>
        </w:numPr>
        <w:tabs>
          <w:tab w:val="clear" w:pos="709"/>
          <w:tab w:val="left" w:pos="284" w:leader="none"/>
        </w:tabs>
        <w:overflowPunct w:val="false"/>
        <w:spacing w:lineRule="auto" w:line="240"/>
        <w:rPr>
          <w:b/>
          <w:bCs/>
          <w:sz w:val="20"/>
          <w:szCs w:val="20"/>
          <w:lang w:val="pt-BR"/>
        </w:rPr>
      </w:pPr>
      <w:r>
        <w:rPr>
          <w:sz w:val="20"/>
          <w:szCs w:val="20"/>
        </w:rPr>
        <w:t xml:space="preserve">Endereço eletrônico: </w:t>
      </w:r>
      <w:hyperlink r:id="rId2">
        <w:r>
          <w:rPr>
            <w:rStyle w:val="Hyperlink"/>
            <w:sz w:val="20"/>
          </w:rPr>
          <w:t>https://bnccompras.com/Home/Login</w:t>
        </w:r>
      </w:hyperlink>
    </w:p>
    <w:p>
      <w:pPr>
        <w:pStyle w:val="BodyTextIndent"/>
        <w:widowControl w:val="false"/>
        <w:overflowPunct w:val="false"/>
        <w:spacing w:lineRule="auto" w:line="240"/>
        <w:ind w:firstLine="561"/>
        <w:jc w:val="start"/>
        <w:rPr>
          <w:b/>
          <w:bCs/>
          <w:sz w:val="20"/>
          <w:szCs w:val="20"/>
        </w:rPr>
      </w:pPr>
      <w:r>
        <w:rPr>
          <w:b/>
          <w:bCs/>
          <w:sz w:val="20"/>
          <w:szCs w:val="20"/>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18"/>
        </w:numPr>
        <w:tabs>
          <w:tab w:val="clear" w:pos="709"/>
          <w:tab w:val="left" w:pos="284" w:leader="none"/>
        </w:tabs>
        <w:jc w:val="both"/>
        <w:rPr>
          <w:rFonts w:ascii="Arial" w:hAnsi="Arial" w:cs="Arial"/>
          <w:b/>
        </w:rPr>
      </w:pPr>
      <w:r>
        <w:rPr>
          <w:rFonts w:cs="Arial" w:ascii="Arial" w:hAnsi="Arial"/>
          <w:b w:val="false"/>
          <w:bCs w:val="false"/>
        </w:rPr>
        <w:t>Objeto:</w:t>
      </w:r>
      <w:r>
        <w:rPr>
          <w:rFonts w:cs="Arial" w:ascii="Arial" w:hAnsi="Arial"/>
          <w:b/>
        </w:rPr>
        <w:t xml:space="preserve"> Registro de Preços para </w:t>
      </w:r>
      <w:r>
        <w:rPr>
          <w:rFonts w:cs="Arial" w:ascii="Arial" w:hAnsi="Arial"/>
          <w:b/>
          <w:kern w:val="0"/>
          <w:lang w:eastAsia="pt-BR"/>
        </w:rPr>
        <w:t>Locação de concentradores de oxigênio de uso domiciliar com locação de cilindros e recarga de gás</w:t>
      </w:r>
    </w:p>
    <w:p>
      <w:pPr>
        <w:pStyle w:val="Normal"/>
        <w:numPr>
          <w:ilvl w:val="0"/>
          <w:numId w:val="3"/>
        </w:numPr>
        <w:tabs>
          <w:tab w:val="clear" w:pos="709"/>
          <w:tab w:val="left" w:pos="284" w:leader="none"/>
        </w:tabs>
        <w:jc w:val="both"/>
        <w:rPr>
          <w:rFonts w:ascii="Arial" w:hAnsi="Arial" w:cs="Arial"/>
        </w:rPr>
      </w:pPr>
      <w:r>
        <w:rPr>
          <w:rFonts w:cs="Arial" w:ascii="Arial" w:hAnsi="Arial"/>
        </w:rPr>
        <w:t xml:space="preserve">Unidade Requisitante: </w:t>
      </w:r>
      <w:r>
        <w:rPr>
          <w:rFonts w:cs="Arial" w:ascii="Arial" w:hAnsi="Arial"/>
          <w:bCs/>
          <w:kern w:val="0"/>
          <w:lang w:eastAsia="pt-BR"/>
        </w:rPr>
        <w:t>Secretaria Municipal de Saúde</w:t>
      </w:r>
    </w:p>
    <w:p>
      <w:pPr>
        <w:pStyle w:val="Normal"/>
        <w:numPr>
          <w:ilvl w:val="0"/>
          <w:numId w:val="3"/>
        </w:numPr>
        <w:tabs>
          <w:tab w:val="clear" w:pos="709"/>
          <w:tab w:val="left" w:pos="284" w:leader="none"/>
        </w:tabs>
        <w:jc w:val="both"/>
        <w:rPr>
          <w:rFonts w:ascii="Arial" w:hAnsi="Arial" w:cs="Arial"/>
        </w:rPr>
      </w:pPr>
      <w:r>
        <w:rPr>
          <w:rFonts w:cs="Arial" w:ascii="Arial" w:hAnsi="Arial"/>
        </w:rPr>
        <w:t xml:space="preserve">Fonte de recursos: </w:t>
      </w:r>
      <w:r>
        <w:rPr>
          <w:rFonts w:cs="Arial" w:ascii="Arial" w:hAnsi="Arial"/>
          <w:color w:val="222222"/>
          <w:shd w:fill="FFFFFF" w:val="clear"/>
        </w:rPr>
        <w:t>Dotação orçamentária 10.302.0014.2082.0000 – 0101031000</w:t>
      </w:r>
    </w:p>
    <w:p>
      <w:pPr>
        <w:pStyle w:val="Normal"/>
        <w:numPr>
          <w:ilvl w:val="0"/>
          <w:numId w:val="3"/>
        </w:numPr>
        <w:tabs>
          <w:tab w:val="clear" w:pos="709"/>
          <w:tab w:val="left" w:pos="284" w:leader="none"/>
        </w:tabs>
        <w:jc w:val="both"/>
        <w:rPr>
          <w:rFonts w:ascii="Arial" w:hAnsi="Arial" w:cs="Arial"/>
          <w:b/>
        </w:rPr>
      </w:pPr>
      <w:r>
        <w:rPr>
          <w:rFonts w:cs="Arial" w:ascii="Arial" w:hAnsi="Arial"/>
        </w:rPr>
        <w:t xml:space="preserve">Valor estimado da contratação: </w:t>
      </w:r>
      <w:r>
        <w:rPr>
          <w:rFonts w:cs="Arial" w:ascii="Arial" w:hAnsi="Arial"/>
          <w:b/>
          <w:kern w:val="0"/>
          <w:lang w:eastAsia="pt-BR"/>
        </w:rPr>
        <w:t>R$ 701.950,60 (setecentos e um mil, novecentos e cinquenta reais e sessenta centavos).</w:t>
      </w:r>
    </w:p>
    <w:p>
      <w:pPr>
        <w:pStyle w:val="Normal"/>
        <w:numPr>
          <w:ilvl w:val="0"/>
          <w:numId w:val="3"/>
        </w:numPr>
        <w:tabs>
          <w:tab w:val="clear" w:pos="709"/>
          <w:tab w:val="left" w:pos="284" w:leader="none"/>
        </w:tabs>
        <w:jc w:val="both"/>
        <w:rPr>
          <w:rFonts w:ascii="Arial" w:hAnsi="Arial" w:cs="Arial"/>
        </w:rPr>
      </w:pPr>
      <w:r>
        <w:rPr>
          <w:rFonts w:cs="Arial" w:ascii="Arial" w:hAnsi="Arial"/>
        </w:rPr>
        <w:t>Validade da Ata de Registro de Preços: 12 (doze) meses, podendo ser prorrogado, por igual período, renovadas as quantidades, desde que comprovado o preço vantajoso, conforme previsto no artigo 84 da Lei 14.133, de 2021.</w:t>
      </w:r>
    </w:p>
    <w:p>
      <w:pPr>
        <w:pStyle w:val="Normal"/>
        <w:ind w:firstLine="561"/>
        <w:rPr>
          <w:rFonts w:ascii="Arial" w:hAnsi="Arial" w:cs="Arial"/>
        </w:rPr>
      </w:pPr>
      <w:r>
        <w:rPr>
          <w:rFonts w:cs="Arial" w:ascii="Arial" w:hAnsi="Arial"/>
        </w:rPr>
      </w:r>
    </w:p>
    <w:p>
      <w:pPr>
        <w:pStyle w:val="Normal"/>
        <w:shd w:val="clear" w:color="auto" w:fill="DDDDDD"/>
        <w:ind w:firstLine="561"/>
        <w:rPr>
          <w:rFonts w:ascii="Arial" w:hAnsi="Arial" w:cs="Arial"/>
          <w:b/>
          <w:bCs/>
        </w:rPr>
      </w:pPr>
      <w:r>
        <w:rPr>
          <w:rFonts w:cs="Arial" w:ascii="Arial" w:hAnsi="Arial"/>
          <w:b/>
          <w:bCs/>
        </w:rPr>
        <w:t>3. DO PROCEDIMENTO:</w:t>
      </w:r>
    </w:p>
    <w:p>
      <w:pPr>
        <w:pStyle w:val="Normal"/>
        <w:widowControl w:val="false"/>
        <w:numPr>
          <w:ilvl w:val="0"/>
          <w:numId w:val="4"/>
        </w:numPr>
        <w:tabs>
          <w:tab w:val="clear" w:pos="709"/>
          <w:tab w:val="left" w:pos="284" w:leader="none"/>
        </w:tabs>
        <w:jc w:val="both"/>
        <w:rPr>
          <w:rFonts w:ascii="Arial" w:hAnsi="Arial" w:cs="Arial"/>
          <w:b/>
        </w:rPr>
      </w:pPr>
      <w:r>
        <w:rPr>
          <w:rFonts w:cs="Arial" w:ascii="Arial" w:hAnsi="Arial"/>
        </w:rPr>
        <w:t xml:space="preserve">Critério de julgamento: </w:t>
      </w:r>
      <w:r>
        <w:rPr>
          <w:rFonts w:cs="Arial" w:ascii="Arial" w:hAnsi="Arial"/>
          <w:b/>
        </w:rPr>
        <w:t>menor preço por LOTE;</w:t>
      </w:r>
    </w:p>
    <w:p>
      <w:pPr>
        <w:pStyle w:val="Normal"/>
        <w:widowControl w:val="false"/>
        <w:numPr>
          <w:ilvl w:val="0"/>
          <w:numId w:val="4"/>
        </w:numPr>
        <w:tabs>
          <w:tab w:val="clear" w:pos="709"/>
          <w:tab w:val="left" w:pos="284" w:leader="none"/>
        </w:tabs>
        <w:jc w:val="both"/>
        <w:rPr>
          <w:rFonts w:ascii="Arial" w:hAnsi="Arial" w:cs="Arial"/>
          <w:b/>
        </w:rPr>
      </w:pPr>
      <w:r>
        <w:rPr>
          <w:rFonts w:cs="Arial" w:ascii="Arial" w:hAnsi="Arial"/>
        </w:rPr>
        <w:t xml:space="preserve">Base de disputa: </w:t>
      </w:r>
      <w:r>
        <w:rPr>
          <w:rFonts w:cs="Arial" w:ascii="Arial" w:hAnsi="Arial"/>
          <w:b/>
        </w:rPr>
        <w:t>preço total do LOTE;</w:t>
      </w:r>
    </w:p>
    <w:p>
      <w:pPr>
        <w:pStyle w:val="Normal"/>
        <w:widowControl w:val="false"/>
        <w:numPr>
          <w:ilvl w:val="0"/>
          <w:numId w:val="4"/>
        </w:numPr>
        <w:tabs>
          <w:tab w:val="clear" w:pos="709"/>
          <w:tab w:val="left" w:pos="284" w:leader="none"/>
        </w:tabs>
        <w:jc w:val="both"/>
        <w:rPr>
          <w:rFonts w:ascii="Arial" w:hAnsi="Arial" w:cs="Arial"/>
          <w:b/>
        </w:rPr>
      </w:pPr>
      <w:r>
        <w:rPr>
          <w:rFonts w:cs="Arial" w:ascii="Arial" w:hAnsi="Arial"/>
        </w:rPr>
        <w:t>Modo de disputa: Aberto</w:t>
      </w:r>
    </w:p>
    <w:p>
      <w:pPr>
        <w:pStyle w:val="Normal"/>
        <w:ind w:firstLine="567"/>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19"/>
        </w:numPr>
        <w:tabs>
          <w:tab w:val="clear" w:pos="709"/>
          <w:tab w:val="left" w:pos="284" w:leader="none"/>
        </w:tabs>
        <w:jc w:val="both"/>
        <w:rPr>
          <w:rFonts w:ascii="Arial" w:hAnsi="Arial" w:cs="Arial"/>
        </w:rPr>
      </w:pPr>
      <w:r>
        <w:rPr>
          <w:rFonts w:cs="Arial" w:ascii="Arial" w:hAnsi="Arial"/>
        </w:rPr>
        <w:t>Prazo de validade: 90 (noventa) dias;</w:t>
      </w:r>
    </w:p>
    <w:p>
      <w:pPr>
        <w:pStyle w:val="Normal"/>
        <w:numPr>
          <w:ilvl w:val="0"/>
          <w:numId w:val="3"/>
        </w:numPr>
        <w:tabs>
          <w:tab w:val="clear" w:pos="709"/>
          <w:tab w:val="left" w:pos="284" w:leader="none"/>
        </w:tabs>
        <w:jc w:val="both"/>
        <w:rPr>
          <w:rFonts w:ascii="Arial" w:hAnsi="Arial" w:cs="Arial"/>
        </w:rPr>
      </w:pPr>
      <w:r>
        <w:rPr>
          <w:rFonts w:cs="Arial" w:ascii="Arial" w:hAnsi="Arial"/>
        </w:rPr>
        <w:t>Prazo de pagamento: 15 (quinze) dias úteis, contados da data do recebimento da nota fiscal, em atendimento ao Decreto Municipal Nº 17.640/18;</w:t>
      </w:r>
    </w:p>
    <w:p>
      <w:pPr>
        <w:pStyle w:val="Normal"/>
        <w:numPr>
          <w:ilvl w:val="0"/>
          <w:numId w:val="3"/>
        </w:numPr>
        <w:tabs>
          <w:tab w:val="clear" w:pos="709"/>
          <w:tab w:val="left" w:pos="284" w:leader="none"/>
        </w:tabs>
        <w:jc w:val="both"/>
        <w:rPr>
          <w:rFonts w:ascii="Arial" w:hAnsi="Arial" w:cs="Arial"/>
        </w:rPr>
      </w:pP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expresso em moeda corrente nacional.</w:t>
      </w:r>
    </w:p>
    <w:p>
      <w:pPr>
        <w:pStyle w:val="Normal"/>
        <w:numPr>
          <w:ilvl w:val="0"/>
          <w:numId w:val="3"/>
        </w:numPr>
        <w:tabs>
          <w:tab w:val="clear" w:pos="709"/>
          <w:tab w:val="left" w:pos="284" w:leader="none"/>
        </w:tabs>
        <w:jc w:val="both"/>
        <w:rPr>
          <w:rFonts w:ascii="Arial" w:hAnsi="Arial" w:cs="Arial"/>
        </w:rPr>
      </w:pPr>
      <w:r>
        <w:rPr>
          <w:rFonts w:cs="Arial" w:ascii="Arial" w:hAnsi="Arial"/>
        </w:rPr>
        <w:t>Deverá ser anexado no sistema eletrônico, no campo denominado “Anexos de Proposta”,</w:t>
      </w:r>
      <w:r>
        <w:rPr>
          <w:rFonts w:cs="Arial" w:ascii="Arial" w:hAnsi="Arial"/>
          <w:bCs/>
        </w:rPr>
        <w:t xml:space="preserve"> </w:t>
      </w:r>
      <w:r>
        <w:rPr>
          <w:rFonts w:cs="Arial" w:ascii="Arial" w:hAnsi="Arial"/>
        </w:rPr>
        <w:t>sob pena de desclassificação pelo não cumprimento:</w:t>
      </w:r>
    </w:p>
    <w:p>
      <w:pPr>
        <w:pStyle w:val="ListParagraph"/>
        <w:numPr>
          <w:ilvl w:val="1"/>
          <w:numId w:val="3"/>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Catálogos técnicos contendo o descritivo/folder/foto do produto ofertado, comprovando as especificações técnicas exigidas no edital.</w:t>
      </w:r>
    </w:p>
    <w:p>
      <w:pPr>
        <w:pStyle w:val="ListParagraph"/>
        <w:numPr>
          <w:ilvl w:val="1"/>
          <w:numId w:val="3"/>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Apresentar o Registro no Ministério da Saúde vigente dos equipamentos ofertados.</w:t>
      </w:r>
    </w:p>
    <w:p>
      <w:pPr>
        <w:pStyle w:val="Normal"/>
        <w:numPr>
          <w:ilvl w:val="0"/>
          <w:numId w:val="3"/>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eastAsia="Arial" w:cs="Arial"/>
          <w:b/>
          <w:u w:val="single"/>
        </w:rPr>
      </w:pPr>
      <w:r>
        <w:rPr>
          <w:rFonts w:eastAsia="Arial" w:cs="Arial" w:ascii="Arial" w:hAnsi="Arial"/>
          <w:b/>
          <w:u w:val="single"/>
        </w:rPr>
        <w:t>LOTE 01</w:t>
      </w:r>
    </w:p>
    <w:p>
      <w:pPr>
        <w:pStyle w:val="Normal"/>
        <w:tabs>
          <w:tab w:val="clear" w:pos="709"/>
          <w:tab w:val="left" w:pos="284" w:leader="none"/>
        </w:tabs>
        <w:jc w:val="both"/>
        <w:rPr>
          <w:rFonts w:ascii="Arial" w:hAnsi="Arial" w:eastAsia="Arial" w:cs="Arial"/>
          <w:sz w:val="5"/>
          <w:szCs w:val="5"/>
        </w:rPr>
      </w:pPr>
      <w:r>
        <w:rPr>
          <w:rFonts w:eastAsia="Arial" w:cs="Arial" w:ascii="Arial" w:hAnsi="Arial"/>
          <w:sz w:val="5"/>
          <w:szCs w:val="5"/>
        </w:rPr>
      </w:r>
    </w:p>
    <w:tbl>
      <w:tblPr>
        <w:tblW w:w="9920" w:type="dxa"/>
        <w:jc w:val="center"/>
        <w:tblInd w:w="0" w:type="dxa"/>
        <w:tblLayout w:type="fixed"/>
        <w:tblCellMar>
          <w:top w:w="0" w:type="dxa"/>
          <w:start w:w="55" w:type="dxa"/>
          <w:bottom w:w="0" w:type="dxa"/>
          <w:end w:w="55" w:type="dxa"/>
        </w:tblCellMar>
        <w:tblLook w:val="04a0" w:firstRow="1" w:noVBand="1" w:lastRow="0" w:firstColumn="1" w:lastColumn="0" w:noHBand="0"/>
      </w:tblPr>
      <w:tblGrid>
        <w:gridCol w:w="850"/>
        <w:gridCol w:w="1024"/>
        <w:gridCol w:w="841"/>
        <w:gridCol w:w="7205"/>
      </w:tblGrid>
      <w:tr>
        <w:trPr>
          <w:tblHeader w:val="true"/>
          <w:trHeight w:val="283" w:hRule="atLeast"/>
        </w:trPr>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Item</w:t>
            </w:r>
          </w:p>
        </w:tc>
        <w:tc>
          <w:tcPr>
            <w:tcW w:w="1024"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Quant.</w:t>
            </w:r>
          </w:p>
        </w:tc>
        <w:tc>
          <w:tcPr>
            <w:tcW w:w="841"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Unid.</w:t>
            </w:r>
          </w:p>
        </w:tc>
        <w:tc>
          <w:tcPr>
            <w:tcW w:w="7205" w:type="dxa"/>
            <w:tcBorders>
              <w:top w:val="single" w:sz="4" w:space="0" w:color="000000"/>
              <w:start w:val="single" w:sz="4" w:space="0" w:color="000000"/>
              <w:bottom w:val="single" w:sz="4" w:space="0" w:color="000000"/>
              <w:end w:val="single" w:sz="4" w:space="0" w:color="000000"/>
            </w:tcBorders>
            <w:vAlign w:val="center"/>
          </w:tcPr>
          <w:p>
            <w:pPr>
              <w:pStyle w:val="Contedodatabelauser"/>
              <w:jc w:val="center"/>
              <w:rPr>
                <w:rFonts w:ascii="Arial" w:hAnsi="Arial" w:cs="Arial"/>
                <w:kern w:val="2"/>
              </w:rPr>
            </w:pPr>
            <w:r>
              <w:rPr>
                <w:rFonts w:cs="Arial" w:ascii="Arial" w:hAnsi="Arial"/>
                <w:b/>
              </w:rPr>
              <w:t>Descritivo</w:t>
            </w:r>
          </w:p>
        </w:tc>
      </w:tr>
      <w:tr>
        <w:trPr>
          <w:trHeight w:val="283" w:hRule="atLeast"/>
        </w:trPr>
        <w:tc>
          <w:tcPr>
            <w:tcW w:w="850" w:type="dxa"/>
            <w:tcBorders>
              <w:top w:val="single" w:sz="4" w:space="0" w:color="000000"/>
              <w:start w:val="single" w:sz="4" w:space="0" w:color="000000"/>
              <w:bottom w:val="single" w:sz="4" w:space="0" w:color="000000"/>
            </w:tcBorders>
            <w:vAlign w:val="center"/>
          </w:tcPr>
          <w:p>
            <w:pPr>
              <w:pStyle w:val="Normal"/>
              <w:spacing w:before="120" w:after="120"/>
              <w:jc w:val="center"/>
              <w:rPr>
                <w:rFonts w:ascii="Arial" w:hAnsi="Arial" w:cs="Arial"/>
              </w:rPr>
            </w:pPr>
            <w:r>
              <w:rPr>
                <w:rFonts w:cs="Arial" w:ascii="Arial" w:hAnsi="Arial"/>
              </w:rPr>
              <w:t>1</w:t>
            </w:r>
          </w:p>
        </w:tc>
        <w:tc>
          <w:tcPr>
            <w:tcW w:w="1024" w:type="dxa"/>
            <w:tcBorders>
              <w:top w:val="single" w:sz="4" w:space="0" w:color="000000"/>
              <w:start w:val="single" w:sz="4" w:space="0" w:color="000000"/>
              <w:bottom w:val="single" w:sz="4" w:space="0" w:color="000000"/>
            </w:tcBorders>
            <w:vAlign w:val="center"/>
          </w:tcPr>
          <w:p>
            <w:pPr>
              <w:pStyle w:val="Contedodatabelauser"/>
              <w:spacing w:before="120" w:after="120"/>
              <w:jc w:val="center"/>
              <w:rPr>
                <w:rFonts w:ascii="Arial" w:hAnsi="Arial" w:cs="Arial"/>
              </w:rPr>
            </w:pPr>
            <w:r>
              <w:rPr>
                <w:rFonts w:cs="Arial" w:ascii="Arial" w:hAnsi="Arial"/>
              </w:rPr>
              <w:t>120</w:t>
            </w:r>
          </w:p>
        </w:tc>
        <w:tc>
          <w:tcPr>
            <w:tcW w:w="841" w:type="dxa"/>
            <w:tcBorders>
              <w:top w:val="single" w:sz="4" w:space="0" w:color="000000"/>
              <w:start w:val="single" w:sz="4" w:space="0" w:color="000000"/>
              <w:bottom w:val="single" w:sz="4" w:space="0" w:color="000000"/>
            </w:tcBorders>
            <w:vAlign w:val="center"/>
          </w:tcPr>
          <w:p>
            <w:pPr>
              <w:pStyle w:val="Contedodatabelauser"/>
              <w:spacing w:before="120" w:after="120"/>
              <w:jc w:val="center"/>
              <w:rPr>
                <w:rFonts w:ascii="Arial" w:hAnsi="Arial" w:cs="Arial"/>
              </w:rPr>
            </w:pPr>
            <w:r>
              <w:rPr>
                <w:rFonts w:cs="Arial" w:ascii="Arial" w:hAnsi="Arial"/>
              </w:rPr>
              <w:t>UNI</w:t>
            </w:r>
          </w:p>
        </w:tc>
        <w:tc>
          <w:tcPr>
            <w:tcW w:w="7205" w:type="dxa"/>
            <w:tcBorders>
              <w:top w:val="single" w:sz="4" w:space="0" w:color="000000"/>
              <w:start w:val="single" w:sz="4" w:space="0" w:color="000000"/>
              <w:bottom w:val="single" w:sz="4" w:space="0" w:color="000000"/>
              <w:end w:val="single" w:sz="4" w:space="0" w:color="000000"/>
            </w:tcBorders>
            <w:vAlign w:val="center"/>
          </w:tcPr>
          <w:p>
            <w:pPr>
              <w:pStyle w:val="Normal"/>
              <w:spacing w:before="120" w:after="120"/>
              <w:jc w:val="both"/>
              <w:rPr>
                <w:rFonts w:ascii="Arial" w:hAnsi="Arial" w:cs="Arial"/>
              </w:rPr>
            </w:pPr>
            <w:r>
              <w:rPr>
                <w:rFonts w:cs="Arial" w:ascii="Arial" w:hAnsi="Arial"/>
              </w:rPr>
              <w:t>Locação de Concentrador de oxigênio acompanhado de 01 cilindro de 4 m3 de oxigênio gasoso medicinal com válvula reguladora, fluxômetro, 01 umidificador e 01 cateter nasal, por 12 meses.</w:t>
            </w:r>
          </w:p>
        </w:tc>
      </w:tr>
      <w:tr>
        <w:trPr>
          <w:trHeight w:val="283" w:hRule="atLeast"/>
        </w:trPr>
        <w:tc>
          <w:tcPr>
            <w:tcW w:w="850" w:type="dxa"/>
            <w:tcBorders>
              <w:top w:val="single" w:sz="4" w:space="0" w:color="000000"/>
              <w:start w:val="single" w:sz="4" w:space="0" w:color="000000"/>
              <w:bottom w:val="single" w:sz="4" w:space="0" w:color="000000"/>
            </w:tcBorders>
            <w:vAlign w:val="center"/>
          </w:tcPr>
          <w:p>
            <w:pPr>
              <w:pStyle w:val="Normal"/>
              <w:spacing w:before="120" w:after="120"/>
              <w:jc w:val="center"/>
              <w:rPr>
                <w:rFonts w:ascii="Arial" w:hAnsi="Arial" w:cs="Arial"/>
                <w:b/>
                <w:bCs/>
                <w:sz w:val="18"/>
                <w:szCs w:val="18"/>
              </w:rPr>
            </w:pPr>
            <w:r>
              <w:rPr>
                <w:rFonts w:cs="Arial" w:ascii="Arial" w:hAnsi="Arial"/>
              </w:rPr>
              <w:t>2</w:t>
            </w:r>
          </w:p>
        </w:tc>
        <w:tc>
          <w:tcPr>
            <w:tcW w:w="1024" w:type="dxa"/>
            <w:tcBorders>
              <w:top w:val="single" w:sz="4" w:space="0" w:color="000000"/>
              <w:start w:val="single" w:sz="4" w:space="0" w:color="000000"/>
              <w:bottom w:val="single" w:sz="4" w:space="0" w:color="000000"/>
            </w:tcBorders>
            <w:vAlign w:val="center"/>
          </w:tcPr>
          <w:p>
            <w:pPr>
              <w:pStyle w:val="Contedodatabelauser"/>
              <w:spacing w:before="120" w:after="120"/>
              <w:jc w:val="center"/>
              <w:rPr>
                <w:rFonts w:ascii="Arial" w:hAnsi="Arial" w:cs="Arial"/>
              </w:rPr>
            </w:pPr>
            <w:r>
              <w:rPr>
                <w:rFonts w:cs="Arial" w:ascii="Arial" w:hAnsi="Arial"/>
              </w:rPr>
              <w:t>120</w:t>
            </w:r>
          </w:p>
        </w:tc>
        <w:tc>
          <w:tcPr>
            <w:tcW w:w="841" w:type="dxa"/>
            <w:tcBorders>
              <w:top w:val="single" w:sz="4" w:space="0" w:color="000000"/>
              <w:start w:val="single" w:sz="4" w:space="0" w:color="000000"/>
              <w:bottom w:val="single" w:sz="4" w:space="0" w:color="000000"/>
            </w:tcBorders>
            <w:vAlign w:val="center"/>
          </w:tcPr>
          <w:p>
            <w:pPr>
              <w:pStyle w:val="Normal"/>
              <w:spacing w:before="120" w:after="120"/>
              <w:jc w:val="center"/>
              <w:rPr>
                <w:rFonts w:ascii="Arial" w:hAnsi="Arial" w:cs="Arial"/>
              </w:rPr>
            </w:pPr>
            <w:r>
              <w:rPr>
                <w:rFonts w:cs="Arial" w:ascii="Arial" w:hAnsi="Arial"/>
              </w:rPr>
              <w:t>UNI</w:t>
            </w:r>
          </w:p>
        </w:tc>
        <w:tc>
          <w:tcPr>
            <w:tcW w:w="7205" w:type="dxa"/>
            <w:tcBorders>
              <w:top w:val="single" w:sz="4" w:space="0" w:color="000000"/>
              <w:start w:val="single" w:sz="4" w:space="0" w:color="000000"/>
              <w:bottom w:val="single" w:sz="4" w:space="0" w:color="000000"/>
              <w:end w:val="single" w:sz="4" w:space="0" w:color="000000"/>
            </w:tcBorders>
            <w:vAlign w:val="center"/>
          </w:tcPr>
          <w:p>
            <w:pPr>
              <w:pStyle w:val="Normal"/>
              <w:spacing w:before="120" w:after="120"/>
              <w:jc w:val="both"/>
              <w:rPr>
                <w:rFonts w:ascii="Arial" w:hAnsi="Arial" w:cs="Arial"/>
              </w:rPr>
            </w:pPr>
            <w:r>
              <w:rPr>
                <w:rFonts w:cs="Arial" w:ascii="Arial" w:hAnsi="Arial"/>
              </w:rPr>
              <w:t>Locação de cilindro de 1 m3 de oxigênio gasoso medicinal acompanhado de válvula reguladora e fluxômetro, por 12 meses.</w:t>
            </w:r>
          </w:p>
        </w:tc>
      </w:tr>
      <w:tr>
        <w:trPr>
          <w:trHeight w:val="20" w:hRule="atLeast"/>
        </w:trPr>
        <w:tc>
          <w:tcPr>
            <w:tcW w:w="850" w:type="dxa"/>
            <w:tcBorders>
              <w:top w:val="single" w:sz="4" w:space="0" w:color="000000"/>
              <w:start w:val="single" w:sz="4" w:space="0" w:color="000000"/>
              <w:bottom w:val="single" w:sz="4" w:space="0" w:color="000000"/>
            </w:tcBorders>
            <w:vAlign w:val="center"/>
          </w:tcPr>
          <w:p>
            <w:pPr>
              <w:pStyle w:val="Normal"/>
              <w:spacing w:before="120" w:after="120"/>
              <w:jc w:val="center"/>
              <w:rPr>
                <w:rFonts w:ascii="Arial" w:hAnsi="Arial" w:cs="Arial"/>
              </w:rPr>
            </w:pPr>
            <w:r>
              <w:rPr>
                <w:rFonts w:cs="Arial" w:ascii="Arial" w:hAnsi="Arial"/>
              </w:rPr>
              <w:t>3</w:t>
            </w:r>
          </w:p>
        </w:tc>
        <w:tc>
          <w:tcPr>
            <w:tcW w:w="1024" w:type="dxa"/>
            <w:tcBorders>
              <w:top w:val="single" w:sz="4" w:space="0" w:color="000000"/>
              <w:start w:val="single" w:sz="4" w:space="0" w:color="000000"/>
              <w:bottom w:val="single" w:sz="4" w:space="0" w:color="000000"/>
            </w:tcBorders>
            <w:vAlign w:val="center"/>
          </w:tcPr>
          <w:p>
            <w:pPr>
              <w:pStyle w:val="Contedodatabelauser"/>
              <w:spacing w:before="120" w:after="120"/>
              <w:jc w:val="center"/>
              <w:rPr>
                <w:rFonts w:ascii="Arial" w:hAnsi="Arial" w:cs="Arial"/>
              </w:rPr>
            </w:pPr>
            <w:r>
              <w:rPr>
                <w:rFonts w:cs="Arial" w:ascii="Arial" w:hAnsi="Arial"/>
              </w:rPr>
              <w:t>240</w:t>
            </w:r>
          </w:p>
        </w:tc>
        <w:tc>
          <w:tcPr>
            <w:tcW w:w="841" w:type="dxa"/>
            <w:tcBorders>
              <w:top w:val="single" w:sz="4" w:space="0" w:color="000000"/>
              <w:start w:val="single" w:sz="4" w:space="0" w:color="000000"/>
              <w:bottom w:val="single" w:sz="4" w:space="0" w:color="000000"/>
            </w:tcBorders>
            <w:vAlign w:val="center"/>
          </w:tcPr>
          <w:p>
            <w:pPr>
              <w:pStyle w:val="Normal"/>
              <w:spacing w:before="120" w:after="120"/>
              <w:jc w:val="center"/>
              <w:rPr>
                <w:rFonts w:ascii="Arial" w:hAnsi="Arial" w:cs="Arial"/>
              </w:rPr>
            </w:pPr>
            <w:r>
              <w:rPr>
                <w:rFonts w:cs="Arial" w:ascii="Arial" w:hAnsi="Arial"/>
              </w:rPr>
              <w:t>UNI</w:t>
            </w:r>
          </w:p>
        </w:tc>
        <w:tc>
          <w:tcPr>
            <w:tcW w:w="7205" w:type="dxa"/>
            <w:tcBorders>
              <w:top w:val="single" w:sz="4" w:space="0" w:color="000000"/>
              <w:start w:val="single" w:sz="4" w:space="0" w:color="000000"/>
              <w:bottom w:val="single" w:sz="4" w:space="0" w:color="000000"/>
              <w:end w:val="single" w:sz="4" w:space="0" w:color="000000"/>
            </w:tcBorders>
            <w:vAlign w:val="center"/>
          </w:tcPr>
          <w:p>
            <w:pPr>
              <w:pStyle w:val="western"/>
              <w:spacing w:before="120" w:after="120"/>
              <w:rPr/>
            </w:pPr>
            <w:r>
              <w:rPr>
                <w:sz w:val="20"/>
                <w:szCs w:val="20"/>
              </w:rPr>
              <w:t>Recarga de oxigênio gasoso medicinal em cilindro de 4 m3.</w:t>
            </w:r>
          </w:p>
        </w:tc>
      </w:tr>
      <w:tr>
        <w:trPr>
          <w:trHeight w:val="283" w:hRule="atLeast"/>
        </w:trPr>
        <w:tc>
          <w:tcPr>
            <w:tcW w:w="850" w:type="dxa"/>
            <w:tcBorders>
              <w:top w:val="single" w:sz="4" w:space="0" w:color="000000"/>
              <w:start w:val="single" w:sz="4" w:space="0" w:color="000000"/>
              <w:bottom w:val="single" w:sz="4" w:space="0" w:color="000000"/>
            </w:tcBorders>
            <w:vAlign w:val="center"/>
          </w:tcPr>
          <w:p>
            <w:pPr>
              <w:pStyle w:val="Normal"/>
              <w:spacing w:before="120" w:after="120"/>
              <w:jc w:val="center"/>
              <w:rPr>
                <w:rFonts w:ascii="Arial" w:hAnsi="Arial" w:cs="Arial"/>
              </w:rPr>
            </w:pPr>
            <w:r>
              <w:rPr>
                <w:rFonts w:cs="Arial" w:ascii="Arial" w:hAnsi="Arial"/>
              </w:rPr>
              <w:t>4</w:t>
            </w:r>
          </w:p>
        </w:tc>
        <w:tc>
          <w:tcPr>
            <w:tcW w:w="1024" w:type="dxa"/>
            <w:tcBorders>
              <w:top w:val="single" w:sz="4" w:space="0" w:color="000000"/>
              <w:start w:val="single" w:sz="4" w:space="0" w:color="000000"/>
              <w:bottom w:val="single" w:sz="4" w:space="0" w:color="000000"/>
            </w:tcBorders>
            <w:vAlign w:val="center"/>
          </w:tcPr>
          <w:p>
            <w:pPr>
              <w:pStyle w:val="Contedodatabelauser"/>
              <w:spacing w:before="120" w:after="120"/>
              <w:jc w:val="center"/>
              <w:rPr>
                <w:rFonts w:ascii="Arial" w:hAnsi="Arial" w:cs="Arial"/>
              </w:rPr>
            </w:pPr>
            <w:r>
              <w:rPr>
                <w:rFonts w:cs="Arial" w:ascii="Arial" w:hAnsi="Arial"/>
              </w:rPr>
              <w:t>240</w:t>
            </w:r>
          </w:p>
        </w:tc>
        <w:tc>
          <w:tcPr>
            <w:tcW w:w="841" w:type="dxa"/>
            <w:tcBorders>
              <w:top w:val="single" w:sz="4" w:space="0" w:color="000000"/>
              <w:start w:val="single" w:sz="4" w:space="0" w:color="000000"/>
              <w:bottom w:val="single" w:sz="4" w:space="0" w:color="000000"/>
            </w:tcBorders>
            <w:vAlign w:val="center"/>
          </w:tcPr>
          <w:p>
            <w:pPr>
              <w:pStyle w:val="Normal"/>
              <w:spacing w:before="120" w:after="120"/>
              <w:jc w:val="center"/>
              <w:rPr>
                <w:rFonts w:ascii="Arial" w:hAnsi="Arial" w:cs="Arial"/>
              </w:rPr>
            </w:pPr>
            <w:r>
              <w:rPr>
                <w:rFonts w:cs="Arial" w:ascii="Arial" w:hAnsi="Arial"/>
              </w:rPr>
              <w:t>UNI</w:t>
            </w:r>
          </w:p>
        </w:tc>
        <w:tc>
          <w:tcPr>
            <w:tcW w:w="7205" w:type="dxa"/>
            <w:tcBorders>
              <w:top w:val="single" w:sz="4" w:space="0" w:color="000000"/>
              <w:start w:val="single" w:sz="4" w:space="0" w:color="000000"/>
              <w:bottom w:val="single" w:sz="4" w:space="0" w:color="000000"/>
              <w:end w:val="single" w:sz="4" w:space="0" w:color="000000"/>
            </w:tcBorders>
            <w:vAlign w:val="center"/>
          </w:tcPr>
          <w:p>
            <w:pPr>
              <w:pStyle w:val="Normal"/>
              <w:spacing w:before="120" w:after="120"/>
              <w:jc w:val="both"/>
              <w:rPr>
                <w:rFonts w:ascii="Arial" w:hAnsi="Arial" w:cs="Arial"/>
              </w:rPr>
            </w:pPr>
            <w:r>
              <w:rPr>
                <w:rFonts w:cs="Arial" w:ascii="Arial" w:hAnsi="Arial"/>
              </w:rPr>
              <w:t>Recarga de oxigênio gasoso medicinal em cilindro de 1 m3.</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rPr>
          <w:rFonts w:ascii="Arial" w:hAnsi="Arial" w:cs="Arial"/>
          <w:kern w:val="0"/>
          <w:lang w:eastAsia="pt-BR"/>
        </w:rPr>
      </w:pPr>
      <w:r>
        <w:rPr>
          <w:rFonts w:cs="Arial" w:ascii="Arial" w:hAnsi="Arial"/>
          <w:b/>
          <w:bCs/>
          <w:kern w:val="0"/>
          <w:lang w:eastAsia="pt-BR"/>
        </w:rPr>
        <w:t xml:space="preserve">Observação 1: </w:t>
      </w:r>
    </w:p>
    <w:p>
      <w:pPr>
        <w:pStyle w:val="Normal"/>
        <w:jc w:val="both"/>
        <w:rPr>
          <w:rFonts w:ascii="Arial" w:hAnsi="Arial" w:cs="Arial"/>
          <w:kern w:val="0"/>
          <w:lang w:eastAsia="pt-BR"/>
        </w:rPr>
      </w:pPr>
      <w:r>
        <w:rPr>
          <w:rFonts w:cs="Arial" w:ascii="Arial" w:hAnsi="Arial"/>
          <w:b/>
          <w:bCs/>
          <w:kern w:val="0"/>
          <w:lang w:eastAsia="pt-BR"/>
        </w:rPr>
        <w:t>Para os itens 01 e 02, no Sistema Eletrônico a empresa deverá informar o valor</w:t>
      </w:r>
      <w:r>
        <w:rPr>
          <w:rFonts w:cs="Arial" w:ascii="Arial" w:hAnsi="Arial"/>
          <w:b/>
          <w:bCs/>
          <w:kern w:val="0"/>
          <w:u w:val="single"/>
          <w:lang w:eastAsia="pt-BR"/>
        </w:rPr>
        <w:t xml:space="preserve"> </w:t>
      </w:r>
      <w:r>
        <w:rPr>
          <w:rFonts w:cs="Arial" w:ascii="Arial" w:hAnsi="Arial"/>
          <w:b/>
          <w:bCs/>
          <w:kern w:val="0"/>
          <w:lang w:eastAsia="pt-BR"/>
        </w:rPr>
        <w:t>anual por equipamento.</w:t>
      </w:r>
    </w:p>
    <w:p>
      <w:pPr>
        <w:pStyle w:val="Normal"/>
        <w:rPr>
          <w:rFonts w:ascii="Arial" w:hAnsi="Arial" w:cs="Arial"/>
          <w:kern w:val="0"/>
          <w:lang w:eastAsia="pt-BR"/>
        </w:rPr>
      </w:pPr>
      <w:r>
        <w:rPr>
          <w:rFonts w:cs="Arial" w:ascii="Arial" w:hAnsi="Arial"/>
          <w:b/>
          <w:bCs/>
          <w:kern w:val="0"/>
          <w:lang w:eastAsia="pt-BR"/>
        </w:rPr>
        <w:t>No item 01 - Se a locação do concentrador, por mês, custa R$ 10,00, o valor unitário a ser lançado no sistema é R$ 120,00, correspondente a R$ 10,00 x 12 meses.</w:t>
      </w:r>
    </w:p>
    <w:p>
      <w:pPr>
        <w:pStyle w:val="Normal"/>
        <w:rPr>
          <w:rFonts w:ascii="Arial" w:hAnsi="Arial" w:cs="Arial"/>
          <w:kern w:val="0"/>
          <w:lang w:eastAsia="pt-BR"/>
        </w:rPr>
      </w:pPr>
      <w:r>
        <w:rPr>
          <w:rFonts w:cs="Arial" w:ascii="Arial" w:hAnsi="Arial"/>
          <w:b/>
          <w:bCs/>
          <w:kern w:val="0"/>
          <w:lang w:eastAsia="pt-BR"/>
        </w:rPr>
        <w:t>No item 02 - Se a locação do cilindro, por mês, custa R$ 5,00, o valor unitário a ser lançado no sistema é R$ 60,00, correspondente a R$ 5,00 x 12 meses.</w:t>
      </w:r>
    </w:p>
    <w:p>
      <w:pPr>
        <w:pStyle w:val="Normal"/>
        <w:rPr>
          <w:rFonts w:ascii="Arial" w:hAnsi="Arial" w:cs="Arial"/>
          <w:kern w:val="0"/>
          <w:lang w:eastAsia="pt-BR"/>
        </w:rPr>
      </w:pPr>
      <w:r>
        <w:rPr>
          <w:rFonts w:cs="Arial" w:ascii="Arial" w:hAnsi="Arial"/>
          <w:b/>
          <w:bCs/>
          <w:kern w:val="0"/>
          <w:lang w:eastAsia="pt-BR"/>
        </w:rPr>
        <w:t>- Para os itens 03 e 04, no Sistema Eletrônico a empresa deverá informar o valor da recarga de oxigênio.</w:t>
      </w:r>
    </w:p>
    <w:p>
      <w:pPr>
        <w:pStyle w:val="Normal"/>
        <w:rPr>
          <w:rFonts w:ascii="Arial" w:hAnsi="Arial" w:cs="Arial"/>
          <w:kern w:val="0"/>
          <w:lang w:eastAsia="pt-BR"/>
        </w:rPr>
      </w:pPr>
      <w:r>
        <w:rPr>
          <w:rFonts w:cs="Arial" w:ascii="Arial" w:hAnsi="Arial"/>
          <w:b/>
          <w:bCs/>
          <w:kern w:val="0"/>
          <w:lang w:eastAsia="pt-BR"/>
        </w:rPr>
        <w:t xml:space="preserve">Exemplo: </w:t>
      </w:r>
    </w:p>
    <w:p>
      <w:pPr>
        <w:pStyle w:val="Normal"/>
        <w:rPr>
          <w:rFonts w:ascii="Arial" w:hAnsi="Arial" w:cs="Arial"/>
          <w:kern w:val="0"/>
          <w:lang w:eastAsia="pt-BR"/>
        </w:rPr>
      </w:pPr>
      <w:r>
        <w:rPr>
          <w:rFonts w:cs="Arial" w:ascii="Arial" w:hAnsi="Arial"/>
          <w:b/>
          <w:bCs/>
          <w:kern w:val="0"/>
          <w:lang w:eastAsia="pt-BR"/>
        </w:rPr>
        <w:t>No item 03 - Se a recarga do oxigênio em cilindro de 4 m3 custa R$ 2,00, o valor unitário a ser lançado no sistema é R$ 2,00.</w:t>
      </w:r>
    </w:p>
    <w:p>
      <w:pPr>
        <w:pStyle w:val="Normal"/>
        <w:rPr>
          <w:rFonts w:ascii="Arial" w:hAnsi="Arial" w:cs="Arial"/>
          <w:kern w:val="0"/>
          <w:lang w:eastAsia="pt-BR"/>
        </w:rPr>
      </w:pPr>
      <w:r>
        <w:rPr>
          <w:rFonts w:cs="Arial" w:ascii="Arial" w:hAnsi="Arial"/>
          <w:b/>
          <w:bCs/>
          <w:kern w:val="0"/>
          <w:lang w:eastAsia="pt-BR"/>
        </w:rPr>
        <w:t>No item 04 - Se a recarga do oxigênio em cilindro de 1 m3 custa R$ 1,00, o valor unitário a ser lançado no sistema é R$ 1,00.</w:t>
      </w:r>
    </w:p>
    <w:p>
      <w:pPr>
        <w:pStyle w:val="Normal"/>
        <w:rPr>
          <w:rFonts w:ascii="Arial" w:hAnsi="Arial" w:cs="Arial"/>
          <w:kern w:val="0"/>
          <w:lang w:eastAsia="pt-BR"/>
        </w:rPr>
      </w:pPr>
      <w:r>
        <w:rPr>
          <w:rFonts w:cs="Arial" w:ascii="Arial" w:hAnsi="Arial"/>
          <w:b/>
          <w:bCs/>
          <w:kern w:val="0"/>
          <w:u w:val="single"/>
          <w:lang w:eastAsia="pt-BR"/>
        </w:rPr>
        <w:t>Observação 2:</w:t>
      </w:r>
      <w:r>
        <w:rPr>
          <w:rFonts w:cs="Arial" w:ascii="Arial" w:hAnsi="Arial"/>
          <w:kern w:val="0"/>
          <w:lang w:eastAsia="pt-BR"/>
        </w:rPr>
        <w:t xml:space="preserve"> Estamos considerando a quantidade dobrada de recargas levando em consideração que o mesmo equipamento poderá ser utilizado por até 02 pacientes dentro do mesmo mês. Caso o equipamento seja utilizado por mais de 02 pacientes no mês e haja necessidade de recarga, a mesma deverá ser comprada em separado, caso não haja saldo no empenho.</w:t>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numPr>
          <w:ilvl w:val="0"/>
          <w:numId w:val="3"/>
        </w:numPr>
        <w:tabs>
          <w:tab w:val="clear" w:pos="709"/>
          <w:tab w:val="left" w:pos="284" w:leader="none"/>
        </w:tabs>
        <w:jc w:val="both"/>
        <w:rPr>
          <w:rFonts w:ascii="Arial" w:hAnsi="Arial" w:eastAsia="Arial" w:cs="Arial"/>
        </w:rPr>
      </w:pPr>
      <w:r>
        <w:rPr>
          <w:rFonts w:cs="Arial" w:ascii="Arial" w:hAnsi="Arial"/>
        </w:rPr>
        <w:t>Descritivo técnico:</w:t>
      </w:r>
    </w:p>
    <w:p>
      <w:pPr>
        <w:pStyle w:val="Normal"/>
        <w:jc w:val="both"/>
        <w:rPr>
          <w:rFonts w:ascii="Arial" w:hAnsi="Arial" w:cs="Arial"/>
          <w:kern w:val="0"/>
          <w:lang w:eastAsia="pt-BR"/>
        </w:rPr>
      </w:pPr>
      <w:r>
        <w:rPr>
          <w:rFonts w:cs="Arial" w:ascii="Arial" w:hAnsi="Arial"/>
          <w:kern w:val="0"/>
          <w:lang w:eastAsia="pt-BR"/>
        </w:rPr>
        <w:t>Locação de 120 (cento e vinte) concentradores de oxigênio de alta performance que funcionam pela rede elétrica. Seu princípio de funcionamento de baseia em reter o nitrogênio e outros gases contidos no ar ambiente, proporcionando ao paciente o oxigênio através de uma máscara ou cateter nasal, a uma concentração variável entre 90 a 96% dependendo do fluxo prescrito. Equipamento prático e que permita a mobilidade do paciente dentro de seu domicílio. Cada concentrador deverá acompanhar: 01 cilindro de 4 m3 de oxigênio gasoso medicinal com válvula reguladora, fluxômetro, 01 umidificador e 01 cateter nasal, para uso do paciente em caso de falta de energia elétrica e Locação de 01 cilindro de 1 m3 com válvula reguladora e fluxômetro para casos em que o paciente tenha que ser transportado fora de seu domicílio. Cada paciente terá direito a uma recarga por mês tanto do cilindro de 1 m3 quanto do cilindro de 4 m3, que só será utilizada em caso de necessidade, que será avaliada pelo serviço social da Secretaria de Saúde;</w:t>
      </w:r>
    </w:p>
    <w:p>
      <w:pPr>
        <w:pStyle w:val="Normal"/>
        <w:jc w:val="both"/>
        <w:rPr>
          <w:rFonts w:ascii="Arial" w:hAnsi="Arial" w:cs="Arial"/>
        </w:rPr>
      </w:pPr>
      <w:r>
        <w:rPr>
          <w:rFonts w:cs="Arial" w:ascii="Arial" w:hAnsi="Arial"/>
          <w:kern w:val="0"/>
          <w:lang w:eastAsia="pt-BR"/>
        </w:rPr>
        <w:t>Salientamos que o uso do cilindro de 4 m3 será permitido somente em caso de falta de energia e o de 1 m3 para saídas em que estejam relacionadas com o tratamento do paciente, como fazer um exame ou ir a uma consulta médica.</w:t>
      </w:r>
    </w:p>
    <w:p>
      <w:pPr>
        <w:pStyle w:val="Normal"/>
        <w:rPr>
          <w:rFonts w:ascii="Arial" w:hAnsi="Arial" w:cs="Arial"/>
          <w:b/>
        </w:rPr>
      </w:pPr>
      <w:r>
        <w:rPr>
          <w:rFonts w:cs="Arial" w:ascii="Arial" w:hAnsi="Arial"/>
          <w:b/>
        </w:rPr>
        <w:t>Características:</w:t>
      </w:r>
    </w:p>
    <w:p>
      <w:pPr>
        <w:pStyle w:val="Normal"/>
        <w:rPr>
          <w:rFonts w:ascii="Arial" w:hAnsi="Arial" w:cs="Arial"/>
          <w:kern w:val="0"/>
          <w:lang w:eastAsia="pt-BR"/>
        </w:rPr>
      </w:pPr>
      <w:r>
        <w:rPr>
          <w:rFonts w:cs="Arial" w:ascii="Arial" w:hAnsi="Arial"/>
          <w:kern w:val="0"/>
          <w:lang w:eastAsia="pt-BR"/>
        </w:rPr>
        <w:t xml:space="preserve">Alimentação: 127v ou 220v </w:t>
      </w:r>
    </w:p>
    <w:p>
      <w:pPr>
        <w:pStyle w:val="Normal"/>
        <w:rPr>
          <w:rFonts w:ascii="Arial" w:hAnsi="Arial" w:cs="Arial"/>
          <w:kern w:val="0"/>
          <w:lang w:eastAsia="pt-BR"/>
        </w:rPr>
      </w:pPr>
      <w:r>
        <w:rPr>
          <w:rFonts w:cs="Arial" w:ascii="Arial" w:hAnsi="Arial"/>
          <w:kern w:val="0"/>
          <w:lang w:eastAsia="pt-BR"/>
        </w:rPr>
        <w:t>Dimensões aproximadas: 58 x 38 x 24 cm</w:t>
      </w:r>
    </w:p>
    <w:p>
      <w:pPr>
        <w:pStyle w:val="Normal"/>
        <w:rPr>
          <w:rFonts w:ascii="Arial" w:hAnsi="Arial" w:cs="Arial"/>
          <w:kern w:val="0"/>
          <w:lang w:eastAsia="pt-BR"/>
        </w:rPr>
      </w:pPr>
      <w:r>
        <w:rPr>
          <w:rFonts w:cs="Arial" w:ascii="Arial" w:hAnsi="Arial"/>
          <w:kern w:val="0"/>
          <w:lang w:eastAsia="pt-BR"/>
        </w:rPr>
        <w:t>Peso aproximado: 14 kg</w:t>
      </w:r>
    </w:p>
    <w:p>
      <w:pPr>
        <w:pStyle w:val="Normal"/>
        <w:rPr>
          <w:rFonts w:ascii="Arial" w:hAnsi="Arial" w:cs="Arial"/>
          <w:kern w:val="0"/>
          <w:lang w:eastAsia="pt-BR"/>
        </w:rPr>
      </w:pPr>
      <w:r>
        <w:rPr>
          <w:rFonts w:cs="Arial" w:ascii="Arial" w:hAnsi="Arial"/>
          <w:kern w:val="0"/>
          <w:lang w:eastAsia="pt-BR"/>
        </w:rPr>
        <w:t>Nível de ruído aproximado: 45dB</w:t>
      </w:r>
    </w:p>
    <w:p>
      <w:pPr>
        <w:pStyle w:val="Normal"/>
        <w:rPr>
          <w:rFonts w:ascii="Arial" w:hAnsi="Arial" w:cs="Arial"/>
          <w:kern w:val="0"/>
          <w:lang w:eastAsia="pt-BR"/>
        </w:rPr>
      </w:pPr>
      <w:r>
        <w:rPr>
          <w:rFonts w:cs="Arial" w:ascii="Arial" w:hAnsi="Arial"/>
          <w:kern w:val="0"/>
          <w:lang w:eastAsia="pt-BR"/>
        </w:rPr>
        <w:t>Fluxo aproximado: até 5 litros por minuto</w:t>
      </w:r>
    </w:p>
    <w:p>
      <w:pPr>
        <w:pStyle w:val="Normal"/>
        <w:rPr>
          <w:rFonts w:ascii="Arial" w:hAnsi="Arial" w:cs="Arial"/>
          <w:kern w:val="0"/>
          <w:lang w:eastAsia="pt-BR"/>
        </w:rPr>
      </w:pPr>
      <w:r>
        <w:rPr>
          <w:rFonts w:cs="Arial" w:ascii="Arial" w:hAnsi="Arial"/>
          <w:kern w:val="0"/>
          <w:lang w:eastAsia="pt-BR"/>
        </w:rPr>
        <w:t>Pressão de saída: aproximadamente 370 mbar</w:t>
      </w:r>
    </w:p>
    <w:p>
      <w:pPr>
        <w:pStyle w:val="Normal"/>
        <w:jc w:val="both"/>
        <w:rPr>
          <w:rFonts w:ascii="Arial" w:hAnsi="Arial" w:cs="Arial"/>
        </w:rPr>
      </w:pPr>
      <w:r>
        <w:rPr>
          <w:rFonts w:cs="Arial" w:ascii="Arial" w:hAnsi="Arial"/>
          <w:kern w:val="0"/>
          <w:lang w:eastAsia="pt-BR"/>
        </w:rPr>
        <w:t>Equipamento montado sobre rodízios.</w:t>
      </w:r>
    </w:p>
    <w:p>
      <w:pPr>
        <w:pStyle w:val="Normal"/>
        <w:jc w:val="both"/>
        <w:rPr>
          <w:rFonts w:ascii="Arial" w:hAnsi="Arial" w:cs="Arial"/>
        </w:rPr>
      </w:pPr>
      <w:r>
        <w:rPr>
          <w:rFonts w:cs="Arial" w:ascii="Arial" w:hAnsi="Arial"/>
        </w:rPr>
      </w:r>
    </w:p>
    <w:p>
      <w:pPr>
        <w:pStyle w:val="Normal"/>
        <w:shd w:val="clear" w:color="auto" w:fill="CCCCCC"/>
        <w:tabs>
          <w:tab w:val="clear" w:pos="709"/>
          <w:tab w:val="left" w:pos="3450" w:leader="none"/>
        </w:tabs>
        <w:ind w:firstLine="561"/>
        <w:jc w:val="both"/>
        <w:rPr>
          <w:rFonts w:ascii="Arial" w:hAnsi="Arial" w:cs="Arial"/>
          <w:b/>
          <w:bCs/>
        </w:rPr>
      </w:pPr>
      <w:r>
        <w:rPr>
          <w:rFonts w:cs="Arial" w:ascii="Arial" w:hAnsi="Arial"/>
          <w:b/>
          <w:bCs/>
        </w:rPr>
        <w:t>5. DA EXECUÇÃO DOS SERVIÇOS</w:t>
      </w:r>
    </w:p>
    <w:p>
      <w:pPr>
        <w:pStyle w:val="Normal"/>
        <w:numPr>
          <w:ilvl w:val="0"/>
          <w:numId w:val="20"/>
        </w:numPr>
        <w:tabs>
          <w:tab w:val="clear" w:pos="709"/>
          <w:tab w:val="left" w:pos="284" w:leader="none"/>
        </w:tabs>
        <w:jc w:val="both"/>
        <w:rPr>
          <w:rFonts w:ascii="Arial" w:hAnsi="Arial" w:cs="Arial"/>
        </w:rPr>
      </w:pPr>
      <w:r>
        <w:rPr>
          <w:rFonts w:cs="Arial" w:ascii="Arial" w:hAnsi="Arial"/>
          <w:kern w:val="0"/>
          <w:lang w:eastAsia="pt-BR"/>
        </w:rPr>
        <w:t>Os equipamentos deverão ser entregues pela contratada na casa do paciente, sendo que o endereço e autorização de entrega serão passados pela Secretaria de Saúde, através do Serviço Social, por escrito.</w:t>
      </w:r>
    </w:p>
    <w:p>
      <w:pPr>
        <w:pStyle w:val="Normal"/>
        <w:numPr>
          <w:ilvl w:val="0"/>
          <w:numId w:val="3"/>
        </w:numPr>
        <w:tabs>
          <w:tab w:val="clear" w:pos="709"/>
          <w:tab w:val="left" w:pos="284" w:leader="none"/>
        </w:tabs>
        <w:jc w:val="both"/>
        <w:rPr>
          <w:rFonts w:ascii="Arial" w:hAnsi="Arial" w:cs="Arial"/>
        </w:rPr>
      </w:pPr>
      <w:r>
        <w:rPr>
          <w:rFonts w:cs="Arial" w:ascii="Arial" w:hAnsi="Arial"/>
          <w:kern w:val="0"/>
          <w:lang w:eastAsia="pt-BR"/>
        </w:rPr>
        <w:t>A contratada deverá disponibilizar telefone e e-mail para as solicitações de entrega e retirada do equipamento.</w:t>
      </w:r>
    </w:p>
    <w:p>
      <w:pPr>
        <w:pStyle w:val="Normal"/>
        <w:numPr>
          <w:ilvl w:val="0"/>
          <w:numId w:val="3"/>
        </w:numPr>
        <w:tabs>
          <w:tab w:val="clear" w:pos="709"/>
          <w:tab w:val="left" w:pos="284" w:leader="none"/>
        </w:tabs>
        <w:jc w:val="both"/>
        <w:rPr>
          <w:rFonts w:ascii="Arial" w:hAnsi="Arial" w:cs="Arial"/>
        </w:rPr>
      </w:pPr>
      <w:r>
        <w:rPr>
          <w:rFonts w:cs="Arial" w:ascii="Arial" w:hAnsi="Arial"/>
          <w:kern w:val="0"/>
          <w:lang w:eastAsia="pt-BR"/>
        </w:rPr>
        <w:t>A entrega e a retirada do equipamento na residência do paciente, pela contratada, deverá se dar no prazo máximo de 24 horas a partir da solicitação por escrito enviada pelo Serviço Social, assim como para a recarga dos cilindros. A entrega deverá ser feita por instaladores/técnicos da empresa, de maneira que possam explicar/instruir o paciente e/ou a família de como o equipamento funciona e deve ser manuseado, assim como instalar máscara adequada para cada caso.</w:t>
      </w:r>
    </w:p>
    <w:p>
      <w:pPr>
        <w:pStyle w:val="Normal"/>
        <w:numPr>
          <w:ilvl w:val="0"/>
          <w:numId w:val="3"/>
        </w:numPr>
        <w:tabs>
          <w:tab w:val="clear" w:pos="709"/>
          <w:tab w:val="left" w:pos="284" w:leader="none"/>
        </w:tabs>
        <w:jc w:val="both"/>
        <w:rPr>
          <w:rFonts w:ascii="Arial" w:hAnsi="Arial" w:cs="Arial"/>
        </w:rPr>
      </w:pPr>
      <w:r>
        <w:rPr>
          <w:rFonts w:cs="Arial" w:ascii="Arial" w:hAnsi="Arial"/>
          <w:kern w:val="0"/>
          <w:lang w:eastAsia="pt-BR"/>
        </w:rPr>
        <w:t>A contratada deverá disponibilizar serviço 24 horas telefone e e-mail para atendimentos de suporte ao paciente em horário comercial e fora dele, para casos de problemas técnicos que venham ocorrer, urgências ou até mesmo dúvidas, sem ônus a contratante ou ao usuário.</w:t>
      </w:r>
    </w:p>
    <w:p>
      <w:pPr>
        <w:pStyle w:val="Normal"/>
        <w:numPr>
          <w:ilvl w:val="0"/>
          <w:numId w:val="3"/>
        </w:numPr>
        <w:tabs>
          <w:tab w:val="clear" w:pos="709"/>
          <w:tab w:val="left" w:pos="284" w:leader="none"/>
        </w:tabs>
        <w:jc w:val="both"/>
        <w:rPr>
          <w:rFonts w:ascii="Arial" w:hAnsi="Arial" w:cs="Arial"/>
        </w:rPr>
      </w:pPr>
      <w:r>
        <w:rPr>
          <w:rFonts w:cs="Arial" w:ascii="Arial" w:hAnsi="Arial"/>
          <w:b/>
          <w:bCs/>
          <w:kern w:val="0"/>
          <w:lang w:eastAsia="pt-BR"/>
        </w:rPr>
        <w:t>DA RESPONSABILIDADE CIVIL DO CONTRATADO</w:t>
      </w:r>
    </w:p>
    <w:p>
      <w:pPr>
        <w:pStyle w:val="ListParagraph"/>
        <w:numPr>
          <w:ilvl w:val="0"/>
          <w:numId w:val="8"/>
        </w:numPr>
        <w:tabs>
          <w:tab w:val="clear" w:pos="709"/>
          <w:tab w:val="left" w:pos="284" w:leader="none"/>
        </w:tabs>
        <w:spacing w:lineRule="auto" w:line="240" w:before="0" w:after="0"/>
        <w:ind w:hanging="0" w:start="0"/>
        <w:jc w:val="both"/>
        <w:rPr>
          <w:rFonts w:ascii="Arial" w:hAnsi="Arial" w:cs="Arial"/>
          <w:sz w:val="20"/>
          <w:szCs w:val="20"/>
        </w:rPr>
      </w:pPr>
      <w:r>
        <w:rPr>
          <w:rFonts w:eastAsia="Times New Roman" w:cs="Arial" w:ascii="Arial" w:hAnsi="Arial"/>
          <w:kern w:val="0"/>
          <w:sz w:val="20"/>
          <w:szCs w:val="20"/>
          <w:lang w:eastAsia="pt-BR"/>
        </w:rPr>
        <w:t>O contratado é responsável pela indenização de danos causados ao paciente, aos órgãos do SUS e a terceiros a eles vinculados, decorrentes de ação ou omissão voluntária, ou de negligência, imperícia ou prepostos, ficando assegurado ao contratante o direito de regresso;</w:t>
      </w:r>
    </w:p>
    <w:p>
      <w:pPr>
        <w:pStyle w:val="ListParagraph"/>
        <w:numPr>
          <w:ilvl w:val="0"/>
          <w:numId w:val="8"/>
        </w:numPr>
        <w:tabs>
          <w:tab w:val="clear" w:pos="709"/>
          <w:tab w:val="left" w:pos="284" w:leader="none"/>
        </w:tabs>
        <w:spacing w:lineRule="auto" w:line="240" w:before="0" w:after="0"/>
        <w:ind w:hanging="0" w:start="0"/>
        <w:jc w:val="both"/>
        <w:rPr>
          <w:rFonts w:ascii="Arial" w:hAnsi="Arial" w:cs="Arial"/>
          <w:sz w:val="20"/>
          <w:szCs w:val="20"/>
        </w:rPr>
      </w:pPr>
      <w:r>
        <w:rPr>
          <w:rFonts w:eastAsia="Times New Roman" w:cs="Arial" w:ascii="Arial" w:hAnsi="Arial"/>
          <w:kern w:val="0"/>
          <w:sz w:val="20"/>
          <w:szCs w:val="20"/>
          <w:lang w:eastAsia="pt-BR"/>
        </w:rPr>
        <w:t>A fiscalização ou acompanhamento da execução deste contrato pelos órgãos competentes do contratante, através da Secretaria de Saúde, não exclui nem reduz a responsabilidade do contratado nos termos da legislação referente a licitações e contratos administrativos e demais legislação existente;</w:t>
      </w:r>
    </w:p>
    <w:p>
      <w:pPr>
        <w:pStyle w:val="ListParagraph"/>
        <w:numPr>
          <w:ilvl w:val="0"/>
          <w:numId w:val="8"/>
        </w:numPr>
        <w:tabs>
          <w:tab w:val="clear" w:pos="709"/>
          <w:tab w:val="left" w:pos="284" w:leader="none"/>
        </w:tabs>
        <w:spacing w:lineRule="auto" w:line="240" w:before="0" w:after="0"/>
        <w:ind w:hanging="0" w:start="0"/>
        <w:jc w:val="both"/>
        <w:rPr>
          <w:rFonts w:ascii="Arial" w:hAnsi="Arial" w:cs="Arial"/>
          <w:sz w:val="20"/>
          <w:szCs w:val="20"/>
        </w:rPr>
      </w:pPr>
      <w:r>
        <w:rPr>
          <w:rFonts w:eastAsia="Times New Roman" w:cs="Arial" w:ascii="Arial" w:hAnsi="Arial"/>
          <w:kern w:val="0"/>
          <w:sz w:val="20"/>
          <w:szCs w:val="20"/>
          <w:lang w:eastAsia="pt-BR"/>
        </w:rPr>
        <w:t>A responsabilidade de que trata essa cláusula estende-se aos casos de danos causados por má prestação dos serviços, nos estritos termos do art. 14 da Lei nº 8078, de 11 de setembro de 1990 – Código de Defesa do Consumidor.</w:t>
      </w:r>
    </w:p>
    <w:p>
      <w:pPr>
        <w:pStyle w:val="Nivel2"/>
        <w:numPr>
          <w:ilvl w:val="0"/>
          <w:numId w:val="0"/>
        </w:numPr>
        <w:spacing w:lineRule="auto" w:line="240" w:before="0" w:after="0"/>
        <w:ind w:hanging="0" w:start="360"/>
        <w:rPr>
          <w:color w:val="auto"/>
        </w:rPr>
      </w:pPr>
      <w:r>
        <w:rPr>
          <w:color w:val="auto"/>
        </w:rPr>
      </w:r>
    </w:p>
    <w:p>
      <w:pPr>
        <w:pStyle w:val="Normal"/>
        <w:shd w:val="clear" w:color="auto" w:fill="CCCCCC"/>
        <w:ind w:firstLine="561"/>
        <w:rPr>
          <w:rFonts w:ascii="Arial" w:hAnsi="Arial" w:cs="Arial"/>
        </w:rPr>
      </w:pPr>
      <w:r>
        <w:rPr>
          <w:rFonts w:cs="Arial" w:ascii="Arial" w:hAnsi="Arial"/>
          <w:b/>
          <w:bCs/>
        </w:rPr>
        <w:t>6. DA GARANTIA E ASSISTÊNCIA TÉCNICA</w:t>
      </w:r>
    </w:p>
    <w:p>
      <w:pPr>
        <w:pStyle w:val="Normal"/>
        <w:numPr>
          <w:ilvl w:val="0"/>
          <w:numId w:val="21"/>
        </w:numPr>
        <w:tabs>
          <w:tab w:val="clear" w:pos="709"/>
          <w:tab w:val="left" w:pos="284" w:leader="none"/>
        </w:tabs>
        <w:jc w:val="both"/>
        <w:rPr>
          <w:rFonts w:ascii="Arial" w:hAnsi="Arial" w:cs="Arial"/>
        </w:rPr>
      </w:pPr>
      <w:r>
        <w:rPr>
          <w:rFonts w:cs="Arial" w:ascii="Arial" w:hAnsi="Arial"/>
          <w:kern w:val="0"/>
          <w:lang w:eastAsia="pt-BR"/>
        </w:rPr>
        <w:t>Caso haja algum problema no equipamento, ou acessórios, durante o uso, será solicitada pelo Cuidador ou familiar responsável pelo paciente, a substituição pela empresa imediatamente sem qualquer custo adicional, sendo que o prazo máximo para a substituição do equipamento ou acessórios é de 6 (seis) horas; caso seja necessária a troca da máscara, deverá ser feita avaliação da máscara em uso para troca quando necessária</w:t>
      </w:r>
      <w:r>
        <w:rPr>
          <w:rFonts w:cs="Arial" w:ascii="Arial" w:hAnsi="Arial"/>
        </w:rPr>
        <w:t>.</w:t>
      </w:r>
    </w:p>
    <w:p>
      <w:pPr>
        <w:pStyle w:val="Normal"/>
        <w:tabs>
          <w:tab w:val="clear" w:pos="709"/>
          <w:tab w:val="left" w:pos="284" w:leader="none"/>
        </w:tabs>
        <w:jc w:val="both"/>
        <w:rPr/>
      </w:pPr>
      <w:r>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7. DO FORNECIMENTO DE INFORMAÇÕES:</w:t>
      </w:r>
    </w:p>
    <w:p>
      <w:pPr>
        <w:pStyle w:val="Normal"/>
        <w:numPr>
          <w:ilvl w:val="0"/>
          <w:numId w:val="7"/>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Hyperlink"/>
            <w:rFonts w:cs="Arial" w:ascii="Arial" w:hAnsi="Arial"/>
          </w:rPr>
          <w:t>https://bnccompras.com</w:t>
        </w:r>
      </w:hyperlink>
      <w:r>
        <w:rPr>
          <w:rFonts w:cs="Arial" w:ascii="Arial" w:hAnsi="Arial"/>
        </w:rPr>
        <w:t xml:space="preserve"> </w:t>
      </w:r>
    </w:p>
    <w:p>
      <w:pPr>
        <w:pStyle w:val="Normal"/>
        <w:tabs>
          <w:tab w:val="clear" w:pos="709"/>
          <w:tab w:val="left" w:pos="284" w:leader="none"/>
        </w:tabs>
        <w:jc w:val="both"/>
        <w:rPr/>
      </w:pPr>
      <w:r>
        <w:rPr/>
      </w:r>
    </w:p>
    <w:p>
      <w:pPr>
        <w:pStyle w:val="Normal"/>
        <w:shd w:val="clear" w:color="auto" w:fill="CCCCCC"/>
        <w:ind w:firstLine="561"/>
        <w:jc w:val="both"/>
        <w:rPr>
          <w:rFonts w:ascii="Arial" w:hAnsi="Arial" w:cs="Arial"/>
        </w:rPr>
      </w:pPr>
      <w:r>
        <w:rPr>
          <w:rFonts w:cs="Arial" w:ascii="Arial" w:hAnsi="Arial"/>
          <w:b/>
          <w:bCs/>
        </w:rPr>
        <w:t>8. DO CONTROLE, AVALIAÇÃO, VISTORIA, FISCALIZAÇÃO E SUBCONTRATAÇÃO:</w:t>
      </w:r>
    </w:p>
    <w:p>
      <w:pPr>
        <w:pStyle w:val="Normal"/>
        <w:numPr>
          <w:ilvl w:val="0"/>
          <w:numId w:val="6"/>
        </w:numPr>
        <w:tabs>
          <w:tab w:val="clear" w:pos="709"/>
          <w:tab w:val="left" w:pos="284" w:leader="none"/>
        </w:tabs>
        <w:jc w:val="both"/>
        <w:rPr>
          <w:rFonts w:ascii="Arial" w:hAnsi="Arial" w:cs="Arial"/>
          <w:color w:val="000000"/>
        </w:rPr>
      </w:pPr>
      <w:r>
        <w:rPr>
          <w:rFonts w:cs="Arial" w:ascii="Arial" w:hAnsi="Arial"/>
          <w:kern w:val="0"/>
          <w:lang w:eastAsia="pt-BR"/>
        </w:rPr>
        <w:t>A execução do presente contrato será avaliada pelos órgãos competentes da Secretaria Municipal de Saúde, mediante procedimentos de supervisão indireta ou local, os quais observarão o cumprimento das cláusulas e condições estabelecidas neste contrato</w:t>
      </w:r>
      <w:r>
        <w:rPr>
          <w:rFonts w:cs="Arial" w:ascii="Arial" w:hAnsi="Arial"/>
          <w:color w:val="000000"/>
        </w:rPr>
        <w:t>;</w:t>
      </w:r>
    </w:p>
    <w:p>
      <w:pPr>
        <w:pStyle w:val="Normal"/>
        <w:numPr>
          <w:ilvl w:val="0"/>
          <w:numId w:val="6"/>
        </w:numPr>
        <w:tabs>
          <w:tab w:val="clear" w:pos="709"/>
          <w:tab w:val="left" w:pos="284" w:leader="none"/>
        </w:tabs>
        <w:jc w:val="both"/>
        <w:rPr>
          <w:rFonts w:ascii="Arial" w:hAnsi="Arial" w:cs="Arial"/>
          <w:color w:val="000000"/>
        </w:rPr>
      </w:pPr>
      <w:r>
        <w:rPr>
          <w:rFonts w:cs="Arial" w:ascii="Arial" w:hAnsi="Arial"/>
          <w:kern w:val="0"/>
          <w:lang w:eastAsia="pt-BR"/>
        </w:rPr>
        <w:t>Qualquer alteração ou modificação que importe em diminuição da capacidade operativa do contratante, poderá ensejar a não prorrogação deste contrato ou a revisão das condições ora estipuladas;</w:t>
      </w:r>
    </w:p>
    <w:p>
      <w:pPr>
        <w:pStyle w:val="Normal"/>
        <w:numPr>
          <w:ilvl w:val="0"/>
          <w:numId w:val="6"/>
        </w:numPr>
        <w:tabs>
          <w:tab w:val="clear" w:pos="709"/>
          <w:tab w:val="left" w:pos="284" w:leader="none"/>
        </w:tabs>
        <w:jc w:val="both"/>
        <w:rPr>
          <w:rFonts w:ascii="Arial" w:hAnsi="Arial" w:cs="Arial"/>
          <w:color w:val="000000"/>
        </w:rPr>
      </w:pPr>
      <w:r>
        <w:rPr>
          <w:rFonts w:cs="Arial" w:ascii="Arial" w:hAnsi="Arial"/>
          <w:kern w:val="0"/>
          <w:lang w:eastAsia="pt-BR"/>
        </w:rPr>
        <w:t>A fiscalização exercida pelo contratante sobre os serviços ora contratados não eximirá o contratado da sua plena responsabilidade perante o contratante, ou para os pacientes e terceiros, decorrentes de culpa ou dolo na execução do contrato;</w:t>
      </w:r>
    </w:p>
    <w:p>
      <w:pPr>
        <w:pStyle w:val="Normal"/>
        <w:numPr>
          <w:ilvl w:val="0"/>
          <w:numId w:val="6"/>
        </w:numPr>
        <w:tabs>
          <w:tab w:val="clear" w:pos="709"/>
          <w:tab w:val="left" w:pos="284" w:leader="none"/>
        </w:tabs>
        <w:jc w:val="both"/>
        <w:rPr>
          <w:rFonts w:ascii="Arial" w:hAnsi="Arial" w:cs="Arial"/>
          <w:color w:val="000000"/>
        </w:rPr>
      </w:pPr>
      <w:r>
        <w:rPr>
          <w:rFonts w:cs="Arial" w:ascii="Arial" w:hAnsi="Arial"/>
          <w:kern w:val="0"/>
          <w:lang w:eastAsia="pt-BR"/>
        </w:rPr>
        <w:t>O contratado facilitará ao contratante o acompanhamento e a fiscalização permanente dos serviços e prestará todos os esclarecimentos que lhe forem solicitados pelos servidores do contratante, designados para tal fim.</w:t>
      </w:r>
    </w:p>
    <w:p>
      <w:pPr>
        <w:pStyle w:val="Normal"/>
        <w:numPr>
          <w:ilvl w:val="0"/>
          <w:numId w:val="6"/>
        </w:numPr>
        <w:tabs>
          <w:tab w:val="clear" w:pos="709"/>
          <w:tab w:val="left" w:pos="284" w:leader="none"/>
        </w:tabs>
        <w:jc w:val="both"/>
        <w:rPr>
          <w:rFonts w:ascii="Arial" w:hAnsi="Arial" w:cs="Arial"/>
          <w:color w:val="000000"/>
        </w:rPr>
      </w:pPr>
      <w:r>
        <w:rPr>
          <w:rFonts w:cs="Arial" w:ascii="Arial" w:hAnsi="Arial"/>
          <w:kern w:val="0"/>
          <w:lang w:eastAsia="pt-BR"/>
        </w:rPr>
        <w:t>Não é admitida a subcontratação do objeto contratual.</w:t>
      </w:r>
    </w:p>
    <w:p>
      <w:pPr>
        <w:pStyle w:val="Normal"/>
        <w:tabs>
          <w:tab w:val="clear" w:pos="709"/>
          <w:tab w:val="left" w:pos="284" w:leader="none"/>
        </w:tabs>
        <w:jc w:val="both"/>
        <w:rPr/>
      </w:pPr>
      <w:r>
        <w:rPr/>
      </w:r>
    </w:p>
    <w:p>
      <w:pPr>
        <w:pStyle w:val="Normal"/>
        <w:shd w:val="clear" w:color="auto" w:fill="CCCCCC"/>
        <w:ind w:firstLine="561"/>
        <w:jc w:val="both"/>
        <w:rPr>
          <w:rFonts w:ascii="Arial" w:hAnsi="Arial" w:cs="Arial"/>
        </w:rPr>
      </w:pPr>
      <w:r>
        <w:rPr>
          <w:rFonts w:cs="Arial" w:ascii="Arial" w:hAnsi="Arial"/>
          <w:b/>
          <w:bCs/>
        </w:rPr>
        <w:t>9. EXIGÊNCIA PARA HABILITAÇÃO:</w:t>
      </w:r>
    </w:p>
    <w:p>
      <w:pPr>
        <w:pStyle w:val="Normal"/>
        <w:jc w:val="both"/>
        <w:rPr>
          <w:rFonts w:ascii="Arial" w:hAnsi="Arial" w:cs="Arial"/>
          <w:color w:val="000000"/>
        </w:rPr>
      </w:pPr>
      <w:r>
        <w:rPr>
          <w:rFonts w:cs="Arial" w:ascii="Arial" w:hAnsi="Arial"/>
          <w:b/>
          <w:color w:val="000000"/>
        </w:rPr>
        <w:t>a)</w:t>
      </w:r>
      <w:r>
        <w:rPr>
          <w:rFonts w:cs="Arial" w:ascii="Arial" w:hAnsi="Arial"/>
          <w:b/>
          <w:bCs/>
          <w:color w:val="000000"/>
        </w:rPr>
        <w:t xml:space="preserve"> HABILITAÇÃO JURÍDICA</w:t>
      </w:r>
    </w:p>
    <w:p>
      <w:pPr>
        <w:pStyle w:val="Normal"/>
        <w:jc w:val="both"/>
        <w:rPr>
          <w:rFonts w:ascii="Arial" w:hAnsi="Arial" w:cs="Arial"/>
          <w:color w:val="000000"/>
        </w:rPr>
      </w:pPr>
      <w:r>
        <w:rPr>
          <w:rFonts w:cs="Arial" w:ascii="Arial" w:hAnsi="Arial"/>
          <w:color w:val="000000"/>
        </w:rPr>
        <w:t xml:space="preserve">1. Registro Comercial, no caso de empresa individual; </w:t>
      </w:r>
      <w:r>
        <w:rPr>
          <w:rFonts w:cs="Arial" w:ascii="Arial" w:hAnsi="Arial"/>
          <w:b/>
          <w:color w:val="000000"/>
        </w:rPr>
        <w:t xml:space="preserve">ou </w:t>
      </w:r>
      <w:r>
        <w:rPr>
          <w:rFonts w:cs="Arial" w:ascii="Arial" w:hAnsi="Arial"/>
          <w:color w:val="000000"/>
        </w:rPr>
        <w:t xml:space="preserve">Ato constitutivo (Estatuto ou Contrato Social em vigor), devidamente registrado no Órgão competente, acompanhado de documento comprobatório da eleição dos atuais administradores; </w:t>
      </w:r>
      <w:r>
        <w:rPr>
          <w:rFonts w:cs="Arial" w:ascii="Arial" w:hAnsi="Arial"/>
          <w:b/>
          <w:color w:val="000000"/>
        </w:rPr>
        <w:t xml:space="preserve">ou </w:t>
      </w:r>
      <w:r>
        <w:rPr>
          <w:rFonts w:cs="Arial" w:ascii="Arial" w:hAnsi="Arial"/>
          <w:color w:val="000000"/>
        </w:rPr>
        <w:t>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lang w:eastAsia="pt-BR"/>
        </w:rPr>
      </w:pPr>
      <w:r>
        <w:rPr>
          <w:rFonts w:cs="Arial" w:ascii="Arial" w:hAnsi="Arial"/>
          <w:color w:val="000000"/>
        </w:rPr>
        <w:t xml:space="preserve">2. </w:t>
      </w:r>
      <w:r>
        <w:rPr>
          <w:rFonts w:cs="Arial" w:ascii="Arial" w:hAnsi="Arial"/>
          <w:lang w:eastAsia="pt-BR"/>
        </w:rPr>
        <w:t>Apresentar Licença Sanitária Estadual ou Municipal vigente, compatível com o objeto da licitação e com as atividades desenvolvidas pela empresa.</w:t>
      </w:r>
    </w:p>
    <w:p>
      <w:pPr>
        <w:pStyle w:val="Normal"/>
        <w:tabs>
          <w:tab w:val="clear" w:pos="709"/>
          <w:tab w:val="left" w:pos="284" w:leader="none"/>
        </w:tabs>
        <w:jc w:val="both"/>
        <w:rPr>
          <w:rFonts w:ascii="Arial" w:hAnsi="Arial" w:cs="Arial"/>
          <w:color w:val="000000"/>
        </w:rPr>
      </w:pPr>
      <w:r>
        <w:rPr>
          <w:rFonts w:cs="Arial" w:ascii="Arial" w:hAnsi="Arial"/>
          <w:color w:val="000000"/>
        </w:rPr>
        <w:t>3. Apresentar Autorização de Funcionamento de Empresa – AFE, expedida pela ANVISA, válida.</w:t>
      </w:r>
    </w:p>
    <w:p>
      <w:pPr>
        <w:pStyle w:val="Normal"/>
        <w:tabs>
          <w:tab w:val="clear" w:pos="709"/>
          <w:tab w:val="left" w:pos="1005" w:leader="none"/>
        </w:tabs>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b) REGULARIDADE FISCAL E TRABALHISTA</w:t>
      </w:r>
    </w:p>
    <w:p>
      <w:pPr>
        <w:pStyle w:val="Normal"/>
        <w:jc w:val="both"/>
        <w:rPr/>
      </w:pPr>
      <w:r>
        <w:rPr>
          <w:rFonts w:cs="Arial" w:ascii="Arial" w:hAnsi="Arial"/>
        </w:rPr>
        <w:t>1.</w:t>
      </w:r>
      <w:r>
        <w:rPr>
          <w:rFonts w:cs="Arial" w:ascii="Arial" w:hAnsi="Arial"/>
          <w:color w:val="000000"/>
        </w:rPr>
        <w:t xml:space="preserve"> Inscrição no Cadastro Nacional de Pessoa Jurídica (CNPJ), do Ministério da Fazenda.</w:t>
      </w:r>
    </w:p>
    <w:p>
      <w:pPr>
        <w:pStyle w:val="Normal"/>
        <w:jc w:val="both"/>
        <w:rPr/>
      </w:pPr>
      <w:r>
        <w:rPr>
          <w:rFonts w:cs="Arial" w:ascii="Arial" w:hAnsi="Arial"/>
        </w:rPr>
        <w:t xml:space="preserve">2. </w:t>
      </w: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jc w:val="both"/>
        <w:rPr>
          <w:rFonts w:ascii="Arial" w:hAnsi="Arial" w:cs="Arial"/>
          <w:color w:val="000000"/>
        </w:rPr>
      </w:pPr>
      <w:r>
        <w:rPr>
          <w:rFonts w:cs="Arial" w:ascii="Arial" w:hAnsi="Arial"/>
          <w:color w:val="000000"/>
        </w:rPr>
        <w:t>3. C</w:t>
      </w:r>
      <w:r>
        <w:rPr>
          <w:rFonts w:cs="Calibri" w:ascii="Arial" w:hAnsi="Arial"/>
          <w:color w:val="000000"/>
        </w:rPr>
        <w:t>ertidão Negativa de Débitos ou Positiva com Efeito de Negativa de Débitos com a Fazenda Municipal</w:t>
      </w:r>
      <w:r>
        <w:rPr>
          <w:rFonts w:cs="Arial" w:ascii="Arial" w:hAnsi="Arial"/>
          <w:color w:val="000000"/>
        </w:rPr>
        <w:t xml:space="preserve"> de débito, relativa à sede ou do domicílio do licitante, com relação aos tributos mobiliários (ISS);</w:t>
      </w:r>
    </w:p>
    <w:p>
      <w:pPr>
        <w:pStyle w:val="Normal"/>
        <w:jc w:val="both"/>
        <w:rPr/>
      </w:pPr>
      <w:r>
        <w:rPr>
          <w:rFonts w:cs="Arial" w:ascii="Arial" w:hAnsi="Arial"/>
          <w:color w:val="000000"/>
        </w:rPr>
        <w:t xml:space="preserve">4. Certidão de regularidade de débito para com o Fundo de Garantia por Tempo de Serviço (FGTS); </w:t>
      </w:r>
    </w:p>
    <w:p>
      <w:pPr>
        <w:pStyle w:val="Normal"/>
        <w:jc w:val="both"/>
        <w:rPr>
          <w:rFonts w:ascii="Arial" w:hAnsi="Arial" w:cs="Arial"/>
          <w:color w:val="000000"/>
        </w:rPr>
      </w:pPr>
      <w:r>
        <w:rPr>
          <w:rFonts w:cs="Arial" w:ascii="Arial" w:hAnsi="Arial"/>
          <w:color w:val="000000"/>
        </w:rPr>
        <w:t>5. Certidão Negativa de Débitos Trabalhistas ou Positiva de Débitos Trabalhistas com Efeito de Negativa.</w:t>
      </w:r>
    </w:p>
    <w:p>
      <w:pPr>
        <w:pStyle w:val="Normal"/>
        <w:tabs>
          <w:tab w:val="clear" w:pos="709"/>
          <w:tab w:val="left" w:pos="284" w:leader="none"/>
        </w:tabs>
        <w:jc w:val="end"/>
        <w:rPr>
          <w:rFonts w:ascii="Arial" w:hAnsi="Arial" w:cs="Arial"/>
          <w:highlight w:val="yellow"/>
        </w:rPr>
      </w:pPr>
      <w:r>
        <w:rPr>
          <w:rFonts w:cs="Arial" w:ascii="Arial" w:hAnsi="Arial"/>
          <w:highlight w:val="yellow"/>
        </w:rPr>
      </w:r>
    </w:p>
    <w:p>
      <w:pPr>
        <w:pStyle w:val="ListParagraph"/>
        <w:spacing w:lineRule="auto" w:line="240" w:before="0" w:after="0"/>
        <w:ind w:start="0"/>
        <w:jc w:val="both"/>
        <w:rPr>
          <w:rFonts w:ascii="Arial" w:hAnsi="Arial" w:cs="Arial"/>
          <w:sz w:val="20"/>
          <w:szCs w:val="20"/>
        </w:rPr>
      </w:pPr>
      <w:r>
        <w:rPr>
          <w:rFonts w:cs="Arial" w:ascii="Arial" w:hAnsi="Arial"/>
          <w:b/>
          <w:bCs/>
          <w:sz w:val="20"/>
          <w:szCs w:val="20"/>
        </w:rPr>
        <w:t>c) QUALIFICAÇÃO ECONÔMICO-FINANCEIRA</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 xml:space="preserve">falência </w:t>
      </w:r>
      <w:r>
        <w:rPr>
          <w:rFonts w:cs="Arial" w:ascii="Arial" w:hAnsi="Arial"/>
        </w:rPr>
        <w:t>expedida pelo distribuidor da sede da pessoa jurídica, com data não superior a 180 (cento e oitenta) dias, da data limite para o recebimento das propostas da presente licitação.</w:t>
      </w:r>
    </w:p>
    <w:p>
      <w:pPr>
        <w:pStyle w:val="Normal"/>
        <w:numPr>
          <w:ilvl w:val="2"/>
          <w:numId w:val="6"/>
        </w:numPr>
        <w:tabs>
          <w:tab w:val="clear" w:pos="709"/>
          <w:tab w:val="left" w:pos="284" w:leader="none"/>
        </w:tabs>
        <w:jc w:val="both"/>
        <w:rPr>
          <w:rFonts w:ascii="Arial" w:hAnsi="Arial" w:cs="Arial"/>
        </w:rPr>
      </w:pP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 w:val="left" w:pos="426" w:leader="none"/>
          <w:tab w:val="left" w:pos="567" w:leader="none"/>
        </w:tabs>
        <w:jc w:val="both"/>
        <w:rPr>
          <w:rFonts w:ascii="Arial" w:hAnsi="Arial" w:cs="Arial"/>
        </w:rPr>
      </w:pPr>
      <w:r>
        <w:rPr>
          <w:rFonts w:cs="Arial" w:ascii="Arial" w:hAnsi="Arial"/>
          <w:b/>
          <w:bCs/>
        </w:rPr>
        <w:t>QUALIFICAÇÃO TÉCNICA</w:t>
      </w:r>
    </w:p>
    <w:p>
      <w:pPr>
        <w:pStyle w:val="Normal"/>
        <w:numPr>
          <w:ilvl w:val="1"/>
          <w:numId w:val="9"/>
        </w:numPr>
        <w:tabs>
          <w:tab w:val="clear" w:pos="709"/>
          <w:tab w:val="left" w:pos="284" w:leader="none"/>
          <w:tab w:val="left" w:pos="426" w:leader="none"/>
          <w:tab w:val="left" w:pos="567" w:leader="none"/>
        </w:tabs>
        <w:jc w:val="both"/>
        <w:rPr>
          <w:rFonts w:ascii="Arial" w:hAnsi="Arial" w:cs="Arial"/>
        </w:rPr>
      </w:pPr>
      <w:r>
        <w:rPr>
          <w:rFonts w:cs="Arial" w:ascii="Arial" w:hAnsi="Arial"/>
        </w:rPr>
        <w:t>Atestado(s) de capacidade técnica, expedidas por empresas Públicas ou Privadas, em nome da licitante, que comprove a execução satisfatória de serviços similares ao objeto desta licitação, com identificação de quem o assinou.</w:t>
      </w:r>
    </w:p>
    <w:p>
      <w:pPr>
        <w:pStyle w:val="ListParagraph"/>
        <w:tabs>
          <w:tab w:val="clear" w:pos="709"/>
          <w:tab w:val="left" w:pos="284" w:leader="none"/>
        </w:tabs>
        <w:spacing w:lineRule="auto" w:line="245"/>
        <w:ind w:start="0"/>
        <w:jc w:val="both"/>
        <w:rPr>
          <w:rFonts w:ascii="Arial" w:hAnsi="Arial" w:cs="Arial"/>
          <w:color w:val="000000"/>
        </w:rPr>
      </w:pPr>
      <w:r>
        <w:rPr>
          <w:rFonts w:cs="Arial" w:ascii="Arial" w:hAnsi="Arial"/>
          <w:color w:val="000000"/>
        </w:rPr>
      </w:r>
    </w:p>
    <w:p>
      <w:pPr>
        <w:pStyle w:val="Normal"/>
        <w:ind w:firstLine="561"/>
        <w:jc w:val="both"/>
        <w:rPr>
          <w:rFonts w:ascii="Arial" w:hAnsi="Arial" w:cs="Arial"/>
        </w:rPr>
      </w:pPr>
      <w:r>
        <w:rPr>
          <w:rFonts w:cs="Arial" w:ascii="Arial" w:hAnsi="Arial"/>
        </w:rPr>
        <w:t>Piracicaba, 19 de outubro de 2026</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ind w:firstLine="561"/>
        <w:jc w:val="center"/>
        <w:rPr>
          <w:rFonts w:ascii="Arial" w:hAnsi="Arial" w:cs="Arial"/>
          <w:b/>
          <w:bCs/>
        </w:rPr>
      </w:pPr>
      <w:r>
        <w:rPr>
          <w:rFonts w:cs="Arial" w:ascii="Arial" w:hAnsi="Arial"/>
          <w:b/>
          <w:bCs/>
        </w:rPr>
        <w:t>Larissa Palomo Monferdini</w:t>
      </w:r>
    </w:p>
    <w:p>
      <w:pPr>
        <w:pStyle w:val="Normal"/>
        <w:ind w:firstLine="561"/>
        <w:jc w:val="center"/>
        <w:rPr>
          <w:rFonts w:ascii="Arial" w:hAnsi="Arial"/>
          <w:b/>
          <w:bCs/>
        </w:rPr>
      </w:pPr>
      <w:r>
        <w:rPr>
          <w:rFonts w:ascii="Arial" w:hAnsi="Arial"/>
          <w:b/>
          <w:bCs/>
        </w:rPr>
        <w:t>Chefe de Setor</w:t>
      </w:r>
      <w:r>
        <w:br w:type="page"/>
      </w:r>
    </w:p>
    <w:p>
      <w:pPr>
        <w:pStyle w:val="Heading2"/>
        <w:numPr>
          <w:ilvl w:val="1"/>
          <w:numId w:val="1"/>
        </w:numPr>
        <w:tabs>
          <w:tab w:val="clear" w:pos="709"/>
        </w:tabs>
        <w:spacing w:before="0" w:after="0"/>
        <w:ind w:hanging="0" w:start="0"/>
        <w:rPr/>
      </w:pPr>
      <w:r>
        <w:rPr/>
      </w:r>
    </w:p>
    <w:p>
      <w:pPr>
        <w:pStyle w:val="Heading2"/>
        <w:numPr>
          <w:ilvl w:val="1"/>
          <w:numId w:val="1"/>
        </w:numPr>
        <w:tabs>
          <w:tab w:val="clear" w:pos="709"/>
        </w:tabs>
        <w:ind w:hanging="0" w:start="0"/>
        <w:rPr/>
      </w:pPr>
      <w:r>
        <w:rPr>
          <w:sz w:val="28"/>
          <w:szCs w:val="28"/>
        </w:rPr>
        <w:t>REGULAMENTO GERAL</w:t>
      </w:r>
    </w:p>
    <w:p>
      <w:pPr>
        <w:pStyle w:val="BodyText"/>
        <w:jc w:val="center"/>
        <w:rPr>
          <w:sz w:val="20"/>
          <w:lang w:val="pt-BR"/>
        </w:rPr>
      </w:pPr>
      <w:r>
        <w:rPr>
          <w:sz w:val="20"/>
          <w:lang w:val="pt-BR"/>
        </w:rPr>
      </w:r>
    </w:p>
    <w:p>
      <w:pPr>
        <w:pStyle w:val="Normal"/>
        <w:jc w:val="center"/>
        <w:rPr>
          <w:rFonts w:ascii="Arial" w:hAnsi="Arial" w:cs="Arial"/>
          <w:sz w:val="24"/>
          <w:szCs w:val="24"/>
        </w:rPr>
      </w:pPr>
      <w:r>
        <w:rPr>
          <w:rFonts w:cs="Arial" w:ascii="Arial" w:hAnsi="Arial"/>
          <w:sz w:val="24"/>
          <w:szCs w:val="24"/>
        </w:rPr>
        <w:t>Pregão Eletrônico – Registro de Preços – Serviços</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para REGISTRO DE PREÇOS na modalidade PREGÃO ELETRÔNICO</w:t>
      </w:r>
      <w:r>
        <w:rPr>
          <w:rFonts w:cs="Arial" w:ascii="Arial" w:hAnsi="Arial"/>
          <w:bCs/>
        </w:rPr>
        <w:t>.</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4">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5">
        <w:r>
          <w:rPr>
            <w:rStyle w:val="Hyperlink"/>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3. RECEBIMENTO E ABERTURA DAS PROPOSTAS E DATA DO PREGÃO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4.1. </w:t>
      </w:r>
      <w:r>
        <w:rPr>
          <w:rFonts w:cs="Arial" w:ascii="Arial" w:hAnsi="Arial"/>
        </w:rPr>
        <w:t>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5.2. A participação neste Pregão é aberta as empresas de todos os portes.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color w:themeColor="text1" w:val="000000"/>
          <w:kern w:val="2"/>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rFonts w:ascii="Arial" w:hAnsi="Arial" w:cs="Arial"/>
          <w:color w:themeColor="text1" w:val="000000"/>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6">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ind w:firstLine="284"/>
        <w:rPr>
          <w:sz w:val="20"/>
          <w:szCs w:val="20"/>
        </w:rPr>
      </w:pPr>
      <w:r>
        <w:rPr>
          <w:sz w:val="20"/>
          <w:szCs w:val="20"/>
        </w:rPr>
      </w:r>
    </w:p>
    <w:p>
      <w:pPr>
        <w:pStyle w:val="BodyText"/>
        <w:ind w:firstLine="284"/>
        <w:rPr>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6.5.</w:t>
      </w:r>
      <w:r>
        <w:rPr>
          <w:rFonts w:cs="Arial" w:ascii="Arial" w:hAnsi="Arial"/>
        </w:rPr>
        <w:t xml:space="preserve"> 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rPr>
      </w:pPr>
      <w:r>
        <w:rPr>
          <w:rFonts w:cs="Arial" w:ascii="Arial" w:hAnsi="Arial"/>
        </w:rPr>
      </w:r>
    </w:p>
    <w:p>
      <w:pPr>
        <w:pStyle w:val="Heading9"/>
        <w:numPr>
          <w:ilvl w:val="8"/>
          <w:numId w:val="1"/>
        </w:numPr>
        <w:ind w:firstLine="284" w:start="0"/>
        <w:rPr/>
      </w:pPr>
      <w:r>
        <w:rPr>
          <w:i w:val="false"/>
          <w:iCs w:val="false"/>
          <w:sz w:val="20"/>
          <w:szCs w:val="20"/>
        </w:rPr>
        <w:t>7. participação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7">
        <w:r>
          <w:rPr>
            <w:rStyle w:val="Hyperlink"/>
            <w:rFonts w:cs="Arial" w:ascii="Arial" w:hAnsi="Arial"/>
          </w:rPr>
          <w:t>https://bnccompras.com</w:t>
        </w:r>
      </w:hyperlink>
      <w:r>
        <w:rPr>
          <w:rFonts w:cs="Arial" w:ascii="Arial" w:hAnsi="Arial"/>
        </w:rPr>
        <w:t>, observados data e horário limite estabelecidos neste Edital.</w:t>
      </w:r>
    </w:p>
    <w:p>
      <w:pPr>
        <w:pStyle w:val="BodyTextIndent"/>
        <w:overflowPunct w:val="false"/>
        <w:spacing w:lineRule="auto" w:line="240"/>
        <w:ind w:firstLine="284"/>
        <w:textAlignment w:val="auto"/>
        <w:rPr>
          <w:sz w:val="20"/>
          <w:szCs w:val="20"/>
          <w:lang w:val="pt-BR"/>
        </w:rPr>
      </w:pPr>
      <w:r>
        <w:rPr>
          <w:sz w:val="20"/>
          <w:szCs w:val="20"/>
          <w:lang w:val="pt-BR"/>
        </w:rPr>
      </w:r>
    </w:p>
    <w:p>
      <w:pPr>
        <w:pStyle w:val="BodyTextIndent"/>
        <w:overflowPunct w:val="false"/>
        <w:spacing w:lineRule="auto" w:line="240"/>
        <w:ind w:firstLine="284"/>
        <w:textAlignment w:val="auto"/>
        <w:rPr>
          <w:sz w:val="20"/>
          <w:szCs w:val="20"/>
          <w:lang w:val="pt-BR"/>
        </w:rPr>
      </w:pPr>
      <w:r>
        <w:rPr>
          <w:b/>
          <w:bCs/>
          <w:sz w:val="20"/>
          <w:szCs w:val="20"/>
        </w:rPr>
        <w:t xml:space="preserve">7.2. </w:t>
      </w:r>
      <w:r>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pPr>
        <w:pStyle w:val="BodyTextIndent"/>
        <w:overflowPunct w:val="false"/>
        <w:spacing w:lineRule="auto" w:line="240"/>
        <w:ind w:firstLine="284"/>
        <w:textAlignment w:val="auto"/>
        <w:rPr>
          <w:sz w:val="20"/>
          <w:szCs w:val="20"/>
        </w:rPr>
      </w:pPr>
      <w:r>
        <w:rPr>
          <w:sz w:val="20"/>
          <w:szCs w:val="20"/>
        </w:rPr>
      </w:r>
    </w:p>
    <w:p>
      <w:pPr>
        <w:pStyle w:val="BodyTextIndent"/>
        <w:overflowPunct w:val="false"/>
        <w:spacing w:lineRule="auto" w:line="240"/>
        <w:ind w:firstLine="284"/>
        <w:textAlignment w:val="auto"/>
        <w:rPr>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pPr>
        <w:pStyle w:val="BodyTextIndent"/>
        <w:overflowPunct w:val="false"/>
        <w:spacing w:lineRule="auto" w:line="240"/>
        <w:ind w:firstLine="284"/>
        <w:textAlignment w:val="auto"/>
        <w:rPr>
          <w:sz w:val="20"/>
          <w:szCs w:val="20"/>
        </w:rPr>
      </w:pPr>
      <w:r>
        <w:rPr>
          <w:sz w:val="20"/>
          <w:szCs w:val="20"/>
        </w:rPr>
      </w:r>
    </w:p>
    <w:p>
      <w:pPr>
        <w:pStyle w:val="BodyTextIndent"/>
        <w:overflowPunct w:val="false"/>
        <w:spacing w:lineRule="auto" w:line="240"/>
        <w:ind w:firstLine="284"/>
        <w:textAlignment w:val="auto"/>
        <w:rPr>
          <w:sz w:val="20"/>
          <w:szCs w:val="20"/>
        </w:rPr>
      </w:pPr>
      <w:r>
        <w:rPr>
          <w:b/>
          <w:bCs/>
          <w:sz w:val="20"/>
          <w:szCs w:val="20"/>
        </w:rPr>
        <w:t>7.4.</w:t>
      </w:r>
      <w:r>
        <w:rPr>
          <w:sz w:val="20"/>
          <w:szCs w:val="20"/>
        </w:rPr>
        <w:t xml:space="preserve"> Quando a desconexão persistir por tempo superior a 10 (dez) minutos, a sessão do Pregão será suspensa, retornando somente após comunicação expressa as licitantes.</w:t>
      </w:r>
    </w:p>
    <w:p>
      <w:pPr>
        <w:pStyle w:val="BodyTextIndent"/>
        <w:overflowPunct w:val="false"/>
        <w:spacing w:lineRule="auto" w:line="240"/>
        <w:ind w:firstLine="284"/>
        <w:textAlignment w:val="auto"/>
        <w:rPr>
          <w:sz w:val="20"/>
          <w:szCs w:val="20"/>
        </w:rPr>
      </w:pPr>
      <w:r>
        <w:rPr>
          <w:sz w:val="20"/>
          <w:szCs w:val="20"/>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color w:themeColor="accent1" w:val="4472C4"/>
        </w:rPr>
      </w:pPr>
      <w:r>
        <w:rPr>
          <w:rFonts w:cs="Arial" w:ascii="Arial" w:hAnsi="Arial"/>
          <w:color w:themeColor="accent1" w:val="4472C4"/>
        </w:rPr>
      </w:r>
    </w:p>
    <w:p>
      <w:pPr>
        <w:pStyle w:val="Normal"/>
        <w:ind w:firstLine="284"/>
        <w:jc w:val="both"/>
        <w:rPr>
          <w:rFonts w:ascii="Arial" w:hAnsi="Arial" w:cs="Arial"/>
          <w:b/>
          <w:bCs/>
        </w:rPr>
      </w:pPr>
      <w:r>
        <w:rPr>
          <w:rFonts w:cs="Arial" w:ascii="Arial" w:hAnsi="Arial"/>
          <w:b/>
          <w:bCs/>
        </w:rPr>
        <w:t xml:space="preserve">8.1. </w:t>
      </w:r>
      <w:r>
        <w:rPr>
          <w:rFonts w:cs="Arial" w:ascii="Arial" w:hAnsi="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8.2. </w:t>
      </w:r>
      <w:r>
        <w:rPr>
          <w:rFonts w:cs="Arial" w:ascii="Arial" w:hAnsi="Arial"/>
        </w:rPr>
        <w:t>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8.3.</w:t>
      </w:r>
      <w:r>
        <w:rPr>
          <w:rFonts w:cs="Arial" w:ascii="Arial" w:hAnsi="Arial"/>
        </w:rPr>
        <w:t xml:space="preserve"> As licitantes deverão declarar sua condição de Microempresa ou Empresa de Pequeno Porte, ao selecionar se são ou não beneficiárias da Lei Complementar n.º 123/2006 alterada pela Lei Complementar nº 147/2014.</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8.5.</w:t>
      </w:r>
      <w:r>
        <w:rPr>
          <w:rFonts w:cs="Arial" w:ascii="Arial" w:hAnsi="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8.6. </w:t>
      </w:r>
      <w:r>
        <w:rPr>
          <w:rFonts w:cs="Arial" w:ascii="Arial" w:hAnsi="Arial"/>
        </w:rPr>
        <w:t>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start="0"/>
        <w:jc w:val="both"/>
        <w:rPr>
          <w:rFonts w:ascii="Arial" w:hAnsi="Arial" w:cs="Arial"/>
        </w:rPr>
      </w:pPr>
      <w:r>
        <w:rPr>
          <w:rFonts w:cs="Arial" w:ascii="Arial" w:hAnsi="Arial"/>
          <w:b/>
          <w:bCs/>
        </w:rPr>
        <w:t>8.7.</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8.7.1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t>8.7.2. A proposta readequada deverá seguir o modelo disponível no Anexo IV deste edital.</w:t>
      </w:r>
    </w:p>
    <w:p>
      <w:pPr>
        <w:pStyle w:val="Normal"/>
        <w:numPr>
          <w:ilvl w:val="0"/>
          <w:numId w:val="1"/>
        </w:numPr>
        <w:ind w:firstLine="284" w:start="0"/>
        <w:jc w:val="both"/>
        <w:rPr>
          <w:rFonts w:ascii="Arial" w:hAnsi="Arial" w:cs="Arial"/>
          <w:b/>
        </w:rPr>
      </w:pPr>
      <w:r>
        <w:rPr>
          <w:rFonts w:cs="Arial" w:ascii="Arial" w:hAnsi="Arial"/>
          <w:b/>
        </w:rPr>
      </w:r>
    </w:p>
    <w:p>
      <w:pPr>
        <w:pStyle w:val="Normal"/>
        <w:ind w:firstLine="284"/>
        <w:rPr>
          <w:rFonts w:ascii="Arial" w:hAnsi="Arial" w:cs="Arial"/>
        </w:rPr>
      </w:pPr>
      <w:r>
        <w:rPr>
          <w:rFonts w:cs="Arial" w:ascii="Arial" w:hAnsi="Arial"/>
          <w:b/>
          <w:bCs/>
        </w:rPr>
        <w:t>8.8.</w:t>
      </w:r>
      <w:r>
        <w:rPr>
          <w:rFonts w:cs="Arial" w:ascii="Arial" w:hAnsi="Arial"/>
        </w:rPr>
        <w:t xml:space="preserve"> O licitante poderá suprir ou sanear eventuais omissões ou falhas relativas ao cumprimento dos requisitos do item 8.8.,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8.9.</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pPr>
      <w:r>
        <w:rPr/>
      </w:r>
    </w:p>
    <w:p>
      <w:pPr>
        <w:pStyle w:val="Heading8"/>
        <w:numPr>
          <w:ilvl w:val="7"/>
          <w:numId w:val="22"/>
        </w:numPr>
        <w:ind w:firstLine="284" w:start="0"/>
        <w:rPr>
          <w:caps/>
          <w:kern w:val="2"/>
          <w:sz w:val="20"/>
          <w:szCs w:val="20"/>
        </w:rPr>
      </w:pPr>
      <w:r>
        <w:rPr>
          <w:caps/>
          <w:sz w:val="20"/>
          <w:szCs w:val="20"/>
        </w:rPr>
        <w:t>9</w:t>
      </w:r>
      <w:r>
        <w:rPr>
          <w:caps/>
          <w:sz w:val="20"/>
          <w:szCs w:val="20"/>
          <w:lang w:val="pt-BR"/>
        </w:rPr>
        <w:t>.</w:t>
      </w:r>
      <w:r>
        <w:rPr>
          <w:caps/>
          <w:sz w:val="20"/>
          <w:szCs w:val="20"/>
        </w:rPr>
        <w:t xml:space="preserve"> ENVIO DA DOCUMENTAÇÃO DE HABILITAÇÃO </w:t>
      </w:r>
    </w:p>
    <w:p>
      <w:pPr>
        <w:pStyle w:val="Normal"/>
        <w:ind w:firstLine="284"/>
        <w:rPr>
          <w:b/>
        </w:rPr>
      </w:pPr>
      <w:r>
        <w:rPr>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start="0"/>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9.2.1. </w:t>
      </w:r>
      <w:r>
        <w:rPr>
          <w:rFonts w:cs="Arial" w:ascii="Arial" w:hAnsi="Arial"/>
        </w:rPr>
        <w:t>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BodyTextIndent"/>
        <w:ind w:firstLine="284"/>
        <w:rPr>
          <w:bCs/>
          <w:color w:val="auto"/>
        </w:rPr>
      </w:pPr>
      <w:r>
        <w:rPr>
          <w:rFonts w:eastAsia="Arial"/>
          <w:b/>
          <w:bCs/>
          <w:color w:val="auto"/>
          <w:sz w:val="20"/>
          <w:szCs w:val="20"/>
        </w:rPr>
        <w:t>9.2.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bCs/>
        </w:rPr>
      </w:pPr>
      <w:r>
        <w:rPr>
          <w:rFonts w:cs="Arial" w:ascii="Arial" w:hAnsi="Arial"/>
          <w:bCs/>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9.3.1.</w:t>
      </w:r>
      <w:r>
        <w:rPr>
          <w:rFonts w:cs="Arial" w:ascii="Arial" w:hAnsi="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9.3.2.</w:t>
      </w:r>
      <w:r>
        <w:rPr>
          <w:rFonts w:cs="Arial" w:ascii="Arial" w:hAnsi="Arial"/>
        </w:rPr>
        <w:t xml:space="preserve"> 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9.4. Os documentos que compõem a habilitação do licitante melhor classificado somente serão disponibilizados para avaliação do pregoeiro e para acesso público após o encerramento do envio de lances.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9.5.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9.5.1.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9.5.2.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rPr>
      </w:pPr>
      <w:r>
        <w:rPr>
          <w:rFonts w:cs="Arial" w:ascii="Arial" w:hAnsi="Arial"/>
        </w:rPr>
      </w:r>
    </w:p>
    <w:p>
      <w:pPr>
        <w:pStyle w:val="Heading8"/>
        <w:numPr>
          <w:ilvl w:val="7"/>
          <w:numId w:val="1"/>
        </w:numPr>
        <w:ind w:firstLine="284" w:start="0"/>
        <w:rPr/>
      </w:pPr>
      <w:r>
        <w:rPr>
          <w:caps/>
          <w:sz w:val="20"/>
          <w:szCs w:val="20"/>
        </w:rPr>
        <w:t>10</w:t>
      </w:r>
      <w:r>
        <w:rPr>
          <w:caps/>
          <w:sz w:val="20"/>
          <w:szCs w:val="20"/>
          <w:lang w:val="pt-BR"/>
        </w:rPr>
        <w:t>.</w:t>
      </w:r>
      <w:r>
        <w:rPr>
          <w:caps/>
          <w:sz w:val="20"/>
          <w:szCs w:val="20"/>
        </w:rPr>
        <w:t xml:space="preserve"> abertura</w:t>
      </w:r>
    </w:p>
    <w:p>
      <w:pPr>
        <w:pStyle w:val="Normal"/>
        <w:ind w:firstLine="284"/>
        <w:jc w:val="both"/>
        <w:rPr>
          <w:rFonts w:ascii="Arial" w:hAnsi="Arial" w:cs="Arial"/>
        </w:rPr>
      </w:pPr>
      <w:r>
        <w:rPr>
          <w:rFonts w:cs="Arial" w:ascii="Arial" w:hAnsi="Arial"/>
        </w:rPr>
      </w:r>
    </w:p>
    <w:p>
      <w:pPr>
        <w:pStyle w:val="Normal"/>
        <w:numPr>
          <w:ilvl w:val="0"/>
          <w:numId w:val="1"/>
        </w:numPr>
        <w:ind w:firstLine="284" w:start="0"/>
        <w:jc w:val="both"/>
        <w:rPr>
          <w:rFonts w:ascii="Arial" w:hAnsi="Arial" w:cs="Arial"/>
          <w:kern w:val="2"/>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1"/>
        </w:numPr>
        <w:ind w:firstLine="284" w:start="0"/>
        <w:jc w:val="both"/>
        <w:rPr>
          <w:rFonts w:ascii="Arial" w:hAnsi="Arial" w:cs="Arial"/>
        </w:rPr>
      </w:pPr>
      <w:r>
        <w:rPr>
          <w:rFonts w:cs="Arial" w:ascii="Arial" w:hAnsi="Arial"/>
        </w:rPr>
      </w:r>
    </w:p>
    <w:p>
      <w:pPr>
        <w:pStyle w:val="Normal"/>
        <w:numPr>
          <w:ilvl w:val="0"/>
          <w:numId w:val="1"/>
        </w:numPr>
        <w:ind w:firstLine="284" w:start="0"/>
        <w:jc w:val="both"/>
        <w:rPr>
          <w:rFonts w:ascii="Arial" w:hAnsi="Arial" w:cs="Arial"/>
        </w:rPr>
      </w:pPr>
      <w:r>
        <w:rPr>
          <w:rFonts w:cs="Arial" w:ascii="Arial" w:hAnsi="Arial"/>
          <w:b/>
          <w:bCs/>
        </w:rPr>
        <w:t xml:space="preserve">10.2. </w:t>
      </w:r>
      <w:r>
        <w:rPr>
          <w:rFonts w:cs="Arial" w:ascii="Arial" w:hAnsi="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1"/>
        </w:numPr>
        <w:ind w:firstLine="284" w:start="0"/>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start="0"/>
        <w:jc w:val="both"/>
        <w:rPr>
          <w:rFonts w:ascii="Arial" w:hAnsi="Arial" w:cs="Arial"/>
        </w:rPr>
      </w:pPr>
      <w:r>
        <w:rPr>
          <w:rFonts w:cs="Arial" w:ascii="Arial" w:hAnsi="Arial"/>
          <w:b/>
          <w:bCs/>
        </w:rPr>
        <w:t>10.2.1.</w:t>
      </w:r>
      <w:r>
        <w:rPr>
          <w:rFonts w:cs="Arial" w:ascii="Arial" w:hAnsi="Arial"/>
        </w:rPr>
        <w:t xml:space="preserve"> Não serão aceitos dois ou mais lances de mesmo valor, prevalecendo aquele que for recebido e registrado em primeiro lugar.</w:t>
      </w:r>
    </w:p>
    <w:p>
      <w:pPr>
        <w:pStyle w:val="Normal"/>
        <w:numPr>
          <w:ilvl w:val="0"/>
          <w:numId w:val="1"/>
        </w:numPr>
        <w:ind w:firstLine="284" w:start="0"/>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start="0"/>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1"/>
        </w:numPr>
        <w:ind w:firstLine="284" w:start="0"/>
        <w:jc w:val="both"/>
        <w:rPr>
          <w:rFonts w:ascii="Arial" w:hAnsi="Arial" w:cs="Arial"/>
        </w:rPr>
      </w:pPr>
      <w:r>
        <w:rPr>
          <w:rFonts w:cs="Arial" w:ascii="Arial" w:hAnsi="Arial"/>
        </w:rPr>
      </w:r>
    </w:p>
    <w:p>
      <w:pPr>
        <w:pStyle w:val="Normal"/>
        <w:numPr>
          <w:ilvl w:val="0"/>
          <w:numId w:val="1"/>
        </w:numPr>
        <w:ind w:firstLine="284" w:start="0"/>
        <w:jc w:val="both"/>
        <w:rPr>
          <w:rFonts w:ascii="Arial" w:hAnsi="Arial" w:cs="Arial"/>
        </w:rPr>
      </w:pPr>
      <w:r>
        <w:rPr>
          <w:rFonts w:cs="Arial" w:ascii="Arial" w:hAnsi="Arial"/>
          <w:b/>
          <w:bCs/>
        </w:rPr>
        <w:t>10.3.</w:t>
      </w:r>
      <w:r>
        <w:rPr>
          <w:rFonts w:cs="Arial" w:ascii="Arial" w:hAnsi="Arial"/>
        </w:rPr>
        <w:t xml:space="preserve"> Durante o transcurso da sessão pública, as licitantes serão informadas, em tempo real, do valor do menor lance registrado. O sistema eletrônico não identificará a autora dos lances às demais licitantes.</w:t>
      </w:r>
    </w:p>
    <w:p>
      <w:pPr>
        <w:pStyle w:val="Normal"/>
        <w:numPr>
          <w:ilvl w:val="0"/>
          <w:numId w:val="1"/>
        </w:numPr>
        <w:ind w:firstLine="284" w:start="0"/>
        <w:jc w:val="both"/>
        <w:rPr>
          <w:rFonts w:ascii="Arial" w:hAnsi="Arial" w:cs="Arial"/>
        </w:rPr>
      </w:pPr>
      <w:r>
        <w:rPr>
          <w:rFonts w:cs="Arial" w:ascii="Arial" w:hAnsi="Arial"/>
        </w:rPr>
      </w:r>
    </w:p>
    <w:p>
      <w:pPr>
        <w:pStyle w:val="Normal"/>
        <w:numPr>
          <w:ilvl w:val="0"/>
          <w:numId w:val="1"/>
        </w:numPr>
        <w:ind w:firstLine="284" w:start="0"/>
        <w:jc w:val="both"/>
        <w:rPr>
          <w:rFonts w:ascii="Arial" w:hAnsi="Arial" w:cs="Arial"/>
        </w:rPr>
      </w:pPr>
      <w:r>
        <w:rPr>
          <w:rFonts w:cs="Arial" w:ascii="Arial" w:hAnsi="Arial"/>
          <w:b/>
          <w:bCs/>
        </w:rPr>
        <w:t>10.4.</w:t>
      </w:r>
      <w:r>
        <w:rPr>
          <w:rFonts w:cs="Arial" w:ascii="Arial" w:hAnsi="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1"/>
        </w:numPr>
        <w:ind w:firstLine="284" w:start="0"/>
        <w:jc w:val="both"/>
        <w:rPr>
          <w:rFonts w:ascii="Arial" w:hAnsi="Arial" w:cs="Arial"/>
        </w:rPr>
      </w:pPr>
      <w:r>
        <w:rPr>
          <w:rFonts w:cs="Arial" w:ascii="Arial" w:hAnsi="Arial"/>
        </w:rPr>
      </w:r>
    </w:p>
    <w:p>
      <w:pPr>
        <w:pStyle w:val="BodyText"/>
        <w:numPr>
          <w:ilvl w:val="0"/>
          <w:numId w:val="1"/>
        </w:numPr>
        <w:ind w:firstLine="284" w:start="0"/>
        <w:rPr>
          <w:sz w:val="20"/>
          <w:szCs w:val="20"/>
        </w:rPr>
      </w:pPr>
      <w:r>
        <w:rPr>
          <w:b/>
          <w:bCs/>
          <w:sz w:val="20"/>
          <w:szCs w:val="20"/>
        </w:rPr>
        <w:t>10.5.</w:t>
      </w:r>
      <w:r>
        <w:rPr>
          <w:sz w:val="20"/>
          <w:szCs w:val="20"/>
        </w:rPr>
        <w:t xml:space="preserve"> Na hipótese de não haver novos lances no período da prorrogação automática que trata o item 10.4, a sessão pública será encerrada automaticamente.</w:t>
      </w:r>
    </w:p>
    <w:p>
      <w:pPr>
        <w:pStyle w:val="BodyText"/>
        <w:numPr>
          <w:ilvl w:val="0"/>
          <w:numId w:val="1"/>
        </w:numPr>
        <w:ind w:firstLine="284" w:start="0"/>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pPr>
        <w:pStyle w:val="BodyText"/>
        <w:ind w:firstLine="284"/>
        <w:rPr>
          <w:sz w:val="20"/>
          <w:szCs w:val="20"/>
          <w:highlight w:val="yellow"/>
        </w:rPr>
      </w:pPr>
      <w:r>
        <w:rPr>
          <w:sz w:val="20"/>
          <w:szCs w:val="20"/>
          <w:highlight w:val="yellow"/>
        </w:rPr>
      </w:r>
    </w:p>
    <w:p>
      <w:pPr>
        <w:pStyle w:val="BodyText"/>
        <w:numPr>
          <w:ilvl w:val="0"/>
          <w:numId w:val="1"/>
        </w:numPr>
        <w:ind w:firstLine="284" w:star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w:t>
      </w:r>
      <w:r>
        <w:rPr>
          <w:sz w:val="20"/>
        </w:rPr>
        <w:t>Agente de Contratação</w:t>
      </w:r>
      <w:r>
        <w:rPr>
          <w:sz w:val="18"/>
          <w:szCs w:val="20"/>
        </w:rPr>
        <w:t xml:space="preserve"> </w:t>
      </w:r>
      <w:r>
        <w:rPr>
          <w:sz w:val="20"/>
          <w:szCs w:val="20"/>
        </w:rPr>
        <w:t>poderá encaminhar, pelo sistema eletrônico, contraproposta diretamente a licitante que tenha apresentado o lance de menor preço, para que seja obtido preço melhor ao anteriormente ofertado, bem como decidir sobre sua aceitação.</w:t>
      </w:r>
    </w:p>
    <w:p>
      <w:pPr>
        <w:pStyle w:val="BodyText"/>
        <w:numPr>
          <w:ilvl w:val="0"/>
          <w:numId w:val="1"/>
        </w:numPr>
        <w:ind w:firstLine="284" w:start="0"/>
        <w:rPr>
          <w:sz w:val="20"/>
          <w:szCs w:val="20"/>
        </w:rPr>
      </w:pPr>
      <w:r>
        <w:rPr>
          <w:sz w:val="20"/>
          <w:szCs w:val="20"/>
        </w:rPr>
      </w:r>
    </w:p>
    <w:p>
      <w:pPr>
        <w:pStyle w:val="BodyText"/>
        <w:numPr>
          <w:ilvl w:val="0"/>
          <w:numId w:val="1"/>
        </w:numPr>
        <w:ind w:firstLine="284" w:star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rPr>
        <w:t>Agente de Contratação</w:t>
      </w:r>
      <w:r>
        <w:rPr>
          <w:sz w:val="18"/>
          <w:szCs w:val="20"/>
        </w:rPr>
        <w:t xml:space="preserve"> </w:t>
      </w:r>
      <w:r>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Pr>
          <w:sz w:val="20"/>
        </w:rPr>
        <w:t>Agente de Contratação</w:t>
      </w:r>
      <w:r>
        <w:rPr>
          <w:sz w:val="20"/>
          <w:szCs w:val="20"/>
        </w:rPr>
        <w:t xml:space="preserve"> poderá negociar com a licitante para que seja obtido menor preço.</w:t>
      </w:r>
    </w:p>
    <w:p>
      <w:pPr>
        <w:pStyle w:val="BodyText"/>
        <w:numPr>
          <w:ilvl w:val="0"/>
          <w:numId w:val="1"/>
        </w:numPr>
        <w:ind w:firstLine="284" w:start="0"/>
        <w:rPr>
          <w:sz w:val="20"/>
          <w:szCs w:val="20"/>
        </w:rPr>
      </w:pPr>
      <w:r>
        <w:rPr>
          <w:sz w:val="20"/>
          <w:szCs w:val="20"/>
        </w:rPr>
      </w:r>
    </w:p>
    <w:p>
      <w:pPr>
        <w:pStyle w:val="Normal"/>
        <w:ind w:firstLine="284"/>
        <w:jc w:val="both"/>
        <w:rPr>
          <w:rFonts w:ascii="Arial" w:hAnsi="Arial" w:cs="Arial"/>
          <w:b/>
          <w:bCs/>
        </w:rPr>
      </w:pPr>
      <w:r>
        <w:rPr>
          <w:rFonts w:cs="Arial" w:ascii="Arial" w:hAnsi="Arial"/>
          <w:b/>
          <w:bCs/>
        </w:rPr>
        <w:t>11. FASE DE JULGAMENTO</w:t>
      </w:r>
    </w:p>
    <w:p>
      <w:pPr>
        <w:pStyle w:val="Normal"/>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V</w:t>
      </w:r>
      <w:r>
        <w:rPr>
          <w:rFonts w:cs="Arial" w:ascii="Arial" w:hAnsi="Arial"/>
        </w:rPr>
        <w:t xml:space="preserve"> – apresentar desconformidade com quaisquer outras exigências do edital ou seus anexos, desde que insanável.</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tabs>
          <w:tab w:val="clear" w:pos="709"/>
          <w:tab w:val="left" w:pos="284" w:leader="none"/>
        </w:tabs>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8">
        <w:r>
          <w:rPr>
            <w:rStyle w:val="Style"/>
            <w:rFonts w:cs="Arial" w:ascii="Arial" w:hAnsi="Arial"/>
          </w:rPr>
          <w:t>Lei nº 14.133, de 2021</w:t>
        </w:r>
      </w:hyperlink>
      <w:r>
        <w:rPr>
          <w:rFonts w:cs="Arial" w:ascii="Arial" w:hAnsi="Arial"/>
        </w:rPr>
        <w:t>, devendo protocolar o pedido até 03 (três) dias úteis antes da data da abertura do certame.</w:t>
      </w:r>
    </w:p>
    <w:p>
      <w:pPr>
        <w:pStyle w:val="Normal"/>
        <w:tabs>
          <w:tab w:val="clear" w:pos="709"/>
          <w:tab w:val="left" w:pos="284" w:leader="none"/>
        </w:tabs>
        <w:ind w:firstLine="284"/>
        <w:jc w:val="both"/>
        <w:rPr>
          <w:rFonts w:ascii="Arial" w:hAnsi="Arial" w:cs="Arial"/>
          <w:highlight w:val="yellow"/>
        </w:rPr>
      </w:pPr>
      <w:r>
        <w:rPr>
          <w:rFonts w:cs="Arial" w:ascii="Arial" w:hAnsi="Arial"/>
          <w:highlight w:val="yellow"/>
        </w:rPr>
      </w:r>
    </w:p>
    <w:p>
      <w:pPr>
        <w:pStyle w:val="Normal"/>
        <w:tabs>
          <w:tab w:val="clear" w:pos="709"/>
          <w:tab w:val="left" w:pos="284" w:leader="none"/>
        </w:tabs>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tabs>
          <w:tab w:val="clear" w:pos="709"/>
          <w:tab w:val="left" w:pos="284" w:leader="none"/>
        </w:tabs>
        <w:ind w:firstLine="284"/>
        <w:jc w:val="both"/>
        <w:rPr>
          <w:rFonts w:ascii="Arial" w:hAnsi="Arial" w:cs="Arial"/>
        </w:rPr>
      </w:pPr>
      <w:r>
        <w:rPr>
          <w:rFonts w:cs="Arial" w:ascii="Arial" w:hAnsi="Arial"/>
        </w:rPr>
        <w:t xml:space="preserve"> </w:t>
      </w:r>
    </w:p>
    <w:p>
      <w:pPr>
        <w:pStyle w:val="Normal"/>
        <w:tabs>
          <w:tab w:val="clear" w:pos="709"/>
          <w:tab w:val="left" w:pos="284" w:leader="none"/>
        </w:tabs>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Os recursos contra as decisões do Pregoeiro não terão efeito suspensivo.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0" w:name="_Hlk114652595"/>
      <w:bookmarkStart w:id="1" w:name="_Ref114668085"/>
      <w:r>
        <w:rPr>
          <w:rFonts w:cs="Arial" w:ascii="Arial" w:hAnsi="Arial"/>
        </w:rPr>
        <w:t>deixar de entregar a documentação exigida para o certame ou não entregar qualquer documento que tenha sido solicitado pelo/a pregoeiro/a durante o certame;</w:t>
      </w:r>
      <w:bookmarkEnd w:id="1"/>
    </w:p>
    <w:p>
      <w:pPr>
        <w:pStyle w:val="Normal"/>
        <w:ind w:firstLine="284"/>
        <w:jc w:val="both"/>
        <w:rPr>
          <w:rFonts w:ascii="Arial" w:hAnsi="Arial" w:cs="Arial"/>
        </w:rPr>
      </w:pPr>
      <w:r>
        <w:rPr>
          <w:rFonts w:cs="Arial" w:ascii="Arial" w:hAnsi="Arial"/>
        </w:rPr>
      </w:r>
      <w:bookmarkStart w:id="2"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2"/>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3"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3"/>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4"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4"/>
    </w:p>
    <w:p>
      <w:pPr>
        <w:pStyle w:val="Normal"/>
        <w:ind w:firstLine="284"/>
        <w:jc w:val="both"/>
        <w:rPr>
          <w:rFonts w:ascii="Arial" w:hAnsi="Arial" w:cs="Arial"/>
        </w:rPr>
      </w:pPr>
      <w:r>
        <w:rPr>
          <w:rFonts w:cs="Arial" w:ascii="Arial" w:hAnsi="Arial"/>
        </w:rPr>
      </w:r>
      <w:bookmarkStart w:id="5"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5"/>
    </w:p>
    <w:p>
      <w:pPr>
        <w:pStyle w:val="Normal"/>
        <w:ind w:firstLine="284"/>
        <w:jc w:val="both"/>
        <w:rPr>
          <w:rFonts w:ascii="Arial" w:hAnsi="Arial" w:cs="Arial"/>
        </w:rPr>
      </w:pPr>
      <w:r>
        <w:rPr>
          <w:rFonts w:cs="Arial" w:ascii="Arial" w:hAnsi="Arial"/>
        </w:rPr>
      </w:r>
      <w:bookmarkStart w:id="6"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6"/>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7"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7"/>
    </w:p>
    <w:p>
      <w:pPr>
        <w:pStyle w:val="Normal"/>
        <w:ind w:firstLine="284"/>
        <w:jc w:val="both"/>
        <w:rPr>
          <w:rFonts w:ascii="Arial" w:hAnsi="Arial" w:cs="Arial"/>
        </w:rPr>
      </w:pPr>
      <w:r>
        <w:rPr>
          <w:rFonts w:cs="Arial" w:ascii="Arial" w:hAnsi="Arial"/>
        </w:rPr>
      </w:r>
      <w:bookmarkStart w:id="8"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0"/>
      <w:bookmarkEnd w:id="8"/>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Fonts w:eastAsia="Arial" w:cs="Arial" w:ascii="Arial" w:hAnsi="Arial"/>
          <w:strike/>
          <w:highlight w:val="yellow"/>
        </w:rPr>
        <w:t xml:space="preserve"> </w:t>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9">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15 (quinze) dias úteis.</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BodyText"/>
        <w:ind w:firstLine="284"/>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 DA ATA DE REGISTROS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14.1. </w:t>
      </w:r>
      <w:r>
        <w:rPr>
          <w:rFonts w:cs="Arial" w:ascii="Arial" w:hAnsi="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14.2. </w:t>
      </w:r>
      <w:r>
        <w:rPr>
          <w:rFonts w:cs="Arial" w:ascii="Arial" w:hAnsi="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14.3.</w:t>
      </w:r>
      <w:r>
        <w:rPr>
          <w:rFonts w:cs="Arial" w:ascii="Arial" w:hAnsi="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14.3.1. </w:t>
      </w:r>
      <w:r>
        <w:rPr>
          <w:rFonts w:cs="Arial" w:ascii="Arial" w:hAnsi="Arial"/>
        </w:rPr>
        <w:t>O fornecedor que, convocado, recusar-se injustificadamente a assinar o contrato ou retirar o instrumento equivalente no prazo estabelecido, terá seu Registro de Preços cancelado, sendo-lhe aplicável a multa pela inexecução total do ajuste.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14.4. </w:t>
      </w:r>
      <w:r>
        <w:rPr>
          <w:rFonts w:cs="Arial" w:ascii="Arial" w:hAnsi="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15. PRAZO DE VIGÊNCIA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15.1. </w:t>
      </w:r>
      <w:r>
        <w:rPr>
          <w:rFonts w:cs="Arial" w:ascii="Arial" w:hAnsi="Arial"/>
        </w:rPr>
        <w:t>O prazo da vigência da Ata de Registro de Preços será de 12 (doze) meses, a contar da data de sua emissão, podendo ser prorrogado por igual período, conforme previsto no artigo 84 da Lei n°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16. ALTERAÇÕES NA ATA DE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16.1. </w:t>
      </w:r>
      <w:r>
        <w:rPr>
          <w:rFonts w:cs="Arial" w:ascii="Arial" w:hAnsi="Arial"/>
        </w:rPr>
        <w:t>A ata de Registro de Preços poderá sofrer alterações, obedecidas as disposições contidas no art. 124,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16.2. </w:t>
      </w:r>
      <w:r>
        <w:rPr>
          <w:rFonts w:cs="Arial" w:ascii="Arial" w:hAnsi="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16.3.</w:t>
      </w:r>
      <w:r>
        <w:rPr>
          <w:rFonts w:cs="Arial" w:ascii="Arial" w:hAnsi="Arial"/>
        </w:rPr>
        <w:t xml:space="preserve"> Quando o preço inicialmente registrado, por motivo superveniente, tornar-se superior ao praticado mercado a Administração (Unidade Gerenciadora) deverá: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16.3.1. </w:t>
      </w:r>
      <w:r>
        <w:rPr>
          <w:rFonts w:cs="Arial" w:ascii="Arial" w:hAnsi="Arial"/>
        </w:rPr>
        <w:t>Convocar o fornecedor visando à negociação para redução de preços de sua adequação ao praticado pelo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16.3.2. </w:t>
      </w:r>
      <w:r>
        <w:rPr>
          <w:rFonts w:cs="Arial" w:ascii="Arial" w:hAnsi="Arial"/>
        </w:rPr>
        <w:t>Frustrada a negociação, o fornecedor será liberado do compromisso assumido.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16.4.</w:t>
      </w:r>
      <w:r>
        <w:rPr>
          <w:rFonts w:cs="Arial" w:ascii="Arial" w:hAnsi="Arial"/>
        </w:rPr>
        <w:t xml:space="preserve"> Quando o preço do mercado se tornar superior aos preços registrados e o fornecedor, mediante requerimento devidamente comprovado, não puder cumprir o compromisso, a Administração (Unidade Gerenciadora) poderá: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16.4.1. </w:t>
      </w:r>
      <w:r>
        <w:rPr>
          <w:rFonts w:cs="Arial" w:ascii="Arial" w:hAnsi="Arial"/>
        </w:rPr>
        <w:t>Liberar o fornecedor do compromisso assumido, sem aplicação da penalidade, confirmando a veracidade dos motivos e comprovantes apresentados,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16.4.2. </w:t>
      </w:r>
      <w:r>
        <w:rPr>
          <w:rFonts w:cs="Arial" w:ascii="Arial" w:hAnsi="Arial"/>
        </w:rPr>
        <w:t>Não havendo êxito nas negociações, a Administração (Unidade Gerenciadora) deverá proceder à revogação da Ata de Registro, adotando as medidas cabíveis para obtenção da contratação mais vantajosa.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17. CANCELAMENTO DO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17.1. </w:t>
      </w:r>
      <w:r>
        <w:rPr>
          <w:rFonts w:cs="Arial" w:ascii="Arial" w:hAnsi="Arial"/>
        </w:rPr>
        <w:t>O fornecedor terá seu registro cancelado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17.1.1. </w:t>
      </w:r>
      <w:r>
        <w:rPr>
          <w:rFonts w:cs="Arial" w:ascii="Arial" w:hAnsi="Arial"/>
        </w:rPr>
        <w:t>Descumprir as condições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17.1.2. </w:t>
      </w:r>
      <w:r>
        <w:rPr>
          <w:rFonts w:cs="Arial" w:ascii="Arial" w:hAnsi="Arial"/>
        </w:rPr>
        <w:t>Não retirar a respectiva nota de empenho ou instrumento equivalente, no prazo estabelecido pela Administração, sem justificativa aceitável;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17.1.3. </w:t>
      </w:r>
      <w:r>
        <w:rPr>
          <w:rFonts w:cs="Arial" w:ascii="Arial" w:hAnsi="Arial"/>
        </w:rPr>
        <w:t>Não aceitar reduzir o preço registrado, na hipótese de este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17.1.4. </w:t>
      </w:r>
      <w:r>
        <w:rPr>
          <w:rFonts w:cs="Arial" w:ascii="Arial" w:hAnsi="Arial"/>
        </w:rPr>
        <w:t>Tiver presentes razões de interesse público.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17.2. </w:t>
      </w:r>
      <w:r>
        <w:rPr>
          <w:rFonts w:cs="Arial" w:ascii="Arial" w:hAnsi="Arial"/>
        </w:rPr>
        <w:t>O cancelamento de registro, nas hipóteses previstas, assegurados o contraditório e a ampla defesa, será formalizado por despacho da autoridade superior.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17.3. </w:t>
      </w:r>
      <w:r>
        <w:rPr>
          <w:rFonts w:cs="Arial" w:ascii="Arial" w:hAnsi="Arial"/>
        </w:rPr>
        <w:t>O fornecedor poderá solicitar o cancelamento do seu registro de preço na ocorrência de fato superveniente que venha comprometer a perfeita execução contratual, decorrente de caso fortuito ou de força maior, devidamente comprovado.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kern w:val="2"/>
        </w:rPr>
      </w:pPr>
      <w:r>
        <w:rPr>
          <w:rFonts w:cs="Arial" w:ascii="Arial" w:hAnsi="Arial"/>
          <w:b/>
          <w:bCs/>
        </w:rPr>
        <w:t>18.1.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18.1.2.</w:t>
      </w:r>
      <w:r>
        <w:rPr>
          <w:rFonts w:cs="Arial" w:ascii="Arial" w:hAnsi="Arial"/>
        </w:rPr>
        <w:t xml:space="preserve"> E-mail para envio da NF-e: </w:t>
      </w:r>
      <w:hyperlink r:id="rId10">
        <w:r>
          <w:rPr>
            <w:rStyle w:val="Hyperlink"/>
            <w:rFonts w:cs="Arial" w:ascii="Arial" w:hAnsi="Arial"/>
          </w:rPr>
          <w:t>notafiscal@piracicaba.sp.gov.br</w:t>
        </w:r>
      </w:hyperlink>
      <w:r>
        <w:rPr>
          <w:rStyle w:val="Hyperlink"/>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18.2.</w:t>
      </w:r>
      <w:r>
        <w:rPr>
          <w:rFonts w:cs="Arial" w:ascii="Arial" w:hAnsi="Arial"/>
        </w:rPr>
        <w:t xml:space="preserve"> Com a Nota Fiscal, deverá obrigatoriamente ser comprovada pela CONTRATADA a persistência das condições licitatórias da habilitação e qualificação a que alude o inciso </w:t>
      </w:r>
      <w:r>
        <w:rPr>
          <w:rFonts w:cs="Arial" w:ascii="Arial" w:hAnsi="Arial"/>
          <w:color w:themeColor="text1" w:val="000000"/>
        </w:rPr>
        <w:t xml:space="preserve">XVI do art. 92 da Lei n° 14.133 </w:t>
      </w:r>
      <w:r>
        <w:rPr>
          <w:rFonts w:cs="Arial" w:ascii="Arial" w:hAnsi="Arial"/>
        </w:rPr>
        <w:t>e alterações, que consistirá na apresentação das Certidões de Regularidade perante as Fazendas Federal (incluindo INSS), Municipal,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19.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w:t>
      </w:r>
      <w:r>
        <w:rPr>
          <w:rFonts w:cs="Arial" w:ascii="Arial" w:hAnsi="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19.3.</w:t>
      </w:r>
      <w:r>
        <w:rPr>
          <w:rFonts w:cs="Arial" w:ascii="Arial" w:hAnsi="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19.4.</w:t>
      </w:r>
      <w:r>
        <w:rPr>
          <w:rFonts w:cs="Arial" w:ascii="Arial" w:hAnsi="Arial"/>
        </w:rPr>
        <w:t xml:space="preserve"> 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19.5.</w:t>
      </w:r>
      <w:r>
        <w:rPr>
          <w:rFonts w:cs="Arial" w:ascii="Arial" w:hAnsi="Arial"/>
        </w:rPr>
        <w:t xml:space="preserve"> 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19.6.</w:t>
      </w:r>
      <w:r>
        <w:rPr>
          <w:rFonts w:cs="Arial" w:ascii="Arial" w:hAnsi="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19.7.</w:t>
      </w:r>
      <w:r>
        <w:rPr>
          <w:rFonts w:cs="Arial" w:ascii="Arial" w:hAnsi="Arial"/>
        </w:rPr>
        <w:t xml:space="preserve"> As licitantes intimadas para prestar qualquer esclarecimento adicional deverão fazê-lo no prazo determinado pelo Pregoeiro, sob pena de desclassificação /inabilitação.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p>
    <w:p>
      <w:pPr>
        <w:pStyle w:val="Normal"/>
        <w:ind w:firstLine="284"/>
        <w:jc w:val="both"/>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false"/>
        <w:spacing w:lineRule="auto" w:line="240" w:before="0" w:after="0"/>
        <w:jc w:val="center"/>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23"/>
        </w:numPr>
        <w:tabs>
          <w:tab w:val="clear" w:pos="709"/>
          <w:tab w:val="left" w:pos="284" w:leader="none"/>
        </w:tabs>
        <w:ind w:hanging="284" w:star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16"/>
        </w:numPr>
        <w:tabs>
          <w:tab w:val="clear" w:pos="709"/>
          <w:tab w:val="left" w:pos="284" w:leader="none"/>
        </w:tabs>
        <w:ind w:hanging="284" w:star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16"/>
        </w:numPr>
        <w:tabs>
          <w:tab w:val="clear" w:pos="709"/>
          <w:tab w:val="left" w:pos="284" w:leader="none"/>
        </w:tabs>
        <w:ind w:hanging="284" w:star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16"/>
        </w:numPr>
        <w:tabs>
          <w:tab w:val="clear" w:pos="709"/>
          <w:tab w:val="left" w:pos="284" w:leader="none"/>
        </w:tabs>
        <w:ind w:hanging="284" w:star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16"/>
        </w:numPr>
        <w:tabs>
          <w:tab w:val="clear" w:pos="709"/>
          <w:tab w:val="left" w:pos="284" w:leader="none"/>
        </w:tabs>
        <w:ind w:hanging="284" w:star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16"/>
        </w:numPr>
        <w:tabs>
          <w:tab w:val="clear" w:pos="709"/>
          <w:tab w:val="left" w:pos="284" w:leader="none"/>
        </w:tabs>
        <w:ind w:hanging="284" w:star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16"/>
        </w:numPr>
        <w:tabs>
          <w:tab w:val="clear" w:pos="709"/>
          <w:tab w:val="left" w:pos="284" w:leader="none"/>
        </w:tabs>
        <w:ind w:hanging="284" w:star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false"/>
        <w:spacing w:lineRule="auto" w:line="240" w:before="0" w:after="0"/>
        <w:jc w:val="center"/>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overflowPunct w:val="fals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false"/>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start w:w="55" w:type="dxa"/>
          <w:bottom w:w="55" w:type="dxa"/>
          <w:end w:w="55" w:type="dxa"/>
        </w:tblCellMar>
        <w:tblLook w:val="04a0" w:firstRow="1" w:noVBand="1" w:lastRow="0" w:firstColumn="1" w:lastColumn="0" w:noHBand="0"/>
      </w:tblPr>
      <w:tblGrid>
        <w:gridCol w:w="566"/>
        <w:gridCol w:w="845"/>
        <w:gridCol w:w="850"/>
        <w:gridCol w:w="4533"/>
        <w:gridCol w:w="1416"/>
        <w:gridCol w:w="1705"/>
      </w:tblGrid>
      <w:tr>
        <w:trPr>
          <w:trHeight w:val="283" w:hRule="atLeast"/>
        </w:trPr>
        <w:tc>
          <w:tcPr>
            <w:tcW w:w="566" w:type="dxa"/>
            <w:tcBorders>
              <w:top w:val="single" w:sz="4" w:space="0" w:color="000000"/>
              <w:star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Item</w:t>
            </w:r>
          </w:p>
        </w:tc>
        <w:tc>
          <w:tcPr>
            <w:tcW w:w="845" w:type="dxa"/>
            <w:tcBorders>
              <w:top w:val="single" w:sz="4" w:space="0" w:color="000000"/>
              <w:star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Quant.</w:t>
            </w:r>
          </w:p>
        </w:tc>
        <w:tc>
          <w:tcPr>
            <w:tcW w:w="850" w:type="dxa"/>
            <w:tcBorders>
              <w:top w:val="single" w:sz="4" w:space="0" w:color="000000"/>
              <w:star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start w:val="single" w:sz="4" w:space="0" w:color="000000"/>
              <w:bottom w:val="single" w:sz="4" w:space="0" w:color="000000"/>
              <w:end w:val="single" w:sz="4" w:space="0" w:color="000000"/>
            </w:tcBorders>
            <w:vAlign w:val="center"/>
          </w:tcPr>
          <w:p>
            <w:pPr>
              <w:pStyle w:val="Contedodatabelauser"/>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start w:val="single" w:sz="4" w:space="0" w:color="000000"/>
              <w:bottom w:val="single" w:sz="4" w:space="0" w:color="000000"/>
              <w:end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Valor Unitário</w:t>
            </w:r>
          </w:p>
        </w:tc>
        <w:tc>
          <w:tcPr>
            <w:tcW w:w="1705" w:type="dxa"/>
            <w:tcBorders>
              <w:top w:val="single" w:sz="4" w:space="0" w:color="000000"/>
              <w:start w:val="single" w:sz="4" w:space="0" w:color="000000"/>
              <w:bottom w:val="single" w:sz="4" w:space="0" w:color="000000"/>
              <w:end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6"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845"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850"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4533"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1416"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1705"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r>
      <w:tr>
        <w:trPr>
          <w:trHeight w:val="283" w:hRule="atLeast"/>
        </w:trPr>
        <w:tc>
          <w:tcPr>
            <w:tcW w:w="566"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845"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850"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4533"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1416"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1705"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r>
    </w:tbl>
    <w:p>
      <w:pPr>
        <w:pStyle w:val="Normal"/>
        <w:tabs>
          <w:tab w:val="clear" w:pos="709"/>
          <w:tab w:val="left" w:pos="284" w:leader="none"/>
        </w:tabs>
        <w:jc w:val="both"/>
        <w:rPr>
          <w:rFonts w:ascii="Arial" w:hAnsi="Arial" w:cs="Arial"/>
          <w:kern w:val="2"/>
        </w:rPr>
      </w:pPr>
      <w:r>
        <w:rPr>
          <w:rFonts w:cs="Arial" w:ascii="Arial" w:hAnsi="Arial"/>
          <w:kern w:val="2"/>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start="142"/>
        <w:jc w:val="both"/>
        <w:rPr>
          <w:rFonts w:ascii="Arial" w:hAnsi="Arial" w:cs="Arial"/>
        </w:rPr>
      </w:pPr>
      <w:r>
        <w:rPr>
          <w:rFonts w:cs="Arial" w:ascii="Arial" w:hAnsi="Arial"/>
        </w:rPr>
      </w:r>
    </w:p>
    <w:p>
      <w:pPr>
        <w:pStyle w:val="Normal"/>
        <w:tabs>
          <w:tab w:val="clear" w:pos="709"/>
          <w:tab w:val="left" w:pos="284" w:leader="none"/>
        </w:tabs>
        <w:ind w:firstLine="709" w:start="142"/>
        <w:jc w:val="both"/>
        <w:rPr>
          <w:rFonts w:ascii="Arial" w:hAnsi="Arial" w:cs="Arial"/>
        </w:rPr>
      </w:pPr>
      <w:r>
        <w:rPr>
          <w:rFonts w:cs="Arial" w:ascii="Arial" w:hAnsi="Arial"/>
        </w:rPr>
      </w:r>
    </w:p>
    <w:p>
      <w:pPr>
        <w:pStyle w:val="Normal"/>
        <w:tabs>
          <w:tab w:val="clear" w:pos="709"/>
          <w:tab w:val="left" w:pos="284" w:leader="none"/>
        </w:tabs>
        <w:ind w:firstLine="709" w:start="142"/>
        <w:jc w:val="both"/>
        <w:rPr>
          <w:rFonts w:ascii="Arial" w:hAnsi="Arial" w:cs="Arial"/>
        </w:rPr>
      </w:pPr>
      <w:r>
        <w:rPr>
          <w:rFonts w:cs="Arial" w:ascii="Arial" w:hAnsi="Arial"/>
        </w:rPr>
      </w:r>
    </w:p>
    <w:p>
      <w:pPr>
        <w:pStyle w:val="Normal"/>
        <w:tabs>
          <w:tab w:val="clear" w:pos="709"/>
          <w:tab w:val="left" w:pos="284" w:leader="none"/>
        </w:tabs>
        <w:ind w:firstLine="709" w:star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r>
        <w:br w:type="page"/>
      </w:r>
    </w:p>
    <w:p>
      <w:pPr>
        <w:pStyle w:val="BodyTextIndent"/>
        <w:widowControl w:val="false"/>
        <w:overflowPunct w:val="false"/>
        <w:spacing w:lineRule="auto" w:line="240" w:before="0" w:after="0"/>
        <w:jc w:val="center"/>
        <w:rPr>
          <w:b/>
          <w:bCs/>
          <w:sz w:val="22"/>
          <w:szCs w:val="22"/>
          <w:shd w:fill="FFFFFF" w:val="clear"/>
          <w:lang w:val="pt-BR"/>
        </w:rPr>
      </w:pPr>
      <w:r>
        <w:rPr>
          <w:b/>
          <w:sz w:val="22"/>
          <w:szCs w:val="22"/>
        </w:rPr>
        <w:t>ANEXO V</w:t>
      </w:r>
    </w:p>
    <w:p>
      <w:pPr>
        <w:pStyle w:val="Normal"/>
        <w:jc w:val="center"/>
        <w:rPr>
          <w:rFonts w:ascii="Arial" w:hAnsi="Arial" w:cs="Arial"/>
          <w:b/>
          <w:bCs/>
          <w:sz w:val="18"/>
        </w:rPr>
      </w:pPr>
      <w:r>
        <w:rPr>
          <w:rFonts w:cs="Arial" w:ascii="Arial" w:hAnsi="Arial"/>
          <w:color w:val="000000"/>
          <w:szCs w:val="22"/>
        </w:rPr>
        <w:t>====================================================================================</w:t>
      </w:r>
    </w:p>
    <w:p>
      <w:pPr>
        <w:pStyle w:val="Normal"/>
        <w:ind w:firstLine="284"/>
        <w:jc w:val="center"/>
        <w:rPr>
          <w:rFonts w:ascii="Arial" w:hAnsi="Arial" w:cs="Arial"/>
          <w:sz w:val="22"/>
          <w:szCs w:val="22"/>
        </w:rPr>
      </w:pPr>
      <w:r>
        <w:rPr>
          <w:rFonts w:cs="Arial" w:ascii="Arial" w:hAnsi="Arial"/>
          <w:b/>
          <w:bCs/>
          <w:sz w:val="22"/>
          <w:szCs w:val="22"/>
        </w:rPr>
        <w:t>MINUTA DA ATA DE REGISTRO DE PREÇOS</w:t>
      </w:r>
    </w:p>
    <w:p>
      <w:pPr>
        <w:pStyle w:val="Normal"/>
        <w:jc w:val="center"/>
        <w:rPr>
          <w:rFonts w:ascii="Arial" w:hAnsi="Arial" w:cs="Arial"/>
          <w:b/>
          <w:bCs/>
          <w:sz w:val="18"/>
        </w:rPr>
      </w:pPr>
      <w:r>
        <w:rPr>
          <w:rFonts w:cs="Arial" w:ascii="Arial" w:hAnsi="Arial"/>
          <w:color w:val="000000"/>
          <w:szCs w:val="22"/>
        </w:rPr>
        <w:t>====================================================================================</w:t>
      </w:r>
    </w:p>
    <w:p>
      <w:pPr>
        <w:pStyle w:val="BodyText"/>
        <w:ind w:firstLine="284"/>
        <w:rPr/>
      </w:pPr>
      <w:r>
        <w:rPr/>
      </w:r>
    </w:p>
    <w:p>
      <w:pPr>
        <w:pStyle w:val="Normal"/>
        <w:ind w:firstLine="284"/>
        <w:jc w:val="center"/>
        <w:rPr>
          <w:rFonts w:ascii="Arial" w:hAnsi="Arial" w:cs="Arial"/>
          <w:b/>
          <w:sz w:val="24"/>
          <w:szCs w:val="24"/>
        </w:rPr>
      </w:pPr>
      <w:r>
        <w:rPr>
          <w:rFonts w:cs="Arial" w:ascii="Arial" w:hAnsi="Arial"/>
          <w:b/>
          <w:sz w:val="24"/>
          <w:szCs w:val="24"/>
        </w:rPr>
        <w:t>ATA DE REGISTRO DE PREÇOS Nº __/____</w:t>
      </w:r>
    </w:p>
    <w:p>
      <w:pPr>
        <w:pStyle w:val="Normal"/>
        <w:ind w:firstLine="284"/>
        <w:jc w:val="center"/>
        <w:rPr>
          <w:rFonts w:ascii="Arial" w:hAnsi="Arial" w:cs="Arial"/>
          <w:b/>
          <w:sz w:val="24"/>
          <w:szCs w:val="24"/>
        </w:rPr>
      </w:pPr>
      <w:r>
        <w:rPr>
          <w:rFonts w:cs="Arial" w:ascii="Arial" w:hAnsi="Arial"/>
          <w:b/>
          <w:sz w:val="24"/>
          <w:szCs w:val="24"/>
        </w:rPr>
      </w:r>
    </w:p>
    <w:p>
      <w:pPr>
        <w:pStyle w:val="Normal"/>
        <w:ind w:firstLine="284"/>
        <w:jc w:val="center"/>
        <w:rPr>
          <w:rFonts w:ascii="Arial" w:hAnsi="Arial" w:cs="Arial"/>
          <w:b/>
          <w:sz w:val="24"/>
          <w:szCs w:val="24"/>
        </w:rPr>
      </w:pPr>
      <w:r>
        <w:rPr>
          <w:rFonts w:cs="Arial" w:ascii="Arial" w:hAnsi="Arial"/>
          <w:b/>
          <w:sz w:val="24"/>
          <w:szCs w:val="24"/>
        </w:rPr>
        <w:t>PREGÃO ELETRÔNICO Nº ____/____</w:t>
      </w:r>
    </w:p>
    <w:p>
      <w:pPr>
        <w:pStyle w:val="Normal"/>
        <w:ind w:firstLine="284"/>
        <w:jc w:val="center"/>
        <w:rPr>
          <w:rFonts w:ascii="Arial" w:hAnsi="Arial" w:cs="Arial"/>
          <w:b/>
          <w:sz w:val="24"/>
          <w:szCs w:val="24"/>
        </w:rPr>
      </w:pPr>
      <w:r>
        <w:rPr>
          <w:rFonts w:cs="Arial" w:ascii="Arial" w:hAnsi="Arial"/>
          <w:b/>
          <w:sz w:val="24"/>
          <w:szCs w:val="24"/>
        </w:rPr>
      </w:r>
    </w:p>
    <w:p>
      <w:pPr>
        <w:pStyle w:val="Normal"/>
        <w:ind w:firstLine="284"/>
        <w:jc w:val="center"/>
        <w:rPr>
          <w:rFonts w:ascii="Arial" w:hAnsi="Arial" w:cs="Arial"/>
          <w:b/>
          <w:sz w:val="24"/>
          <w:szCs w:val="24"/>
        </w:rPr>
      </w:pPr>
      <w:r>
        <w:rPr>
          <w:rFonts w:cs="Arial" w:ascii="Arial" w:hAnsi="Arial"/>
          <w:b/>
          <w:sz w:val="24"/>
          <w:szCs w:val="24"/>
        </w:rPr>
        <w:t>PROCESSO Nº ____/____</w:t>
      </w:r>
    </w:p>
    <w:p>
      <w:pPr>
        <w:pStyle w:val="Normal"/>
        <w:spacing w:before="240" w:after="0"/>
        <w:ind w:firstLine="284"/>
        <w:jc w:val="center"/>
        <w:rPr>
          <w:rFonts w:ascii="Arial" w:hAnsi="Arial" w:cs="Arial"/>
          <w:b/>
        </w:rPr>
      </w:pPr>
      <w:r>
        <w:rPr>
          <w:rFonts w:cs="Arial" w:ascii="Arial" w:hAnsi="Arial"/>
          <w:b/>
          <w:sz w:val="24"/>
          <w:szCs w:val="24"/>
        </w:rPr>
        <w:t>VALIDADE: 12 (DOZE) MESES</w:t>
      </w:r>
    </w:p>
    <w:p>
      <w:pPr>
        <w:pStyle w:val="Normal"/>
        <w:spacing w:before="240" w:after="0"/>
        <w:ind w:firstLine="284"/>
        <w:jc w:val="center"/>
        <w:rPr>
          <w:rFonts w:ascii="Arial" w:hAnsi="Arial" w:cs="Arial"/>
          <w:b/>
        </w:rPr>
      </w:pPr>
      <w:r>
        <w:rPr>
          <w:rFonts w:cs="Arial" w:ascii="Arial" w:hAnsi="Arial"/>
          <w:b/>
        </w:rPr>
      </w:r>
    </w:p>
    <w:p>
      <w:pPr>
        <w:pStyle w:val="Normal"/>
        <w:spacing w:before="240" w:after="0"/>
        <w:ind w:firstLine="284"/>
        <w:jc w:val="center"/>
        <w:rPr>
          <w:rFonts w:ascii="Arial" w:hAnsi="Arial" w:cs="Arial"/>
          <w:b/>
          <w:sz w:val="14"/>
        </w:rPr>
      </w:pPr>
      <w:r>
        <w:rPr>
          <w:rFonts w:cs="Arial" w:ascii="Arial" w:hAnsi="Arial"/>
          <w:b/>
          <w:sz w:val="14"/>
        </w:rPr>
      </w:r>
    </w:p>
    <w:p>
      <w:pPr>
        <w:pStyle w:val="Normal"/>
        <w:ind w:firstLine="284"/>
        <w:jc w:val="both"/>
        <w:rPr>
          <w:rFonts w:ascii="Arial" w:hAnsi="Arial" w:cs="Arial"/>
        </w:rPr>
      </w:pPr>
      <w:r>
        <w:rPr>
          <w:rFonts w:cs="Arial" w:ascii="Arial" w:hAnsi="Arial"/>
        </w:rPr>
        <w:t xml:space="preserve">Aos _____ dias do mês de _______________ de ____, a </w:t>
      </w:r>
      <w:r>
        <w:rPr>
          <w:rFonts w:cs="Arial" w:ascii="Arial" w:hAnsi="Arial"/>
          <w:b/>
        </w:rPr>
        <w:t>PREFEITURA DO MUNICÍPIO DE PIRACICABA,</w:t>
      </w:r>
      <w:r>
        <w:rPr>
          <w:rFonts w:cs="Arial" w:ascii="Arial" w:hAnsi="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cs="Arial" w:ascii="Arial" w:hAnsi="Arial"/>
          <w:b/>
        </w:rPr>
        <w:t xml:space="preserve"> RESOLVE </w:t>
      </w:r>
      <w:r>
        <w:rPr>
          <w:rFonts w:cs="Arial" w:ascii="Arial" w:hAnsi="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Empresa classificada:</w:t>
      </w:r>
    </w:p>
    <w:p>
      <w:pPr>
        <w:pStyle w:val="Normal"/>
        <w:ind w:firstLine="284"/>
        <w:jc w:val="both"/>
        <w:rPr>
          <w:rFonts w:ascii="Arial" w:hAnsi="Arial" w:cs="Arial"/>
        </w:rPr>
      </w:pPr>
      <w:r>
        <w:rPr>
          <w:rFonts w:cs="Arial" w:ascii="Arial" w:hAnsi="Arial"/>
        </w:rPr>
        <w:t>Endereço:</w:t>
      </w:r>
    </w:p>
    <w:p>
      <w:pPr>
        <w:pStyle w:val="Normal"/>
        <w:ind w:firstLine="284"/>
        <w:jc w:val="both"/>
        <w:rPr>
          <w:rFonts w:ascii="Arial" w:hAnsi="Arial" w:cs="Arial"/>
        </w:rPr>
      </w:pPr>
      <w:r>
        <w:rPr>
          <w:rFonts w:cs="Arial" w:ascii="Arial" w:hAnsi="Arial"/>
        </w:rPr>
        <w:t>Cidade:</w:t>
        <w:tab/>
        <w:tab/>
        <w:tab/>
        <w:tab/>
        <w:tab/>
        <w:tab/>
        <w:t>Estado:</w:t>
      </w:r>
    </w:p>
    <w:p>
      <w:pPr>
        <w:pStyle w:val="Normal"/>
        <w:ind w:firstLine="284"/>
        <w:jc w:val="both"/>
        <w:rPr>
          <w:rFonts w:ascii="Arial" w:hAnsi="Arial" w:cs="Arial"/>
        </w:rPr>
      </w:pPr>
      <w:r>
        <w:rPr>
          <w:rFonts w:cs="Arial" w:ascii="Arial" w:hAnsi="Arial"/>
        </w:rPr>
        <w:t>CEP:</w:t>
      </w:r>
    </w:p>
    <w:p>
      <w:pPr>
        <w:pStyle w:val="Normal"/>
        <w:ind w:firstLine="284"/>
        <w:jc w:val="both"/>
        <w:rPr>
          <w:rFonts w:ascii="Arial" w:hAnsi="Arial" w:cs="Arial"/>
        </w:rPr>
      </w:pPr>
      <w:r>
        <w:rPr>
          <w:rFonts w:cs="Arial" w:ascii="Arial" w:hAnsi="Arial"/>
        </w:rPr>
        <w:t>Telefone:</w:t>
      </w:r>
    </w:p>
    <w:p>
      <w:pPr>
        <w:pStyle w:val="Normal"/>
        <w:ind w:firstLine="284"/>
        <w:jc w:val="both"/>
        <w:rPr>
          <w:rFonts w:ascii="Arial" w:hAnsi="Arial" w:cs="Arial"/>
        </w:rPr>
      </w:pPr>
      <w:r>
        <w:rPr>
          <w:rFonts w:cs="Arial" w:ascii="Arial" w:hAnsi="Arial"/>
        </w:rPr>
        <w:t>E-mail:</w:t>
      </w:r>
    </w:p>
    <w:p>
      <w:pPr>
        <w:pStyle w:val="Normal"/>
        <w:ind w:firstLine="284"/>
        <w:jc w:val="both"/>
        <w:rPr>
          <w:rFonts w:ascii="Arial" w:hAnsi="Arial" w:cs="Arial"/>
        </w:rPr>
      </w:pPr>
      <w:r>
        <w:rPr>
          <w:rFonts w:cs="Arial" w:ascii="Arial" w:hAnsi="Arial"/>
        </w:rPr>
        <w:t>Contato: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1ª – DO OBJETO</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1.1. </w:t>
      </w:r>
      <w:r>
        <w:rPr>
          <w:rFonts w:cs="Arial" w:ascii="Arial" w:hAnsi="Arial"/>
        </w:rPr>
        <w:t xml:space="preserve">O Objeto da presente Ata é o </w:t>
      </w:r>
      <w:r>
        <w:rPr>
          <w:rFonts w:cs="Arial" w:ascii="Arial" w:hAnsi="Arial"/>
          <w:b/>
        </w:rPr>
        <w:t xml:space="preserve">REGISTRO DE PREÇOS </w:t>
      </w:r>
      <w:r>
        <w:rPr>
          <w:rFonts w:cs="Arial" w:ascii="Arial" w:hAnsi="Arial"/>
        </w:rPr>
        <w:t>para ________________________________</w:t>
      </w:r>
      <w:r>
        <w:rPr>
          <w:rFonts w:cs="Arial" w:ascii="Arial" w:hAnsi="Arial"/>
          <w:b/>
        </w:rPr>
        <w:t xml:space="preserve">, </w:t>
      </w:r>
      <w:r>
        <w:rPr>
          <w:rFonts w:cs="Arial" w:ascii="Arial" w:hAnsi="Arial"/>
        </w:rPr>
        <w:t>conforme especificações e quantidades estimadas constantes no Termo de Referência do instrumento convocatório.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2ª – DA VALIDADE DOS PREÇOS</w:t>
      </w:r>
    </w:p>
    <w:p>
      <w:pPr>
        <w:pStyle w:val="Normal"/>
        <w:ind w:firstLine="284"/>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 xml:space="preserve">2.1. </w:t>
      </w:r>
      <w:r>
        <w:rPr>
          <w:rFonts w:cs="Arial" w:ascii="Arial" w:hAnsi="Arial"/>
        </w:rPr>
        <w:t xml:space="preserve">A presente Ata de registro de Preços terá a validade de 12 (doze) meses, a partir de sua assinatura, </w:t>
      </w:r>
      <w:r>
        <w:rPr>
          <w:rFonts w:cs="Arial" w:ascii="Arial" w:hAnsi="Arial"/>
          <w:highlight w:val="yellow"/>
        </w:rPr>
        <w:t>podendo ser prorrogado, por igual período, desde que comprovado o preço vantajoso, conforme previsto no artigo 84 da Lei 14.133, de 2021</w:t>
      </w:r>
      <w:r>
        <w:rPr>
          <w:rFonts w:cs="Arial" w:ascii="Arial" w:hAnsi="Arial"/>
        </w:rPr>
        <w:t>.</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2.2. </w:t>
      </w:r>
      <w:r>
        <w:rPr>
          <w:rFonts w:cs="Arial" w:ascii="Arial" w:hAnsi="Arial"/>
        </w:rPr>
        <w:t>Durante a vigência da Ata os preços registrados serão fixos e irreajustáveis, exceto no caso de redução dos preços praticados no mercado.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2.3. </w:t>
      </w:r>
      <w:r>
        <w:rPr>
          <w:rFonts w:cs="Arial" w:ascii="Arial" w:hAnsi="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pPr>
        <w:pStyle w:val="Normal"/>
        <w:jc w:val="both"/>
        <w:rPr>
          <w:rFonts w:ascii="Arial" w:hAnsi="Arial" w:cs="Arial"/>
        </w:rPr>
      </w:pPr>
      <w:r>
        <w:rPr>
          <w:rFonts w:cs="Arial" w:ascii="Arial" w:hAnsi="Arial"/>
        </w:rPr>
      </w:r>
    </w:p>
    <w:p>
      <w:pPr>
        <w:pStyle w:val="Normal"/>
        <w:jc w:val="both"/>
        <w:rPr>
          <w:rFonts w:ascii="Arial" w:hAnsi="Arial" w:cs="Arial"/>
          <w:b/>
        </w:rPr>
      </w:pPr>
      <w:r>
        <w:rPr>
          <w:rFonts w:cs="Arial" w:ascii="Arial" w:hAnsi="Arial"/>
          <w:b/>
          <w:bCs/>
        </w:rPr>
        <w:t>2.4.</w:t>
      </w:r>
      <w:r>
        <w:rPr>
          <w:rFonts w:cs="Arial" w:ascii="Arial" w:hAnsi="Arial"/>
        </w:rPr>
        <w:t xml:space="preserve"> Durante o prazo de validade desta Ata de Registro de Preços, a </w:t>
      </w:r>
      <w:r>
        <w:rPr>
          <w:rFonts w:cs="Arial" w:ascii="Arial" w:hAnsi="Arial"/>
          <w:b/>
        </w:rPr>
        <w:t>PREFEITURA DO MUNICÍPIO DE PIRACICABA</w:t>
      </w:r>
      <w:r>
        <w:rPr>
          <w:rFonts w:cs="Arial" w:ascii="Arial" w:hAnsi="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rPr>
        <w:t>CLAÚSULA 3ª – DA UTILIZAÇÃO DA ATA DE REGISTRO DE PREÇOS</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3.1.</w:t>
      </w:r>
      <w:r>
        <w:rPr>
          <w:rFonts w:cs="Arial" w:ascii="Arial" w:hAnsi="Arial"/>
        </w:rPr>
        <w:t xml:space="preserve"> A presente Ata de Registro de Preços </w:t>
      </w:r>
      <w:r>
        <w:rPr>
          <w:rFonts w:cs="Arial" w:ascii="Arial" w:hAnsi="Arial"/>
          <w:b/>
          <w:bCs/>
        </w:rPr>
        <w:t xml:space="preserve">não poderá </w:t>
      </w:r>
      <w:r>
        <w:rPr>
          <w:rFonts w:cs="Arial" w:ascii="Arial" w:hAnsi="Arial"/>
        </w:rPr>
        <w:t>ser usada por outros órgãos.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3.2.</w:t>
      </w:r>
      <w:r>
        <w:rPr>
          <w:rFonts w:cs="Arial" w:ascii="Arial" w:hAnsi="Arial"/>
        </w:rPr>
        <w:t xml:space="preserve"> O preço unitário a ser pago será o constante da proposta apresentada no Pregão Eletrônico nº____/___, os quais também a integram.</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3.3.</w:t>
      </w:r>
      <w:r>
        <w:rPr>
          <w:rFonts w:cs="Arial" w:ascii="Arial" w:hAnsi="Arial"/>
        </w:rPr>
        <w:t xml:space="preserve"> Em cada fornecimento decorrente desta Ata, serão observadas, quanto ao preço, as cláusulas e condições constantes no Edital de Pregão Eletrônico nº __/___, que a precedeu e integra o presente instrumento de compromisso.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4ª – DO LOCAL E PRAZO DE ENTREGA</w:t>
      </w:r>
    </w:p>
    <w:p>
      <w:pPr>
        <w:pStyle w:val="Normal"/>
        <w:ind w:firstLine="284"/>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4.1.</w:t>
      </w:r>
      <w:r>
        <w:rPr>
          <w:rFonts w:cs="Arial" w:ascii="Arial" w:hAnsi="Arial"/>
        </w:rPr>
        <w:t xml:space="preserve"> A cada fornecimento o prazo de entrega do produto não poderá ultrapassar o prazo estabelecido no Termo de Referência do edital, contados da data do recebimento da ordem de fornecimento pelo fornecedor.</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4.2. </w:t>
      </w:r>
      <w:r>
        <w:rPr>
          <w:rFonts w:cs="Arial" w:ascii="Arial" w:hAnsi="Arial"/>
        </w:rPr>
        <w:t>Os materiais deverão ser entregues no endereço e horário estipulado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5ª – DAS OBRIGAÇÕES</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5.1.</w:t>
      </w:r>
      <w:r>
        <w:rPr>
          <w:rFonts w:cs="Arial" w:ascii="Arial" w:hAnsi="Arial"/>
        </w:rPr>
        <w:t xml:space="preserve"> Fornecer todos os materiais cotados em estrita conformidade com as especificações exigidas neste edital.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5.2.</w:t>
      </w:r>
      <w:r>
        <w:rPr>
          <w:rFonts w:cs="Arial" w:ascii="Arial" w:hAnsi="Arial"/>
        </w:rPr>
        <w:t xml:space="preserve"> Entregar os materiais no endereço informado pela Unidade Requisitante, obedecendo horários, prazos e preços registrados.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5.3.</w:t>
      </w:r>
      <w:r>
        <w:rPr>
          <w:rFonts w:cs="Arial" w:ascii="Arial" w:hAnsi="Arial"/>
        </w:rPr>
        <w:t xml:space="preserve"> Substituir o material que, após a entrega, apresente problemas de fabricação ou prazo de validade irregular, no prazo máximo de até 10 (dez) dias úteis após a sua efetiva comunicação.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6ª – DO PAGAMENTO</w:t>
      </w:r>
    </w:p>
    <w:p>
      <w:pPr>
        <w:pStyle w:val="Normal"/>
        <w:ind w:firstLine="284"/>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6.1.</w:t>
      </w:r>
      <w:r>
        <w:rPr>
          <w:rFonts w:cs="Arial" w:ascii="Arial" w:hAnsi="Arial"/>
        </w:rPr>
        <w:t xml:space="preserve"> O pagamento será efetuado em até 15 (quinze) dias úteis, conforme Decreto Municipal nº 17.640, de 30 de outubro de 2018.</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6.2.</w:t>
      </w:r>
      <w:r>
        <w:rPr>
          <w:rFonts w:cs="Arial" w:ascii="Arial" w:hAnsi="Arial"/>
        </w:rPr>
        <w:t xml:space="preserve"> A Nota Fiscal deverá discriminar os itens a que se refere, um a um, indicando qual o valor e quantidade correspondentes a cada tipo de material/produto.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7ª – DO REAJUSTAMENTO DE PREÇOS</w:t>
      </w:r>
    </w:p>
    <w:p>
      <w:pPr>
        <w:pStyle w:val="Normal"/>
        <w:ind w:firstLine="284"/>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 xml:space="preserve">7.1. </w:t>
      </w:r>
      <w:r>
        <w:rPr>
          <w:rFonts w:cs="Arial" w:ascii="Arial" w:hAnsi="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7.2.</w:t>
      </w:r>
      <w:r>
        <w:rPr>
          <w:rFonts w:cs="Arial" w:ascii="Arial" w:hAnsi="Arial"/>
        </w:rPr>
        <w:t xml:space="preserve"> Mesmo comprovada a ocorrência de situação prevista na alínea “d” do inciso II do art. 124 da Lei 14.133/21, a Administração, se julgar conveniente, poderá optar por cancelar a Ata e iniciar outro procedimento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8ª – DO CANCELAMENTO DA ATA DE REGISTRO DE PREÇOS</w:t>
      </w:r>
    </w:p>
    <w:p>
      <w:pPr>
        <w:pStyle w:val="Normal"/>
        <w:ind w:firstLine="284"/>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8.1.</w:t>
      </w:r>
      <w:r>
        <w:rPr>
          <w:rFonts w:cs="Arial" w:ascii="Arial" w:hAnsi="Arial"/>
        </w:rPr>
        <w:t xml:space="preserve"> O proponente terá o seu registro de preço cancelado na Ata, por intermédio do processo administrativo específico, assegurado o contraditório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w:t>
      </w:r>
      <w:r>
        <w:rPr>
          <w:rFonts w:cs="Arial" w:ascii="Arial" w:hAnsi="Arial"/>
        </w:rPr>
        <w:t xml:space="preserve"> A pedido do FORNECEDOR, quando:</w:t>
      </w:r>
    </w:p>
    <w:p>
      <w:pPr>
        <w:pStyle w:val="Normal"/>
        <w:ind w:firstLine="284"/>
        <w:jc w:val="both"/>
        <w:rPr>
          <w:rFonts w:ascii="Arial" w:hAnsi="Arial" w:cs="Arial"/>
        </w:rPr>
      </w:pPr>
      <w:r>
        <w:rPr>
          <w:rFonts w:cs="Arial" w:ascii="Arial" w:hAnsi="Arial"/>
        </w:rPr>
      </w:r>
    </w:p>
    <w:p>
      <w:pPr>
        <w:pStyle w:val="Normal"/>
        <w:ind w:start="426"/>
        <w:jc w:val="both"/>
        <w:rPr>
          <w:rFonts w:ascii="Arial" w:hAnsi="Arial" w:cs="Arial"/>
        </w:rPr>
      </w:pPr>
      <w:r>
        <w:rPr>
          <w:rFonts w:cs="Arial" w:ascii="Arial" w:hAnsi="Arial"/>
          <w:b/>
          <w:bCs/>
        </w:rPr>
        <w:t>8.1.1.1.</w:t>
      </w:r>
      <w:r>
        <w:rPr>
          <w:rFonts w:cs="Arial" w:ascii="Arial" w:hAnsi="Arial"/>
        </w:rPr>
        <w:t xml:space="preserve"> Mediante solicitação por escrito, comprovar estar impossibilitado de cumprir as exigências do instrumento convocatório que deu origem ao registro de preços e se a comunicação ocorrer antes do pedido de fornecimento.</w:t>
      </w:r>
    </w:p>
    <w:p>
      <w:pPr>
        <w:pStyle w:val="Normal"/>
        <w:ind w:start="426"/>
        <w:jc w:val="both"/>
        <w:rPr>
          <w:rFonts w:ascii="Arial" w:hAnsi="Arial" w:cs="Arial"/>
        </w:rPr>
      </w:pPr>
      <w:r>
        <w:rPr>
          <w:rFonts w:cs="Arial" w:ascii="Arial" w:hAnsi="Arial"/>
        </w:rPr>
      </w:r>
    </w:p>
    <w:p>
      <w:pPr>
        <w:pStyle w:val="Normal"/>
        <w:ind w:start="426"/>
        <w:jc w:val="both"/>
        <w:rPr>
          <w:rFonts w:ascii="Arial" w:hAnsi="Arial" w:cs="Arial"/>
        </w:rPr>
      </w:pPr>
      <w:r>
        <w:rPr>
          <w:rFonts w:cs="Arial" w:ascii="Arial" w:hAnsi="Arial"/>
          <w:b/>
          <w:bCs/>
        </w:rPr>
        <w:t>8.1.1.2.</w:t>
      </w:r>
      <w:r>
        <w:rPr>
          <w:rFonts w:cs="Arial" w:ascii="Arial" w:hAnsi="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w:t>
      </w:r>
      <w:r>
        <w:rPr>
          <w:rFonts w:cs="Arial" w:ascii="Arial" w:hAnsi="Arial"/>
        </w:rPr>
        <w:t xml:space="preserve"> Por iniciativa da PREFEITURA DO MUNICIPIO DE PIRACICABA, quando:</w:t>
      </w:r>
    </w:p>
    <w:p>
      <w:pPr>
        <w:pStyle w:val="Normal"/>
        <w:ind w:firstLine="284"/>
        <w:jc w:val="both"/>
        <w:rPr>
          <w:rFonts w:ascii="Arial" w:hAnsi="Arial" w:cs="Arial"/>
        </w:rPr>
      </w:pPr>
      <w:r>
        <w:rPr>
          <w:rFonts w:cs="Arial" w:ascii="Arial" w:hAnsi="Arial"/>
        </w:rPr>
      </w:r>
    </w:p>
    <w:p>
      <w:pPr>
        <w:pStyle w:val="Normal"/>
        <w:ind w:start="426"/>
        <w:jc w:val="both"/>
        <w:rPr>
          <w:rFonts w:ascii="Arial" w:hAnsi="Arial" w:cs="Arial"/>
        </w:rPr>
      </w:pPr>
      <w:r>
        <w:rPr>
          <w:rFonts w:cs="Arial" w:ascii="Arial" w:hAnsi="Arial"/>
          <w:b/>
          <w:bCs/>
        </w:rPr>
        <w:t>8.1.2.1.</w:t>
      </w:r>
      <w:r>
        <w:rPr>
          <w:rFonts w:cs="Arial" w:ascii="Arial" w:hAnsi="Arial"/>
        </w:rPr>
        <w:t xml:space="preserve"> O fornecedor não cumprir as exigências do instrumento convocatório que deu origem ao registro de preços.</w:t>
      </w:r>
    </w:p>
    <w:p>
      <w:pPr>
        <w:pStyle w:val="Normal"/>
        <w:ind w:start="426"/>
        <w:jc w:val="both"/>
        <w:rPr>
          <w:rFonts w:ascii="Arial" w:hAnsi="Arial" w:cs="Arial"/>
        </w:rPr>
      </w:pPr>
      <w:r>
        <w:rPr>
          <w:rFonts w:cs="Arial" w:ascii="Arial" w:hAnsi="Arial"/>
        </w:rPr>
      </w:r>
    </w:p>
    <w:p>
      <w:pPr>
        <w:pStyle w:val="Normal"/>
        <w:ind w:start="426"/>
        <w:jc w:val="both"/>
        <w:rPr>
          <w:rFonts w:ascii="Arial" w:hAnsi="Arial" w:cs="Arial"/>
        </w:rPr>
      </w:pPr>
      <w:r>
        <w:rPr>
          <w:rFonts w:cs="Arial" w:ascii="Arial" w:hAnsi="Arial"/>
          <w:b/>
          <w:bCs/>
        </w:rPr>
        <w:t>8.1.2.2.</w:t>
      </w:r>
      <w:r>
        <w:rPr>
          <w:rFonts w:cs="Arial" w:ascii="Arial" w:hAnsi="Arial"/>
        </w:rPr>
        <w:t xml:space="preserve"> O fornecedor não formalizar contrato decorrente do registro de preços ou não tenha retirado o instrumento equivalente no prazo estabelecido.</w:t>
      </w:r>
    </w:p>
    <w:p>
      <w:pPr>
        <w:pStyle w:val="Normal"/>
        <w:ind w:start="426"/>
        <w:jc w:val="both"/>
        <w:rPr>
          <w:rFonts w:ascii="Arial" w:hAnsi="Arial" w:eastAsia="Arial" w:cs="Arial"/>
        </w:rPr>
      </w:pPr>
      <w:r>
        <w:rPr>
          <w:rFonts w:eastAsia="Arial" w:cs="Arial" w:ascii="Arial" w:hAnsi="Arial"/>
        </w:rPr>
      </w:r>
    </w:p>
    <w:p>
      <w:pPr>
        <w:pStyle w:val="Normal"/>
        <w:ind w:start="426"/>
        <w:jc w:val="both"/>
        <w:rPr>
          <w:rFonts w:ascii="Arial" w:hAnsi="Arial" w:cs="Arial"/>
        </w:rPr>
      </w:pPr>
      <w:r>
        <w:rPr>
          <w:rFonts w:cs="Arial" w:ascii="Arial" w:hAnsi="Arial"/>
          <w:b/>
          <w:bCs/>
        </w:rPr>
        <w:t>8.1.2.3.</w:t>
      </w:r>
      <w:r>
        <w:rPr>
          <w:rFonts w:cs="Arial" w:ascii="Arial" w:hAnsi="Arial"/>
        </w:rPr>
        <w:t xml:space="preserve"> O fornecedor der causa à rescisão administrativa de contrato decorrente do registro de preços.</w:t>
      </w:r>
    </w:p>
    <w:p>
      <w:pPr>
        <w:pStyle w:val="Normal"/>
        <w:ind w:start="426"/>
        <w:jc w:val="both"/>
        <w:rPr>
          <w:rFonts w:ascii="Arial" w:hAnsi="Arial" w:cs="Arial"/>
        </w:rPr>
      </w:pPr>
      <w:r>
        <w:rPr>
          <w:rFonts w:cs="Arial" w:ascii="Arial" w:hAnsi="Arial"/>
        </w:rPr>
      </w:r>
    </w:p>
    <w:p>
      <w:pPr>
        <w:pStyle w:val="Normal"/>
        <w:ind w:start="426"/>
        <w:jc w:val="both"/>
        <w:rPr>
          <w:rFonts w:ascii="Arial" w:hAnsi="Arial" w:cs="Arial"/>
        </w:rPr>
      </w:pPr>
      <w:r>
        <w:rPr>
          <w:rFonts w:cs="Arial" w:ascii="Arial" w:hAnsi="Arial"/>
          <w:b/>
          <w:bCs/>
        </w:rPr>
        <w:t xml:space="preserve">8.1.2.4. </w:t>
      </w:r>
      <w:r>
        <w:rPr>
          <w:rFonts w:cs="Arial" w:ascii="Arial" w:hAnsi="Arial"/>
        </w:rPr>
        <w:t>Caracterizada qualquer hipótese de inexecução total ou parcial das condições estabelecidas na Ata de Registro de Preços ou nos pedidos dela decorrentes.</w:t>
      </w:r>
    </w:p>
    <w:p>
      <w:pPr>
        <w:pStyle w:val="Normal"/>
        <w:ind w:start="426"/>
        <w:jc w:val="both"/>
        <w:rPr>
          <w:rFonts w:ascii="Arial" w:hAnsi="Arial" w:cs="Arial"/>
        </w:rPr>
      </w:pPr>
      <w:r>
        <w:rPr>
          <w:rFonts w:cs="Arial" w:ascii="Arial" w:hAnsi="Arial"/>
        </w:rPr>
      </w:r>
    </w:p>
    <w:p>
      <w:pPr>
        <w:pStyle w:val="Normal"/>
        <w:ind w:start="426"/>
        <w:jc w:val="both"/>
        <w:rPr>
          <w:rFonts w:ascii="Arial" w:hAnsi="Arial" w:cs="Arial"/>
        </w:rPr>
      </w:pPr>
      <w:r>
        <w:rPr>
          <w:rFonts w:cs="Arial" w:ascii="Arial" w:hAnsi="Arial"/>
          <w:b/>
          <w:bCs/>
        </w:rPr>
        <w:t xml:space="preserve">8.1.2.5. </w:t>
      </w:r>
      <w:r>
        <w:rPr>
          <w:rFonts w:cs="Arial" w:ascii="Arial" w:hAnsi="Arial"/>
        </w:rPr>
        <w:t>O fornecedor não aceitar reduzir o preço registrado, na hipótese de se tornar superior àqueles praticados no mercado.</w:t>
      </w:r>
    </w:p>
    <w:p>
      <w:pPr>
        <w:pStyle w:val="Normal"/>
        <w:ind w:start="426"/>
        <w:jc w:val="both"/>
        <w:rPr>
          <w:rFonts w:ascii="Arial" w:hAnsi="Arial" w:cs="Arial"/>
        </w:rPr>
      </w:pPr>
      <w:r>
        <w:rPr>
          <w:rFonts w:cs="Arial" w:ascii="Arial" w:hAnsi="Arial"/>
        </w:rPr>
      </w:r>
    </w:p>
    <w:p>
      <w:pPr>
        <w:pStyle w:val="Normal"/>
        <w:ind w:start="426"/>
        <w:jc w:val="both"/>
        <w:rPr>
          <w:rFonts w:ascii="Arial" w:hAnsi="Arial" w:cs="Arial"/>
        </w:rPr>
      </w:pPr>
      <w:r>
        <w:rPr>
          <w:rFonts w:cs="Arial" w:ascii="Arial" w:hAnsi="Arial"/>
          <w:b/>
          <w:bCs/>
        </w:rPr>
        <w:t xml:space="preserve">8.1.2.6. </w:t>
      </w:r>
      <w:r>
        <w:rPr>
          <w:rFonts w:cs="Arial" w:ascii="Arial" w:hAnsi="Arial"/>
        </w:rPr>
        <w:t xml:space="preserve">Por razões de interesse público, devidamente motivadas e justificadas. </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8.2. </w:t>
      </w:r>
      <w:r>
        <w:rPr>
          <w:rFonts w:cs="Arial" w:ascii="Arial" w:hAnsi="Arial"/>
        </w:rPr>
        <w:t>A Ata de Registro de Preços, decorrentes desta licitação, será cancelada automaticamente por decurso de prazo de vigência.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9ª – DA AUTORIZAÇÃO DA AQUISIÇÃO E EMISSÃO DAS ORDENS DE FORNECIMENTO.</w:t>
      </w:r>
    </w:p>
    <w:p>
      <w:pPr>
        <w:pStyle w:val="Normal"/>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 xml:space="preserve">9.1. </w:t>
      </w:r>
      <w:r>
        <w:rPr>
          <w:rFonts w:cs="Arial" w:ascii="Arial" w:hAnsi="Arial"/>
        </w:rPr>
        <w:t>As aquisições do objeto da presente Ata de Registro de Preços e emissão de Ordens de fornecimento serão autorizadas, conforme a necessidade,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10ª – DAS DISPOSIÇÕES FINAIS</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10.1.</w:t>
      </w:r>
      <w:r>
        <w:rPr>
          <w:rFonts w:cs="Arial" w:ascii="Arial" w:hAnsi="Arial"/>
        </w:rPr>
        <w:t xml:space="preserve"> Integram esta Ata, o edital do Pregão Eletrônico nº __/___, seus anexos e a proposta da empresa classificada em 1º lugar nos Itens do certame supranumerado.</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10.2.</w:t>
      </w:r>
      <w:r>
        <w:rPr>
          <w:rFonts w:cs="Arial" w:ascii="Arial" w:hAnsi="Arial"/>
        </w:rPr>
        <w:t xml:space="preserve"> Fica eleito o foro da cidade de Piracicaba – SP, para dirimir quaisquer questões decorrentes da utilização da presente Ata.</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10.3. </w:t>
      </w:r>
      <w:r>
        <w:rPr>
          <w:rFonts w:cs="Arial" w:ascii="Arial" w:hAnsi="Arial"/>
        </w:rPr>
        <w:t>Os casos omissos serão resolvidos de acordo com a Lei Federal nº 14.133/21, Decreto Municipal 19.670/23 e demais normas aplicáveis.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Piracicaba, ____de ________ de _____.</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center"/>
        <w:rPr>
          <w:rFonts w:ascii="Arial" w:hAnsi="Arial" w:cs="Arial"/>
          <w:b/>
          <w:bCs/>
        </w:rPr>
      </w:pPr>
      <w:r>
        <w:rPr>
          <w:rFonts w:cs="Arial" w:ascii="Arial" w:hAnsi="Arial"/>
          <w:b/>
          <w:bCs/>
        </w:rPr>
        <w:t>__________________________</w:t>
      </w:r>
    </w:p>
    <w:p>
      <w:pPr>
        <w:pStyle w:val="Normal"/>
        <w:ind w:firstLine="284"/>
        <w:jc w:val="center"/>
        <w:rPr>
          <w:rFonts w:ascii="Arial" w:hAnsi="Arial" w:cs="Arial"/>
          <w:b/>
          <w:bCs/>
        </w:rPr>
      </w:pPr>
      <w:r>
        <w:rPr>
          <w:rFonts w:cs="Arial" w:ascii="Arial" w:hAnsi="Arial"/>
          <w:b/>
          <w:bCs/>
        </w:rPr>
        <w:t>Prefeito Municipal</w:t>
      </w:r>
    </w:p>
    <w:p>
      <w:pPr>
        <w:pStyle w:val="Normal"/>
        <w:ind w:firstLine="284"/>
        <w:jc w:val="center"/>
        <w:rPr>
          <w:rFonts w:ascii="Arial" w:hAnsi="Arial" w:cs="Arial"/>
          <w:b/>
          <w:bCs/>
        </w:rPr>
      </w:pPr>
      <w:r>
        <w:rPr>
          <w:rFonts w:cs="Arial" w:ascii="Arial" w:hAnsi="Arial"/>
          <w:b/>
          <w:bCs/>
        </w:rPr>
      </w:r>
    </w:p>
    <w:p>
      <w:pPr>
        <w:pStyle w:val="BodyTextIndent"/>
        <w:widowControl w:val="false"/>
        <w:overflowPunct w:val="false"/>
        <w:spacing w:lineRule="auto" w:line="240"/>
        <w:rPr>
          <w:b/>
          <w:bCs/>
        </w:rPr>
      </w:pPr>
      <w:r>
        <w:rPr>
          <w:b/>
          <w:bCs/>
        </w:rPr>
      </w:r>
      <w:r>
        <w:br w:type="page"/>
      </w:r>
    </w:p>
    <w:p>
      <w:pPr>
        <w:pStyle w:val="Normal"/>
        <w:spacing w:before="0" w:after="0"/>
        <w:ind w:firstLine="284"/>
        <w:jc w:val="center"/>
        <w:rPr>
          <w:rFonts w:ascii="Arial" w:hAnsi="Arial" w:cs="Arial"/>
          <w:b/>
        </w:rPr>
      </w:pPr>
      <w:r>
        <w:rPr>
          <w:rFonts w:eastAsia="Arial" w:cs="Arial" w:ascii="Arial" w:hAnsi="Arial"/>
          <w:b/>
        </w:rPr>
        <w:t xml:space="preserve">ANEXO DA </w:t>
      </w:r>
      <w:r>
        <w:rPr>
          <w:rFonts w:cs="Arial" w:ascii="Arial" w:hAnsi="Arial"/>
          <w:b/>
        </w:rPr>
        <w:t>ATA DE REGISTRO DE PREÇOS Nº 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rPr>
      </w:pPr>
      <w:r>
        <w:rPr>
          <w:rFonts w:cs="Arial" w:ascii="Arial" w:hAnsi="Arial"/>
          <w:b/>
        </w:rPr>
        <w:t>PREGÃO</w:t>
      </w:r>
      <w:r>
        <w:rPr>
          <w:rFonts w:cs="Arial" w:ascii="Arial" w:hAnsi="Arial"/>
          <w:b/>
          <w:bCs/>
        </w:rPr>
        <w:t xml:space="preserve"> ELETRÔNICO</w:t>
      </w:r>
      <w:r>
        <w:rPr>
          <w:rFonts w:cs="Arial" w:ascii="Arial" w:hAnsi="Arial"/>
          <w:b/>
        </w:rPr>
        <w:t xml:space="preserve"> Nº 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b/>
        </w:rPr>
      </w:pPr>
      <w:r>
        <w:rPr>
          <w:rFonts w:cs="Arial" w:ascii="Arial" w:hAnsi="Arial"/>
          <w:b/>
        </w:rPr>
        <w:t>PROCESSO Nº ____/_______</w:t>
      </w:r>
    </w:p>
    <w:p>
      <w:pPr>
        <w:pStyle w:val="Normal"/>
        <w:spacing w:before="240" w:after="0"/>
        <w:ind w:firstLine="284"/>
        <w:jc w:val="center"/>
        <w:rPr>
          <w:rFonts w:ascii="Arial" w:hAnsi="Arial" w:cs="Arial"/>
        </w:rPr>
      </w:pPr>
      <w:r>
        <w:rPr>
          <w:rFonts w:cs="Arial" w:ascii="Arial" w:hAnsi="Arial"/>
          <w:b/>
        </w:rPr>
        <w:t>VALIDADE DA ATA: DE____/______/______ A ____/_____/______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b/>
        </w:rPr>
        <w:t>PREÇO REGISTRADO:</w:t>
      </w:r>
    </w:p>
    <w:p>
      <w:pPr>
        <w:pStyle w:val="Normal"/>
        <w:ind w:firstLine="284"/>
        <w:jc w:val="center"/>
        <w:rPr>
          <w:rFonts w:ascii="Arial" w:hAnsi="Arial" w:cs="Arial"/>
        </w:rPr>
      </w:pPr>
      <w:r>
        <w:rPr>
          <w:rFonts w:cs="Arial" w:ascii="Arial" w:hAnsi="Arial"/>
        </w:rPr>
      </w:r>
    </w:p>
    <w:p>
      <w:pPr>
        <w:pStyle w:val="Normal"/>
        <w:rPr>
          <w:rFonts w:ascii="Arial" w:hAnsi="Arial" w:cs="Arial"/>
          <w:b/>
        </w:rPr>
      </w:pPr>
      <w:r>
        <w:rPr>
          <w:rFonts w:cs="Arial" w:ascii="Arial" w:hAnsi="Arial"/>
          <w:b/>
          <w:u w:val="single"/>
        </w:rPr>
        <w:t xml:space="preserve">Empresa: </w:t>
      </w:r>
    </w:p>
    <w:tbl>
      <w:tblPr>
        <w:tblW w:w="18469" w:type="dxa"/>
        <w:jc w:val="start"/>
        <w:tblInd w:w="1" w:type="dxa"/>
        <w:tblLayout w:type="fixed"/>
        <w:tblCellMar>
          <w:top w:w="0" w:type="dxa"/>
          <w:start w:w="2" w:type="dxa"/>
          <w:bottom w:w="0" w:type="dxa"/>
          <w:end w:w="0" w:type="dxa"/>
        </w:tblCellMar>
        <w:tblLook w:val="0000" w:firstRow="0" w:noVBand="0" w:lastRow="0" w:firstColumn="0" w:lastColumn="0" w:noHBand="0"/>
      </w:tblPr>
      <w:tblGrid>
        <w:gridCol w:w="766"/>
        <w:gridCol w:w="890"/>
        <w:gridCol w:w="1077"/>
        <w:gridCol w:w="4939"/>
        <w:gridCol w:w="2160"/>
        <w:gridCol w:w="8637"/>
      </w:tblGrid>
      <w:tr>
        <w:trPr/>
        <w:tc>
          <w:tcPr>
            <w:tcW w:w="766" w:type="dxa"/>
            <w:tcBorders>
              <w:top w:val="single" w:sz="2" w:space="0" w:color="000000"/>
              <w:start w:val="single" w:sz="2" w:space="0" w:color="000000"/>
              <w:bottom w:val="single" w:sz="2" w:space="0" w:color="000000"/>
            </w:tcBorders>
            <w:shd w:color="auto" w:fill="DDDDDD" w:val="clear"/>
          </w:tcPr>
          <w:p>
            <w:pPr>
              <w:pStyle w:val="Contedodatabelauser"/>
              <w:jc w:val="center"/>
              <w:rPr>
                <w:rFonts w:ascii="Arial" w:hAnsi="Arial" w:cs="Arial"/>
                <w:b/>
              </w:rPr>
            </w:pPr>
            <w:r>
              <w:rPr>
                <w:rFonts w:cs="Arial" w:ascii="Arial" w:hAnsi="Arial"/>
                <w:b/>
              </w:rPr>
              <w:t>Item</w:t>
            </w:r>
          </w:p>
        </w:tc>
        <w:tc>
          <w:tcPr>
            <w:tcW w:w="890" w:type="dxa"/>
            <w:tcBorders>
              <w:top w:val="single" w:sz="2" w:space="0" w:color="000000"/>
              <w:start w:val="single" w:sz="2" w:space="0" w:color="000000"/>
              <w:bottom w:val="single" w:sz="2" w:space="0" w:color="000000"/>
            </w:tcBorders>
            <w:shd w:color="auto" w:fill="DDDDDD" w:val="clear"/>
          </w:tcPr>
          <w:p>
            <w:pPr>
              <w:pStyle w:val="Contedodatabelauser"/>
              <w:jc w:val="center"/>
              <w:rPr>
                <w:rFonts w:ascii="Arial" w:hAnsi="Arial" w:cs="Arial"/>
                <w:b/>
              </w:rPr>
            </w:pPr>
            <w:r>
              <w:rPr>
                <w:rFonts w:cs="Arial" w:ascii="Arial" w:hAnsi="Arial"/>
                <w:b/>
              </w:rPr>
              <w:t>Quant</w:t>
            </w:r>
          </w:p>
        </w:tc>
        <w:tc>
          <w:tcPr>
            <w:tcW w:w="1077" w:type="dxa"/>
            <w:tcBorders>
              <w:top w:val="single" w:sz="2" w:space="0" w:color="000000"/>
              <w:start w:val="single" w:sz="2" w:space="0" w:color="000000"/>
              <w:bottom w:val="single" w:sz="2" w:space="0" w:color="000000"/>
            </w:tcBorders>
            <w:shd w:color="auto" w:fill="DDDDDD" w:val="clear"/>
          </w:tcPr>
          <w:p>
            <w:pPr>
              <w:pStyle w:val="Contedodatabelauser"/>
              <w:jc w:val="center"/>
              <w:rPr>
                <w:rFonts w:ascii="Arial" w:hAnsi="Arial" w:cs="Arial"/>
                <w:b/>
              </w:rPr>
            </w:pPr>
            <w:r>
              <w:rPr>
                <w:rFonts w:cs="Arial" w:ascii="Arial" w:hAnsi="Arial"/>
                <w:b/>
              </w:rPr>
              <w:t>Unids</w:t>
            </w:r>
          </w:p>
        </w:tc>
        <w:tc>
          <w:tcPr>
            <w:tcW w:w="4939" w:type="dxa"/>
            <w:tcBorders>
              <w:top w:val="single" w:sz="2" w:space="0" w:color="000000"/>
              <w:start w:val="single" w:sz="2" w:space="0" w:color="000000"/>
              <w:bottom w:val="single" w:sz="2" w:space="0" w:color="000000"/>
            </w:tcBorders>
            <w:shd w:color="auto" w:fill="DDDDDD" w:val="clear"/>
          </w:tcPr>
          <w:p>
            <w:pPr>
              <w:pStyle w:val="Contedodatabelauser"/>
              <w:jc w:val="center"/>
              <w:rPr>
                <w:rFonts w:ascii="Arial" w:hAnsi="Arial" w:cs="Arial"/>
                <w:b/>
              </w:rPr>
            </w:pPr>
            <w:r>
              <w:rPr>
                <w:rFonts w:cs="Arial" w:ascii="Arial" w:hAnsi="Arial"/>
                <w:b/>
              </w:rPr>
              <w:t>Descritivo</w:t>
            </w:r>
          </w:p>
        </w:tc>
        <w:tc>
          <w:tcPr>
            <w:tcW w:w="2160" w:type="dxa"/>
            <w:tcBorders>
              <w:top w:val="single" w:sz="2" w:space="0" w:color="000000"/>
              <w:start w:val="single" w:sz="2" w:space="0" w:color="000000"/>
              <w:bottom w:val="single" w:sz="2" w:space="0" w:color="000000"/>
            </w:tcBorders>
            <w:shd w:color="auto" w:fill="DDDDDD" w:val="clear"/>
          </w:tcPr>
          <w:p>
            <w:pPr>
              <w:pStyle w:val="Contedodatabelauser"/>
              <w:jc w:val="center"/>
              <w:rPr>
                <w:rFonts w:ascii="Arial" w:hAnsi="Arial" w:cs="Arial"/>
              </w:rPr>
            </w:pPr>
            <w:r>
              <w:rPr>
                <w:rFonts w:cs="Arial" w:ascii="Arial" w:hAnsi="Arial"/>
                <w:b/>
              </w:rPr>
              <w:t>Preço unitário</w:t>
            </w:r>
          </w:p>
        </w:tc>
        <w:tc>
          <w:tcPr>
            <w:tcW w:w="8637" w:type="dxa"/>
            <w:tcBorders>
              <w:start w:val="single" w:sz="2" w:space="0" w:color="000000"/>
            </w:tcBorders>
            <w:shd w:color="auto" w:fill="auto" w:val="clear"/>
          </w:tcPr>
          <w:p>
            <w:pPr>
              <w:pStyle w:val="Normal"/>
              <w:snapToGrid w:val="false"/>
              <w:rPr>
                <w:rFonts w:ascii="Arial" w:hAnsi="Arial" w:cs="Arial"/>
              </w:rPr>
            </w:pPr>
            <w:r>
              <w:rPr>
                <w:rFonts w:cs="Arial" w:ascii="Arial" w:hAnsi="Arial"/>
              </w:rPr>
            </w:r>
          </w:p>
        </w:tc>
      </w:tr>
      <w:tr>
        <w:trPr/>
        <w:tc>
          <w:tcPr>
            <w:tcW w:w="766" w:type="dxa"/>
            <w:tcBorders>
              <w:start w:val="single" w:sz="2" w:space="0" w:color="000000"/>
              <w:bottom w:val="single" w:sz="2" w:space="0" w:color="000000"/>
            </w:tcBorders>
            <w:shd w:color="auto" w:fill="auto" w:val="clear"/>
          </w:tcPr>
          <w:p>
            <w:pPr>
              <w:pStyle w:val="Normal"/>
              <w:snapToGrid w:val="false"/>
              <w:jc w:val="center"/>
              <w:rPr>
                <w:rFonts w:ascii="Arial" w:hAnsi="Arial" w:cs="Arial"/>
                <w:szCs w:val="18"/>
              </w:rPr>
            </w:pPr>
            <w:r>
              <w:rPr>
                <w:rFonts w:cs="Arial" w:ascii="Arial" w:hAnsi="Arial"/>
                <w:szCs w:val="18"/>
              </w:rPr>
            </w:r>
          </w:p>
        </w:tc>
        <w:tc>
          <w:tcPr>
            <w:tcW w:w="890" w:type="dxa"/>
            <w:tcBorders>
              <w:start w:val="single" w:sz="2" w:space="0" w:color="000000"/>
              <w:bottom w:val="single" w:sz="2" w:space="0" w:color="000000"/>
            </w:tcBorders>
            <w:shd w:color="auto" w:fill="auto" w:val="clear"/>
            <w:vAlign w:val="center"/>
          </w:tcPr>
          <w:p>
            <w:pPr>
              <w:pStyle w:val="Normal"/>
              <w:snapToGrid w:val="false"/>
              <w:jc w:val="center"/>
              <w:rPr>
                <w:rFonts w:ascii="Arial" w:hAnsi="Arial" w:cs="Arial"/>
                <w:szCs w:val="18"/>
              </w:rPr>
            </w:pPr>
            <w:r>
              <w:rPr>
                <w:rFonts w:cs="Arial" w:ascii="Arial" w:hAnsi="Arial"/>
                <w:szCs w:val="18"/>
              </w:rPr>
            </w:r>
          </w:p>
        </w:tc>
        <w:tc>
          <w:tcPr>
            <w:tcW w:w="1077" w:type="dxa"/>
            <w:tcBorders>
              <w:start w:val="single" w:sz="2" w:space="0" w:color="000000"/>
              <w:bottom w:val="single" w:sz="2" w:space="0" w:color="000000"/>
            </w:tcBorders>
            <w:shd w:color="auto" w:fill="auto" w:val="clear"/>
            <w:vAlign w:val="center"/>
          </w:tcPr>
          <w:p>
            <w:pPr>
              <w:pStyle w:val="Normal"/>
              <w:snapToGrid w:val="false"/>
              <w:jc w:val="center"/>
              <w:rPr>
                <w:rFonts w:ascii="Arial" w:hAnsi="Arial" w:cs="Arial"/>
                <w:szCs w:val="18"/>
              </w:rPr>
            </w:pPr>
            <w:r>
              <w:rPr>
                <w:rFonts w:cs="Arial" w:ascii="Arial" w:hAnsi="Arial"/>
                <w:szCs w:val="18"/>
              </w:rPr>
            </w:r>
          </w:p>
        </w:tc>
        <w:tc>
          <w:tcPr>
            <w:tcW w:w="4939" w:type="dxa"/>
            <w:tcBorders>
              <w:start w:val="single" w:sz="2" w:space="0" w:color="000000"/>
              <w:bottom w:val="single" w:sz="2" w:space="0" w:color="000000"/>
            </w:tcBorders>
            <w:shd w:color="auto" w:fill="auto" w:val="clear"/>
            <w:vAlign w:val="center"/>
          </w:tcPr>
          <w:p>
            <w:pPr>
              <w:pStyle w:val="Normal"/>
              <w:snapToGrid w:val="false"/>
              <w:jc w:val="both"/>
              <w:rPr>
                <w:rFonts w:ascii="Arial" w:hAnsi="Arial" w:cs="Arial"/>
                <w:color w:val="000000"/>
                <w:szCs w:val="18"/>
              </w:rPr>
            </w:pPr>
            <w:r>
              <w:rPr>
                <w:rFonts w:cs="Arial" w:ascii="Arial" w:hAnsi="Arial"/>
                <w:color w:val="000000"/>
                <w:szCs w:val="18"/>
              </w:rPr>
            </w:r>
          </w:p>
        </w:tc>
        <w:tc>
          <w:tcPr>
            <w:tcW w:w="2160" w:type="dxa"/>
            <w:tcBorders>
              <w:start w:val="single" w:sz="2" w:space="0" w:color="000000"/>
              <w:bottom w:val="single" w:sz="2" w:space="0" w:color="000000"/>
            </w:tcBorders>
            <w:shd w:color="auto" w:fill="auto" w:val="clear"/>
          </w:tcPr>
          <w:p>
            <w:pPr>
              <w:pStyle w:val="Normal"/>
              <w:snapToGrid w:val="false"/>
              <w:ind w:firstLine="284"/>
              <w:jc w:val="both"/>
              <w:rPr>
                <w:rFonts w:ascii="Arial" w:hAnsi="Arial" w:cs="Arial"/>
                <w:color w:val="000000"/>
              </w:rPr>
            </w:pPr>
            <w:r>
              <w:rPr>
                <w:rFonts w:cs="Arial" w:ascii="Arial" w:hAnsi="Arial"/>
                <w:color w:val="000000"/>
              </w:rPr>
            </w:r>
          </w:p>
        </w:tc>
        <w:tc>
          <w:tcPr>
            <w:tcW w:w="8637" w:type="dxa"/>
            <w:tcBorders>
              <w:start w:val="single" w:sz="2" w:space="0" w:color="000000"/>
            </w:tcBorders>
            <w:shd w:color="auto" w:fill="auto" w:val="clear"/>
          </w:tcPr>
          <w:p>
            <w:pPr>
              <w:pStyle w:val="Normal"/>
              <w:snapToGrid w:val="false"/>
              <w:rPr>
                <w:rFonts w:ascii="Arial" w:hAnsi="Arial" w:cs="Arial"/>
                <w:color w:val="000000"/>
              </w:rPr>
            </w:pPr>
            <w:r>
              <w:rPr>
                <w:rFonts w:cs="Arial" w:ascii="Arial" w:hAnsi="Arial"/>
                <w:color w:val="000000"/>
              </w:rPr>
            </w:r>
          </w:p>
        </w:tc>
      </w:tr>
    </w:tbl>
    <w:p>
      <w:pPr>
        <w:pStyle w:val="Normal"/>
        <w:widowControl w:val="false"/>
        <w:ind w:firstLine="284"/>
        <w:jc w:val="center"/>
        <w:rPr>
          <w:rFonts w:ascii="Arial" w:hAnsi="Arial" w:cs="Arial"/>
          <w:b/>
          <w:sz w:val="22"/>
          <w:szCs w:val="22"/>
          <w:u w:val="single"/>
        </w:rPr>
      </w:pPr>
      <w:r>
        <w:rPr>
          <w:rFonts w:cs="Arial" w:ascii="Arial" w:hAnsi="Arial"/>
          <w:b/>
          <w:sz w:val="22"/>
          <w:szCs w:val="22"/>
          <w:u w:val="single"/>
        </w:rPr>
      </w:r>
    </w:p>
    <w:p>
      <w:pPr>
        <w:pStyle w:val="BodyTextIndent"/>
        <w:widowControl w:val="false"/>
        <w:overflowPunct w:val="false"/>
        <w:spacing w:lineRule="atLeast" w:line="100"/>
        <w:ind w:firstLine="284"/>
        <w:jc w:val="center"/>
        <w:textAlignment w:val="auto"/>
        <w:rPr>
          <w:b/>
          <w:sz w:val="22"/>
          <w:szCs w:val="22"/>
          <w:u w:val="single"/>
        </w:rPr>
      </w:pPr>
      <w:r>
        <w:rPr>
          <w:b/>
          <w:sz w:val="22"/>
          <w:szCs w:val="22"/>
          <w:u w:val="single"/>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r>
        <w:br w:type="page"/>
      </w:r>
    </w:p>
    <w:p>
      <w:pPr>
        <w:pStyle w:val="BodyTextIndent"/>
        <w:widowControl w:val="false"/>
        <w:overflowPunct w:val="false"/>
        <w:spacing w:lineRule="auto" w:line="240" w:before="0" w:after="0"/>
        <w:jc w:val="center"/>
        <w:rPr>
          <w:b/>
          <w:bCs/>
          <w:sz w:val="22"/>
          <w:szCs w:val="22"/>
          <w:shd w:fill="FFFFFF" w:val="clear"/>
          <w:lang w:val="pt-BR"/>
        </w:rPr>
      </w:pPr>
      <w:r>
        <w:rPr>
          <w:b/>
          <w:sz w:val="22"/>
          <w:szCs w:val="22"/>
        </w:rPr>
        <w:t>ANEXO V</w:t>
      </w:r>
      <w:r>
        <w:rPr>
          <w:b/>
          <w:sz w:val="22"/>
          <w:szCs w:val="22"/>
          <w:lang w:val="pt-BR"/>
        </w:rPr>
        <w:t>I</w:t>
      </w:r>
    </w:p>
    <w:p>
      <w:pPr>
        <w:pStyle w:val="Normal"/>
        <w:jc w:val="center"/>
        <w:rPr>
          <w:rFonts w:ascii="Arial" w:hAnsi="Arial" w:cs="Arial"/>
          <w:b/>
          <w:bCs/>
          <w:sz w:val="18"/>
        </w:rPr>
      </w:pPr>
      <w:r>
        <w:rPr>
          <w:rFonts w:cs="Arial" w:ascii="Arial" w:hAnsi="Arial"/>
          <w:color w:val="000000"/>
          <w:szCs w:val="22"/>
        </w:rPr>
        <w:t>====================================================================================</w:t>
      </w:r>
    </w:p>
    <w:p>
      <w:pPr>
        <w:pStyle w:val="Normal"/>
        <w:ind w:end="141"/>
        <w:jc w:val="center"/>
        <w:rPr>
          <w:rFonts w:ascii="Arial" w:hAnsi="Arial" w:cs="Arial"/>
          <w:color w:val="000000"/>
          <w:kern w:val="2"/>
          <w:sz w:val="22"/>
          <w:szCs w:val="22"/>
        </w:rPr>
      </w:pPr>
      <w:r>
        <w:rPr>
          <w:rFonts w:cs="Arial" w:ascii="Arial" w:hAnsi="Arial"/>
          <w:b/>
          <w:bCs/>
          <w:kern w:val="2"/>
        </w:rPr>
        <w:t>MINUTA DE CONTRATO OU TERMO EQUIVALENTE</w:t>
      </w:r>
    </w:p>
    <w:p>
      <w:pPr>
        <w:pStyle w:val="Normal"/>
        <w:jc w:val="center"/>
        <w:rPr>
          <w:rFonts w:ascii="Arial" w:hAnsi="Arial" w:cs="Arial"/>
          <w:b/>
          <w:bCs/>
          <w:sz w:val="18"/>
        </w:rPr>
      </w:pPr>
      <w:r>
        <w:rPr>
          <w:rFonts w:cs="Arial" w:ascii="Arial" w:hAnsi="Arial"/>
          <w:color w:val="000000"/>
          <w:szCs w:val="22"/>
        </w:rPr>
        <w:t>====================================================================================</w:t>
      </w:r>
    </w:p>
    <w:p>
      <w:pPr>
        <w:pStyle w:val="Normal"/>
        <w:jc w:val="both"/>
        <w:rPr>
          <w:rFonts w:ascii="Arial" w:hAnsi="Arial" w:cs="Arial"/>
          <w:b/>
          <w:u w:val="single"/>
        </w:rPr>
      </w:pPr>
      <w:r>
        <w:rPr>
          <w:rFonts w:cs="Arial" w:ascii="Arial" w:hAnsi="Arial"/>
          <w:b/>
          <w:u w:val="single"/>
        </w:rPr>
        <w:t>CONTRATO QUE ENTRE SI FAZEM A PREFEITURA DO MUNICÍPIO DE PIRACICABA E ................................................, PARA LOCAÇÃO DE CONCENTRADORES DE OXIGÊNCIO DE USO DOMICILIAR COM LOCAÇÃO DE CILINDROS E RECARGA DE GÁS.</w:t>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b/>
        </w:rPr>
      </w:pPr>
      <w:r>
        <w:rPr>
          <w:rFonts w:cs="Arial" w:ascii="Arial" w:hAnsi="Arial"/>
          <w:b/>
        </w:rPr>
        <w:t>Data: ... de ................. de 202..</w:t>
      </w:r>
    </w:p>
    <w:p>
      <w:pPr>
        <w:pStyle w:val="Normal"/>
        <w:jc w:val="both"/>
        <w:rPr>
          <w:rFonts w:ascii="Arial" w:hAnsi="Arial" w:cs="Arial"/>
          <w:b/>
        </w:rPr>
      </w:pPr>
      <w:r>
        <w:rPr>
          <w:rFonts w:cs="Arial" w:ascii="Arial" w:hAnsi="Arial"/>
          <w:b/>
        </w:rPr>
        <w:t>Prazo: 12 (doze) meses.</w:t>
      </w:r>
    </w:p>
    <w:p>
      <w:pPr>
        <w:pStyle w:val="Normal"/>
        <w:jc w:val="both"/>
        <w:rPr>
          <w:rFonts w:ascii="Arial" w:hAnsi="Arial" w:cs="Arial"/>
          <w:b/>
        </w:rPr>
      </w:pPr>
      <w:r>
        <w:rPr>
          <w:rFonts w:cs="Arial" w:ascii="Arial" w:hAnsi="Arial"/>
          <w:b/>
        </w:rPr>
        <w:t>Valor: R$ ........ (............).</w:t>
      </w:r>
    </w:p>
    <w:p>
      <w:pPr>
        <w:pStyle w:val="Normal"/>
        <w:jc w:val="both"/>
        <w:rPr>
          <w:rFonts w:ascii="Arial" w:hAnsi="Arial" w:cs="Arial"/>
          <w:b/>
        </w:rPr>
      </w:pPr>
      <w:r>
        <w:rPr>
          <w:rFonts w:cs="Arial" w:ascii="Arial" w:hAnsi="Arial"/>
          <w:b/>
        </w:rPr>
        <w:t>Processo Administrativo nº 2026/157.224</w:t>
      </w:r>
    </w:p>
    <w:p>
      <w:pPr>
        <w:pStyle w:val="Normal"/>
        <w:jc w:val="both"/>
        <w:rPr>
          <w:rFonts w:ascii="Arial" w:hAnsi="Arial" w:cs="Arial"/>
          <w:b/>
        </w:rPr>
      </w:pPr>
      <w:r>
        <w:rPr>
          <w:rFonts w:cs="Arial" w:ascii="Arial" w:hAnsi="Arial"/>
          <w:b/>
        </w:rPr>
        <w:t>Pregão Eletrônico n.º ..../2026.</w:t>
      </w:r>
    </w:p>
    <w:p>
      <w:pPr>
        <w:pStyle w:val="Normal"/>
        <w:jc w:val="both"/>
        <w:rPr>
          <w:rFonts w:ascii="Arial" w:hAnsi="Arial" w:cs="Arial"/>
          <w:b/>
        </w:rPr>
      </w:pPr>
      <w:r>
        <w:rPr>
          <w:rFonts w:cs="Arial" w:ascii="Arial" w:hAnsi="Arial"/>
          <w:b/>
        </w:rPr>
        <w:t>Ata de Registro de Preços nº .../2026 (válida até ... de ..................... de 2027, prorrogável).</w:t>
      </w:r>
    </w:p>
    <w:p>
      <w:pPr>
        <w:pStyle w:val="Normal"/>
        <w:jc w:val="both"/>
        <w:rPr>
          <w:rFonts w:ascii="Arial" w:hAnsi="Arial" w:cs="Arial"/>
          <w:b/>
        </w:rPr>
      </w:pPr>
      <w:r>
        <w:rPr>
          <w:rFonts w:cs="Arial" w:ascii="Arial" w:hAnsi="Arial"/>
          <w:b/>
        </w:rPr>
        <w:t>Contrato n.º …./2026.</w:t>
      </w:r>
    </w:p>
    <w:p>
      <w:pPr>
        <w:pStyle w:val="Normal"/>
        <w:jc w:val="both"/>
        <w:rPr>
          <w:rFonts w:ascii="Arial" w:hAnsi="Arial" w:cs="Arial"/>
        </w:rPr>
      </w:pPr>
      <w:r>
        <w:rPr>
          <w:rFonts w:cs="Arial" w:ascii="Arial" w:hAnsi="Arial"/>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ind w:firstLine="851"/>
        <w:jc w:val="both"/>
        <w:rPr>
          <w:rFonts w:ascii="Arial" w:hAnsi="Arial" w:cs="Arial"/>
          <w:b/>
          <w:strike/>
        </w:rPr>
      </w:pPr>
      <w:r>
        <w:rPr>
          <w:rFonts w:cs="Arial" w:ascii="Arial" w:hAnsi="Arial"/>
          <w:b/>
          <w:strike/>
        </w:rPr>
      </w:r>
    </w:p>
    <w:tbl>
      <w:tblPr>
        <w:tblW w:w="5000" w:type="pct"/>
        <w:jc w:val="start"/>
        <w:tblInd w:w="-11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rFonts w:ascii="Arial" w:hAnsi="Arial" w:cs="Arial"/>
                <w:b/>
              </w:rPr>
            </w:pPr>
            <w:r>
              <w:rPr>
                <w:rFonts w:cs="Arial" w:ascii="Arial" w:hAnsi="Arial"/>
                <w:b/>
              </w:rPr>
              <w:t>CLÁUSULA 1ª - DAS PARTES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w:t>
      </w:r>
      <w:r>
        <w:rPr>
          <w:rFonts w:cs="Arial" w:ascii="Arial" w:hAnsi="Arial"/>
        </w:rPr>
        <w:t xml:space="preserve"> A </w:t>
      </w:r>
      <w:r>
        <w:rPr>
          <w:rFonts w:cs="Arial" w:ascii="Arial" w:hAnsi="Arial"/>
          <w:b/>
        </w:rPr>
        <w:t>PREFEITURA DO MUNICÍPIO DE PIRACICABA</w:t>
      </w:r>
      <w:r>
        <w:rPr>
          <w:rFonts w:cs="Arial" w:ascii="Arial" w:hAnsi="Arial"/>
        </w:rPr>
        <w:t>, com sede à Rua Antônio Corrêa Barbosa, n.º 2.233, bairro Chácara Nazareth, nesta cidade e Estado, com CNPJ n.º 46.341.038/0001-29, representada pelo Secretário Municipal de Saúde</w:t>
      </w:r>
      <w:r>
        <w:rPr>
          <w:rFonts w:cs="Arial" w:ascii="Arial" w:hAnsi="Arial"/>
          <w:bCs/>
          <w:shd w:fill="FFFFFF" w:val="clear"/>
        </w:rPr>
        <w:t xml:space="preserve">, Sr. </w:t>
      </w:r>
      <w:r>
        <w:rPr>
          <w:rFonts w:cs="Arial" w:ascii="Arial" w:hAnsi="Arial"/>
          <w:b/>
          <w:bCs/>
          <w:color w:val="000000"/>
          <w:shd w:fill="FFFFFF" w:val="clear"/>
        </w:rPr>
        <w:t>GUSTAVO LAPOSTA DE AGUIAR</w:t>
      </w:r>
      <w:r>
        <w:rPr>
          <w:rFonts w:cs="Arial" w:ascii="Arial" w:hAnsi="Arial"/>
          <w:shd w:fill="FFFFFF" w:val="clear"/>
        </w:rPr>
        <w:t>, inscrito no CPF nº .............</w:t>
      </w:r>
      <w:r>
        <w:rPr>
          <w:rFonts w:cs="Arial" w:ascii="Arial" w:hAnsi="Arial"/>
        </w:rPr>
        <w:t xml:space="preserve">, adiante, designada, simplesmente, </w:t>
      </w:r>
      <w:r>
        <w:rPr>
          <w:rFonts w:cs="Arial" w:ascii="Arial" w:hAnsi="Arial"/>
          <w:b/>
        </w:rPr>
        <w:t>CONTRATANTE</w:t>
      </w:r>
      <w:r>
        <w:rPr>
          <w:rFonts w:cs="Arial" w:ascii="Arial" w:hAnsi="Arial"/>
        </w:rPr>
        <w:t xml:space="preserve"> e </w:t>
      </w:r>
      <w:r>
        <w:rPr>
          <w:rFonts w:cs="Arial" w:ascii="Arial" w:hAnsi="Arial"/>
          <w:b/>
        </w:rPr>
        <w:t>..........</w:t>
      </w:r>
      <w:r>
        <w:rPr>
          <w:rFonts w:cs="Arial" w:ascii="Arial" w:hAnsi="Arial"/>
        </w:rPr>
        <w:t xml:space="preserve">, com sede à ........, n.º ......., na cidade de ......., inscrita no CNPJ  n.º ........, por intermédio de seu(sua) ......, Sr(a). .........., (qualificação completa), inscrito(a) no CPF n.º ......., adiante designada simplesmente </w:t>
      </w:r>
      <w:r>
        <w:rPr>
          <w:rFonts w:cs="Arial" w:ascii="Arial" w:hAnsi="Arial"/>
          <w:b/>
        </w:rPr>
        <w:t>CONTRATADA</w:t>
      </w:r>
      <w:r>
        <w:rPr>
          <w:rFonts w:cs="Arial" w:ascii="Arial" w:hAnsi="Arial"/>
        </w:rPr>
        <w:t>, ajustam o que se segue:</w:t>
      </w:r>
    </w:p>
    <w:p>
      <w:pPr>
        <w:pStyle w:val="Normal"/>
        <w:ind w:firstLine="851"/>
        <w:jc w:val="both"/>
        <w:rPr>
          <w:rFonts w:ascii="Arial" w:hAnsi="Arial" w:cs="Arial"/>
          <w:b/>
        </w:rPr>
      </w:pPr>
      <w:r>
        <w:rPr>
          <w:rFonts w:cs="Arial" w:ascii="Arial" w:hAnsi="Arial"/>
          <w:b/>
        </w:rPr>
      </w:r>
    </w:p>
    <w:tbl>
      <w:tblPr>
        <w:tblW w:w="5000" w:type="pct"/>
        <w:jc w:val="start"/>
        <w:tblInd w:w="-11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rFonts w:ascii="Arial" w:hAnsi="Arial" w:cs="Arial"/>
                <w:b/>
              </w:rPr>
            </w:pPr>
            <w:r>
              <w:rPr>
                <w:rFonts w:cs="Arial" w:ascii="Arial" w:hAnsi="Arial"/>
                <w:b/>
              </w:rPr>
              <w:t>CLÁUSULA 2ª - DO OBJETO</w:t>
            </w:r>
          </w:p>
        </w:tc>
      </w:tr>
    </w:tbl>
    <w:p>
      <w:pPr>
        <w:pStyle w:val="Normal"/>
        <w:ind w:firstLine="851"/>
        <w:jc w:val="both"/>
        <w:rPr>
          <w:rFonts w:ascii="Arial" w:hAnsi="Arial" w:cs="Arial"/>
          <w:b/>
        </w:rPr>
      </w:pPr>
      <w:r>
        <w:rPr>
          <w:rFonts w:cs="Arial" w:ascii="Arial" w:hAnsi="Arial"/>
          <w:b/>
        </w:rPr>
      </w:r>
    </w:p>
    <w:p>
      <w:pPr>
        <w:pStyle w:val="BodyTextIndent"/>
        <w:ind w:firstLine="851"/>
        <w:rPr>
          <w:sz w:val="20"/>
          <w:szCs w:val="20"/>
        </w:rPr>
      </w:pPr>
      <w:r>
        <w:rPr>
          <w:sz w:val="20"/>
          <w:szCs w:val="20"/>
        </w:rPr>
        <w:t xml:space="preserve">2.1. </w:t>
      </w:r>
      <w:r>
        <w:rPr>
          <w:sz w:val="20"/>
          <w:szCs w:val="20"/>
          <w:lang w:val="pt-BR"/>
        </w:rPr>
        <w:t>A CONTRATADA se obriga a locar os itens do lote 01 de concentradores de oxigênio de uso domiciliar, com locação de cilindros e recarga de gás, conforme descrição detalhada constante do Edital da Ata de Registro de Preços nº .../2026, bem como seu Termo de Referência, o qual fica fazendo parte integrante do presente instrumento</w:t>
      </w:r>
      <w:r>
        <w:rPr>
          <w:sz w:val="20"/>
          <w:szCs w:val="20"/>
        </w:rPr>
        <w:t>.</w:t>
      </w:r>
    </w:p>
    <w:p>
      <w:pPr>
        <w:pStyle w:val="Normal"/>
        <w:ind w:firstLine="851"/>
        <w:jc w:val="both"/>
        <w:rPr>
          <w:rFonts w:ascii="Arial" w:hAnsi="Arial" w:cs="Arial"/>
          <w:b/>
        </w:rPr>
      </w:pPr>
      <w:r>
        <w:rPr>
          <w:rFonts w:cs="Arial" w:ascii="Arial" w:hAnsi="Arial"/>
          <w:b/>
        </w:rPr>
      </w:r>
    </w:p>
    <w:tbl>
      <w:tblPr>
        <w:tblW w:w="5000" w:type="pct"/>
        <w:jc w:val="start"/>
        <w:tblInd w:w="-11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keepLines/>
              <w:ind w:firstLine="851"/>
              <w:jc w:val="both"/>
              <w:rPr>
                <w:rFonts w:ascii="Arial" w:hAnsi="Arial" w:cs="Arial"/>
                <w:b/>
              </w:rPr>
            </w:pPr>
            <w:r>
              <w:rPr>
                <w:rFonts w:cs="Arial" w:ascii="Arial" w:hAnsi="Arial"/>
                <w:b/>
              </w:rPr>
              <w:t>CLÁUSULA 3ª - DOS RECURSOS FINANCEIROS</w:t>
            </w:r>
          </w:p>
        </w:tc>
      </w:tr>
    </w:tbl>
    <w:p>
      <w:pPr>
        <w:pStyle w:val="BodyTextIndent"/>
        <w:ind w:firstLine="851" w:start="283"/>
        <w:rPr>
          <w:sz w:val="20"/>
          <w:szCs w:val="20"/>
        </w:rPr>
      </w:pPr>
      <w:r>
        <w:rPr>
          <w:sz w:val="20"/>
          <w:szCs w:val="20"/>
        </w:rPr>
      </w:r>
    </w:p>
    <w:p>
      <w:pPr>
        <w:pStyle w:val="Normal"/>
        <w:ind w:firstLine="851"/>
        <w:jc w:val="both"/>
        <w:rPr>
          <w:rFonts w:ascii="Arial" w:hAnsi="Arial" w:cs="Arial"/>
        </w:rPr>
      </w:pPr>
      <w:r>
        <w:rPr>
          <w:rFonts w:cs="Arial" w:ascii="Arial" w:hAnsi="Arial"/>
          <w:b/>
        </w:rPr>
        <w:t>3.1.</w:t>
      </w:r>
      <w:r>
        <w:rPr>
          <w:rFonts w:cs="Arial" w:ascii="Arial" w:hAnsi="Arial"/>
        </w:rPr>
        <w:t xml:space="preserve"> A despesa supra será atendida pela dotação orçamentária nº </w:t>
      </w:r>
      <w:r>
        <w:rPr>
          <w:rFonts w:cs="Arial" w:ascii="Arial" w:hAnsi="Arial"/>
          <w:shd w:fill="FFFFFF" w:val="clear"/>
        </w:rPr>
        <w:t>.......................</w:t>
      </w:r>
      <w:r>
        <w:rPr>
          <w:rFonts w:cs="Arial" w:ascii="Arial" w:hAnsi="Arial"/>
        </w:rPr>
        <w:t>, constante do exercício de 202. e correspondente para 202.</w:t>
      </w:r>
    </w:p>
    <w:tbl>
      <w:tblPr>
        <w:tblW w:w="5000" w:type="pct"/>
        <w:jc w:val="start"/>
        <w:tblInd w:w="-11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keepLines/>
              <w:ind w:firstLine="851"/>
              <w:jc w:val="both"/>
              <w:rPr>
                <w:rFonts w:ascii="Arial" w:hAnsi="Arial" w:cs="Arial"/>
                <w:b/>
              </w:rPr>
            </w:pPr>
            <w:r>
              <w:rPr>
                <w:rFonts w:cs="Arial" w:ascii="Arial" w:hAnsi="Arial"/>
                <w:b/>
              </w:rPr>
              <w:t>CLÁUSULA 4ª – DO SUPORTE LEGAL</w:t>
            </w:r>
          </w:p>
        </w:tc>
      </w:tr>
    </w:tbl>
    <w:p>
      <w:pPr>
        <w:pStyle w:val="Normal"/>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4.1.</w:t>
      </w:r>
      <w:r>
        <w:rPr>
          <w:rFonts w:cs="Arial" w:ascii="Arial" w:hAnsi="Arial"/>
        </w:rPr>
        <w:t xml:space="preserve"> Este contrato é regulado pelos seguintes dispositivos legais:</w:t>
      </w:r>
    </w:p>
    <w:p>
      <w:pPr>
        <w:pStyle w:val="Normal"/>
        <w:keepLines/>
        <w:ind w:firstLine="851"/>
        <w:jc w:val="both"/>
        <w:rPr>
          <w:rFonts w:ascii="Arial" w:hAnsi="Arial" w:cs="Arial"/>
        </w:rPr>
      </w:pPr>
      <w:r>
        <w:rPr>
          <w:rFonts w:cs="Arial" w:ascii="Arial" w:hAnsi="Arial"/>
          <w:b/>
        </w:rPr>
        <w:t>4.1.1.</w:t>
      </w:r>
      <w:r>
        <w:rPr>
          <w:rFonts w:cs="Arial" w:ascii="Arial" w:hAnsi="Arial"/>
        </w:rPr>
        <w:t xml:space="preserve"> Constituição da República Federativa do Brasil;</w:t>
      </w:r>
    </w:p>
    <w:p>
      <w:pPr>
        <w:pStyle w:val="Normal"/>
        <w:keepLines/>
        <w:ind w:firstLine="851"/>
        <w:jc w:val="both"/>
        <w:rPr>
          <w:rFonts w:ascii="Arial" w:hAnsi="Arial" w:cs="Arial"/>
        </w:rPr>
      </w:pPr>
      <w:r>
        <w:rPr>
          <w:rFonts w:cs="Arial" w:ascii="Arial" w:hAnsi="Arial"/>
          <w:b/>
        </w:rPr>
        <w:t>4.1.2.</w:t>
      </w:r>
      <w:r>
        <w:rPr>
          <w:rFonts w:cs="Arial" w:ascii="Arial" w:hAnsi="Arial"/>
        </w:rPr>
        <w:t xml:space="preserve"> Lei Orgânica do Município de Piracicaba;</w:t>
      </w:r>
    </w:p>
    <w:p>
      <w:pPr>
        <w:pStyle w:val="Normal"/>
        <w:keepLines/>
        <w:ind w:firstLine="851"/>
        <w:jc w:val="both"/>
        <w:rPr>
          <w:rFonts w:ascii="Arial" w:hAnsi="Arial" w:cs="Arial"/>
        </w:rPr>
      </w:pPr>
      <w:r>
        <w:rPr>
          <w:rFonts w:cs="Arial" w:ascii="Arial" w:hAnsi="Arial"/>
          <w:b/>
        </w:rPr>
        <w:t>4.1.3.</w:t>
      </w:r>
      <w:r>
        <w:rPr>
          <w:rFonts w:cs="Arial" w:ascii="Arial" w:hAnsi="Arial"/>
        </w:rPr>
        <w:t xml:space="preserve"> Lei Federal nº 14.133, de 01/04/2021;</w:t>
      </w:r>
    </w:p>
    <w:p>
      <w:pPr>
        <w:pStyle w:val="Normal"/>
        <w:keepLines/>
        <w:ind w:firstLine="851"/>
        <w:jc w:val="both"/>
        <w:rPr>
          <w:rFonts w:ascii="Arial" w:hAnsi="Arial" w:cs="Arial"/>
        </w:rPr>
      </w:pPr>
      <w:r>
        <w:rPr>
          <w:rFonts w:cs="Arial" w:ascii="Arial" w:hAnsi="Arial"/>
          <w:b/>
        </w:rPr>
        <w:t>4.1.4.</w:t>
      </w:r>
      <w:r>
        <w:rPr>
          <w:rFonts w:cs="Arial" w:ascii="Arial" w:hAnsi="Arial"/>
        </w:rPr>
        <w:t xml:space="preserve"> Decreto Municipal nº 17.640, de 30/10/2018;</w:t>
      </w:r>
    </w:p>
    <w:p>
      <w:pPr>
        <w:pStyle w:val="Normal"/>
        <w:keepLines/>
        <w:ind w:firstLine="851"/>
        <w:jc w:val="both"/>
        <w:rPr>
          <w:rFonts w:ascii="Arial" w:hAnsi="Arial" w:cs="Arial"/>
        </w:rPr>
      </w:pPr>
      <w:r>
        <w:rPr>
          <w:rFonts w:cs="Arial" w:ascii="Arial" w:hAnsi="Arial"/>
          <w:b/>
        </w:rPr>
        <w:t>4.1.5.</w:t>
      </w:r>
      <w:r>
        <w:rPr>
          <w:rFonts w:cs="Arial" w:ascii="Arial" w:hAnsi="Arial"/>
        </w:rPr>
        <w:t xml:space="preserve"> Demais disposições legais aplicáveis, inclusive subsidiariamente, os princípios gerais de Direito.</w:t>
      </w:r>
    </w:p>
    <w:p>
      <w:pPr>
        <w:pStyle w:val="Normal"/>
        <w:keepLines/>
        <w:ind w:firstLine="851"/>
        <w:jc w:val="both"/>
        <w:rPr>
          <w:rFonts w:ascii="Arial" w:hAnsi="Arial" w:cs="Arial"/>
        </w:rPr>
      </w:pPr>
      <w:r>
        <w:rPr>
          <w:rFonts w:cs="Arial" w:ascii="Arial" w:hAnsi="Arial"/>
        </w:rPr>
      </w:r>
    </w:p>
    <w:tbl>
      <w:tblPr>
        <w:tblW w:w="5000" w:type="pct"/>
        <w:jc w:val="start"/>
        <w:tblInd w:w="-11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rFonts w:ascii="Arial" w:hAnsi="Arial" w:cs="Arial"/>
                <w:b/>
              </w:rPr>
            </w:pPr>
            <w:r>
              <w:rPr>
                <w:rFonts w:cs="Arial" w:ascii="Arial" w:hAnsi="Arial"/>
                <w:b/>
              </w:rPr>
              <w:t>CLÁUSULA 5ª - DO PREÇO</w:t>
            </w:r>
          </w:p>
        </w:tc>
      </w:tr>
    </w:tbl>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5.1.</w:t>
      </w:r>
      <w:r>
        <w:rPr>
          <w:rFonts w:cs="Arial" w:ascii="Arial" w:hAnsi="Arial"/>
        </w:rPr>
        <w:t xml:space="preserve"> Pela execução do objeto deste contrato, a </w:t>
      </w:r>
      <w:r>
        <w:rPr>
          <w:rFonts w:cs="Arial" w:ascii="Arial" w:hAnsi="Arial"/>
          <w:b/>
        </w:rPr>
        <w:t xml:space="preserve">CONTRATANTE </w:t>
      </w:r>
      <w:r>
        <w:rPr>
          <w:rFonts w:cs="Arial" w:ascii="Arial" w:hAnsi="Arial"/>
        </w:rPr>
        <w:t xml:space="preserve">pagará à </w:t>
      </w:r>
      <w:r>
        <w:rPr>
          <w:rFonts w:cs="Arial" w:ascii="Arial" w:hAnsi="Arial"/>
          <w:b/>
        </w:rPr>
        <w:t xml:space="preserve">CONTRATADA </w:t>
      </w:r>
      <w:r>
        <w:rPr>
          <w:rFonts w:cs="Arial" w:ascii="Arial" w:hAnsi="Arial"/>
        </w:rPr>
        <w:t xml:space="preserve">a importância de </w:t>
      </w:r>
      <w:r>
        <w:rPr>
          <w:rFonts w:cs="Arial" w:ascii="Arial" w:hAnsi="Arial"/>
          <w:b/>
        </w:rPr>
        <w:t>R$      (...)</w:t>
      </w:r>
      <w:r>
        <w:rPr>
          <w:rFonts w:cs="Arial" w:ascii="Arial" w:hAnsi="Arial"/>
        </w:rPr>
        <w:t>, conforme valores apresentados por esta em sua proposta.</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5.2.</w:t>
      </w:r>
      <w:r>
        <w:rPr>
          <w:rFonts w:cs="Arial" w:ascii="Arial" w:hAnsi="Arial"/>
        </w:rPr>
        <w:t xml:space="preserve"> Nos preços propostos já estão inclusos, além dos lucros, todas e quaisquer despesas diretas e indiretas, tais como, transportes e combustível, mão-de-obra para a entrega e o descarregamento no local determinado pela </w:t>
      </w:r>
      <w:r>
        <w:rPr>
          <w:rFonts w:cs="Arial" w:ascii="Arial" w:hAnsi="Arial"/>
          <w:b/>
        </w:rPr>
        <w:t>CONTRATANTE</w:t>
      </w:r>
      <w:r>
        <w:rPr>
          <w:rFonts w:cs="Arial" w:ascii="Arial" w:hAnsi="Arial"/>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rFonts w:ascii="Arial" w:hAnsi="Arial" w:cs="Arial"/>
          <w:b/>
        </w:rPr>
      </w:pPr>
      <w:r>
        <w:rPr>
          <w:rFonts w:cs="Arial" w:ascii="Arial" w:hAnsi="Arial"/>
          <w:b/>
        </w:rPr>
      </w:r>
    </w:p>
    <w:tbl>
      <w:tblPr>
        <w:tblW w:w="5000" w:type="pct"/>
        <w:jc w:val="start"/>
        <w:tblInd w:w="-11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rFonts w:ascii="Arial" w:hAnsi="Arial" w:cs="Arial"/>
                <w:b/>
              </w:rPr>
            </w:pPr>
            <w:r>
              <w:rPr>
                <w:rFonts w:cs="Arial" w:ascii="Arial" w:hAnsi="Arial"/>
                <w:b/>
              </w:rPr>
              <w:t>CLÁUSULA 6ª - DOS PAGAMENTOS</w:t>
            </w:r>
          </w:p>
        </w:tc>
      </w:tr>
    </w:tbl>
    <w:p>
      <w:pPr>
        <w:pStyle w:val="Normal"/>
        <w:ind w:firstLine="851"/>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6.1. </w:t>
      </w:r>
      <w:r>
        <w:rPr>
          <w:rFonts w:cs="Arial" w:ascii="Arial" w:hAnsi="Arial"/>
        </w:rPr>
        <w:t>Anteriormente a realização de pagamentos, a Unidade Requisitante realizará consulta, junto a Secretaria Municipal de Finanças sobre a existência de débitos exigíveis da</w:t>
      </w:r>
      <w:r>
        <w:rPr>
          <w:rFonts w:cs="Arial" w:ascii="Arial" w:hAnsi="Arial"/>
          <w:b/>
        </w:rPr>
        <w:t xml:space="preserve"> CONTRATADA</w:t>
      </w:r>
      <w:r>
        <w:rPr>
          <w:rFonts w:cs="Arial" w:ascii="Arial" w:hAnsi="Arial"/>
        </w:rPr>
        <w:t xml:space="preserve"> com o Município de Piracicaba e caso existam, poderá ser realizada a compensação de valores.</w:t>
      </w:r>
    </w:p>
    <w:p>
      <w:pPr>
        <w:pStyle w:val="Normal"/>
        <w:ind w:firstLine="850"/>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6.2. </w:t>
      </w:r>
      <w:r>
        <w:rPr>
          <w:rFonts w:cs="Arial" w:ascii="Arial" w:hAnsi="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corrente indicados pela </w:t>
      </w:r>
      <w:r>
        <w:rPr>
          <w:rFonts w:cs="Arial" w:ascii="Arial" w:hAnsi="Arial"/>
          <w:b/>
        </w:rPr>
        <w:t>CONTRATADA</w:t>
      </w:r>
      <w:r>
        <w:rPr>
          <w:rFonts w:cs="Arial" w:ascii="Arial" w:hAnsi="Arial"/>
        </w:rPr>
        <w:t xml:space="preserve">. </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6.2.1.</w:t>
      </w:r>
      <w:r>
        <w:rPr>
          <w:rFonts w:cs="Arial" w:ascii="Arial" w:hAnsi="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b/>
        </w:rPr>
      </w:pPr>
      <w:r>
        <w:rPr>
          <w:rFonts w:cs="Arial" w:ascii="Arial" w:hAnsi="Arial"/>
        </w:rPr>
        <w:t xml:space="preserve">E-mail para emissão da NF-e: </w:t>
      </w:r>
      <w:hyperlink r:id="rId11">
        <w:r>
          <w:rPr>
            <w:rStyle w:val="Style"/>
            <w:rFonts w:cs="Arial" w:ascii="Arial" w:hAnsi="Arial"/>
            <w:color w:val="0000FF"/>
            <w:u w:val="single"/>
          </w:rPr>
          <w:t>notafiscal@piracicaba.sp.gov.br</w:t>
        </w:r>
      </w:hyperlink>
    </w:p>
    <w:p>
      <w:pPr>
        <w:pStyle w:val="Normal"/>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6.3. </w:t>
      </w:r>
      <w:r>
        <w:rPr>
          <w:rFonts w:cs="Arial" w:ascii="Arial" w:hAnsi="Arial"/>
        </w:rPr>
        <w:t xml:space="preserve">Com a nota fiscal a </w:t>
      </w:r>
      <w:r>
        <w:rPr>
          <w:rFonts w:cs="Arial" w:ascii="Arial" w:hAnsi="Arial"/>
          <w:b/>
        </w:rPr>
        <w:t>CONTRATADA</w:t>
      </w:r>
      <w:r>
        <w:rPr>
          <w:rFonts w:cs="Arial" w:ascii="Arial" w:hAnsi="Arial"/>
        </w:rPr>
        <w:t xml:space="preserve"> deverá apresentar, ainda:</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6.3.1. </w:t>
      </w:r>
      <w:r>
        <w:rPr>
          <w:rFonts w:cs="Arial" w:ascii="Arial" w:hAnsi="Arial"/>
        </w:rPr>
        <w:t>Certidão de Regularidade perante a Fazenda Federal (INSS), com validade em vigor;</w:t>
      </w:r>
    </w:p>
    <w:p>
      <w:pPr>
        <w:pStyle w:val="Normal"/>
        <w:ind w:firstLine="850"/>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6.3.2. </w:t>
      </w:r>
      <w:r>
        <w:rPr>
          <w:rFonts w:cs="Arial" w:ascii="Arial" w:hAnsi="Arial"/>
        </w:rPr>
        <w:t>Certidão de regularidade do FGTS fornecido pela Caixa Econômica Federal, com validade em vigor;</w:t>
      </w:r>
      <w:r>
        <w:rPr>
          <w:rFonts w:cs="Arial" w:ascii="Arial" w:hAnsi="Arial"/>
          <w:b/>
        </w:rPr>
        <w:t xml:space="preserve"> </w:t>
      </w:r>
    </w:p>
    <w:p>
      <w:pPr>
        <w:pStyle w:val="Normal"/>
        <w:ind w:firstLine="850"/>
        <w:jc w:val="both"/>
        <w:rPr>
          <w:rFonts w:ascii="Arial" w:hAnsi="Arial" w:cs="Arial"/>
          <w:b/>
        </w:rPr>
      </w:pPr>
      <w:r>
        <w:rPr>
          <w:rFonts w:cs="Arial" w:ascii="Arial" w:hAnsi="Arial"/>
          <w:b/>
        </w:rPr>
      </w:r>
    </w:p>
    <w:p>
      <w:pPr>
        <w:pStyle w:val="Normal"/>
        <w:keepLines/>
        <w:ind w:firstLine="850"/>
        <w:jc w:val="both"/>
        <w:rPr>
          <w:rFonts w:ascii="Arial" w:hAnsi="Arial" w:cs="Arial"/>
        </w:rPr>
      </w:pPr>
      <w:r>
        <w:rPr>
          <w:rFonts w:cs="Arial" w:ascii="Arial" w:hAnsi="Arial"/>
          <w:b/>
        </w:rPr>
        <w:t>6.3.3.</w:t>
      </w:r>
      <w:r>
        <w:rPr>
          <w:rFonts w:cs="Arial" w:ascii="Arial" w:hAnsi="Arial"/>
        </w:rPr>
        <w:t xml:space="preserve"> Certidão de Regularidade perante a </w:t>
      </w:r>
      <w:r>
        <w:rPr>
          <w:rFonts w:cs="Arial" w:ascii="Arial" w:hAnsi="Arial"/>
          <w:shd w:fill="FFFFFF" w:val="clear"/>
        </w:rPr>
        <w:t>Fazenda Estadual</w:t>
      </w:r>
      <w:r>
        <w:rPr>
          <w:rFonts w:cs="Arial" w:ascii="Arial" w:hAnsi="Arial"/>
        </w:rPr>
        <w:t>, com validade em vigor;</w:t>
      </w:r>
    </w:p>
    <w:p>
      <w:pPr>
        <w:pStyle w:val="Normal"/>
        <w:keepLines/>
        <w:ind w:firstLine="850"/>
        <w:jc w:val="both"/>
        <w:rPr>
          <w:rFonts w:ascii="Arial" w:hAnsi="Arial" w:cs="Arial"/>
        </w:rPr>
      </w:pPr>
      <w:r>
        <w:rPr>
          <w:rFonts w:cs="Arial" w:ascii="Arial" w:hAnsi="Arial"/>
        </w:rPr>
      </w:r>
    </w:p>
    <w:p>
      <w:pPr>
        <w:pStyle w:val="Normal"/>
        <w:keepLines/>
        <w:ind w:firstLine="850"/>
        <w:jc w:val="both"/>
        <w:rPr>
          <w:rFonts w:ascii="Arial" w:hAnsi="Arial" w:cs="Arial"/>
        </w:rPr>
      </w:pPr>
      <w:r>
        <w:rPr>
          <w:rFonts w:cs="Arial" w:ascii="Arial" w:hAnsi="Arial"/>
          <w:b/>
        </w:rPr>
        <w:t>6.3.4.</w:t>
      </w:r>
      <w:r>
        <w:rPr>
          <w:rFonts w:cs="Arial" w:ascii="Arial" w:hAnsi="Arial"/>
        </w:rPr>
        <w:t xml:space="preserve"> Certidão Negativa de Débitos Trabalhistas (CNDT).</w:t>
      </w:r>
    </w:p>
    <w:p>
      <w:pPr>
        <w:pStyle w:val="Normal"/>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6.4. </w:t>
      </w:r>
      <w:r>
        <w:rPr>
          <w:rFonts w:cs="Arial" w:ascii="Arial" w:hAnsi="Arial"/>
        </w:rPr>
        <w:t>Caso o dia do pagamento coincida aos sábados, domingos, feriados ou pontos facultativos, o mesmo será efetuado no primeiro dia útil subsequente, sem qualquer incidência de correção monetária.</w:t>
      </w:r>
    </w:p>
    <w:p>
      <w:pPr>
        <w:pStyle w:val="Normal"/>
        <w:ind w:firstLine="850"/>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6.5.</w:t>
      </w:r>
      <w:r>
        <w:rPr>
          <w:rFonts w:cs="Arial" w:ascii="Arial" w:hAnsi="Arial"/>
        </w:rPr>
        <w:t xml:space="preserve"> Caso a </w:t>
      </w:r>
      <w:r>
        <w:rPr>
          <w:rFonts w:cs="Arial" w:ascii="Arial" w:hAnsi="Arial"/>
          <w:b/>
        </w:rPr>
        <w:t>CONTRATANTE</w:t>
      </w:r>
      <w:r>
        <w:rPr>
          <w:rFonts w:cs="Arial" w:ascii="Arial" w:hAnsi="Arial"/>
        </w:rPr>
        <w:t>, eventualmente, atrase os pagamentos, estes deverão ser corrigidos com base no INPC/IBGE, conforme legislação pertinente.</w:t>
      </w:r>
    </w:p>
    <w:p>
      <w:pPr>
        <w:pStyle w:val="Normal"/>
        <w:ind w:firstLine="851"/>
        <w:jc w:val="both"/>
        <w:rPr>
          <w:rFonts w:ascii="Arial" w:hAnsi="Arial" w:cs="Arial"/>
        </w:rPr>
      </w:pPr>
      <w:r>
        <w:rPr>
          <w:rFonts w:cs="Arial" w:ascii="Arial" w:hAnsi="Arial"/>
        </w:rPr>
      </w:r>
    </w:p>
    <w:tbl>
      <w:tblPr>
        <w:tblW w:w="5000" w:type="pct"/>
        <w:jc w:val="start"/>
        <w:tblInd w:w="-11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rFonts w:ascii="Arial" w:hAnsi="Arial" w:cs="Arial"/>
                <w:b/>
              </w:rPr>
            </w:pPr>
            <w:r>
              <w:rPr>
                <w:rFonts w:cs="Arial" w:ascii="Arial" w:hAnsi="Arial"/>
                <w:b/>
              </w:rPr>
              <w:t>CLÁUSULA 7ª - DA FISCALIZAÇÃO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7.1.</w:t>
      </w:r>
      <w:r>
        <w:rPr>
          <w:rFonts w:cs="Arial" w:ascii="Arial" w:hAnsi="Arial"/>
        </w:rPr>
        <w:t xml:space="preserve"> A Secretaria Municipal de Saúde é o órgão credenciado pela </w:t>
      </w:r>
      <w:r>
        <w:rPr>
          <w:rFonts w:cs="Arial" w:ascii="Arial" w:hAnsi="Arial"/>
          <w:b/>
        </w:rPr>
        <w:t>CONTRATANTE</w:t>
      </w:r>
      <w:r>
        <w:rPr>
          <w:rFonts w:cs="Arial" w:ascii="Arial" w:hAnsi="Arial"/>
        </w:rPr>
        <w:t xml:space="preserve"> para vistoriar a execução do presente contrato e prestar toda a assistência e orientações que se fizerem necessárias, indicando os servidores Sr.(a) .............. e Sr.(a) .............., respectivamente, como gestor(a) e fiscal do presente instrumento.</w:t>
      </w:r>
    </w:p>
    <w:p>
      <w:pPr>
        <w:pStyle w:val="Normal"/>
        <w:ind w:firstLine="851"/>
        <w:jc w:val="both"/>
        <w:rPr>
          <w:rFonts w:ascii="Arial" w:hAnsi="Arial" w:cs="Arial"/>
          <w:b/>
        </w:rPr>
      </w:pPr>
      <w:r>
        <w:rPr>
          <w:rFonts w:cs="Arial" w:ascii="Arial" w:hAnsi="Arial"/>
          <w:b/>
        </w:rPr>
      </w:r>
    </w:p>
    <w:tbl>
      <w:tblPr>
        <w:tblW w:w="5000" w:type="pct"/>
        <w:jc w:val="start"/>
        <w:tblInd w:w="-11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rFonts w:ascii="Arial" w:hAnsi="Arial" w:cs="Arial"/>
                <w:b/>
              </w:rPr>
            </w:pPr>
            <w:r>
              <w:rPr>
                <w:rFonts w:cs="Arial" w:ascii="Arial" w:hAnsi="Arial"/>
                <w:b/>
              </w:rPr>
              <w:t>CLÁUSULA 8ª - DO PRAZO DE VIGÊNCIA</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8.1.</w:t>
      </w:r>
      <w:r>
        <w:rPr>
          <w:rFonts w:cs="Arial" w:ascii="Arial" w:hAnsi="Arial"/>
        </w:rPr>
        <w:t xml:space="preserve"> O presente contrato terá vigência de 12 (doze) meses, a contar da data da Ordem de Fornecimento.</w:t>
      </w:r>
    </w:p>
    <w:p>
      <w:pPr>
        <w:pStyle w:val="Normal"/>
        <w:ind w:firstLine="851"/>
        <w:jc w:val="both"/>
        <w:rPr>
          <w:rFonts w:ascii="Arial" w:hAnsi="Arial" w:cs="Arial"/>
        </w:rPr>
      </w:pPr>
      <w:r>
        <w:rPr>
          <w:rFonts w:cs="Arial" w:ascii="Arial" w:hAnsi="Arial"/>
        </w:rPr>
      </w:r>
    </w:p>
    <w:tbl>
      <w:tblPr>
        <w:tblW w:w="5000" w:type="pct"/>
        <w:jc w:val="start"/>
        <w:tblInd w:w="-11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rFonts w:ascii="Arial" w:hAnsi="Arial" w:cs="Arial"/>
                <w:b/>
              </w:rPr>
            </w:pPr>
            <w:r>
              <w:rPr>
                <w:rFonts w:cs="Arial" w:ascii="Arial" w:hAnsi="Arial"/>
                <w:b/>
              </w:rPr>
              <w:t>CLÁUSULA 9ª - DA EXTINÇÃO DO CONTRATO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9.1.</w:t>
      </w:r>
      <w:r>
        <w:rPr>
          <w:rFonts w:cs="Arial" w:ascii="Arial" w:hAnsi="Arial"/>
        </w:rPr>
        <w:t xml:space="preserve"> Independentemente de interpelação judicial, o contrato será extinto nas hipóteses previstas no art. 137 da Lei Federal nº 14.133/21 e suas alterações.</w:t>
      </w:r>
    </w:p>
    <w:p>
      <w:pPr>
        <w:pStyle w:val="Normal"/>
        <w:ind w:firstLine="851"/>
        <w:jc w:val="both"/>
        <w:rPr>
          <w:rFonts w:ascii="Arial" w:hAnsi="Arial" w:cs="Arial"/>
        </w:rPr>
      </w:pPr>
      <w:r>
        <w:rPr>
          <w:rFonts w:cs="Arial" w:ascii="Arial" w:hAnsi="Arial"/>
        </w:rPr>
      </w:r>
    </w:p>
    <w:tbl>
      <w:tblPr>
        <w:tblW w:w="5000" w:type="pct"/>
        <w:jc w:val="start"/>
        <w:tblInd w:w="-11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rFonts w:ascii="Arial" w:hAnsi="Arial" w:cs="Arial"/>
                <w:b/>
              </w:rPr>
            </w:pPr>
            <w:r>
              <w:rPr>
                <w:rFonts w:cs="Arial" w:ascii="Arial" w:hAnsi="Arial"/>
                <w:b/>
              </w:rPr>
              <w:t>CLÁUSULA 10. - DO RECEBIMENTO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10.1.</w:t>
      </w:r>
      <w:r>
        <w:rPr>
          <w:rFonts w:cs="Arial" w:ascii="Arial" w:hAnsi="Arial"/>
        </w:rPr>
        <w:t xml:space="preserve"> O objeto deste contrato será recebido por servidor a ser designado para o ato do recebimento, da seguinte forma:</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10.1.1. </w:t>
      </w:r>
      <w:r>
        <w:rPr>
          <w:rFonts w:cs="Arial" w:ascii="Arial" w:hAnsi="Arial"/>
        </w:rPr>
        <w:t>Provisoriamente, para efeito de posterior verificação da conformidade do objeto com as especificações, no prazo de até 03 (três) dias, a contar da entrega;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 xml:space="preserve">10.1.2. </w:t>
      </w:r>
      <w:r>
        <w:rPr>
          <w:rFonts w:cs="Arial" w:ascii="Arial" w:hAnsi="Arial"/>
        </w:rPr>
        <w:t>Definitivamente, após a verificação da qualidade do objeto e consequente aceitação, no prazo de até 30 (trinta) dias, a contar do recebimento provisório.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10.2. </w:t>
      </w:r>
      <w:r>
        <w:rPr>
          <w:rFonts w:cs="Arial" w:ascii="Arial" w:hAnsi="Arial"/>
        </w:rPr>
        <w:t>O recebimento de que trata este item far-se-á mediante recibo.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10.3.</w:t>
      </w:r>
      <w:r>
        <w:rPr>
          <w:rFonts w:cs="Arial" w:ascii="Arial" w:hAnsi="Arial"/>
        </w:rPr>
        <w:t xml:space="preserve"> Fica facultada à </w:t>
      </w:r>
      <w:r>
        <w:rPr>
          <w:rFonts w:cs="Arial" w:ascii="Arial" w:hAnsi="Arial"/>
          <w:b/>
        </w:rPr>
        <w:t xml:space="preserve">CONTRATADA </w:t>
      </w:r>
      <w:r>
        <w:rPr>
          <w:rFonts w:cs="Arial" w:ascii="Arial" w:hAnsi="Arial"/>
        </w:rPr>
        <w:t xml:space="preserve">a indicação de um representante para, conjuntamente, com o da </w:t>
      </w:r>
      <w:r>
        <w:rPr>
          <w:rFonts w:cs="Arial" w:ascii="Arial" w:hAnsi="Arial"/>
          <w:b/>
        </w:rPr>
        <w:t>CONTRATANTE</w:t>
      </w:r>
      <w:r>
        <w:rPr>
          <w:rFonts w:cs="Arial" w:ascii="Arial" w:hAnsi="Arial"/>
        </w:rPr>
        <w:t>, proceder ao recebimento do objeto do presente contrato.</w:t>
      </w:r>
    </w:p>
    <w:p>
      <w:pPr>
        <w:pStyle w:val="Normal"/>
        <w:jc w:val="both"/>
        <w:rPr>
          <w:rFonts w:ascii="Arial" w:hAnsi="Arial" w:cs="Arial"/>
        </w:rPr>
      </w:pPr>
      <w:r>
        <w:rPr>
          <w:rFonts w:cs="Arial" w:ascii="Arial" w:hAnsi="Arial"/>
        </w:rPr>
      </w:r>
    </w:p>
    <w:tbl>
      <w:tblPr>
        <w:tblW w:w="5000" w:type="pct"/>
        <w:jc w:val="start"/>
        <w:tblInd w:w="-11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keepLines/>
              <w:ind w:firstLine="851"/>
              <w:jc w:val="both"/>
              <w:rPr>
                <w:rFonts w:ascii="Arial" w:hAnsi="Arial" w:cs="Arial"/>
                <w:b/>
              </w:rPr>
            </w:pPr>
            <w:r>
              <w:rPr>
                <w:rFonts w:cs="Arial" w:ascii="Arial" w:hAnsi="Arial"/>
                <w:b/>
              </w:rPr>
              <w:t>CLÁUSULA 11. - DAS SANÇÕES ADMINISTRATIVAS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w:t>
      </w:r>
      <w:r>
        <w:rPr>
          <w:rFonts w:cs="Arial" w:ascii="Arial" w:hAnsi="Arial"/>
        </w:rPr>
        <w:t xml:space="preserve"> Comete infração administrativa, nos termos da lei, o licitante que, com dolo ou culpa: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11.1.1.</w:t>
      </w:r>
      <w:r>
        <w:rPr>
          <w:rFonts w:cs="Arial" w:ascii="Arial" w:hAnsi="Arial"/>
        </w:rPr>
        <w:t xml:space="preserve"> Deixar de entregar a documentação exigida para o certame ou não entregar qualquer documento que tenha sido solicitado pelo/a pregoeiro/a durante o certame;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w:t>
      </w:r>
      <w:r>
        <w:rPr>
          <w:rFonts w:cs="Arial" w:ascii="Arial" w:hAnsi="Arial"/>
        </w:rPr>
        <w:t xml:space="preserve"> Salvo em decorrência de fato superveniente devidamente justificado, não mantiver a proposta em especial quando: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11.1.2.1.</w:t>
      </w:r>
      <w:r>
        <w:rPr>
          <w:rFonts w:cs="Arial" w:ascii="Arial" w:hAnsi="Arial"/>
        </w:rPr>
        <w:t xml:space="preserve"> Não enviar a proposta adequada ao último lance ofertado ou após a negociação;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11.1.2.2.</w:t>
      </w:r>
      <w:r>
        <w:rPr>
          <w:rFonts w:cs="Arial" w:ascii="Arial" w:hAnsi="Arial"/>
        </w:rPr>
        <w:t xml:space="preserve"> Recusar-se a enviar o detalhamento da proposta quando exigível;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11.1.2.3.</w:t>
      </w:r>
      <w:r>
        <w:rPr>
          <w:rFonts w:cs="Arial" w:ascii="Arial" w:hAnsi="Arial"/>
        </w:rPr>
        <w:t xml:space="preserve"> Pedir para ser desclassificado quando encerrada a etapa competitiva; </w:t>
      </w:r>
    </w:p>
    <w:p>
      <w:pPr>
        <w:pStyle w:val="Normal"/>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11.1.2.4.</w:t>
      </w:r>
      <w:r>
        <w:rPr>
          <w:rFonts w:cs="Arial" w:ascii="Arial" w:hAnsi="Arial"/>
        </w:rPr>
        <w:t xml:space="preserve"> Deixar de apresentar amostra;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11.1.2.5</w:t>
      </w:r>
      <w:r>
        <w:rPr>
          <w:rFonts w:cs="Arial" w:ascii="Arial" w:hAnsi="Arial"/>
        </w:rPr>
        <w:t xml:space="preserve">. Apresentar proposta ou amostra em desacordo com as especificações do edital;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11.1.3.</w:t>
      </w:r>
      <w:r>
        <w:rPr>
          <w:rFonts w:cs="Arial" w:ascii="Arial" w:hAnsi="Arial"/>
        </w:rPr>
        <w:t xml:space="preserve"> Não celebrar o contrato ou não entregar a documentação exigida para a contratação, quando convocado dentro do prazo de validade de sua proposta;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11.1.3.1.</w:t>
      </w:r>
      <w:r>
        <w:rPr>
          <w:rFonts w:cs="Arial" w:ascii="Arial" w:hAnsi="Arial"/>
        </w:rPr>
        <w:t xml:space="preserve"> Recusar-se, sem justificativa, a assinar o contrato ou a ata de registro de preço, ou a aceitar ou retirar o instrumento equivalente no prazo estabelecido pela Administração;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11.1.4.</w:t>
      </w:r>
      <w:r>
        <w:rPr>
          <w:rFonts w:cs="Arial" w:ascii="Arial" w:hAnsi="Arial"/>
        </w:rPr>
        <w:t xml:space="preserve"> Apresentar declaração ou documentação falsa exigida para o certame ou prestar declaração falsa durante a licitação;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11.1.5.</w:t>
      </w:r>
      <w:r>
        <w:rPr>
          <w:rFonts w:cs="Arial" w:ascii="Arial" w:hAnsi="Arial"/>
        </w:rPr>
        <w:t xml:space="preserve"> Fraudar a licitação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11.1.6.</w:t>
      </w:r>
      <w:r>
        <w:rPr>
          <w:rFonts w:cs="Arial" w:ascii="Arial" w:hAnsi="Arial"/>
        </w:rPr>
        <w:t xml:space="preserve"> Comportar-se de modo inidôneo ou cometer fraude de qualquer natureza, em especial quando: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11.1.6.1.</w:t>
      </w:r>
      <w:r>
        <w:rPr>
          <w:rFonts w:cs="Arial" w:ascii="Arial" w:hAnsi="Arial"/>
        </w:rPr>
        <w:t xml:space="preserve"> Agir em conluio ou em desconformidade com a lei;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11.1.6.2.</w:t>
      </w:r>
      <w:r>
        <w:rPr>
          <w:rFonts w:cs="Arial" w:ascii="Arial" w:hAnsi="Arial"/>
        </w:rPr>
        <w:t xml:space="preserve"> Induzir deliberadamente a erro no julgamento;</w:t>
      </w:r>
    </w:p>
    <w:p>
      <w:pPr>
        <w:pStyle w:val="Normal"/>
        <w:ind w:firstLine="851"/>
        <w:jc w:val="both"/>
        <w:rPr>
          <w:rFonts w:ascii="Arial" w:hAnsi="Arial" w:cs="Arial"/>
        </w:rPr>
      </w:pPr>
      <w:r>
        <w:rPr>
          <w:rFonts w:cs="Arial" w:ascii="Arial" w:hAnsi="Arial"/>
          <w:b/>
        </w:rPr>
        <w:t>11.1.6.3.</w:t>
      </w:r>
      <w:r>
        <w:rPr>
          <w:rFonts w:cs="Arial" w:ascii="Arial" w:hAnsi="Arial"/>
        </w:rPr>
        <w:t xml:space="preserve"> Apresentar amostra falsificada ou deteriorada;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11.1.7.</w:t>
      </w:r>
      <w:r>
        <w:rPr>
          <w:rFonts w:cs="Arial" w:ascii="Arial" w:hAnsi="Arial"/>
        </w:rPr>
        <w:t xml:space="preserve"> Praticar atos ilícitos com vistas a frustrar os objetivos da licitação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11.1.8.</w:t>
      </w:r>
      <w:r>
        <w:rPr>
          <w:rFonts w:cs="Arial" w:ascii="Arial" w:hAnsi="Arial"/>
        </w:rPr>
        <w:t xml:space="preserve"> Praticar ato lesivo previsto no art. 5º da Lei n.º 12.846, de 2013.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11.2.</w:t>
      </w:r>
      <w:r>
        <w:rPr>
          <w:rFonts w:cs="Arial" w:ascii="Arial" w:hAnsi="Arial"/>
        </w:rPr>
        <w:t xml:space="preserve"> A sanção de que trata o subitem poderá ser aplicada juntamente com as multas previstas, garantindo o exercício de prévia e ampla defesa.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11.2.1.</w:t>
      </w:r>
      <w:r>
        <w:rPr>
          <w:rFonts w:cs="Arial" w:ascii="Arial" w:hAnsi="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11.3.</w:t>
      </w:r>
      <w:r>
        <w:rPr>
          <w:rFonts w:cs="Arial" w:ascii="Arial" w:hAnsi="Arial"/>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11.3.1.</w:t>
      </w:r>
      <w:r>
        <w:rPr>
          <w:rFonts w:cs="Arial" w:ascii="Arial" w:hAnsi="Arial"/>
        </w:rPr>
        <w:t xml:space="preserve"> Advertência;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w:t>
      </w:r>
      <w:r>
        <w:rPr>
          <w:rFonts w:cs="Arial" w:ascii="Arial" w:hAnsi="Arial"/>
        </w:rPr>
        <w:t xml:space="preserve"> Multa de mora;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11.3.2.1.</w:t>
      </w:r>
      <w:r>
        <w:rPr>
          <w:rFonts w:cs="Arial" w:ascii="Arial" w:hAnsi="Arial"/>
        </w:rPr>
        <w:t xml:space="preserve"> Multa de 10% (dez por cento) sobre a parcela remanescente, no caso de inexecução parcial de contrato;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11.3.2.2.</w:t>
      </w:r>
      <w:r>
        <w:rPr>
          <w:rFonts w:cs="Arial" w:ascii="Arial" w:hAnsi="Arial"/>
        </w:rPr>
        <w:t xml:space="preserve"> Multa de 1% (um por cento), por dia de atraso, sobre o valor correspondente à entrega que estiver em desacordo com os prazos estipulados, até o limite de 10 (dez) dias;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11.3.2.3.</w:t>
      </w:r>
      <w:r>
        <w:rPr>
          <w:rFonts w:cs="Arial" w:ascii="Arial" w:hAnsi="Arial"/>
        </w:rPr>
        <w:t xml:space="preserve"> Multa de 20% (vinte por cento) sobre o valor total do contrato, no caso de sua inexecução total;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11.3.2.5.</w:t>
      </w:r>
      <w:r>
        <w:rPr>
          <w:rFonts w:cs="Arial" w:ascii="Arial" w:hAnsi="Arial"/>
        </w:rPr>
        <w:t xml:space="preserve"> Multa de 20% (vinte por cento) sobre o valor total do contrato, no caso recusa injustificada de assinar/receber o contrato.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11.4.</w:t>
      </w:r>
      <w:r>
        <w:rPr>
          <w:rFonts w:cs="Arial" w:ascii="Arial" w:hAnsi="Arial"/>
        </w:rPr>
        <w:t xml:space="preserve"> As multas são independentes entre si; a aplicação de uma, não exclui a aplicação de outras, bem como das demais penalidades previstas em lei.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11.5.</w:t>
      </w:r>
      <w:r>
        <w:rPr>
          <w:rFonts w:cs="Arial" w:ascii="Arial" w:hAnsi="Arial"/>
        </w:rPr>
        <w:t xml:space="preserve"> Os prazos para defesa prévia serão de 15 (quinze) dias úteis.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11.7.</w:t>
      </w:r>
      <w:r>
        <w:rPr>
          <w:rFonts w:cs="Arial" w:ascii="Arial" w:hAnsi="Arial"/>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11.8.</w:t>
      </w:r>
      <w:r>
        <w:rPr>
          <w:rFonts w:cs="Arial" w:ascii="Arial" w:hAnsi="Arial"/>
        </w:rPr>
        <w:t xml:space="preserve"> Pelo descumprimento de quaisquer cláusulas ou condições do contrato, as multas e penalidade serão elevadas em dobro, em caso de reincidência.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11.9.</w:t>
      </w:r>
      <w:r>
        <w:rPr>
          <w:rFonts w:cs="Arial" w:ascii="Arial" w:hAnsi="Arial"/>
        </w:rPr>
        <w:t xml:space="preserve"> A aplicação das sanções previstas neste edital não exclui, em hipótese alguma, a obrigação de reparação integral dos danos causados.</w:t>
      </w:r>
    </w:p>
    <w:p>
      <w:pPr>
        <w:pStyle w:val="Normal"/>
        <w:ind w:firstLine="851"/>
        <w:jc w:val="both"/>
        <w:rPr>
          <w:rFonts w:ascii="Arial" w:hAnsi="Arial" w:cs="Arial"/>
        </w:rPr>
      </w:pPr>
      <w:r>
        <w:rPr>
          <w:rFonts w:cs="Arial" w:ascii="Arial" w:hAnsi="Arial"/>
        </w:rPr>
      </w:r>
    </w:p>
    <w:tbl>
      <w:tblPr>
        <w:tblW w:w="5000" w:type="pct"/>
        <w:jc w:val="start"/>
        <w:tblInd w:w="-11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rFonts w:ascii="Arial" w:hAnsi="Arial" w:cs="Arial"/>
                <w:b/>
              </w:rPr>
            </w:pPr>
            <w:r>
              <w:rPr>
                <w:rFonts w:cs="Arial" w:ascii="Arial" w:hAnsi="Arial"/>
                <w:b/>
              </w:rPr>
              <w:t>CLÁUSULA 12. - DAS MEDIDAS ANTICORRUPÇÃO</w:t>
            </w:r>
          </w:p>
        </w:tc>
      </w:tr>
    </w:tbl>
    <w:p>
      <w:pPr>
        <w:pStyle w:val="Normal"/>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shd w:fill="FFFFFF" w:val="clear"/>
        </w:rPr>
        <w:t>12.1.</w:t>
      </w:r>
      <w:r>
        <w:rPr>
          <w:rFonts w:cs="Arial" w:ascii="Arial" w:hAnsi="Arial"/>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rFonts w:ascii="Arial" w:hAnsi="Arial" w:cs="Arial"/>
        </w:rPr>
      </w:pPr>
      <w:r>
        <w:rPr>
          <w:rFonts w:cs="Arial" w:ascii="Arial" w:hAnsi="Arial"/>
        </w:rPr>
      </w:r>
    </w:p>
    <w:tbl>
      <w:tblPr>
        <w:tblW w:w="5000" w:type="pct"/>
        <w:jc w:val="start"/>
        <w:tblInd w:w="-11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rFonts w:ascii="Arial" w:hAnsi="Arial" w:cs="Arial"/>
                <w:b/>
              </w:rPr>
            </w:pPr>
            <w:r>
              <w:rPr>
                <w:rFonts w:cs="Arial" w:ascii="Arial" w:hAnsi="Arial"/>
                <w:b/>
              </w:rPr>
              <w:t>CLÁUSULA 13. - DAS DISPOSIÇÕES FINAIS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13.1.</w:t>
      </w:r>
      <w:r>
        <w:rPr>
          <w:rFonts w:cs="Arial" w:ascii="Arial" w:hAnsi="Arial"/>
        </w:rPr>
        <w:t xml:space="preserve"> A </w:t>
      </w:r>
      <w:r>
        <w:rPr>
          <w:rFonts w:cs="Arial" w:ascii="Arial" w:hAnsi="Arial"/>
          <w:b/>
        </w:rPr>
        <w:t>CONTRATADA</w:t>
      </w:r>
      <w:r>
        <w:rPr>
          <w:rFonts w:cs="Arial" w:ascii="Arial" w:hAnsi="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13.2.</w:t>
      </w:r>
      <w:r>
        <w:rPr>
          <w:rFonts w:cs="Arial" w:ascii="Arial" w:hAnsi="Arial"/>
        </w:rPr>
        <w:t xml:space="preserve"> O pessoal da </w:t>
      </w:r>
      <w:r>
        <w:rPr>
          <w:rFonts w:cs="Arial" w:ascii="Arial" w:hAnsi="Arial"/>
          <w:b/>
        </w:rPr>
        <w:t>CONTRATADA</w:t>
      </w:r>
      <w:r>
        <w:rPr>
          <w:rFonts w:cs="Arial" w:ascii="Arial" w:hAnsi="Arial"/>
        </w:rPr>
        <w:t xml:space="preserve"> por ela designado para trabalhar na execução do contrato, não terão qualquer vínculo empregatício com a </w:t>
      </w:r>
      <w:r>
        <w:rPr>
          <w:rFonts w:cs="Arial" w:ascii="Arial" w:hAnsi="Arial"/>
          <w:b/>
        </w:rPr>
        <w:t>CONTRATANTE</w:t>
      </w:r>
      <w:r>
        <w:rPr>
          <w:rFonts w:cs="Arial" w:ascii="Arial" w:hAnsi="Arial"/>
        </w:rPr>
        <w:t>.</w:t>
      </w:r>
    </w:p>
    <w:p>
      <w:pPr>
        <w:pStyle w:val="Normal"/>
        <w:keepLines/>
        <w:ind w:firstLine="851"/>
        <w:jc w:val="both"/>
        <w:rPr>
          <w:rFonts w:ascii="Arial" w:hAnsi="Arial" w:cs="Arial"/>
          <w:b/>
        </w:rPr>
      </w:pPr>
      <w:r>
        <w:rPr>
          <w:rFonts w:cs="Arial" w:ascii="Arial" w:hAnsi="Arial"/>
          <w:b/>
        </w:rPr>
      </w:r>
    </w:p>
    <w:p>
      <w:pPr>
        <w:pStyle w:val="Normal"/>
        <w:keepLines/>
        <w:ind w:firstLine="851"/>
        <w:jc w:val="both"/>
        <w:rPr>
          <w:rFonts w:ascii="Arial" w:hAnsi="Arial" w:cs="Arial"/>
        </w:rPr>
      </w:pPr>
      <w:r>
        <w:rPr>
          <w:rFonts w:cs="Arial" w:ascii="Arial" w:hAnsi="Arial"/>
          <w:b/>
        </w:rPr>
        <w:t>13.3.</w:t>
      </w:r>
      <w:r>
        <w:rPr>
          <w:rFonts w:cs="Arial" w:ascii="Arial" w:hAnsi="Arial"/>
        </w:rPr>
        <w:t xml:space="preserve"> A </w:t>
      </w:r>
      <w:r>
        <w:rPr>
          <w:rFonts w:cs="Arial" w:ascii="Arial" w:hAnsi="Arial"/>
          <w:b/>
        </w:rPr>
        <w:t>CONTRATADA</w:t>
      </w:r>
      <w:r>
        <w:rPr>
          <w:rFonts w:cs="Arial" w:ascii="Arial" w:hAnsi="Arial"/>
        </w:rPr>
        <w:t xml:space="preserve"> é responsável pelos encargos trabalhistas, previdenciários, fiscais e comerciais resultantes da execução do contrato.</w:t>
      </w:r>
    </w:p>
    <w:p>
      <w:pPr>
        <w:pStyle w:val="Normal"/>
        <w:keepLines/>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13.4.</w:t>
      </w:r>
      <w:r>
        <w:rPr>
          <w:rFonts w:cs="Arial" w:ascii="Arial" w:hAnsi="Arial"/>
        </w:rPr>
        <w:t xml:space="preserve"> Correrão por conta da </w:t>
      </w:r>
      <w:r>
        <w:rPr>
          <w:rFonts w:cs="Arial" w:ascii="Arial" w:hAnsi="Arial"/>
          <w:b/>
        </w:rPr>
        <w:t>CONTRATADA</w:t>
      </w:r>
      <w:r>
        <w:rPr>
          <w:rFonts w:cs="Arial" w:ascii="Arial" w:hAnsi="Arial"/>
        </w:rPr>
        <w:t xml:space="preserve"> todos os tributos e/ou preços públicos que sejam porventura devidos, em decorrência da execução do contrato.</w:t>
      </w:r>
    </w:p>
    <w:p>
      <w:pPr>
        <w:pStyle w:val="Normal"/>
        <w:keepLines/>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13.5.</w:t>
      </w:r>
      <w:r>
        <w:rPr>
          <w:rFonts w:cs="Arial" w:ascii="Arial" w:hAnsi="Arial"/>
        </w:rPr>
        <w:t xml:space="preserve"> A </w:t>
      </w:r>
      <w:r>
        <w:rPr>
          <w:rFonts w:cs="Arial" w:ascii="Arial" w:hAnsi="Arial"/>
          <w:b/>
        </w:rPr>
        <w:t xml:space="preserve">CONTRATADA </w:t>
      </w:r>
      <w:r>
        <w:rPr>
          <w:rFonts w:cs="Arial" w:ascii="Arial" w:hAnsi="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rFonts w:cs="Arial" w:ascii="Arial" w:hAnsi="Arial"/>
          <w:b/>
        </w:rPr>
        <w:t>CONTRATANTE</w:t>
      </w:r>
      <w:r>
        <w:rPr>
          <w:rFonts w:cs="Arial" w:ascii="Arial" w:hAnsi="Arial"/>
        </w:rPr>
        <w:t>.</w:t>
      </w:r>
    </w:p>
    <w:p>
      <w:pPr>
        <w:pStyle w:val="Normal"/>
        <w:keepLines/>
        <w:jc w:val="both"/>
        <w:rPr>
          <w:rFonts w:ascii="Arial" w:hAnsi="Arial" w:cs="Arial"/>
          <w:b/>
        </w:rPr>
      </w:pPr>
      <w:r>
        <w:rPr>
          <w:rFonts w:cs="Arial" w:ascii="Arial" w:hAnsi="Arial"/>
          <w:b/>
        </w:rPr>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13.6. </w:t>
      </w:r>
      <w:r>
        <w:rPr>
          <w:rFonts w:cs="Arial" w:ascii="Arial" w:hAnsi="Arial"/>
        </w:rPr>
        <w:t>É vedada a subcontratação.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13.7. </w:t>
      </w:r>
      <w:r>
        <w:rPr>
          <w:rFonts w:cs="Arial" w:ascii="Arial" w:hAnsi="Arial"/>
        </w:rPr>
        <w:t xml:space="preserve">A </w:t>
      </w:r>
      <w:r>
        <w:rPr>
          <w:rFonts w:cs="Arial" w:ascii="Arial" w:hAnsi="Arial"/>
          <w:b/>
        </w:rPr>
        <w:t xml:space="preserve">CONTRATADA </w:t>
      </w:r>
      <w:r>
        <w:rPr>
          <w:rFonts w:cs="Arial" w:ascii="Arial" w:hAnsi="Arial"/>
        </w:rPr>
        <w:t xml:space="preserve">assume inteira responsabilidade pela perfeita </w:t>
      </w:r>
      <w:r>
        <w:rPr>
          <w:rFonts w:cs="Arial" w:ascii="Arial" w:hAnsi="Arial"/>
          <w:shd w:fill="FFFFFF" w:val="clear"/>
        </w:rPr>
        <w:t>entrega do objeto contratado.</w:t>
      </w:r>
    </w:p>
    <w:p>
      <w:pPr>
        <w:pStyle w:val="Normal"/>
        <w:keepLines/>
        <w:jc w:val="both"/>
        <w:rPr>
          <w:rFonts w:ascii="Arial" w:hAnsi="Arial" w:cs="Arial"/>
          <w:b/>
        </w:rPr>
      </w:pPr>
      <w:r>
        <w:rPr>
          <w:rFonts w:cs="Arial" w:ascii="Arial" w:hAnsi="Arial"/>
          <w:b/>
        </w:rPr>
      </w:r>
    </w:p>
    <w:p>
      <w:pPr>
        <w:pStyle w:val="Normal"/>
        <w:keepLines/>
        <w:ind w:firstLine="851"/>
        <w:jc w:val="both"/>
        <w:rPr>
          <w:rFonts w:ascii="Arial" w:hAnsi="Arial" w:cs="Arial"/>
        </w:rPr>
      </w:pPr>
      <w:r>
        <w:rPr>
          <w:rFonts w:cs="Arial" w:ascii="Arial" w:hAnsi="Arial"/>
          <w:b/>
        </w:rPr>
        <w:t>13.8.</w:t>
      </w:r>
      <w:r>
        <w:rPr>
          <w:rFonts w:cs="Arial" w:ascii="Arial" w:hAnsi="Arial"/>
        </w:rPr>
        <w:t xml:space="preserve"> A </w:t>
      </w:r>
      <w:r>
        <w:rPr>
          <w:rFonts w:cs="Arial" w:ascii="Arial" w:hAnsi="Arial"/>
          <w:b/>
        </w:rPr>
        <w:t>CONTRATADA</w:t>
      </w:r>
      <w:r>
        <w:rPr>
          <w:rFonts w:cs="Arial" w:ascii="Arial" w:hAnsi="Arial"/>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13.9.</w:t>
      </w:r>
      <w:r>
        <w:rPr>
          <w:rFonts w:cs="Arial" w:ascii="Arial" w:hAnsi="Arial"/>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rPr>
        <w:t>Lido e achado conforme, assinam este instrumento em 02 (duas) vias, de igual teor e forma, as partes e testemunha, sendo 01 (uma) via destinada ao processo e a outra para arquivo.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rPr>
        <w:t>Piracicaba, ..... de ........................... de 2026.</w:t>
      </w:r>
    </w:p>
    <w:p>
      <w:pPr>
        <w:pStyle w:val="Normal"/>
        <w:jc w:val="both"/>
        <w:rPr>
          <w:rFonts w:ascii="Arial" w:hAnsi="Arial" w:cs="Arial"/>
        </w:rPr>
      </w:pPr>
      <w:r>
        <w:rPr>
          <w:rFonts w:cs="Arial" w:ascii="Arial" w:hAnsi="Arial"/>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4798"/>
        <w:gridCol w:w="317"/>
        <w:gridCol w:w="4807"/>
      </w:tblGrid>
      <w:tr>
        <w:trPr/>
        <w:tc>
          <w:tcPr>
            <w:tcW w:w="4798" w:type="dxa"/>
            <w:tcBorders>
              <w:top w:val="single" w:sz="4" w:space="0" w:color="000000"/>
              <w:start w:val="single" w:sz="4" w:space="0" w:color="000000"/>
              <w:bottom w:val="single" w:sz="4" w:space="0" w:color="000000"/>
            </w:tcBorders>
          </w:tcPr>
          <w:p>
            <w:pPr>
              <w:pStyle w:val="Normal"/>
              <w:snapToGrid w:val="false"/>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jc w:val="center"/>
              <w:rPr>
                <w:rFonts w:ascii="Arial" w:hAnsi="Arial" w:cs="Arial"/>
                <w:b/>
                <w:bCs/>
                <w:color w:val="000000"/>
                <w:shd w:fill="FFFFFF" w:val="clear"/>
              </w:rPr>
            </w:pPr>
            <w:r>
              <w:rPr>
                <w:rFonts w:cs="Arial" w:ascii="Arial" w:hAnsi="Arial"/>
                <w:b/>
                <w:bCs/>
                <w:color w:val="000000"/>
                <w:shd w:fill="FFFFFF" w:val="clear"/>
              </w:rPr>
              <w:t>GUSTAVO LAPOSTA DE AGUIAR</w:t>
            </w:r>
          </w:p>
          <w:p>
            <w:pPr>
              <w:pStyle w:val="Normal"/>
              <w:jc w:val="center"/>
              <w:rPr>
                <w:rFonts w:ascii="Arial" w:hAnsi="Arial" w:cs="Arial"/>
                <w:b/>
                <w:bCs/>
                <w:color w:val="000000"/>
                <w:shd w:fill="FFFFFF" w:val="clear"/>
              </w:rPr>
            </w:pPr>
            <w:r>
              <w:rPr>
                <w:rFonts w:cs="Arial" w:ascii="Arial" w:hAnsi="Arial"/>
                <w:b/>
              </w:rPr>
              <w:t>Secretário Municipal de Saúde</w:t>
            </w:r>
          </w:p>
        </w:tc>
        <w:tc>
          <w:tcPr>
            <w:tcW w:w="317" w:type="dxa"/>
            <w:tcBorders>
              <w:start w:val="single" w:sz="4" w:space="0" w:color="000000"/>
            </w:tcBorders>
          </w:tcPr>
          <w:p>
            <w:pPr>
              <w:pStyle w:val="Normal"/>
              <w:snapToGrid w:val="false"/>
              <w:jc w:val="both"/>
              <w:rPr>
                <w:rFonts w:ascii="Arial" w:hAnsi="Arial" w:cs="Arial"/>
              </w:rPr>
            </w:pPr>
            <w:r>
              <w:rPr>
                <w:rFonts w:cs="Arial" w:ascii="Arial" w:hAnsi="Arial"/>
              </w:rPr>
            </w:r>
          </w:p>
        </w:tc>
        <w:tc>
          <w:tcPr>
            <w:tcW w:w="4807"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t>::: EMPRESA CONTRATADA :::</w:t>
            </w:r>
          </w:p>
          <w:p>
            <w:pPr>
              <w:pStyle w:val="Normal"/>
              <w:jc w:val="center"/>
              <w:rPr>
                <w:rFonts w:ascii="Arial" w:hAnsi="Arial" w:cs="Arial"/>
                <w:b/>
              </w:rPr>
            </w:pPr>
            <w:r>
              <w:rPr>
                <w:rFonts w:cs="Arial" w:ascii="Arial" w:hAnsi="Arial"/>
                <w:b/>
              </w:rPr>
              <w:t>Representante Legal</w:t>
            </w:r>
          </w:p>
        </w:tc>
      </w:tr>
    </w:tbl>
    <w:p>
      <w:pPr>
        <w:pStyle w:val="Normal"/>
        <w:rPr>
          <w:rFonts w:ascii="Arial" w:hAnsi="Arial" w:cs="Arial"/>
          <w:b/>
        </w:rPr>
      </w:pPr>
      <w:r>
        <w:rPr>
          <w:rFonts w:cs="Arial" w:ascii="Arial" w:hAnsi="Arial"/>
          <w:b/>
        </w:rPr>
      </w:r>
    </w:p>
    <w:p>
      <w:pPr>
        <w:pStyle w:val="Normal"/>
        <w:jc w:val="both"/>
        <w:rPr>
          <w:rFonts w:ascii="Arial" w:hAnsi="Arial" w:cs="Arial"/>
          <w:b/>
          <w:u w:val="single"/>
        </w:rPr>
      </w:pPr>
      <w:r>
        <w:rPr>
          <w:rFonts w:cs="Arial" w:ascii="Arial" w:hAnsi="Arial"/>
          <w:b/>
          <w:u w:val="single"/>
        </w:rPr>
        <w:t>TESTEMUNHAS:</w:t>
      </w:r>
    </w:p>
    <w:p>
      <w:pPr>
        <w:pStyle w:val="Normal"/>
        <w:jc w:val="both"/>
        <w:rPr>
          <w:rFonts w:ascii="Arial" w:hAnsi="Arial" w:cs="Arial"/>
          <w:b/>
          <w:u w:val="single"/>
        </w:rPr>
      </w:pPr>
      <w:r>
        <w:rPr>
          <w:rFonts w:cs="Arial" w:ascii="Arial" w:hAnsi="Arial"/>
          <w:b/>
          <w:u w:val="single"/>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4800"/>
        <w:gridCol w:w="315"/>
        <w:gridCol w:w="4807"/>
      </w:tblGrid>
      <w:tr>
        <w:trPr>
          <w:trHeight w:val="1089" w:hRule="atLeast"/>
        </w:trPr>
        <w:tc>
          <w:tcPr>
            <w:tcW w:w="4800" w:type="dxa"/>
            <w:tcBorders>
              <w:top w:val="single" w:sz="4" w:space="0" w:color="000000"/>
              <w:start w:val="single" w:sz="4" w:space="0" w:color="000000"/>
              <w:bottom w:val="single" w:sz="4" w:space="0" w:color="000000"/>
            </w:tcBorders>
          </w:tcPr>
          <w:p>
            <w:pPr>
              <w:pStyle w:val="Normal"/>
              <w:snapToGrid w:val="false"/>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t>_________________________</w:t>
            </w:r>
          </w:p>
          <w:p>
            <w:pPr>
              <w:pStyle w:val="Normal"/>
              <w:rPr>
                <w:rFonts w:ascii="Arial" w:hAnsi="Arial" w:cs="Arial"/>
                <w:b/>
              </w:rPr>
            </w:pPr>
            <w:r>
              <w:rPr>
                <w:rFonts w:cs="Arial" w:ascii="Arial" w:hAnsi="Arial"/>
                <w:b/>
              </w:rPr>
              <w:t>Nome:</w:t>
            </w:r>
          </w:p>
          <w:p>
            <w:pPr>
              <w:pStyle w:val="Normal"/>
              <w:rPr>
                <w:rFonts w:ascii="Arial" w:hAnsi="Arial" w:cs="Arial"/>
                <w:b/>
              </w:rPr>
            </w:pPr>
            <w:r>
              <w:rPr>
                <w:rFonts w:cs="Arial" w:ascii="Arial" w:hAnsi="Arial"/>
                <w:b/>
              </w:rPr>
              <w:t>CPF:</w:t>
            </w:r>
          </w:p>
        </w:tc>
        <w:tc>
          <w:tcPr>
            <w:tcW w:w="315" w:type="dxa"/>
            <w:tcBorders>
              <w:start w:val="single" w:sz="4" w:space="0" w:color="000000"/>
            </w:tcBorders>
          </w:tcPr>
          <w:p>
            <w:pPr>
              <w:pStyle w:val="Normal"/>
              <w:snapToGrid w:val="false"/>
              <w:jc w:val="both"/>
              <w:rPr>
                <w:rFonts w:ascii="Arial" w:hAnsi="Arial" w:cs="Arial"/>
                <w:b/>
              </w:rPr>
            </w:pPr>
            <w:r>
              <w:rPr>
                <w:rFonts w:cs="Arial" w:ascii="Arial" w:hAnsi="Arial"/>
                <w:b/>
              </w:rPr>
            </w:r>
          </w:p>
        </w:tc>
        <w:tc>
          <w:tcPr>
            <w:tcW w:w="48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t>__________________________</w:t>
            </w:r>
          </w:p>
          <w:p>
            <w:pPr>
              <w:pStyle w:val="Normal"/>
              <w:rPr>
                <w:rFonts w:ascii="Arial" w:hAnsi="Arial" w:cs="Arial"/>
                <w:b/>
              </w:rPr>
            </w:pPr>
            <w:r>
              <w:rPr>
                <w:rFonts w:cs="Arial" w:ascii="Arial" w:hAnsi="Arial"/>
                <w:b/>
              </w:rPr>
              <w:t>Nome:</w:t>
            </w:r>
          </w:p>
          <w:p>
            <w:pPr>
              <w:pStyle w:val="Normal"/>
              <w:jc w:val="both"/>
              <w:rPr>
                <w:rFonts w:ascii="Arial" w:hAnsi="Arial" w:cs="Arial"/>
                <w:b/>
              </w:rPr>
            </w:pPr>
            <w:r>
              <w:rPr>
                <w:rFonts w:cs="Arial" w:ascii="Arial" w:hAnsi="Arial"/>
                <w:b/>
              </w:rPr>
              <w:t>CPF:</w:t>
            </w:r>
          </w:p>
        </w:tc>
      </w:tr>
    </w:tbl>
    <w:p>
      <w:pPr>
        <w:pStyle w:val="Normal"/>
        <w:rPr>
          <w:rFonts w:ascii="Arial" w:hAnsi="Arial" w:cs="Arial"/>
        </w:rPr>
      </w:pPr>
      <w:r>
        <w:rPr>
          <w:rFonts w:cs="Arial" w:ascii="Arial" w:hAnsi="Arial"/>
        </w:rPr>
      </w:r>
      <w:bookmarkStart w:id="9" w:name="art1p"/>
      <w:bookmarkStart w:id="10" w:name="art2§1"/>
      <w:bookmarkEnd w:id="9"/>
      <w:bookmarkEnd w:id="10"/>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pPr>
      <w:r>
        <w:rPr/>
      </w:r>
    </w:p>
    <w:p>
      <w:pPr>
        <w:pStyle w:val="Normal"/>
        <w:jc w:val="both"/>
        <w:rPr/>
      </w:pPr>
      <w:r>
        <w:rPr/>
      </w:r>
      <w:bookmarkStart w:id="11" w:name="_GoBack"/>
      <w:bookmarkEnd w:id="11"/>
    </w:p>
    <w:p>
      <w:pPr>
        <w:pStyle w:val="Normal"/>
        <w:ind w:firstLine="567"/>
        <w:jc w:val="both"/>
        <w:rPr/>
      </w:pPr>
      <w:r>
        <w:rPr/>
      </w:r>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134" w:right="850" w:gutter="0" w:header="283" w:top="1134" w:footer="283" w:bottom="568"/>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2"/>
    <w:family w:val="roman"/>
    <w:pitch w:val="variable"/>
  </w:font>
  <w:font w:name="Courier New">
    <w:charset w:val="00" w:characterSet="windows-1252"/>
    <w:family w:val="roman"/>
    <w:pitch w:val="variable"/>
  </w:font>
  <w:font w:name="Wingdings">
    <w:charset w:val="02"/>
    <w:family w:val="roman"/>
    <w:pitch w:val="variable"/>
  </w:font>
  <w:font w:name="Calibri">
    <w:charset w:val="00" w:characterSet="windows-1252"/>
    <w:family w:val="swiss"/>
    <w:pitch w:val="variable"/>
  </w:font>
  <w:font w:name="Liberation Sans">
    <w:altName w:val="Arial"/>
    <w:charset w:val="00" w:characterSet="windows-1252"/>
    <w:family w:val="swiss"/>
    <w:pitch w:val="variable"/>
  </w:font>
  <w:font w:name="Tahoma">
    <w:charset w:val="00" w:characterSet="windows-1252"/>
    <w:family w:val="swiss"/>
    <w:pitch w:val="variable"/>
  </w:font>
  <w:font w:name="Verdana">
    <w:charset w:val="00" w:characterSet="windows-1252"/>
    <w:family w:val="swiss"/>
    <w:pitch w:val="variable"/>
  </w:font>
  <w:font w:name="Book Antiqua">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start="3346"/>
      <w:rPr>
        <w:rFonts w:ascii="Arial" w:hAnsi="Arial" w:cs="Arial"/>
        <w:sz w:val="6"/>
        <w:szCs w:val="6"/>
      </w:rPr>
    </w:pPr>
    <w:r>
      <w:rPr>
        <w:rFonts w:cs="Arial" w:ascii="Arial" w:hAnsi="Arial"/>
        <w:sz w:val="6"/>
        <w:szCs w:val="6"/>
      </w:rPr>
    </w:r>
  </w:p>
  <w:p>
    <w:pPr>
      <w:pStyle w:val="Normal"/>
      <w:ind w:start="3346"/>
      <w:rPr>
        <w:rFonts w:ascii="Arial" w:hAnsi="Arial" w:cs="Arial"/>
        <w:sz w:val="16"/>
      </w:rPr>
    </w:pPr>
    <w:r>
      <w:rPr>
        <w:rFonts w:cs="Arial" w:ascii="Arial" w:hAnsi="Arial"/>
        <w:sz w:val="16"/>
      </w:rPr>
      <w:t xml:space="preserve">Pregão Eletrônico nº 314/2026 - Página </w:t>
    </w:r>
    <w:r>
      <w:rPr>
        <w:rFonts w:cs="Arial" w:ascii="Arial" w:hAnsi="Arial"/>
        <w:b/>
        <w:sz w:val="16"/>
      </w:rPr>
      <w:fldChar w:fldCharType="begin"/>
    </w:r>
    <w:r>
      <w:rPr>
        <w:rFonts w:cs="Arial" w:ascii="Arial" w:hAnsi="Arial"/>
        <w:b/>
        <w:sz w:val="16"/>
      </w:rPr>
      <w:instrText xml:space="preserve"> PAGE </w:instrText>
    </w:r>
    <w:r>
      <w:rPr>
        <w:rFonts w:cs="Arial" w:ascii="Arial" w:hAnsi="Arial"/>
        <w:b/>
        <w:sz w:val="16"/>
      </w:rPr>
      <w:fldChar w:fldCharType="separate"/>
    </w:r>
    <w:r>
      <w:rPr>
        <w:rFonts w:cs="Arial" w:ascii="Arial" w:hAnsi="Arial"/>
        <w:b/>
        <w:sz w:val="16"/>
      </w:rPr>
      <w:t>29</w:t>
    </w:r>
    <w:r>
      <w:rPr>
        <w:rFonts w:cs="Arial" w:ascii="Arial" w:hAnsi="Arial"/>
        <w:b/>
        <w:sz w:val="16"/>
      </w:rPr>
      <w:fldChar w:fldCharType="end"/>
    </w:r>
    <w:r>
      <w:rPr>
        <w:rFonts w:cs="Arial" w:ascii="Arial" w:hAnsi="Arial"/>
        <w:sz w:val="16"/>
      </w:rPr>
      <w:t xml:space="preserve"> de </w:t>
    </w:r>
    <w:r>
      <w:rPr>
        <w:rFonts w:cs="Arial" w:ascii="Arial" w:hAnsi="Arial"/>
        <w:b/>
        <w:sz w:val="16"/>
      </w:rPr>
      <w:fldChar w:fldCharType="begin"/>
    </w:r>
    <w:r>
      <w:rPr>
        <w:rFonts w:cs="Arial" w:ascii="Arial" w:hAnsi="Arial"/>
        <w:b/>
        <w:sz w:val="16"/>
      </w:rPr>
      <w:instrText xml:space="preserve"> NUMPAGES </w:instrText>
    </w:r>
    <w:r>
      <w:rPr>
        <w:rFonts w:cs="Arial" w:ascii="Arial" w:hAnsi="Arial"/>
        <w:b/>
        <w:sz w:val="16"/>
      </w:rPr>
      <w:fldChar w:fldCharType="separate"/>
    </w:r>
    <w:r>
      <w:rPr>
        <w:rFonts w:cs="Arial" w:ascii="Arial" w:hAnsi="Arial"/>
        <w:b/>
        <w:sz w:val="16"/>
      </w:rPr>
      <w:t>29</w:t>
    </w:r>
    <w:r>
      <w:rPr>
        <w:rFonts w:cs="Arial" w:ascii="Arial" w:hAnsi="Arial"/>
        <w:b/>
        <w:sz w:val="16"/>
      </w:rPr>
      <w:fldChar w:fldCharType="end"/>
    </w:r>
  </w:p>
  <w:p>
    <w:pPr>
      <w:pStyle w:val="Normal"/>
      <w:ind w:star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start="3346"/>
      <w:rPr>
        <w:rFonts w:ascii="Arial" w:hAnsi="Arial" w:cs="Arial"/>
        <w:sz w:val="6"/>
        <w:szCs w:val="6"/>
      </w:rPr>
    </w:pPr>
    <w:r>
      <w:rPr>
        <w:rFonts w:cs="Arial" w:ascii="Arial" w:hAnsi="Arial"/>
        <w:sz w:val="6"/>
        <w:szCs w:val="6"/>
      </w:rPr>
    </w:r>
  </w:p>
  <w:p>
    <w:pPr>
      <w:pStyle w:val="Normal"/>
      <w:ind w:start="3346"/>
      <w:rPr>
        <w:rFonts w:ascii="Arial" w:hAnsi="Arial" w:cs="Arial"/>
        <w:sz w:val="16"/>
      </w:rPr>
    </w:pPr>
    <w:r>
      <w:rPr>
        <w:rFonts w:cs="Arial" w:ascii="Arial" w:hAnsi="Arial"/>
        <w:sz w:val="16"/>
      </w:rPr>
      <w:t xml:space="preserve">Pregão Eletrônico nº 314/2026 - Página </w:t>
    </w:r>
    <w:r>
      <w:rPr>
        <w:rFonts w:cs="Arial" w:ascii="Arial" w:hAnsi="Arial"/>
        <w:b/>
        <w:sz w:val="16"/>
      </w:rPr>
      <w:fldChar w:fldCharType="begin"/>
    </w:r>
    <w:r>
      <w:rPr>
        <w:rFonts w:cs="Arial" w:ascii="Arial" w:hAnsi="Arial"/>
        <w:b/>
        <w:sz w:val="16"/>
      </w:rPr>
      <w:instrText xml:space="preserve"> PAGE </w:instrText>
    </w:r>
    <w:r>
      <w:rPr>
        <w:rFonts w:cs="Arial" w:ascii="Arial" w:hAnsi="Arial"/>
        <w:b/>
        <w:sz w:val="16"/>
      </w:rPr>
      <w:fldChar w:fldCharType="separate"/>
    </w:r>
    <w:r>
      <w:rPr>
        <w:rFonts w:cs="Arial" w:ascii="Arial" w:hAnsi="Arial"/>
        <w:b/>
        <w:sz w:val="16"/>
      </w:rPr>
      <w:t>29</w:t>
    </w:r>
    <w:r>
      <w:rPr>
        <w:rFonts w:cs="Arial" w:ascii="Arial" w:hAnsi="Arial"/>
        <w:b/>
        <w:sz w:val="16"/>
      </w:rPr>
      <w:fldChar w:fldCharType="end"/>
    </w:r>
    <w:r>
      <w:rPr>
        <w:rFonts w:cs="Arial" w:ascii="Arial" w:hAnsi="Arial"/>
        <w:sz w:val="16"/>
      </w:rPr>
      <w:t xml:space="preserve"> de </w:t>
    </w:r>
    <w:r>
      <w:rPr>
        <w:rFonts w:cs="Arial" w:ascii="Arial" w:hAnsi="Arial"/>
        <w:b/>
        <w:sz w:val="16"/>
      </w:rPr>
      <w:fldChar w:fldCharType="begin"/>
    </w:r>
    <w:r>
      <w:rPr>
        <w:rFonts w:cs="Arial" w:ascii="Arial" w:hAnsi="Arial"/>
        <w:b/>
        <w:sz w:val="16"/>
      </w:rPr>
      <w:instrText xml:space="preserve"> NUMPAGES </w:instrText>
    </w:r>
    <w:r>
      <w:rPr>
        <w:rFonts w:cs="Arial" w:ascii="Arial" w:hAnsi="Arial"/>
        <w:b/>
        <w:sz w:val="16"/>
      </w:rPr>
      <w:fldChar w:fldCharType="separate"/>
    </w:r>
    <w:r>
      <w:rPr>
        <w:rFonts w:cs="Arial" w:ascii="Arial" w:hAnsi="Arial"/>
        <w:b/>
        <w:sz w:val="16"/>
      </w:rPr>
      <w:t>29</w:t>
    </w:r>
    <w:r>
      <w:rPr>
        <w:rFonts w:cs="Arial" w:ascii="Arial" w:hAnsi="Arial"/>
        <w:b/>
        <w:sz w:val="16"/>
      </w:rPr>
      <w:fldChar w:fldCharType="end"/>
    </w:r>
  </w:p>
  <w:p>
    <w:pPr>
      <w:pStyle w:val="Normal"/>
      <w:ind w:star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distT="0" distB="0" distL="114300" distR="114300" simplePos="0" relativeHeight="30"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distT="0" distB="0" distL="114935" distR="0" simplePos="0" relativeHeight="116" behindDoc="1" locked="0" layoutInCell="0" allowOverlap="1" wp14:anchorId="6E699CDD">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id="shape_0" stroked="f" o:allowincell="f" style="position:absolute;margin-left:128.3pt;margin-top:6.75pt;width:367.7pt;height:70.45pt;mso-wrap-style:square;v-text-anchor:top;mso-position-horizontal:right;mso-position-horizontal-relative:margin;mso-position-vertical-relative:page" wp14:anchorId="6E699CDD">
              <v:fill o:detectmouseclick="t" on="false"/>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jc w:val="center"/>
                      <w:rPr>
                        <w:sz w:val="26"/>
                        <w:szCs w:val="26"/>
                      </w:rPr>
                    </w:pPr>
                    <w:r>
                      <w:rPr>
                        <w:color w:val="000000"/>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distT="0" distB="0" distL="114300" distR="114300" simplePos="0" relativeHeight="30"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distT="0" distB="0" distL="114935" distR="0" simplePos="0" relativeHeight="116" behindDoc="1" locked="0" layoutInCell="0" allowOverlap="1" wp14:anchorId="6E699CDD">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id="shape_0" stroked="f" o:allowincell="f" style="position:absolute;margin-left:128.3pt;margin-top:6.75pt;width:367.7pt;height:70.45pt;mso-wrap-style:square;v-text-anchor:top;mso-position-horizontal:right;mso-position-horizontal-relative:margin;mso-position-vertical-relative:page" wp14:anchorId="6E699CDD">
              <v:fill o:detectmouseclick="t" on="false"/>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jc w:val="center"/>
                      <w:rPr>
                        <w:sz w:val="26"/>
                        <w:szCs w:val="26"/>
                      </w:rPr>
                    </w:pPr>
                    <w:r>
                      <w:rPr>
                        <w:color w:val="000000"/>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rFonts w:ascii="Times New Roman" w:hAnsi="Times New Roman" w:cs="Arial"/>
        <w:sz w:val="20"/>
        <w:szCs w:val="20"/>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720" w:hanging="720"/>
      </w:pPr>
      <w:rPr/>
    </w:lvl>
    <w:lvl w:ilvl="3">
      <w:start w:val="1"/>
      <w:numFmt w:val="none"/>
      <w:suff w:val="nothing"/>
      <w:lvlText w:val=""/>
      <w:lvlJc w:val="start"/>
      <w:pPr>
        <w:tabs>
          <w:tab w:val="num" w:pos="0"/>
        </w:tabs>
        <w:ind w:start="864" w:hanging="864"/>
      </w:pPr>
      <w:rPr/>
    </w:lvl>
    <w:lvl w:ilvl="4">
      <w:start w:val="1"/>
      <w:numFmt w:val="none"/>
      <w:suff w:val="nothing"/>
      <w:lvlText w:val=""/>
      <w:lvlJc w:val="start"/>
      <w:pPr>
        <w:tabs>
          <w:tab w:val="num" w:pos="0"/>
        </w:tabs>
        <w:ind w:start="1008" w:hanging="1008"/>
      </w:pPr>
      <w:rPr/>
    </w:lvl>
    <w:lvl w:ilvl="5">
      <w:start w:val="1"/>
      <w:numFmt w:val="none"/>
      <w:suff w:val="nothing"/>
      <w:lvlText w:val=""/>
      <w:lvlJc w:val="start"/>
      <w:pPr>
        <w:tabs>
          <w:tab w:val="num" w:pos="0"/>
        </w:tabs>
        <w:ind w:start="1152" w:hanging="1152"/>
      </w:pPr>
      <w:rPr/>
    </w:lvl>
    <w:lvl w:ilvl="6">
      <w:start w:val="1"/>
      <w:numFmt w:val="none"/>
      <w:suff w:val="nothing"/>
      <w:lvlText w:val=""/>
      <w:lvlJc w:val="start"/>
      <w:pPr>
        <w:tabs>
          <w:tab w:val="num" w:pos="0"/>
        </w:tabs>
        <w:ind w:start="1296" w:hanging="1296"/>
      </w:pPr>
      <w:rPr/>
    </w:lvl>
    <w:lvl w:ilvl="7">
      <w:start w:val="1"/>
      <w:numFmt w:val="none"/>
      <w:suff w:val="nothing"/>
      <w:lvlText w:val=""/>
      <w:lvlJc w:val="start"/>
      <w:pPr>
        <w:tabs>
          <w:tab w:val="num" w:pos="0"/>
        </w:tabs>
        <w:ind w:start="1440" w:hanging="1440"/>
      </w:pPr>
      <w:rPr/>
    </w:lvl>
    <w:lvl w:ilvl="8">
      <w:start w:val="1"/>
      <w:numFmt w:val="none"/>
      <w:suff w:val="nothing"/>
      <w:lvlText w:val=""/>
      <w:lvlJc w:val="start"/>
      <w:pPr>
        <w:tabs>
          <w:tab w:val="num" w:pos="0"/>
        </w:tabs>
        <w:ind w:start="1584" w:hanging="1584"/>
      </w:pPr>
      <w:rPr/>
    </w:lvl>
  </w:abstractNum>
  <w:abstractNum w:abstractNumId="2">
    <w:lvl w:ilvl="0">
      <w:start w:val="1"/>
      <w:numFmt w:val="decimal"/>
      <w:lvlText w:val="%1."/>
      <w:lvlJc w:val="start"/>
      <w:pPr>
        <w:tabs>
          <w:tab w:val="num" w:pos="851"/>
        </w:tabs>
        <w:ind w:start="851" w:hanging="851"/>
      </w:pPr>
      <w:rPr>
        <w:rFonts w:ascii="Arial" w:hAnsi="Arial" w:cs="Arial"/>
        <w:i/>
        <w:sz w:val="20"/>
        <w:szCs w:val="20"/>
      </w:rPr>
    </w:lvl>
    <w:lvl w:ilvl="1">
      <w:start w:val="1"/>
      <w:numFmt w:val="decimal"/>
      <w:lvlText w:val="%1.%2."/>
      <w:lvlJc w:val="start"/>
      <w:pPr>
        <w:tabs>
          <w:tab w:val="num" w:pos="851"/>
        </w:tabs>
        <w:ind w:start="851" w:hanging="851"/>
      </w:pPr>
      <w:rPr>
        <w:rFonts w:ascii="Arial" w:hAnsi="Arial" w:cs="Arial"/>
        <w:color w:val="000000"/>
      </w:rPr>
    </w:lvl>
    <w:lvl w:ilvl="2">
      <w:start w:val="1"/>
      <w:numFmt w:val="decimal"/>
      <w:lvlText w:val="%1.%2.%3."/>
      <w:lvlJc w:val="start"/>
      <w:pPr>
        <w:tabs>
          <w:tab w:val="num" w:pos="851"/>
        </w:tabs>
        <w:ind w:start="851" w:hanging="851"/>
      </w:pPr>
      <w:rPr>
        <w:rFonts w:cs="Arial"/>
        <w:b/>
      </w:rPr>
    </w:lvl>
    <w:lvl w:ilvl="3">
      <w:start w:val="1"/>
      <w:numFmt w:val="decimal"/>
      <w:lvlText w:val="%1.%2.%3.%4."/>
      <w:lvlJc w:val="start"/>
      <w:pPr>
        <w:tabs>
          <w:tab w:val="num" w:pos="1800"/>
        </w:tabs>
        <w:ind w:start="1728" w:hanging="648"/>
      </w:pPr>
      <w:rPr/>
    </w:lvl>
    <w:lvl w:ilvl="4">
      <w:start w:val="1"/>
      <w:numFmt w:val="decimal"/>
      <w:lvlText w:val="%1.%2.%3.%4.%5."/>
      <w:lvlJc w:val="start"/>
      <w:pPr>
        <w:tabs>
          <w:tab w:val="num" w:pos="2520"/>
        </w:tabs>
        <w:ind w:start="2232" w:hanging="792"/>
      </w:pPr>
      <w:rPr/>
    </w:lvl>
    <w:lvl w:ilvl="5">
      <w:start w:val="1"/>
      <w:numFmt w:val="decimal"/>
      <w:lvlText w:val="%1.%2.%3.%4.%5.%6."/>
      <w:lvlJc w:val="start"/>
      <w:pPr>
        <w:tabs>
          <w:tab w:val="num" w:pos="2880"/>
        </w:tabs>
        <w:ind w:start="2736" w:hanging="936"/>
      </w:pPr>
      <w:rPr/>
    </w:lvl>
    <w:lvl w:ilvl="6">
      <w:start w:val="1"/>
      <w:numFmt w:val="decimal"/>
      <w:lvlText w:val="%1.%2.%3.%4.%5.%6.%7."/>
      <w:lvlJc w:val="start"/>
      <w:pPr>
        <w:tabs>
          <w:tab w:val="num" w:pos="3600"/>
        </w:tabs>
        <w:ind w:start="3240" w:hanging="1080"/>
      </w:pPr>
      <w:rPr/>
    </w:lvl>
    <w:lvl w:ilvl="7">
      <w:start w:val="1"/>
      <w:numFmt w:val="decimal"/>
      <w:lvlText w:val="%1.%2.%3.%4.%5.%6.%7.%8."/>
      <w:lvlJc w:val="start"/>
      <w:pPr>
        <w:tabs>
          <w:tab w:val="num" w:pos="3960"/>
        </w:tabs>
        <w:ind w:start="3744" w:hanging="1224"/>
      </w:pPr>
      <w:rPr/>
    </w:lvl>
    <w:lvl w:ilvl="8">
      <w:start w:val="1"/>
      <w:numFmt w:val="decimal"/>
      <w:lvlText w:val="%1.%2.%3.%4.%5.%6.%7.%8.%9."/>
      <w:lvlJc w:val="start"/>
      <w:pPr>
        <w:tabs>
          <w:tab w:val="num" w:pos="4680"/>
        </w:tabs>
        <w:ind w:start="4320" w:hanging="1440"/>
      </w:pPr>
      <w:rPr/>
    </w:lvl>
  </w:abstractNum>
  <w:abstractNum w:abstractNumId="3">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4">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5">
    <w:lvl w:ilvl="0">
      <w:start w:val="1"/>
      <w:numFmt w:val="decimal"/>
      <w:lvlText w:val="%1."/>
      <w:lvlJc w:val="start"/>
      <w:pPr>
        <w:tabs>
          <w:tab w:val="num" w:pos="0"/>
        </w:tabs>
        <w:ind w:start="360" w:hanging="360"/>
      </w:pPr>
      <w:rPr>
        <w:b/>
      </w:rPr>
    </w:lvl>
    <w:lvl w:ilvl="1">
      <w:start w:val="1"/>
      <w:numFmt w:val="decimal"/>
      <w:lvlText w:val="%1.%2."/>
      <w:lvlJc w:val="start"/>
      <w:pPr>
        <w:tabs>
          <w:tab w:val="num" w:pos="0"/>
        </w:tabs>
        <w:ind w:start="4969" w:hanging="432"/>
      </w:pPr>
      <w:rPr>
        <w:b w:val="false"/>
        <w:i w:val="false"/>
        <w:strike w:val="false"/>
        <w:dstrike w:val="false"/>
        <w:color w:val="auto"/>
        <w:sz w:val="20"/>
        <w:szCs w:val="20"/>
        <w:u w:val="none"/>
      </w:rPr>
    </w:lvl>
    <w:lvl w:ilvl="2">
      <w:start w:val="1"/>
      <w:numFmt w:val="decimal"/>
      <w:lvlText w:val="%1.%2.%3."/>
      <w:lvlJc w:val="start"/>
      <w:pPr>
        <w:tabs>
          <w:tab w:val="num" w:pos="0"/>
        </w:tabs>
        <w:ind w:start="3198" w:hanging="504"/>
      </w:pPr>
      <w:rPr>
        <w:rFonts w:ascii="Arial" w:hAnsi="Arial"/>
        <w:b w:val="false"/>
        <w:i w:val="false"/>
        <w:strike w:val="false"/>
        <w:dstrike w:val="false"/>
        <w:color w:val="auto"/>
        <w:sz w:val="20"/>
        <w:szCs w:val="20"/>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6">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7">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8">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9">
    <w:lvl w:ilvl="0">
      <w:start w:val="4"/>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0">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1">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2">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3">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4">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5">
    <w:lvl w:ilvl="0">
      <w:start w:val="1"/>
      <w:numFmt w:val="none"/>
      <w:suff w:val="nothing"/>
      <w:lvlText w:val=""/>
      <w:lvlJc w:val="start"/>
      <w:pPr>
        <w:tabs>
          <w:tab w:val="num" w:pos="0"/>
        </w:tabs>
        <w:ind w:start="432" w:hanging="432"/>
      </w:pPr>
      <w:rPr>
        <w:rFonts w:ascii="Times New Roman" w:hAnsi="Times New Roman" w:cs="Arial"/>
        <w:sz w:val="20"/>
        <w:szCs w:val="20"/>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720" w:hanging="720"/>
      </w:pPr>
      <w:rPr/>
    </w:lvl>
    <w:lvl w:ilvl="3">
      <w:start w:val="1"/>
      <w:numFmt w:val="none"/>
      <w:suff w:val="nothing"/>
      <w:lvlText w:val=""/>
      <w:lvlJc w:val="start"/>
      <w:pPr>
        <w:tabs>
          <w:tab w:val="num" w:pos="0"/>
        </w:tabs>
        <w:ind w:start="864" w:hanging="864"/>
      </w:pPr>
      <w:rPr/>
    </w:lvl>
    <w:lvl w:ilvl="4">
      <w:start w:val="1"/>
      <w:numFmt w:val="none"/>
      <w:suff w:val="nothing"/>
      <w:lvlText w:val=""/>
      <w:lvlJc w:val="start"/>
      <w:pPr>
        <w:tabs>
          <w:tab w:val="num" w:pos="0"/>
        </w:tabs>
        <w:ind w:start="1008" w:hanging="1008"/>
      </w:pPr>
      <w:rPr/>
    </w:lvl>
    <w:lvl w:ilvl="5">
      <w:start w:val="1"/>
      <w:numFmt w:val="none"/>
      <w:suff w:val="nothing"/>
      <w:lvlText w:val=""/>
      <w:lvlJc w:val="start"/>
      <w:pPr>
        <w:tabs>
          <w:tab w:val="num" w:pos="0"/>
        </w:tabs>
        <w:ind w:start="1152" w:hanging="1152"/>
      </w:pPr>
      <w:rPr/>
    </w:lvl>
    <w:lvl w:ilvl="6">
      <w:start w:val="1"/>
      <w:numFmt w:val="none"/>
      <w:suff w:val="nothing"/>
      <w:lvlText w:val=""/>
      <w:lvlJc w:val="start"/>
      <w:pPr>
        <w:tabs>
          <w:tab w:val="num" w:pos="0"/>
        </w:tabs>
        <w:ind w:start="1296" w:hanging="1296"/>
      </w:pPr>
      <w:rPr/>
    </w:lvl>
    <w:lvl w:ilvl="7">
      <w:start w:val="1"/>
      <w:numFmt w:val="none"/>
      <w:suff w:val="nothing"/>
      <w:lvlText w:val=""/>
      <w:lvlJc w:val="start"/>
      <w:pPr>
        <w:tabs>
          <w:tab w:val="num" w:pos="0"/>
        </w:tabs>
        <w:ind w:start="1440" w:hanging="1440"/>
      </w:pPr>
      <w:rPr/>
    </w:lvl>
    <w:lvl w:ilvl="8">
      <w:start w:val="1"/>
      <w:numFmt w:val="none"/>
      <w:suff w:val="nothing"/>
      <w:lvlText w:val=""/>
      <w:lvlJc w:val="start"/>
      <w:pPr>
        <w:tabs>
          <w:tab w:val="num" w:pos="0"/>
        </w:tabs>
        <w:ind w:start="1584" w:hanging="1584"/>
      </w:pPr>
      <w:rPr/>
    </w:lvl>
  </w:abstractNum>
  <w:abstractNum w:abstractNumId="16">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3"/>
    <w:lvlOverride w:ilvl="0">
      <w:startOverride w:val="1"/>
    </w:lvlOverride>
  </w:num>
  <w:num w:numId="19">
    <w:abstractNumId w:val="3"/>
    <w:lvlOverride w:ilvl="0">
      <w:startOverride w:val="1"/>
    </w:lvlOverride>
  </w:num>
  <w:num w:numId="20">
    <w:abstractNumId w:val="3"/>
    <w:lvlOverride w:ilvl="0">
      <w:startOverride w:val="1"/>
    </w:lvlOverride>
  </w:num>
  <w:num w:numId="21">
    <w:abstractNumId w:val="3"/>
    <w:lvlOverride w:ilvl="0">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3">
    <w:abstractNumId w:val="16"/>
    <w:lvlOverride w:ilvl="0">
      <w:startOverride w:val="1"/>
    </w:lvlOverride>
  </w:num>
</w:numbering>
</file>

<file path=word/settings.xml><?xml version="1.0" encoding="utf-8"?>
<w:settings xmlns:w="http://schemas.openxmlformats.org/wordprocessingml/2006/main">
  <w:zoom w:percent="100"/>
  <w:displayBackgroundShape/>
  <w:defaultTabStop w:val="709"/>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star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star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star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star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customStyle="1">
    <w:name w:val="Hyperlink"/>
    <w:qFormat/>
    <w:rsid w:val="006609b9"/>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user" w:customStyle="1">
    <w:name w:val="Símbolos de numeração (user)"/>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UnresolvedMention" w:customStyle="1">
    <w:name w:val="Unresolved Mention"/>
    <w:basedOn w:val="DefaultParagraphFont"/>
    <w:uiPriority w:val="99"/>
    <w:semiHidden/>
    <w:unhideWhenUsed/>
    <w:qFormat/>
    <w:rsid w:val="007a7a52"/>
    <w:rPr>
      <w:color w:val="605E5C"/>
      <w:shd w:fill="E1DFDD" w:val="clear"/>
    </w:rPr>
  </w:style>
  <w:style w:type="character" w:styleId="Nvel2-RedChar" w:customStyle="1">
    <w:name w:val="Nível 2 -Red Char"/>
    <w:link w:val="Nvel2-Red"/>
    <w:qFormat/>
    <w:rsid w:val="00d71aea"/>
    <w:rPr>
      <w:rFonts w:ascii="Arial" w:hAnsi="Arial" w:eastAsia="MS Mincho" w:cs="Arial"/>
      <w:i/>
      <w:iCs/>
      <w:color w:val="FF0000"/>
    </w:rPr>
  </w:style>
  <w:style w:type="character" w:styleId="ouChar" w:customStyle="1">
    <w:name w:val="ou Char"/>
    <w:link w:val="ou"/>
    <w:qFormat/>
    <w:rsid w:val="00d71aea"/>
    <w:rPr>
      <w:rFonts w:ascii="Arial" w:hAnsi="Arial" w:eastAsia="Cambria" w:cs="Arial"/>
      <w:b/>
      <w:bCs/>
      <w:i/>
      <w:iCs/>
      <w:color w:val="FF0000"/>
      <w:sz w:val="24"/>
      <w:szCs w:val="24"/>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suppressLineNumbers/>
    </w:pPr>
    <w:rPr>
      <w:rFonts w:cs="Mangal"/>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overflowPunct w:val="true"/>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name w:val="Cabeçalho e rodapé"/>
    <w:basedOn w:val="Normal"/>
    <w:qFormat/>
    <w:pPr/>
    <w:rPr/>
  </w:style>
  <w:style w:type="paragraph" w:styleId="Cabealhoerodapuser">
    <w:name w:val="Cabeçalho e rodapé (user)"/>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overflowPunct w:val="tru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star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star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star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star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star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start="851"/>
      <w:jc w:val="both"/>
    </w:pPr>
    <w:rPr>
      <w:b/>
      <w:bCs/>
      <w:sz w:val="24"/>
      <w:szCs w:val="24"/>
    </w:rPr>
  </w:style>
  <w:style w:type="paragraph" w:styleId="Recuodecorpodetexto23" w:customStyle="1">
    <w:name w:val="Recuo de corpo de texto 23"/>
    <w:basedOn w:val="Normal"/>
    <w:qFormat/>
    <w:pPr>
      <w:spacing w:before="120" w:after="0"/>
      <w:ind w:hanging="284" w:star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star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user" w:customStyle="1">
    <w:name w:val="Conteúdo da tabela (user)"/>
    <w:basedOn w:val="Standard1"/>
    <w:qFormat/>
    <w:rsid w:val="00e95547"/>
    <w:pPr>
      <w:suppressLineNumbers/>
    </w:pPr>
    <w:rPr/>
  </w:style>
  <w:style w:type="paragraph" w:styleId="Ttulodatabela" w:customStyle="1">
    <w:name w:val="Título da tabela"/>
    <w:basedOn w:val="Contedodatabelauser"/>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user" w:customStyle="1">
    <w:name w:val="Título de tabela (user)"/>
    <w:basedOn w:val="Contedodatabelauser"/>
    <w:qFormat/>
    <w:pPr>
      <w:jc w:val="center"/>
    </w:pPr>
    <w:rPr>
      <w:b/>
      <w:bCs/>
    </w:rPr>
  </w:style>
  <w:style w:type="paragraph" w:styleId="Contedodoquadrouser" w:customStyle="1">
    <w:name w:val="Conteúdo do quadro (user)"/>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start="283"/>
    </w:pPr>
    <w:rPr>
      <w:sz w:val="16"/>
      <w:szCs w:val="16"/>
      <w:lang w:val="x-none"/>
    </w:rPr>
  </w:style>
  <w:style w:type="paragraph" w:styleId="Standard" w:customStyle="1">
    <w:name w:val="Standard"/>
    <w:qFormat/>
    <w:pPr>
      <w:widowControl/>
      <w:suppressAutoHyphens w:val="true"/>
      <w:bidi w:val="0"/>
      <w:spacing w:before="0" w:after="0"/>
      <w:jc w:val="star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start="567" w:end="567"/>
    </w:pPr>
    <w:rPr/>
  </w:style>
  <w:style w:type="paragraph" w:styleId="Title">
    <w:name w:val="Title"/>
    <w:basedOn w:val="Ttulo21"/>
    <w:next w:val="BodyText"/>
    <w:qFormat/>
    <w:pPr/>
    <w:rPr/>
  </w:style>
  <w:style w:type="paragraph" w:styleId="NoSpacing">
    <w:name w:val="No Spacing"/>
    <w:uiPriority w:val="1"/>
    <w:qFormat/>
    <w:rsid w:val="00fe4423"/>
    <w:pPr>
      <w:widowControl/>
      <w:suppressAutoHyphens w:val="true"/>
      <w:bidi w:val="0"/>
      <w:spacing w:before="0" w:after="0"/>
      <w:jc w:val="star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start="851"/>
    </w:pPr>
    <w:rPr>
      <w:color w:val="auto"/>
    </w:rPr>
  </w:style>
  <w:style w:type="paragraph" w:styleId="Nivel5" w:customStyle="1">
    <w:name w:val="Nivel 5"/>
    <w:basedOn w:val="Nivel4"/>
    <w:qFormat/>
    <w:rsid w:val="00ed126a"/>
    <w:pPr>
      <w:ind w:hanging="0" w:start="1276"/>
    </w:pPr>
    <w:rPr/>
  </w:style>
  <w:style w:type="paragraph" w:styleId="Nvel2-Red" w:customStyle="1">
    <w:name w:val="Nível 2 -Red"/>
    <w:basedOn w:val="Nivel2"/>
    <w:link w:val="Nvel2-RedChar"/>
    <w:qFormat/>
    <w:rsid w:val="00d71aea"/>
    <w:pPr>
      <w:numPr>
        <w:ilvl w:val="0"/>
        <w:numId w:val="0"/>
      </w:numPr>
      <w:tabs>
        <w:tab w:val="clear" w:pos="709"/>
        <w:tab w:val="left" w:pos="0" w:leader="none"/>
      </w:tabs>
    </w:pPr>
    <w:rPr>
      <w:i/>
      <w:iCs/>
      <w:color w:val="FF0000"/>
    </w:rPr>
  </w:style>
  <w:style w:type="paragraph" w:styleId="ou" w:customStyle="1">
    <w:name w:val="ou"/>
    <w:basedOn w:val="ListParagraph"/>
    <w:link w:val="ouChar"/>
    <w:qFormat/>
    <w:rsid w:val="00d71aea"/>
    <w:pPr>
      <w:suppressAutoHyphens w:val="false"/>
      <w:spacing w:lineRule="auto" w:line="259" w:before="60" w:after="60"/>
      <w:ind w:start="0"/>
      <w:jc w:val="center"/>
    </w:pPr>
    <w:rPr>
      <w:rFonts w:ascii="Arial" w:hAnsi="Arial" w:eastAsia="Cambria" w:cs="Arial"/>
      <w:b/>
      <w:bCs/>
      <w:i/>
      <w:iCs/>
      <w:color w:val="FF0000"/>
      <w:kern w:val="0"/>
      <w:sz w:val="24"/>
      <w:szCs w:val="24"/>
      <w:u w:val="single"/>
      <w:lang w:eastAsia="pt-BR"/>
    </w:rPr>
  </w:style>
  <w:style w:type="paragraph" w:styleId="textos" w:customStyle="1">
    <w:name w:val="textos"/>
    <w:basedOn w:val="Normal"/>
    <w:qFormat/>
    <w:rsid w:val="00b2786d"/>
    <w:pPr>
      <w:spacing w:lineRule="atLeast" w:line="271" w:before="280" w:after="280"/>
    </w:pPr>
    <w:rPr>
      <w:rFonts w:ascii="Verdana" w:hAnsi="Verdana" w:cs="Verdana"/>
      <w:color w:val="333333"/>
      <w:kern w:val="0"/>
      <w:sz w:val="19"/>
      <w:szCs w:val="19"/>
      <w:lang w:eastAsia="ar-SA"/>
    </w:rPr>
  </w:style>
  <w:style w:type="paragraph" w:styleId="Pa5" w:customStyle="1">
    <w:name w:val="Pa5"/>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Pa4" w:customStyle="1">
    <w:name w:val="Pa4"/>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Contedodatabela" w:customStyle="1">
    <w:name w:val="Conteúdo da tabela"/>
    <w:basedOn w:val="Standard"/>
    <w:qFormat/>
    <w:rsid w:val="00e95547"/>
    <w:pPr>
      <w:suppressLineNumbers/>
    </w:pPr>
    <w:rPr>
      <w:rFonts w:ascii="Liberation Serif" w:hAnsi="Liberation Serif" w:eastAsia="SimSun" w:cs="Mangal"/>
      <w:sz w:val="24"/>
      <w:szCs w:val="24"/>
      <w:lang w:bidi="hi-IN"/>
    </w:rPr>
  </w:style>
  <w:style w:type="paragraph" w:styleId="Pa6" w:customStyle="1">
    <w:name w:val="Pa6"/>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Standard1" w:customStyle="1">
    <w:name w:val="Standard1"/>
    <w:qFormat/>
    <w:rsid w:val="00e95547"/>
    <w:pPr>
      <w:widowControl/>
      <w:suppressAutoHyphens w:val="true"/>
      <w:bidi w:val="0"/>
      <w:spacing w:before="0" w:after="0"/>
      <w:jc w:val="start"/>
      <w:textAlignment w:val="baseline"/>
    </w:pPr>
    <w:rPr>
      <w:rFonts w:ascii="Liberation Serif" w:hAnsi="Liberation Serif" w:eastAsia="SimSun, 宋体" w:cs="Mangal"/>
      <w:color w:val="auto"/>
      <w:kern w:val="2"/>
      <w:sz w:val="24"/>
      <w:szCs w:val="24"/>
      <w:lang w:val="pt-BR" w:eastAsia="zh-CN" w:bidi="hi-IN"/>
    </w:rPr>
  </w:style>
  <w:style w:type="paragraph" w:styleId="Contedodoquadro">
    <w:name w:val="Conteúdo do quadro"/>
    <w:basedOn w:val="Normal"/>
    <w:qFormat/>
    <w:pPr/>
    <w:rPr/>
  </w:style>
  <w:style w:type="numbering" w:styleId="Semlista" w:default="1">
    <w:name w:val="Sem lista"/>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Home/Login"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mailto:notafiscal@piracicaba.sp.gov.br" TargetMode="External"/><Relationship Id="rId11" Type="http://schemas.openxmlformats.org/officeDocument/2006/relationships/hyperlink" Target="mailto:notafiscal@piracicaba.sp.gov.br"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Relationship Id="rId23" Type="http://schemas.openxmlformats.org/officeDocument/2006/relationships/customXml" Target="../customXml/item2.xml"/><Relationship Id="rId24" Type="http://schemas.openxmlformats.org/officeDocument/2006/relationships/customXml" Target="../customXml/item3.xml"/><Relationship Id="rId25"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http://schemas.microsoft.com/office/2006/metadata/properties"/>
    <ds:schemaRef ds:uri="71763c0a-43a9-4215-9c1e-ac13867d38db"/>
    <ds:schemaRef ds:uri="http://schemas.openxmlformats.org/package/2006/metadata/core-properties"/>
    <ds:schemaRef ds:uri="http://www.w3.org/XML/1998/namespace"/>
    <ds:schemaRef ds:uri="http://schemas.microsoft.com/office/infopath/2007/PartnerControls"/>
    <ds:schemaRef ds:uri="60198707-c4ff-4d5d-8bc5-5efdd47f407d"/>
    <ds:schemaRef ds:uri="http://purl.org/dc/dcmitype/"/>
    <ds:schemaRef ds:uri="http://purl.org/dc/terms/"/>
    <ds:schemaRef ds:uri="http://purl.org/dc/elements/1.1/"/>
  </ds:schemaRefs>
</ds:datastoreItem>
</file>

<file path=customXml/itemProps4.xml><?xml version="1.0" encoding="utf-8"?>
<ds:datastoreItem xmlns:ds="http://schemas.openxmlformats.org/officeDocument/2006/customXml" ds:itemID="{068B75C8-07E5-4127-B74F-E40C2EF4B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Application>LibreOffice/26.2.6.3$Windows_X86_64 LibreOffice_project/8221e31b3ac356a1623c672912a3d2b492f7e3d1</Application>
  <AppVersion>15.0000</AppVersion>
  <Pages>29</Pages>
  <Words>11376</Words>
  <Characters>65331</Characters>
  <CharactersWithSpaces>76214</CharactersWithSpaces>
  <Paragraphs>595</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2026-09-04T11:47:00Z</dcterms:created>
  <dc:creator>Thiago Luiz Araujo Santos</dc:creator>
  <dc:description/>
  <dc:language>pt-BR</dc:language>
  <cp:lastModifiedBy/>
  <cp:lastPrinted>2026-10-19T13:13:40Z</cp:lastPrinted>
  <dcterms:modified xsi:type="dcterms:W3CDTF">2026-10-19T13:22:27Z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