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3C59" w:rsidRPr="00BD3C59" w:rsidRDefault="00BD3C59" w:rsidP="00BD3C59">
      <w:pPr>
        <w:spacing w:line="360" w:lineRule="auto"/>
        <w:jc w:val="center"/>
        <w:rPr>
          <w:b/>
          <w:bCs/>
          <w:sz w:val="22"/>
          <w:szCs w:val="22"/>
        </w:rPr>
      </w:pPr>
      <w:r w:rsidRPr="00BD3C59">
        <w:rPr>
          <w:b/>
          <w:bCs/>
          <w:sz w:val="22"/>
          <w:szCs w:val="22"/>
        </w:rPr>
        <w:t>ANEXO I</w:t>
      </w:r>
    </w:p>
    <w:p w:rsidR="00BD3C59" w:rsidRPr="00BD3C59" w:rsidRDefault="00BD3C59" w:rsidP="00BD3C59">
      <w:pPr>
        <w:spacing w:line="360" w:lineRule="auto"/>
        <w:jc w:val="center"/>
        <w:rPr>
          <w:b/>
          <w:bCs/>
          <w:sz w:val="22"/>
          <w:szCs w:val="22"/>
        </w:rPr>
      </w:pPr>
      <w:r w:rsidRPr="00BD3C59">
        <w:rPr>
          <w:b/>
          <w:bCs/>
          <w:sz w:val="22"/>
          <w:szCs w:val="22"/>
        </w:rPr>
        <w:t>DOCUMENTAÇÃO EXIGIDA PARA HABILITAÇÃO</w:t>
      </w:r>
    </w:p>
    <w:p w:rsidR="00BD3C59" w:rsidRPr="00BD3C59" w:rsidRDefault="00BD3C59" w:rsidP="00BD3C59">
      <w:pPr>
        <w:spacing w:line="360" w:lineRule="auto"/>
        <w:jc w:val="both"/>
        <w:rPr>
          <w:sz w:val="22"/>
          <w:szCs w:val="22"/>
        </w:rPr>
      </w:pPr>
    </w:p>
    <w:p w:rsidR="00BD3C59" w:rsidRPr="00BD3C59" w:rsidRDefault="00BD3C59" w:rsidP="00BD3C59">
      <w:pPr>
        <w:spacing w:line="360" w:lineRule="auto"/>
        <w:jc w:val="both"/>
        <w:rPr>
          <w:sz w:val="22"/>
          <w:szCs w:val="22"/>
        </w:rPr>
      </w:pPr>
    </w:p>
    <w:p w:rsidR="00BD3C59" w:rsidRPr="00BD3C59" w:rsidRDefault="00BD3C59" w:rsidP="00BD3C59">
      <w:pPr>
        <w:spacing w:line="360" w:lineRule="auto"/>
        <w:jc w:val="both"/>
        <w:rPr>
          <w:sz w:val="22"/>
          <w:szCs w:val="22"/>
        </w:rPr>
      </w:pPr>
      <w:r w:rsidRPr="00BD3C59">
        <w:rPr>
          <w:sz w:val="22"/>
          <w:szCs w:val="22"/>
        </w:rPr>
        <w:t>1.</w:t>
      </w:r>
      <w:r w:rsidRPr="00BD3C59">
        <w:rPr>
          <w:sz w:val="22"/>
          <w:szCs w:val="22"/>
        </w:rPr>
        <w:tab/>
      </w:r>
      <w:r w:rsidRPr="00BD3C59">
        <w:rPr>
          <w:b/>
          <w:bCs/>
          <w:sz w:val="22"/>
          <w:szCs w:val="22"/>
        </w:rPr>
        <w:t>HABILITAÇÃO JURÍDICA</w:t>
      </w:r>
      <w:r w:rsidRPr="00BD3C59">
        <w:rPr>
          <w:b/>
          <w:bCs/>
          <w:sz w:val="22"/>
          <w:szCs w:val="22"/>
        </w:rPr>
        <w:tab/>
      </w:r>
    </w:p>
    <w:p w:rsidR="00BD3C59" w:rsidRPr="00BD3C59" w:rsidRDefault="00BD3C59" w:rsidP="00BD3C59">
      <w:pPr>
        <w:spacing w:line="360" w:lineRule="auto"/>
        <w:jc w:val="both"/>
        <w:rPr>
          <w:sz w:val="22"/>
          <w:szCs w:val="22"/>
        </w:rPr>
      </w:pPr>
      <w:r w:rsidRPr="00BD3C59">
        <w:rPr>
          <w:sz w:val="22"/>
          <w:szCs w:val="22"/>
        </w:rPr>
        <w:t>1.1.</w:t>
      </w:r>
      <w:r w:rsidRPr="00BD3C59">
        <w:rPr>
          <w:sz w:val="22"/>
          <w:szCs w:val="22"/>
        </w:rPr>
        <w:tab/>
        <w:t>Registro empresarial na Junta Comercial, no caso de empresário individual (ou cédula de identidade em se tratando de pessoa física não empresária);</w:t>
      </w:r>
    </w:p>
    <w:p w:rsidR="00BD3C59" w:rsidRPr="00BD3C59" w:rsidRDefault="00BD3C59" w:rsidP="00BD3C59">
      <w:pPr>
        <w:spacing w:line="360" w:lineRule="auto"/>
        <w:jc w:val="both"/>
        <w:rPr>
          <w:sz w:val="22"/>
          <w:szCs w:val="22"/>
        </w:rPr>
      </w:pPr>
      <w:r w:rsidRPr="00BD3C59">
        <w:rPr>
          <w:sz w:val="22"/>
          <w:szCs w:val="22"/>
        </w:rPr>
        <w:t>1.2.</w:t>
      </w:r>
      <w:r w:rsidRPr="00BD3C59">
        <w:rPr>
          <w:sz w:val="22"/>
          <w:szCs w:val="22"/>
        </w:rPr>
        <w:tab/>
        <w:t>Ato constitutivo, estatuto ou contrato social em vigor, devidamente registrado na Junta Comercial, tratando-se de sociedade empresária;</w:t>
      </w:r>
    </w:p>
    <w:p w:rsidR="00BD3C59" w:rsidRPr="00BD3C59" w:rsidRDefault="00BD3C59" w:rsidP="00BD3C59">
      <w:pPr>
        <w:spacing w:line="360" w:lineRule="auto"/>
        <w:jc w:val="both"/>
        <w:rPr>
          <w:sz w:val="22"/>
          <w:szCs w:val="22"/>
        </w:rPr>
      </w:pPr>
      <w:r w:rsidRPr="00BD3C59">
        <w:rPr>
          <w:sz w:val="22"/>
          <w:szCs w:val="22"/>
        </w:rPr>
        <w:t>1.3.</w:t>
      </w:r>
      <w:r w:rsidRPr="00BD3C59">
        <w:rPr>
          <w:sz w:val="22"/>
          <w:szCs w:val="22"/>
        </w:rPr>
        <w:tab/>
        <w:t>Documentos de eleição ou designação dos atuais administradores, tratando-se de sociedade empresária;</w:t>
      </w:r>
    </w:p>
    <w:p w:rsidR="00BD3C59" w:rsidRPr="00BD3C59" w:rsidRDefault="00BD3C59" w:rsidP="00BD3C59">
      <w:pPr>
        <w:spacing w:line="360" w:lineRule="auto"/>
        <w:jc w:val="both"/>
        <w:rPr>
          <w:sz w:val="22"/>
          <w:szCs w:val="22"/>
        </w:rPr>
      </w:pPr>
      <w:r w:rsidRPr="00BD3C59">
        <w:rPr>
          <w:sz w:val="22"/>
          <w:szCs w:val="22"/>
        </w:rPr>
        <w:t>1.4.</w:t>
      </w:r>
      <w:r w:rsidRPr="00BD3C59">
        <w:rPr>
          <w:sz w:val="22"/>
          <w:szCs w:val="22"/>
        </w:rPr>
        <w:tab/>
        <w:t>Ato constitutivo devidamente registrado no Registro Civil de Pessoas Jurídicas tratando-se de sociedade não empresária, acompanhado de prova da diretoria em exercício;</w:t>
      </w:r>
    </w:p>
    <w:p w:rsidR="00BD3C59" w:rsidRPr="00BD3C59" w:rsidRDefault="00BD3C59" w:rsidP="00BD3C59">
      <w:pPr>
        <w:spacing w:line="360" w:lineRule="auto"/>
        <w:jc w:val="both"/>
        <w:rPr>
          <w:sz w:val="22"/>
          <w:szCs w:val="22"/>
        </w:rPr>
      </w:pPr>
      <w:r w:rsidRPr="00BD3C59">
        <w:rPr>
          <w:sz w:val="22"/>
          <w:szCs w:val="22"/>
        </w:rPr>
        <w:t>1.5.</w:t>
      </w:r>
      <w:r w:rsidRPr="00BD3C59">
        <w:rPr>
          <w:sz w:val="22"/>
          <w:szCs w:val="22"/>
        </w:rPr>
        <w:tab/>
        <w:t>Decreto de autorização, tratando-se de sociedade estrangeira no país e ato de registro ou autorização para funcionamento expedida pelo órgão competente, quando a atividade assim o exigir.</w:t>
      </w:r>
    </w:p>
    <w:p w:rsidR="00BD3C59" w:rsidRPr="00BD3C59" w:rsidRDefault="00BD3C59" w:rsidP="00BD3C59">
      <w:pPr>
        <w:spacing w:line="360" w:lineRule="auto"/>
        <w:jc w:val="both"/>
        <w:rPr>
          <w:sz w:val="22"/>
          <w:szCs w:val="22"/>
        </w:rPr>
      </w:pPr>
    </w:p>
    <w:p w:rsidR="00BD3C59" w:rsidRPr="00BD3C59" w:rsidRDefault="00BD3C59" w:rsidP="00BD3C59">
      <w:pPr>
        <w:spacing w:line="360" w:lineRule="auto"/>
        <w:jc w:val="both"/>
        <w:rPr>
          <w:sz w:val="22"/>
          <w:szCs w:val="22"/>
        </w:rPr>
      </w:pPr>
      <w:r w:rsidRPr="00BD3C59">
        <w:rPr>
          <w:sz w:val="22"/>
          <w:szCs w:val="22"/>
        </w:rPr>
        <w:t>2.</w:t>
      </w:r>
      <w:r w:rsidRPr="00BD3C59">
        <w:rPr>
          <w:sz w:val="22"/>
          <w:szCs w:val="22"/>
        </w:rPr>
        <w:tab/>
      </w:r>
      <w:r w:rsidRPr="00BD3C59">
        <w:rPr>
          <w:b/>
          <w:bCs/>
          <w:sz w:val="22"/>
          <w:szCs w:val="22"/>
        </w:rPr>
        <w:t>REGULARIDADE FISCAL E TRABALHISTA</w:t>
      </w:r>
      <w:r w:rsidRPr="00BD3C59">
        <w:rPr>
          <w:b/>
          <w:bCs/>
          <w:sz w:val="22"/>
          <w:szCs w:val="22"/>
        </w:rPr>
        <w:tab/>
      </w:r>
    </w:p>
    <w:p w:rsidR="00BD3C59" w:rsidRPr="00BD3C59" w:rsidRDefault="00BD3C59" w:rsidP="00BD3C59">
      <w:pPr>
        <w:spacing w:line="360" w:lineRule="auto"/>
        <w:jc w:val="both"/>
        <w:rPr>
          <w:sz w:val="22"/>
          <w:szCs w:val="22"/>
        </w:rPr>
      </w:pPr>
      <w:r w:rsidRPr="00BD3C59">
        <w:rPr>
          <w:sz w:val="22"/>
          <w:szCs w:val="22"/>
        </w:rPr>
        <w:t>2.1.</w:t>
      </w:r>
      <w:r w:rsidRPr="00BD3C59">
        <w:rPr>
          <w:sz w:val="22"/>
          <w:szCs w:val="22"/>
        </w:rPr>
        <w:tab/>
        <w:t>Prova de inscrição no Cadastro Nacional da Pessoa Jurídica (</w:t>
      </w:r>
      <w:r w:rsidRPr="00BD3C59">
        <w:rPr>
          <w:b/>
          <w:bCs/>
          <w:sz w:val="22"/>
          <w:szCs w:val="22"/>
        </w:rPr>
        <w:t>CNPJ</w:t>
      </w:r>
      <w:r w:rsidRPr="00BD3C59">
        <w:rPr>
          <w:sz w:val="22"/>
          <w:szCs w:val="22"/>
        </w:rPr>
        <w:t>) do Ministério da Fazenda;</w:t>
      </w:r>
    </w:p>
    <w:p w:rsidR="00BD3C59" w:rsidRPr="00BD3C59" w:rsidRDefault="00BD3C59" w:rsidP="00BD3C59">
      <w:pPr>
        <w:spacing w:line="360" w:lineRule="auto"/>
        <w:jc w:val="both"/>
        <w:rPr>
          <w:sz w:val="22"/>
          <w:szCs w:val="22"/>
        </w:rPr>
      </w:pPr>
      <w:r w:rsidRPr="00BD3C59">
        <w:rPr>
          <w:sz w:val="22"/>
          <w:szCs w:val="22"/>
        </w:rPr>
        <w:t>2.2.</w:t>
      </w:r>
      <w:r w:rsidRPr="00BD3C59">
        <w:rPr>
          <w:sz w:val="22"/>
          <w:szCs w:val="22"/>
        </w:rPr>
        <w:tab/>
        <w:t xml:space="preserve">Prova de Regularidade Fiscal para com a Fazenda Pública Federal – </w:t>
      </w:r>
      <w:r w:rsidRPr="00BD3C59">
        <w:rPr>
          <w:b/>
          <w:bCs/>
          <w:sz w:val="22"/>
          <w:szCs w:val="22"/>
        </w:rPr>
        <w:t>CND</w:t>
      </w:r>
      <w:r w:rsidRPr="00BD3C59">
        <w:rPr>
          <w:sz w:val="22"/>
          <w:szCs w:val="22"/>
        </w:rPr>
        <w:t xml:space="preserve"> (Certidão Negativa de Débito ou Positiva com efeitos de Negativa) relativa a Tributos Federais (inclusive as contribuições sociais) e à Dívida Ativa da União.</w:t>
      </w:r>
    </w:p>
    <w:p w:rsidR="00BD3C59" w:rsidRPr="00BD3C59" w:rsidRDefault="00BD3C59" w:rsidP="00BD3C59">
      <w:pPr>
        <w:spacing w:line="360" w:lineRule="auto"/>
        <w:jc w:val="both"/>
        <w:rPr>
          <w:sz w:val="22"/>
          <w:szCs w:val="22"/>
        </w:rPr>
      </w:pPr>
      <w:r w:rsidRPr="00BD3C59">
        <w:rPr>
          <w:sz w:val="22"/>
          <w:szCs w:val="22"/>
        </w:rPr>
        <w:t>2.3.</w:t>
      </w:r>
      <w:r w:rsidRPr="00BD3C59">
        <w:rPr>
          <w:sz w:val="22"/>
          <w:szCs w:val="22"/>
        </w:rPr>
        <w:tab/>
        <w:t xml:space="preserve">Prova de Regularidade Relativa ao Fundo de Garantia por Tempo de Serviço – </w:t>
      </w:r>
      <w:r w:rsidRPr="00BD3C59">
        <w:rPr>
          <w:b/>
          <w:bCs/>
          <w:sz w:val="22"/>
          <w:szCs w:val="22"/>
        </w:rPr>
        <w:t>FGTS</w:t>
      </w:r>
      <w:r w:rsidRPr="00BD3C59">
        <w:rPr>
          <w:sz w:val="22"/>
          <w:szCs w:val="22"/>
        </w:rPr>
        <w:t xml:space="preserve"> através do Certificado de Regularidade do FGTS – CRF, emitido pela Caixa Econômica Federal.</w:t>
      </w:r>
    </w:p>
    <w:p w:rsidR="00BD3C59" w:rsidRPr="00BD3C59" w:rsidRDefault="00BD3C59" w:rsidP="00BD3C59">
      <w:pPr>
        <w:spacing w:line="360" w:lineRule="auto"/>
        <w:jc w:val="both"/>
        <w:rPr>
          <w:sz w:val="22"/>
          <w:szCs w:val="22"/>
        </w:rPr>
      </w:pPr>
      <w:r w:rsidRPr="00BD3C59">
        <w:rPr>
          <w:sz w:val="22"/>
          <w:szCs w:val="22"/>
        </w:rPr>
        <w:t>2.4.</w:t>
      </w:r>
      <w:r w:rsidRPr="00BD3C59">
        <w:rPr>
          <w:sz w:val="22"/>
          <w:szCs w:val="22"/>
        </w:rPr>
        <w:tab/>
        <w:t xml:space="preserve">Prova de Inexistência de Débitos Inadimplidos perante a </w:t>
      </w:r>
      <w:r w:rsidRPr="00BD3C59">
        <w:rPr>
          <w:b/>
          <w:bCs/>
          <w:sz w:val="22"/>
          <w:szCs w:val="22"/>
        </w:rPr>
        <w:t>Justiça do Trabalho</w:t>
      </w:r>
      <w:r w:rsidRPr="00BD3C59">
        <w:rPr>
          <w:sz w:val="22"/>
          <w:szCs w:val="22"/>
        </w:rPr>
        <w:t>, mediante apresentação de Certidão Negativa, nos termos do Título VII-A da Consolidação das Leis do Trabalho, aprovada pelo Decreto-Lei Nº 5.452, de 1º de maio de 1943.</w:t>
      </w:r>
    </w:p>
    <w:p w:rsidR="00BD3C59" w:rsidRPr="00BD3C59" w:rsidRDefault="00BD3C59" w:rsidP="00BD3C59">
      <w:pPr>
        <w:spacing w:line="360" w:lineRule="auto"/>
        <w:jc w:val="both"/>
        <w:rPr>
          <w:sz w:val="22"/>
          <w:szCs w:val="22"/>
        </w:rPr>
      </w:pPr>
    </w:p>
    <w:p w:rsidR="00BD3C59" w:rsidRPr="00BD3C59" w:rsidRDefault="00BD3C59" w:rsidP="00BD3C59">
      <w:pPr>
        <w:spacing w:line="360" w:lineRule="auto"/>
        <w:jc w:val="both"/>
        <w:rPr>
          <w:sz w:val="22"/>
          <w:szCs w:val="22"/>
        </w:rPr>
      </w:pPr>
      <w:r w:rsidRPr="00BD3C59">
        <w:rPr>
          <w:b/>
          <w:bCs/>
          <w:i/>
          <w:iCs/>
          <w:sz w:val="22"/>
          <w:szCs w:val="22"/>
        </w:rPr>
        <w:t>OBSERVAÇÃO</w:t>
      </w:r>
      <w:r w:rsidRPr="00BD3C59">
        <w:rPr>
          <w:sz w:val="22"/>
          <w:szCs w:val="22"/>
        </w:rPr>
        <w:t>: Poderão ser apresentadas CERTIDÕES POSITIVAS COM EFEITOS DE NEGATIVA,</w:t>
      </w:r>
    </w:p>
    <w:p w:rsidR="00BD3C59" w:rsidRPr="00BD3C59" w:rsidRDefault="00BD3C59" w:rsidP="00BD3C59">
      <w:pPr>
        <w:spacing w:line="360" w:lineRule="auto"/>
        <w:jc w:val="both"/>
        <w:rPr>
          <w:sz w:val="22"/>
          <w:szCs w:val="22"/>
        </w:rPr>
      </w:pPr>
      <w:proofErr w:type="gramStart"/>
      <w:r w:rsidRPr="00BD3C59">
        <w:rPr>
          <w:sz w:val="22"/>
          <w:szCs w:val="22"/>
        </w:rPr>
        <w:t>conforme</w:t>
      </w:r>
      <w:proofErr w:type="gramEnd"/>
      <w:r w:rsidRPr="00BD3C59">
        <w:rPr>
          <w:sz w:val="22"/>
          <w:szCs w:val="22"/>
        </w:rPr>
        <w:t xml:space="preserve"> Artigo 206 do Código Tributário Nacional (Lei Nº 5.172, de 25 de Outubro de 1.966).</w:t>
      </w:r>
    </w:p>
    <w:p w:rsidR="00BD3C59" w:rsidRPr="00BD3C59" w:rsidRDefault="00BD3C59" w:rsidP="00BD3C59">
      <w:pPr>
        <w:spacing w:line="360" w:lineRule="auto"/>
        <w:jc w:val="both"/>
        <w:rPr>
          <w:sz w:val="22"/>
          <w:szCs w:val="22"/>
        </w:rPr>
      </w:pPr>
    </w:p>
    <w:p w:rsidR="00BD3C59" w:rsidRPr="00BD3C59" w:rsidRDefault="00BD3C59" w:rsidP="00BD3C59">
      <w:pPr>
        <w:spacing w:line="360" w:lineRule="auto"/>
        <w:jc w:val="both"/>
        <w:rPr>
          <w:b/>
          <w:bCs/>
          <w:sz w:val="22"/>
          <w:szCs w:val="22"/>
        </w:rPr>
      </w:pPr>
      <w:r w:rsidRPr="00BD3C59">
        <w:rPr>
          <w:b/>
          <w:bCs/>
          <w:sz w:val="22"/>
          <w:szCs w:val="22"/>
        </w:rPr>
        <w:t>3.</w:t>
      </w:r>
      <w:r w:rsidRPr="00BD3C59">
        <w:rPr>
          <w:b/>
          <w:bCs/>
          <w:sz w:val="22"/>
          <w:szCs w:val="22"/>
        </w:rPr>
        <w:tab/>
        <w:t>DISPOSIÇÕES GERAIS</w:t>
      </w:r>
      <w:r w:rsidRPr="00BD3C59">
        <w:rPr>
          <w:b/>
          <w:bCs/>
          <w:sz w:val="22"/>
          <w:szCs w:val="22"/>
        </w:rPr>
        <w:tab/>
      </w:r>
    </w:p>
    <w:p w:rsidR="00BD3C59" w:rsidRPr="00BD3C59" w:rsidRDefault="00BD3C59" w:rsidP="00BD3C59">
      <w:pPr>
        <w:spacing w:line="360" w:lineRule="auto"/>
        <w:jc w:val="both"/>
        <w:rPr>
          <w:sz w:val="22"/>
          <w:szCs w:val="22"/>
        </w:rPr>
      </w:pPr>
      <w:r w:rsidRPr="00BD3C59">
        <w:rPr>
          <w:sz w:val="22"/>
          <w:szCs w:val="22"/>
        </w:rPr>
        <w:t>3.1.</w:t>
      </w:r>
      <w:r w:rsidRPr="00BD3C59">
        <w:rPr>
          <w:sz w:val="22"/>
          <w:szCs w:val="22"/>
        </w:rPr>
        <w:tab/>
        <w:t>Os documentos de habilitação deverão ser apresentados em original, por qualquer processo de cópia autenticada por cartório competente ou por servidor da Administração ou publicação em órgão de imprensa oficial. Os documentos deverão estar em plena vigência, ficando, porém, a critério do pregoeiro/agente de contratação solicitar as vias originais de quaisquer dos documentos, caso haja constatação de fatos supervenientes.</w:t>
      </w:r>
    </w:p>
    <w:p w:rsidR="00BD3C59" w:rsidRPr="00BD3C59" w:rsidRDefault="00BD3C59" w:rsidP="00BD3C59">
      <w:pPr>
        <w:spacing w:line="360" w:lineRule="auto"/>
        <w:jc w:val="both"/>
        <w:rPr>
          <w:sz w:val="22"/>
          <w:szCs w:val="22"/>
        </w:rPr>
      </w:pPr>
      <w:r w:rsidRPr="00BD3C59">
        <w:rPr>
          <w:sz w:val="22"/>
          <w:szCs w:val="22"/>
        </w:rPr>
        <w:lastRenderedPageBreak/>
        <w:t>3.2.</w:t>
      </w:r>
      <w:r w:rsidRPr="00BD3C59">
        <w:rPr>
          <w:sz w:val="22"/>
          <w:szCs w:val="22"/>
        </w:rPr>
        <w:tab/>
        <w:t xml:space="preserve">O Pregoeiro / Agente de contratação reserva-se o direito de solicitar das licitantes, em qualquer tempo, no curso da licitação, quaisquer esclarecimentos sobre documentos já entregues, fixando-lhes prazo para atendimento. </w:t>
      </w:r>
    </w:p>
    <w:p w:rsidR="00BD3C59" w:rsidRPr="00BD3C59" w:rsidRDefault="00BD3C59" w:rsidP="00BD3C59">
      <w:pPr>
        <w:spacing w:line="360" w:lineRule="auto"/>
        <w:jc w:val="both"/>
        <w:rPr>
          <w:sz w:val="22"/>
          <w:szCs w:val="22"/>
        </w:rPr>
      </w:pPr>
      <w:r w:rsidRPr="00BD3C59">
        <w:rPr>
          <w:sz w:val="22"/>
          <w:szCs w:val="22"/>
        </w:rPr>
        <w:t>3.3.</w:t>
      </w:r>
      <w:r w:rsidRPr="00BD3C59">
        <w:rPr>
          <w:sz w:val="22"/>
          <w:szCs w:val="22"/>
        </w:rPr>
        <w:tab/>
        <w:t>A falta de quaisquer dos documentos mencionados, ou a apresentação dos mesmos em desacordo com o presente edital, implicará na inabilitação da licitante.</w:t>
      </w:r>
    </w:p>
    <w:p w:rsidR="00BD3C59" w:rsidRPr="00BD3C59" w:rsidRDefault="00BD3C59" w:rsidP="00BD3C59">
      <w:pPr>
        <w:spacing w:line="360" w:lineRule="auto"/>
        <w:jc w:val="both"/>
        <w:rPr>
          <w:sz w:val="22"/>
          <w:szCs w:val="22"/>
        </w:rPr>
      </w:pPr>
      <w:r w:rsidRPr="00BD3C59">
        <w:rPr>
          <w:sz w:val="22"/>
          <w:szCs w:val="22"/>
        </w:rPr>
        <w:t>3.4.</w:t>
      </w:r>
      <w:r w:rsidRPr="00BD3C59">
        <w:rPr>
          <w:sz w:val="22"/>
          <w:szCs w:val="22"/>
        </w:rPr>
        <w:tab/>
        <w:t>A licitante deverá apresentar os documentos correspondentes ao estabelecimento (matriz ou filial) através do qual pretende firmar o contrato.</w:t>
      </w:r>
    </w:p>
    <w:p w:rsidR="00BD3C59" w:rsidRPr="00BD3C59" w:rsidRDefault="00BD3C59" w:rsidP="00BD3C59">
      <w:pPr>
        <w:spacing w:line="360" w:lineRule="auto"/>
        <w:jc w:val="both"/>
        <w:rPr>
          <w:sz w:val="22"/>
          <w:szCs w:val="22"/>
        </w:rPr>
      </w:pPr>
      <w:r w:rsidRPr="00BD3C59">
        <w:rPr>
          <w:sz w:val="22"/>
          <w:szCs w:val="22"/>
        </w:rPr>
        <w:t>3.5.</w:t>
      </w:r>
      <w:r w:rsidRPr="00BD3C59">
        <w:rPr>
          <w:sz w:val="22"/>
          <w:szCs w:val="22"/>
        </w:rPr>
        <w:tab/>
        <w:t xml:space="preserve">É vedada a </w:t>
      </w:r>
      <w:proofErr w:type="spellStart"/>
      <w:r w:rsidRPr="00BD3C59">
        <w:rPr>
          <w:sz w:val="22"/>
          <w:szCs w:val="22"/>
        </w:rPr>
        <w:t>mesclagem</w:t>
      </w:r>
      <w:proofErr w:type="spellEnd"/>
      <w:r w:rsidRPr="00BD3C59">
        <w:rPr>
          <w:sz w:val="22"/>
          <w:szCs w:val="22"/>
        </w:rPr>
        <w:t xml:space="preserve"> de documentos de estabelecimentos diversos, exceto aqueles documentos que, pela própria natureza, comprovadamente, forem emitidos em nome da matriz e, válidos para todas as suas filiais.</w:t>
      </w:r>
    </w:p>
    <w:p w:rsidR="00BD3C59" w:rsidRPr="00BD3C59" w:rsidRDefault="00BD3C59" w:rsidP="00BD3C59">
      <w:pPr>
        <w:spacing w:line="360" w:lineRule="auto"/>
        <w:jc w:val="both"/>
        <w:rPr>
          <w:sz w:val="22"/>
          <w:szCs w:val="22"/>
        </w:rPr>
      </w:pPr>
      <w:r w:rsidRPr="00BD3C59">
        <w:rPr>
          <w:sz w:val="22"/>
          <w:szCs w:val="22"/>
        </w:rPr>
        <w:t>3.6.</w:t>
      </w:r>
      <w:r w:rsidRPr="00BD3C59">
        <w:rPr>
          <w:sz w:val="22"/>
          <w:szCs w:val="22"/>
        </w:rPr>
        <w:tab/>
        <w:t xml:space="preserve">Poderão ser apresentadas Certidões Positivas com efeitos de negativa, conforme Artigo 206 do Código Tributário Nacional (Lei Nº 5.172, de 25 de </w:t>
      </w:r>
      <w:proofErr w:type="gramStart"/>
      <w:r w:rsidRPr="00BD3C59">
        <w:rPr>
          <w:sz w:val="22"/>
          <w:szCs w:val="22"/>
        </w:rPr>
        <w:t>Outubro</w:t>
      </w:r>
      <w:proofErr w:type="gramEnd"/>
      <w:r w:rsidRPr="00BD3C59">
        <w:rPr>
          <w:sz w:val="22"/>
          <w:szCs w:val="22"/>
        </w:rPr>
        <w:t xml:space="preserve"> de 1.966).</w:t>
      </w:r>
    </w:p>
    <w:p w:rsidR="00BD3C59" w:rsidRPr="00BD3C59" w:rsidRDefault="00BD3C59" w:rsidP="00BD3C59">
      <w:pPr>
        <w:spacing w:line="360" w:lineRule="auto"/>
        <w:jc w:val="both"/>
        <w:rPr>
          <w:sz w:val="22"/>
          <w:szCs w:val="22"/>
        </w:rPr>
      </w:pPr>
      <w:r w:rsidRPr="00BD3C59">
        <w:rPr>
          <w:sz w:val="22"/>
          <w:szCs w:val="22"/>
        </w:rPr>
        <w:t>3.7.</w:t>
      </w:r>
      <w:r w:rsidRPr="00BD3C59">
        <w:rPr>
          <w:sz w:val="22"/>
          <w:szCs w:val="22"/>
        </w:rPr>
        <w:tab/>
        <w:t>Todas as certidões e documentos deverão ser apresentadas na forma da Lei dentro do prazo de validade fixado nos documentos oficiais apresentados, ou de 90 (noventa) dias a contar da expedição dos mesmos, caso não estipulem qualquer prazo de validade.</w:t>
      </w:r>
    </w:p>
    <w:p w:rsidR="00BD3C59" w:rsidRPr="00BD3C59" w:rsidRDefault="00BD3C59" w:rsidP="00BD3C59">
      <w:pPr>
        <w:spacing w:line="360" w:lineRule="auto"/>
        <w:jc w:val="both"/>
        <w:rPr>
          <w:sz w:val="22"/>
          <w:szCs w:val="22"/>
        </w:rPr>
      </w:pPr>
      <w:r w:rsidRPr="00BD3C59">
        <w:rPr>
          <w:sz w:val="22"/>
          <w:szCs w:val="22"/>
        </w:rPr>
        <w:t>3.8.</w:t>
      </w:r>
      <w:r w:rsidRPr="00BD3C59">
        <w:rPr>
          <w:sz w:val="22"/>
          <w:szCs w:val="22"/>
        </w:rPr>
        <w:tab/>
        <w:t>Em atendimento ao disposto no Capítulo V da Lei Complementar Nº 123 de 14/12/06 e alterações na Lei Nº 147 de 07/08/14, serão observados os seguintes procedimentos:</w:t>
      </w:r>
    </w:p>
    <w:p w:rsidR="00BD3C59" w:rsidRPr="00BD3C59" w:rsidRDefault="00BD3C59" w:rsidP="00BD3C59">
      <w:pPr>
        <w:spacing w:line="360" w:lineRule="auto"/>
        <w:jc w:val="both"/>
        <w:rPr>
          <w:sz w:val="22"/>
          <w:szCs w:val="22"/>
        </w:rPr>
      </w:pPr>
      <w:r w:rsidRPr="00BD3C59">
        <w:rPr>
          <w:sz w:val="22"/>
          <w:szCs w:val="22"/>
        </w:rPr>
        <w:t>a)</w:t>
      </w:r>
      <w:r w:rsidRPr="00BD3C59">
        <w:rPr>
          <w:sz w:val="22"/>
          <w:szCs w:val="22"/>
        </w:rPr>
        <w:tab/>
        <w:t>As Microempresas, Empresas de Pequeno Porte e Microempresário Individual (MEI), por ocasião da habilitação, deverão apresentar toda documentação exigida para efeito de comprovação de regularidade fiscal / trabalhista, mesmo que esta apresente alguma restrição;</w:t>
      </w:r>
    </w:p>
    <w:p w:rsidR="00BD3C59" w:rsidRPr="00BD3C59" w:rsidRDefault="00BD3C59" w:rsidP="00BD3C59">
      <w:pPr>
        <w:spacing w:line="360" w:lineRule="auto"/>
        <w:jc w:val="both"/>
        <w:rPr>
          <w:sz w:val="22"/>
          <w:szCs w:val="22"/>
        </w:rPr>
      </w:pPr>
      <w:proofErr w:type="gramStart"/>
      <w:r w:rsidRPr="00BD3C59">
        <w:rPr>
          <w:sz w:val="22"/>
          <w:szCs w:val="22"/>
        </w:rPr>
        <w:t>b)</w:t>
      </w:r>
      <w:r w:rsidRPr="00BD3C59">
        <w:rPr>
          <w:sz w:val="22"/>
          <w:szCs w:val="22"/>
        </w:rPr>
        <w:tab/>
        <w:t>Havendo</w:t>
      </w:r>
      <w:proofErr w:type="gramEnd"/>
      <w:r w:rsidRPr="00BD3C59">
        <w:rPr>
          <w:sz w:val="22"/>
          <w:szCs w:val="22"/>
        </w:rPr>
        <w:t xml:space="preserve"> alguma restrição quanto a regularidade fiscal e trabalhista (empresas ME/EPP), será assegurado o prazo de 05 (cinco) dias úteis, cujo termo inicial corresponderá ao momento em que for homologado o certame, para regularização da documentação.</w:t>
      </w:r>
    </w:p>
    <w:p w:rsidR="00BD3C59" w:rsidRPr="00BD3C59" w:rsidRDefault="00BD3C59" w:rsidP="00BD3C59">
      <w:pPr>
        <w:spacing w:line="360" w:lineRule="auto"/>
        <w:jc w:val="both"/>
        <w:rPr>
          <w:sz w:val="22"/>
          <w:szCs w:val="22"/>
        </w:rPr>
      </w:pPr>
      <w:r w:rsidRPr="00BD3C59">
        <w:rPr>
          <w:sz w:val="22"/>
          <w:szCs w:val="22"/>
        </w:rPr>
        <w:t>c)</w:t>
      </w:r>
      <w:r w:rsidRPr="00BD3C59">
        <w:rPr>
          <w:sz w:val="22"/>
          <w:szCs w:val="22"/>
        </w:rPr>
        <w:tab/>
        <w:t>A não regularização da documentação implicará decadência do direito à contratação, sem prejuízo das sanções previstas no Artigo 81 da Lei Nº 8.666/93, sendo facultado à Administração convocar os licitantes remanescentes, na ordem de classificação, para assinatura do contrato, ou revogar a licitação.</w:t>
      </w:r>
    </w:p>
    <w:p w:rsidR="00BD3C59" w:rsidRPr="00BD3C59" w:rsidRDefault="00BD3C59" w:rsidP="00BD3C59">
      <w:pPr>
        <w:spacing w:line="360" w:lineRule="auto"/>
        <w:jc w:val="both"/>
        <w:rPr>
          <w:sz w:val="22"/>
          <w:szCs w:val="22"/>
        </w:rPr>
      </w:pPr>
      <w:r w:rsidRPr="00BD3C59">
        <w:rPr>
          <w:sz w:val="22"/>
          <w:szCs w:val="22"/>
        </w:rPr>
        <w:t>3.9.</w:t>
      </w:r>
      <w:r w:rsidRPr="00BD3C59">
        <w:rPr>
          <w:sz w:val="22"/>
          <w:szCs w:val="22"/>
        </w:rPr>
        <w:tab/>
        <w:t>Não será aceita a substituição de documentos de habilitação por protocolo de requerimento de certidão.</w:t>
      </w:r>
    </w:p>
    <w:p w:rsidR="00BD3C59" w:rsidRPr="00BD3C59" w:rsidRDefault="00BD3C59" w:rsidP="00BD3C59">
      <w:pPr>
        <w:spacing w:line="360" w:lineRule="auto"/>
        <w:jc w:val="both"/>
        <w:rPr>
          <w:sz w:val="22"/>
          <w:szCs w:val="22"/>
        </w:rPr>
      </w:pPr>
    </w:p>
    <w:p w:rsidR="00BD3C59" w:rsidRDefault="00BD3C59" w:rsidP="00BD3C59">
      <w:pPr>
        <w:spacing w:line="360" w:lineRule="auto"/>
        <w:jc w:val="both"/>
      </w:pPr>
    </w:p>
    <w:p w:rsidR="00BD3C59" w:rsidRDefault="00BD3C59" w:rsidP="00BD3C59">
      <w:pPr>
        <w:spacing w:line="360" w:lineRule="auto"/>
        <w:jc w:val="both"/>
      </w:pPr>
    </w:p>
    <w:p w:rsidR="00BD3C59" w:rsidRDefault="00BD3C59" w:rsidP="00BD3C59">
      <w:pPr>
        <w:spacing w:line="360" w:lineRule="auto"/>
        <w:jc w:val="both"/>
      </w:pPr>
      <w:bookmarkStart w:id="0" w:name="_GoBack"/>
      <w:bookmarkEnd w:id="0"/>
    </w:p>
    <w:p w:rsidR="00AF5975" w:rsidRDefault="00AF5975">
      <w:pPr>
        <w:pStyle w:val="Standard"/>
        <w:pageBreakBefore/>
        <w:widowControl w:val="0"/>
        <w:jc w:val="right"/>
        <w:rPr>
          <w:rFonts w:ascii="Tahoma" w:hAnsi="Tahoma" w:cs="Tahoma"/>
          <w:b/>
          <w:sz w:val="4"/>
          <w:szCs w:val="28"/>
        </w:rPr>
      </w:pPr>
    </w:p>
    <w:sectPr w:rsidR="00AF5975">
      <w:headerReference w:type="default" r:id="rId7"/>
      <w:pgSz w:w="11906" w:h="16838"/>
      <w:pgMar w:top="2337" w:right="566" w:bottom="720" w:left="1440" w:header="708"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7C16" w:rsidRDefault="00B67C16">
      <w:r>
        <w:separator/>
      </w:r>
    </w:p>
  </w:endnote>
  <w:endnote w:type="continuationSeparator" w:id="0">
    <w:p w:rsidR="00B67C16" w:rsidRDefault="00B67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ivienne">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7C16" w:rsidRDefault="00B67C16">
      <w:r>
        <w:separator/>
      </w:r>
    </w:p>
  </w:footnote>
  <w:footnote w:type="continuationSeparator" w:id="0">
    <w:p w:rsidR="00B67C16" w:rsidRDefault="00B67C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5975" w:rsidRDefault="00936B76">
    <w:pPr>
      <w:pStyle w:val="Cabealho1"/>
      <w:widowControl w:val="0"/>
      <w:tabs>
        <w:tab w:val="left" w:pos="1590"/>
        <w:tab w:val="right" w:pos="10346"/>
      </w:tabs>
      <w:jc w:val="right"/>
    </w:pPr>
    <w:r>
      <w:rPr>
        <w:noProof/>
        <w:lang w:eastAsia="pt-BR"/>
      </w:rPr>
      <w:drawing>
        <wp:anchor distT="0" distB="0" distL="114300" distR="114300" simplePos="0" relativeHeight="251657216" behindDoc="0" locked="0" layoutInCell="1" allowOverlap="1">
          <wp:simplePos x="0" y="0"/>
          <wp:positionH relativeFrom="column">
            <wp:posOffset>-444500</wp:posOffset>
          </wp:positionH>
          <wp:positionV relativeFrom="line">
            <wp:posOffset>101600</wp:posOffset>
          </wp:positionV>
          <wp:extent cx="866156" cy="1142278"/>
          <wp:effectExtent l="9528" t="9528" r="9528" b="9528"/>
          <wp:wrapSquare wrapText="bothSides" distT="0" distB="0" distL="0" distR="0"/>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pic:cNvPicPr>
                </pic:nvPicPr>
                <pic:blipFill>
                  <a:blip r:embed="rId1"/>
                  <a:srcRect/>
                  <a:stretch>
                    <a:fillRect/>
                  </a:stretch>
                </pic:blipFill>
                <pic:spPr>
                  <a:xfrm>
                    <a:off x="0" y="0"/>
                    <a:ext cx="866156" cy="1142278"/>
                  </a:xfrm>
                  <a:prstGeom prst="rect">
                    <a:avLst/>
                  </a:prstGeom>
                </pic:spPr>
              </pic:pic>
            </a:graphicData>
          </a:graphic>
        </wp:anchor>
      </w:drawing>
    </w:r>
    <w:r>
      <w:rPr>
        <w:noProof/>
        <w:webHidden/>
      </w:rPr>
      <w:tab/>
    </w:r>
    <w:r>
      <w:rPr>
        <w:noProof/>
        <w:webHidden/>
      </w:rPr>
      <w:tab/>
    </w:r>
  </w:p>
  <w:p w:rsidR="00AF5975" w:rsidRDefault="00AF5975">
    <w:pPr>
      <w:pStyle w:val="Cabealho1"/>
      <w:widowControl w:val="0"/>
      <w:tabs>
        <w:tab w:val="left" w:pos="1590"/>
        <w:tab w:val="right" w:pos="10346"/>
      </w:tabs>
      <w:jc w:val="right"/>
      <w:rPr>
        <w:rFonts w:ascii="Tahoma" w:hAnsi="Tahoma" w:cs="Tahoma"/>
      </w:rPr>
    </w:pPr>
  </w:p>
  <w:p w:rsidR="00AF5975" w:rsidRDefault="00936B76">
    <w:pPr>
      <w:pStyle w:val="Cabealho1"/>
      <w:widowControl w:val="0"/>
      <w:tabs>
        <w:tab w:val="left" w:pos="1590"/>
        <w:tab w:val="right" w:pos="10346"/>
      </w:tabs>
      <w:jc w:val="right"/>
      <w:rPr>
        <w:rFonts w:ascii="Arial" w:hAnsi="Arial" w:cs="Arial"/>
        <w:b/>
        <w:szCs w:val="22"/>
      </w:rPr>
    </w:pPr>
    <w:r>
      <w:rPr>
        <w:rFonts w:ascii="Arial" w:hAnsi="Arial" w:cs="Arial"/>
        <w:b/>
        <w:szCs w:val="22"/>
      </w:rPr>
      <w:t>PREFEITURA DO MUNICÍPIO DE BRAGANÇA PAULISTA</w:t>
    </w:r>
  </w:p>
  <w:p w:rsidR="00AF5975" w:rsidRDefault="00936B76">
    <w:pPr>
      <w:pStyle w:val="Cabealho1"/>
      <w:widowControl w:val="0"/>
      <w:jc w:val="right"/>
      <w:rPr>
        <w:rFonts w:ascii="Arial" w:hAnsi="Arial" w:cs="Arial"/>
        <w:b/>
        <w:sz w:val="20"/>
        <w:szCs w:val="20"/>
      </w:rPr>
    </w:pPr>
    <w:r>
      <w:t xml:space="preserve"> </w:t>
    </w:r>
  </w:p>
  <w:p w:rsidR="00AF5975" w:rsidRDefault="00AF5975">
    <w:pPr>
      <w:pStyle w:val="Cabealho1"/>
      <w:widowControl w:val="0"/>
      <w:jc w:val="center"/>
      <w:rPr>
        <w:rFonts w:ascii="Arial Narrow" w:hAnsi="Arial Narrow" w:cs="Arial Narrow"/>
        <w:i/>
      </w:rPr>
    </w:pPr>
  </w:p>
  <w:p w:rsidR="00AF5975" w:rsidRDefault="00936B76">
    <w:pPr>
      <w:pStyle w:val="Cabealho1"/>
    </w:pPr>
    <w:r>
      <w:rPr>
        <w:noProof/>
        <w:lang w:eastAsia="pt-BR"/>
      </w:rPr>
      <mc:AlternateContent>
        <mc:Choice Requires="wps">
          <w:drawing>
            <wp:anchor distT="0" distB="0" distL="114300" distR="114300" simplePos="0" relativeHeight="251658240" behindDoc="1" locked="0" layoutInCell="1" allowOverlap="1">
              <wp:simplePos x="0" y="0"/>
              <wp:positionH relativeFrom="column">
                <wp:posOffset>914400</wp:posOffset>
              </wp:positionH>
              <wp:positionV relativeFrom="paragraph">
                <wp:posOffset>0</wp:posOffset>
              </wp:positionV>
              <wp:extent cx="5715000" cy="0"/>
              <wp:effectExtent l="9525" t="9525" r="9525" b="952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straightConnector1">
                        <a:avLst/>
                      </a:prstGeom>
                      <a:noFill/>
                      <a:ln w="939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56BF0FC" id="_x0000_t32" coordsize="21600,21600" o:spt="32" o:oned="t" path="m,l21600,21600e" filled="f">
              <v:path arrowok="t" fillok="f" o:connecttype="none"/>
              <o:lock v:ext="edit" shapetype="t"/>
            </v:shapetype>
            <v:shape id="AutoShape 2" o:spid="_x0000_s1026" type="#_x0000_t32" style="position:absolute;margin-left:1in;margin-top:0;width:450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" strokeweight=".74pt"/>
          </w:pict>
        </mc:Fallback>
      </mc:AlternateContent>
    </w:r>
  </w:p>
  <w:p w:rsidR="00AF5975" w:rsidRDefault="00AF5975">
    <w:pPr>
      <w:pStyle w:val="Cabealho1"/>
      <w:widowControl w:val="0"/>
      <w:jc w:val="center"/>
      <w:rPr>
        <w:rFonts w:ascii="Vivienne" w:hAnsi="Vivienne" w:cs="Vivienne"/>
        <w:sz w:val="34"/>
      </w:rPr>
    </w:pPr>
  </w:p>
  <w:p w:rsidR="00AF5975" w:rsidRDefault="00AF5975">
    <w:pPr>
      <w:pStyle w:val="Cabealho1"/>
      <w:rPr>
        <w:rFonts w:ascii="Vivienne" w:hAnsi="Vivienne" w:cs="Vivienne"/>
        <w:sz w:val="3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8"/>
  <w:autoHyphenation/>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975"/>
    <w:rsid w:val="001039D6"/>
    <w:rsid w:val="0011026D"/>
    <w:rsid w:val="00146FB2"/>
    <w:rsid w:val="00166DFA"/>
    <w:rsid w:val="0017476C"/>
    <w:rsid w:val="001A6144"/>
    <w:rsid w:val="001B0EE1"/>
    <w:rsid w:val="00206411"/>
    <w:rsid w:val="00222628"/>
    <w:rsid w:val="00222C0A"/>
    <w:rsid w:val="0023273D"/>
    <w:rsid w:val="002A6C41"/>
    <w:rsid w:val="002D2A31"/>
    <w:rsid w:val="002E2213"/>
    <w:rsid w:val="002F1C5C"/>
    <w:rsid w:val="003739D0"/>
    <w:rsid w:val="003B69EB"/>
    <w:rsid w:val="003F28A0"/>
    <w:rsid w:val="004017BB"/>
    <w:rsid w:val="00421467"/>
    <w:rsid w:val="00440B96"/>
    <w:rsid w:val="00441CDA"/>
    <w:rsid w:val="00460C7A"/>
    <w:rsid w:val="00496303"/>
    <w:rsid w:val="00517DD8"/>
    <w:rsid w:val="00521A9F"/>
    <w:rsid w:val="00526A0E"/>
    <w:rsid w:val="00551264"/>
    <w:rsid w:val="00553789"/>
    <w:rsid w:val="00592D19"/>
    <w:rsid w:val="00665F92"/>
    <w:rsid w:val="00714527"/>
    <w:rsid w:val="00745F89"/>
    <w:rsid w:val="0078578B"/>
    <w:rsid w:val="008A3F3C"/>
    <w:rsid w:val="008C6CAB"/>
    <w:rsid w:val="008C785E"/>
    <w:rsid w:val="00936B76"/>
    <w:rsid w:val="009B3CEA"/>
    <w:rsid w:val="009D36D1"/>
    <w:rsid w:val="009F668E"/>
    <w:rsid w:val="00A37803"/>
    <w:rsid w:val="00AF3559"/>
    <w:rsid w:val="00AF5975"/>
    <w:rsid w:val="00AF717D"/>
    <w:rsid w:val="00B67C16"/>
    <w:rsid w:val="00BC4161"/>
    <w:rsid w:val="00BD12B8"/>
    <w:rsid w:val="00BD3C59"/>
    <w:rsid w:val="00BE5C41"/>
    <w:rsid w:val="00BE6C63"/>
    <w:rsid w:val="00BF0CF0"/>
    <w:rsid w:val="00C305B2"/>
    <w:rsid w:val="00C33DF6"/>
    <w:rsid w:val="00CB71D6"/>
    <w:rsid w:val="00CC5E51"/>
    <w:rsid w:val="00D22582"/>
    <w:rsid w:val="00D26BAD"/>
    <w:rsid w:val="00D37C1F"/>
    <w:rsid w:val="00D823A0"/>
    <w:rsid w:val="00D833C8"/>
    <w:rsid w:val="00ED04A6"/>
    <w:rsid w:val="00F00F06"/>
    <w:rsid w:val="00F636EF"/>
    <w:rsid w:val="00F736B7"/>
    <w:rsid w:val="00FD4464"/>
    <w:rsid w:val="00FE674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BA380AE-08AB-481F-AAC2-D9AD83D16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SimSun" w:hAnsi="Liberation Serif" w:cs="Mangal"/>
        <w:kern w:val="16"/>
        <w:sz w:val="24"/>
        <w:szCs w:val="24"/>
        <w:lang w:val="pt-BR" w:eastAsia="zh-CN" w:bidi="hi-IN"/>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1">
    <w:name w:val="Fonte parág. padrão1"/>
    <w:qFormat/>
  </w:style>
  <w:style w:type="paragraph" w:customStyle="1" w:styleId="Standard">
    <w:name w:val="Standard"/>
    <w:qFormat/>
    <w:pPr>
      <w:widowControl/>
      <w:suppressAutoHyphens/>
    </w:pPr>
    <w:rPr>
      <w:rFonts w:ascii="Times New Roman" w:eastAsia="Times New Roman" w:hAnsi="Times New Roman" w:cs="Times New Roman"/>
      <w:lang w:bidi="ar-SA"/>
    </w:rPr>
  </w:style>
  <w:style w:type="paragraph" w:customStyle="1" w:styleId="Heading">
    <w:name w:val="Heading"/>
    <w:basedOn w:val="Standard"/>
    <w:next w:val="Textbody"/>
    <w:qFormat/>
    <w:pPr>
      <w:keepNext/>
      <w:widowControl w:val="0"/>
      <w:spacing w:before="240" w:after="120"/>
    </w:pPr>
    <w:rPr>
      <w:rFonts w:ascii="Liberation Sans" w:eastAsia="Microsoft YaHei" w:hAnsi="Liberation Sans" w:cs="Mangal"/>
      <w:sz w:val="28"/>
      <w:szCs w:val="28"/>
    </w:rPr>
  </w:style>
  <w:style w:type="paragraph" w:customStyle="1" w:styleId="Textbody">
    <w:name w:val="Text body"/>
    <w:basedOn w:val="Standard"/>
    <w:qFormat/>
    <w:pPr>
      <w:widowControl w:val="0"/>
      <w:spacing w:after="140" w:line="288" w:lineRule="auto"/>
    </w:pPr>
  </w:style>
  <w:style w:type="paragraph" w:customStyle="1" w:styleId="Lista1">
    <w:name w:val="Lista1"/>
    <w:basedOn w:val="Textbody"/>
    <w:qFormat/>
    <w:rPr>
      <w:rFonts w:cs="Mangal"/>
    </w:rPr>
  </w:style>
  <w:style w:type="paragraph" w:customStyle="1" w:styleId="Legenda1">
    <w:name w:val="Legenda1"/>
    <w:basedOn w:val="Standard"/>
    <w:qFormat/>
    <w:pPr>
      <w:widowControl w:val="0"/>
      <w:suppressLineNumbers/>
      <w:spacing w:before="120" w:after="120"/>
    </w:pPr>
    <w:rPr>
      <w:rFonts w:cs="Mangal"/>
      <w:i/>
    </w:rPr>
  </w:style>
  <w:style w:type="paragraph" w:customStyle="1" w:styleId="Index">
    <w:name w:val="Index"/>
    <w:basedOn w:val="Standard"/>
    <w:qFormat/>
    <w:pPr>
      <w:widowControl w:val="0"/>
      <w:suppressLineNumbers/>
    </w:pPr>
    <w:rPr>
      <w:rFonts w:cs="Mangal"/>
    </w:rPr>
  </w:style>
  <w:style w:type="paragraph" w:customStyle="1" w:styleId="Cabealho1">
    <w:name w:val="Cabeçalho1"/>
    <w:basedOn w:val="Standard"/>
    <w:qFormat/>
  </w:style>
  <w:style w:type="paragraph" w:customStyle="1" w:styleId="Rodap1">
    <w:name w:val="Rodapé1"/>
    <w:basedOn w:val="Standard"/>
    <w:qFormat/>
  </w:style>
  <w:style w:type="paragraph" w:customStyle="1" w:styleId="Textodebalo1">
    <w:name w:val="Texto de balão1"/>
    <w:basedOn w:val="Normal"/>
    <w:qFormat/>
    <w:rPr>
      <w:rFonts w:ascii="Segoe UI" w:eastAsia="Segoe UI" w:hAnsi="Segoe UI" w:cs="Segoe UI"/>
      <w:sz w:val="18"/>
      <w:szCs w:val="16"/>
    </w:rPr>
  </w:style>
  <w:style w:type="paragraph" w:customStyle="1" w:styleId="Standarduser">
    <w:name w:val="Standard (user)"/>
    <w:qFormat/>
    <w:pPr>
      <w:keepNext/>
      <w:widowControl/>
      <w:shd w:val="clear" w:color="auto" w:fill="FFFFFF"/>
      <w:suppressAutoHyphens/>
    </w:pPr>
    <w:rPr>
      <w:rFonts w:ascii="Times New Roman" w:eastAsia="Times New Roman" w:hAnsi="Times New Roman" w:cs="Times New Roman"/>
      <w:color w:val="00000A"/>
      <w:lang w:bidi="ar-SA"/>
    </w:rPr>
  </w:style>
  <w:style w:type="paragraph" w:customStyle="1" w:styleId="western">
    <w:name w:val="western"/>
    <w:basedOn w:val="Standard"/>
    <w:qFormat/>
    <w:pPr>
      <w:widowControl w:val="0"/>
      <w:shd w:val="clear" w:color="auto" w:fill="FFFFFF"/>
      <w:spacing w:before="280" w:after="119"/>
    </w:pPr>
  </w:style>
  <w:style w:type="character" w:customStyle="1" w:styleId="CabealhoChar">
    <w:name w:val="Cabeçalho Char"/>
    <w:qFormat/>
    <w:rPr>
      <w:rFonts w:ascii="Times New Roman" w:eastAsia="Times New Roman" w:hAnsi="Times New Roman" w:cs="Times New Roman"/>
      <w:sz w:val="24"/>
      <w:szCs w:val="24"/>
    </w:rPr>
  </w:style>
  <w:style w:type="character" w:customStyle="1" w:styleId="RodapChar">
    <w:name w:val="Rodapé Char"/>
    <w:qFormat/>
    <w:rPr>
      <w:rFonts w:ascii="Times New Roman" w:eastAsia="Times New Roman" w:hAnsi="Times New Roman" w:cs="Times New Roman"/>
      <w:sz w:val="24"/>
      <w:szCs w:val="24"/>
    </w:rPr>
  </w:style>
  <w:style w:type="character" w:customStyle="1" w:styleId="Nmerodepgina1">
    <w:name w:val="Número de página1"/>
    <w:basedOn w:val="Fontepargpadro1"/>
    <w:qFormat/>
  </w:style>
  <w:style w:type="character" w:customStyle="1" w:styleId="TextodebaloChar">
    <w:name w:val="Texto de balão Char"/>
    <w:basedOn w:val="Fontepargpadro1"/>
    <w:qFormat/>
    <w:rPr>
      <w:rFonts w:ascii="Segoe UI" w:eastAsia="Segoe UI" w:hAnsi="Segoe UI" w:cs="Segoe UI"/>
      <w:sz w:val="18"/>
      <w:szCs w:val="16"/>
    </w:rPr>
  </w:style>
  <w:style w:type="character" w:customStyle="1" w:styleId="notereference">
    <w:name w:val="note reference"/>
    <w:semiHidden/>
    <w:unhideWhenUsed/>
  </w:style>
  <w:style w:type="paragraph" w:customStyle="1" w:styleId="notetext">
    <w:name w:val="note text"/>
    <w:semiHidden/>
    <w:unhideWhenUsed/>
  </w:style>
  <w:style w:type="character" w:customStyle="1" w:styleId="notereference1">
    <w:name w:val="note reference_1"/>
    <w:semiHidden/>
    <w:unhideWhenUsed/>
  </w:style>
  <w:style w:type="paragraph" w:customStyle="1" w:styleId="notetext1">
    <w:name w:val="note text_1"/>
    <w:semiHidden/>
    <w:unhideWhenUsed/>
  </w:style>
  <w:style w:type="paragraph" w:customStyle="1" w:styleId="Graphics">
    <w:name w:val="Graphics"/>
    <w:qFormat/>
  </w:style>
  <w:style w:type="character" w:styleId="Hyperlink">
    <w:name w:val="Hyperlink"/>
    <w:rPr>
      <w:color w:val="000080"/>
      <w:u w:val="single"/>
    </w:rPr>
  </w:style>
  <w:style w:type="character" w:styleId="HiperlinkVisitado">
    <w:name w:val="FollowedHyperlink"/>
    <w:rPr>
      <w:color w:val="800080"/>
      <w:u w:val="single"/>
    </w:rPr>
  </w:style>
  <w:style w:type="paragraph" w:styleId="Textodebalo">
    <w:name w:val="Balloon Text"/>
    <w:basedOn w:val="Normal"/>
    <w:link w:val="TextodebaloChar1"/>
    <w:uiPriority w:val="99"/>
    <w:semiHidden/>
    <w:unhideWhenUsed/>
    <w:rsid w:val="00936B76"/>
    <w:rPr>
      <w:rFonts w:ascii="Segoe UI" w:hAnsi="Segoe UI"/>
      <w:sz w:val="18"/>
      <w:szCs w:val="16"/>
    </w:rPr>
  </w:style>
  <w:style w:type="character" w:customStyle="1" w:styleId="TextodebaloChar1">
    <w:name w:val="Texto de balão Char1"/>
    <w:basedOn w:val="Fontepargpadro"/>
    <w:link w:val="Textodebalo"/>
    <w:uiPriority w:val="99"/>
    <w:semiHidden/>
    <w:rsid w:val="00936B76"/>
    <w:rPr>
      <w:rFonts w:ascii="Segoe UI" w:hAnsi="Segoe UI"/>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mpatibilitySettings xmlns="http://odf-converter.sourceforge.net/compatibilitySettings/1.0" xmlns:w="http://schemas.openxmlformats.org/wordprocessingml/2006/main"/>
</file>

<file path=customXml/itemProps1.xml><?xml version="1.0" encoding="utf-8"?>
<ds:datastoreItem xmlns:ds="http://schemas.openxmlformats.org/officeDocument/2006/customXml" ds:itemID="{E1A12879-7DFE-402E-B325-AF81FEC15561}">
  <ds:schemaRefs>
    <ds:schemaRef ds:uri="http://odf-converter.sourceforge.net/compatibilitySettings/1.0"/>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709</Words>
  <Characters>3831</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PMBP</Company>
  <LinksUpToDate>false</LinksUpToDate>
  <CharactersWithSpaces>4531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MARCEL</dc:creator>
  <cp:lastModifiedBy>Josilene Cesila</cp:lastModifiedBy>
  <cp:revision>2</cp:revision>
  <cp:lastPrinted>2022-04-01T13:48:00Z</cp:lastPrinted>
  <dcterms:created xsi:type="dcterms:W3CDTF">2024-01-29T15:52:00Z</dcterms:created>
  <dcterms:modified xsi:type="dcterms:W3CDTF">2024-01-29T15:52:00Z</dcterms:modified>
</cp:coreProperties>
</file>