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39187" w14:textId="77777777" w:rsidR="00E0527F" w:rsidRPr="00E0527F" w:rsidRDefault="00E0527F" w:rsidP="00E0527F">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TERMO DE REFERÊNCIA</w:t>
      </w:r>
    </w:p>
    <w:p w14:paraId="4A22F223" w14:textId="77777777" w:rsidR="00E0527F" w:rsidRPr="00E0527F" w:rsidRDefault="00E0527F" w:rsidP="00E0527F">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7"/>
          <w:szCs w:val="27"/>
          <w:lang w:eastAsia="pt-BR"/>
          <w14:ligatures w14:val="none"/>
        </w:rPr>
        <w:t> </w:t>
      </w:r>
    </w:p>
    <w:p w14:paraId="39AFF990"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1. CONDIÇÕES GERAIS DA CONTRATAÇÃO</w:t>
      </w:r>
    </w:p>
    <w:p w14:paraId="59088F2E" w14:textId="60DB8744" w:rsidR="00276875" w:rsidRPr="00232F62" w:rsidRDefault="00E0527F" w:rsidP="00232F62">
      <w:pPr>
        <w:spacing w:before="120" w:after="120" w:line="240" w:lineRule="auto"/>
        <w:jc w:val="both"/>
        <w:rPr>
          <w:rFonts w:ascii="Tahoma" w:eastAsia="Times New Roman" w:hAnsi="Tahoma" w:cs="Tahoma"/>
          <w:color w:val="000000"/>
          <w:kern w:val="0"/>
          <w:sz w:val="20"/>
          <w:szCs w:val="20"/>
          <w:lang w:eastAsia="pt-BR"/>
          <w14:ligatures w14:val="none"/>
        </w:rPr>
      </w:pPr>
      <w:r w:rsidRPr="00E0527F">
        <w:rPr>
          <w:rFonts w:ascii="Arial" w:eastAsia="Times New Roman" w:hAnsi="Arial" w:cs="Arial"/>
          <w:color w:val="000000"/>
          <w:kern w:val="0"/>
          <w:sz w:val="20"/>
          <w:szCs w:val="20"/>
          <w:lang w:eastAsia="pt-BR"/>
          <w14:ligatures w14:val="none"/>
        </w:rPr>
        <w:t>1.1. Aquisição de</w:t>
      </w:r>
      <w:r w:rsidRPr="00E0527F">
        <w:rPr>
          <w:rFonts w:ascii="Tahoma" w:eastAsia="Times New Roman" w:hAnsi="Tahoma" w:cs="Tahoma"/>
          <w:color w:val="000000"/>
          <w:kern w:val="0"/>
          <w:sz w:val="20"/>
          <w:szCs w:val="20"/>
          <w:lang w:eastAsia="pt-BR"/>
          <w14:ligatures w14:val="none"/>
        </w:rPr>
        <w:t xml:space="preserve"> gêneros alimentícios </w:t>
      </w:r>
      <w:r w:rsidR="00232F62" w:rsidRPr="00232F62">
        <w:rPr>
          <w:rFonts w:ascii="Tahoma" w:eastAsia="Times New Roman" w:hAnsi="Tahoma" w:cs="Tahoma"/>
          <w:color w:val="000000"/>
          <w:kern w:val="0"/>
          <w:sz w:val="20"/>
          <w:szCs w:val="20"/>
          <w:lang w:eastAsia="pt-BR"/>
          <w14:ligatures w14:val="none"/>
        </w:rPr>
        <w:t xml:space="preserve">gêneros alimentícios - Óleo de Soja comestível </w:t>
      </w:r>
      <w:r w:rsidR="00232F62">
        <w:rPr>
          <w:rFonts w:ascii="Tahoma" w:eastAsia="Times New Roman" w:hAnsi="Tahoma" w:cs="Tahoma"/>
          <w:color w:val="000000"/>
          <w:kern w:val="0"/>
          <w:sz w:val="20"/>
          <w:szCs w:val="20"/>
          <w:lang w:eastAsia="pt-BR"/>
          <w14:ligatures w14:val="none"/>
        </w:rPr>
        <w:t>–</w:t>
      </w:r>
      <w:r w:rsidR="00232F62" w:rsidRPr="00232F62">
        <w:rPr>
          <w:rFonts w:ascii="Tahoma" w:eastAsia="Times New Roman" w:hAnsi="Tahoma" w:cs="Tahoma"/>
          <w:color w:val="000000"/>
          <w:kern w:val="0"/>
          <w:sz w:val="20"/>
          <w:szCs w:val="20"/>
          <w:lang w:eastAsia="pt-BR"/>
          <w14:ligatures w14:val="none"/>
        </w:rPr>
        <w:t xml:space="preserve"> para atendimento aos alunos matriculados nas unidades escolares jurisdicionadas à Diretoria de Ensino </w:t>
      </w:r>
      <w:r w:rsidR="00232F62">
        <w:rPr>
          <w:rFonts w:ascii="Tahoma" w:eastAsia="Times New Roman" w:hAnsi="Tahoma" w:cs="Tahoma"/>
          <w:color w:val="000000"/>
          <w:kern w:val="0"/>
          <w:sz w:val="20"/>
          <w:szCs w:val="20"/>
          <w:lang w:eastAsia="pt-BR"/>
          <w14:ligatures w14:val="none"/>
        </w:rPr>
        <w:t>–</w:t>
      </w:r>
      <w:r w:rsidR="00232F62" w:rsidRPr="00232F62">
        <w:rPr>
          <w:rFonts w:ascii="Tahoma" w:eastAsia="Times New Roman" w:hAnsi="Tahoma" w:cs="Tahoma"/>
          <w:color w:val="000000"/>
          <w:kern w:val="0"/>
          <w:sz w:val="20"/>
          <w:szCs w:val="20"/>
          <w:lang w:eastAsia="pt-BR"/>
          <w14:ligatures w14:val="none"/>
        </w:rPr>
        <w:t xml:space="preserve"> Região de São José dos Campos, nos termos da tabela abaixo, conforme condições e exigências estabelecidas neste instrumento.</w:t>
      </w:r>
    </w:p>
    <w:tbl>
      <w:tblPr>
        <w:tblW w:w="9690" w:type="dxa"/>
        <w:jc w:val="center"/>
        <w:tblCellMar>
          <w:top w:w="15" w:type="dxa"/>
          <w:left w:w="15" w:type="dxa"/>
          <w:bottom w:w="15" w:type="dxa"/>
          <w:right w:w="15" w:type="dxa"/>
        </w:tblCellMar>
        <w:tblLook w:val="04A0" w:firstRow="1" w:lastRow="0" w:firstColumn="1" w:lastColumn="0" w:noHBand="0" w:noVBand="1"/>
      </w:tblPr>
      <w:tblGrid>
        <w:gridCol w:w="688"/>
        <w:gridCol w:w="1855"/>
        <w:gridCol w:w="1795"/>
        <w:gridCol w:w="1237"/>
        <w:gridCol w:w="1544"/>
        <w:gridCol w:w="1177"/>
        <w:gridCol w:w="1394"/>
      </w:tblGrid>
      <w:tr w:rsidR="00276875" w:rsidRPr="00046634" w14:paraId="7D87B6AA" w14:textId="77777777" w:rsidTr="00096E5D">
        <w:trPr>
          <w:jc w:val="center"/>
        </w:trPr>
        <w:tc>
          <w:tcPr>
            <w:tcW w:w="688"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1344148"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ITEM</w:t>
            </w:r>
            <w:bookmarkStart w:id="0" w:name="_heading=h.2et92p0"/>
            <w:bookmarkEnd w:id="0"/>
          </w:p>
          <w:p w14:paraId="6CB92FE9"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Times New Roman" w:eastAsia="Times New Roman" w:hAnsi="Times New Roman" w:cs="Times New Roman"/>
                <w:color w:val="000000"/>
                <w:kern w:val="0"/>
                <w:sz w:val="27"/>
                <w:szCs w:val="27"/>
                <w:lang w:eastAsia="pt-BR"/>
                <w14:ligatures w14:val="none"/>
              </w:rPr>
              <w:t> </w:t>
            </w:r>
          </w:p>
        </w:tc>
        <w:tc>
          <w:tcPr>
            <w:tcW w:w="185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76FE5CC"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ESPECIFICAÇÃO</w:t>
            </w:r>
          </w:p>
        </w:tc>
        <w:tc>
          <w:tcPr>
            <w:tcW w:w="179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ACF892B"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CATMAT</w:t>
            </w:r>
            <w:r>
              <w:rPr>
                <w:rFonts w:ascii="Arial" w:eastAsia="Times New Roman" w:hAnsi="Arial" w:cs="Arial"/>
                <w:b/>
                <w:bCs/>
                <w:color w:val="000000"/>
                <w:kern w:val="0"/>
                <w:sz w:val="20"/>
                <w:szCs w:val="20"/>
                <w:lang w:eastAsia="pt-BR"/>
                <w14:ligatures w14:val="none"/>
              </w:rPr>
              <w:t>/</w:t>
            </w:r>
            <w:r>
              <w:rPr>
                <w:rFonts w:ascii="Arial" w:eastAsia="Times New Roman" w:hAnsi="Arial" w:cs="Arial"/>
                <w:b/>
                <w:bCs/>
                <w:color w:val="000000"/>
                <w:kern w:val="0"/>
                <w:sz w:val="20"/>
                <w:szCs w:val="20"/>
                <w:lang w:eastAsia="pt-BR"/>
                <w14:ligatures w14:val="none"/>
              </w:rPr>
              <w:br/>
              <w:t>COMPRASGOV.</w:t>
            </w:r>
          </w:p>
        </w:tc>
        <w:tc>
          <w:tcPr>
            <w:tcW w:w="1237"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46CE0A17"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UNIDADE DE MEDIDA</w:t>
            </w:r>
          </w:p>
        </w:tc>
        <w:tc>
          <w:tcPr>
            <w:tcW w:w="1544"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965FB88"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QUANTIDADE TOTAL</w:t>
            </w:r>
          </w:p>
        </w:tc>
        <w:tc>
          <w:tcPr>
            <w:tcW w:w="1177"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86F6ED2"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VALOR UNITÁRIO (se não for sigiloso)</w:t>
            </w:r>
          </w:p>
        </w:tc>
        <w:tc>
          <w:tcPr>
            <w:tcW w:w="1394"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5FB1CAC" w14:textId="77777777" w:rsidR="00276875" w:rsidRPr="00046634" w:rsidRDefault="00276875" w:rsidP="007D54D0">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b/>
                <w:bCs/>
                <w:color w:val="000000"/>
                <w:kern w:val="0"/>
                <w:sz w:val="20"/>
                <w:szCs w:val="20"/>
                <w:lang w:eastAsia="pt-BR"/>
                <w14:ligatures w14:val="none"/>
              </w:rPr>
              <w:t xml:space="preserve">VALOR TOTAL </w:t>
            </w:r>
            <w:r>
              <w:rPr>
                <w:rFonts w:ascii="Arial" w:eastAsia="Times New Roman" w:hAnsi="Arial" w:cs="Arial"/>
                <w:b/>
                <w:bCs/>
                <w:color w:val="000000"/>
                <w:kern w:val="0"/>
                <w:sz w:val="20"/>
                <w:szCs w:val="20"/>
                <w:lang w:eastAsia="pt-BR"/>
                <w14:ligatures w14:val="none"/>
              </w:rPr>
              <w:br/>
            </w:r>
            <w:r w:rsidRPr="00046634">
              <w:rPr>
                <w:rFonts w:ascii="Arial" w:eastAsia="Times New Roman" w:hAnsi="Arial" w:cs="Arial"/>
                <w:b/>
                <w:bCs/>
                <w:color w:val="000000"/>
                <w:kern w:val="0"/>
                <w:sz w:val="20"/>
                <w:szCs w:val="20"/>
                <w:lang w:eastAsia="pt-BR"/>
                <w14:ligatures w14:val="none"/>
              </w:rPr>
              <w:t>(se não for sigiloso)</w:t>
            </w:r>
          </w:p>
        </w:tc>
      </w:tr>
      <w:tr w:rsidR="00096E5D" w:rsidRPr="00046634" w14:paraId="0834F169" w14:textId="77777777" w:rsidTr="00096E5D">
        <w:trPr>
          <w:jc w:val="center"/>
        </w:trPr>
        <w:tc>
          <w:tcPr>
            <w:tcW w:w="688"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A77A333" w14:textId="586E88A2" w:rsidR="00096E5D" w:rsidRPr="00046634" w:rsidRDefault="00096E5D" w:rsidP="00096E5D">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Pr>
                <w:rFonts w:ascii="Arial" w:hAnsi="Arial" w:cs="Arial"/>
                <w:b/>
                <w:bCs/>
                <w:color w:val="000000"/>
                <w:sz w:val="20"/>
                <w:szCs w:val="20"/>
              </w:rPr>
              <w:t>1</w:t>
            </w:r>
          </w:p>
        </w:tc>
        <w:tc>
          <w:tcPr>
            <w:tcW w:w="185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ABCB6B7" w14:textId="7E43C10F" w:rsidR="00096E5D" w:rsidRPr="00046634" w:rsidRDefault="00096E5D" w:rsidP="00096E5D">
            <w:pPr>
              <w:spacing w:before="120" w:after="285" w:line="240" w:lineRule="auto"/>
              <w:rPr>
                <w:rFonts w:eastAsia="Times New Roman" w:cstheme="minorHAnsi"/>
                <w:color w:val="000000"/>
                <w:kern w:val="0"/>
                <w:lang w:eastAsia="pt-BR"/>
                <w14:ligatures w14:val="none"/>
              </w:rPr>
            </w:pPr>
            <w:r>
              <w:rPr>
                <w:rFonts w:ascii="Calibri" w:hAnsi="Calibri" w:cs="Calibri"/>
                <w:color w:val="000000"/>
              </w:rPr>
              <w:t>Óleo de soja comestível </w:t>
            </w:r>
            <w:r>
              <w:rPr>
                <w:rFonts w:ascii="Calibri" w:hAnsi="Calibri" w:cs="Calibri"/>
                <w:color w:val="000000"/>
              </w:rPr>
              <w:br/>
            </w:r>
            <w:r>
              <w:rPr>
                <w:rFonts w:ascii="Calibri" w:hAnsi="Calibri" w:cs="Calibri"/>
                <w:color w:val="000000"/>
              </w:rPr>
              <w:br/>
              <w:t>Tipo: Puro;Espécie Vegetal: Soja;Tipo Qualidade: Tipo 1;</w:t>
            </w:r>
          </w:p>
        </w:tc>
        <w:tc>
          <w:tcPr>
            <w:tcW w:w="179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4BA667D" w14:textId="5C880F84" w:rsidR="00096E5D" w:rsidRPr="00046634" w:rsidRDefault="00096E5D" w:rsidP="00096E5D">
            <w:pPr>
              <w:spacing w:before="120" w:after="285" w:line="240" w:lineRule="auto"/>
              <w:rPr>
                <w:rFonts w:ascii="Times New Roman" w:eastAsia="Times New Roman" w:hAnsi="Times New Roman" w:cs="Times New Roman"/>
                <w:color w:val="000000"/>
                <w:kern w:val="0"/>
                <w:sz w:val="27"/>
                <w:szCs w:val="27"/>
                <w:lang w:eastAsia="pt-BR"/>
                <w14:ligatures w14:val="none"/>
              </w:rPr>
            </w:pPr>
            <w:r>
              <w:rPr>
                <w:rFonts w:ascii="Calibri" w:hAnsi="Calibri" w:cs="Calibri"/>
                <w:color w:val="000000"/>
              </w:rPr>
              <w:t>1324098 /463692</w:t>
            </w:r>
          </w:p>
        </w:tc>
        <w:tc>
          <w:tcPr>
            <w:tcW w:w="123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DFACBB6" w14:textId="1CCEF382" w:rsidR="00096E5D" w:rsidRPr="00046634" w:rsidRDefault="00096E5D" w:rsidP="00096E5D">
            <w:pPr>
              <w:spacing w:before="120" w:after="285" w:line="240" w:lineRule="auto"/>
              <w:rPr>
                <w:rFonts w:ascii="Times New Roman" w:eastAsia="Times New Roman" w:hAnsi="Times New Roman" w:cs="Times New Roman"/>
                <w:color w:val="000000"/>
                <w:kern w:val="0"/>
                <w:sz w:val="27"/>
                <w:szCs w:val="27"/>
                <w:lang w:eastAsia="pt-BR"/>
                <w14:ligatures w14:val="none"/>
              </w:rPr>
            </w:pPr>
            <w:r>
              <w:rPr>
                <w:rFonts w:ascii="Calibri" w:hAnsi="Calibri" w:cs="Calibri"/>
                <w:color w:val="000000"/>
              </w:rPr>
              <w:t>Frasco 900ml</w:t>
            </w:r>
          </w:p>
        </w:tc>
        <w:tc>
          <w:tcPr>
            <w:tcW w:w="1544"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965DA2A" w14:textId="767B536A" w:rsidR="00096E5D" w:rsidRPr="00046634" w:rsidRDefault="00096E5D" w:rsidP="00096E5D">
            <w:pPr>
              <w:spacing w:before="120" w:after="285" w:line="240" w:lineRule="auto"/>
              <w:jc w:val="center"/>
              <w:rPr>
                <w:rFonts w:ascii="Times New Roman" w:eastAsia="Times New Roman" w:hAnsi="Times New Roman" w:cs="Times New Roman"/>
                <w:color w:val="000000"/>
                <w:kern w:val="0"/>
                <w:sz w:val="27"/>
                <w:szCs w:val="27"/>
                <w:lang w:eastAsia="pt-BR"/>
                <w14:ligatures w14:val="none"/>
              </w:rPr>
            </w:pPr>
            <w:r>
              <w:rPr>
                <w:rFonts w:ascii="Calibri" w:hAnsi="Calibri" w:cs="Calibri"/>
                <w:color w:val="000000"/>
              </w:rPr>
              <w:t>3022</w:t>
            </w:r>
          </w:p>
        </w:tc>
        <w:tc>
          <w:tcPr>
            <w:tcW w:w="117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36F36F4" w14:textId="3DF16101" w:rsidR="00096E5D" w:rsidRPr="00046634" w:rsidRDefault="00096E5D" w:rsidP="00096E5D">
            <w:pPr>
              <w:spacing w:before="120" w:after="285" w:line="240" w:lineRule="auto"/>
              <w:rPr>
                <w:rFonts w:ascii="Times New Roman" w:eastAsia="Times New Roman" w:hAnsi="Times New Roman" w:cs="Times New Roman"/>
                <w:color w:val="000000"/>
                <w:kern w:val="0"/>
                <w:sz w:val="27"/>
                <w:szCs w:val="27"/>
                <w:lang w:eastAsia="pt-BR"/>
                <w14:ligatures w14:val="none"/>
              </w:rPr>
            </w:pPr>
            <w:r>
              <w:rPr>
                <w:rFonts w:ascii="Calibri" w:hAnsi="Calibri" w:cs="Calibri"/>
                <w:color w:val="000000"/>
              </w:rPr>
              <w:t>R$ 8,85</w:t>
            </w:r>
          </w:p>
        </w:tc>
        <w:tc>
          <w:tcPr>
            <w:tcW w:w="1394"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C9C033B" w14:textId="10B0DF6E" w:rsidR="00096E5D" w:rsidRPr="00046634" w:rsidRDefault="00096E5D" w:rsidP="00096E5D">
            <w:pPr>
              <w:spacing w:before="120" w:after="285" w:line="240" w:lineRule="auto"/>
              <w:rPr>
                <w:rFonts w:ascii="Times New Roman" w:eastAsia="Times New Roman" w:hAnsi="Times New Roman" w:cs="Times New Roman"/>
                <w:color w:val="000000"/>
                <w:kern w:val="0"/>
                <w:sz w:val="27"/>
                <w:szCs w:val="27"/>
                <w:lang w:eastAsia="pt-BR"/>
                <w14:ligatures w14:val="none"/>
              </w:rPr>
            </w:pPr>
            <w:r>
              <w:rPr>
                <w:rFonts w:ascii="Calibri" w:hAnsi="Calibri" w:cs="Calibri"/>
                <w:color w:val="000000"/>
              </w:rPr>
              <w:t>R$ 26.744,70</w:t>
            </w:r>
          </w:p>
        </w:tc>
      </w:tr>
      <w:tr w:rsidR="00276875" w:rsidRPr="00046634" w14:paraId="60E1776C" w14:textId="77777777" w:rsidTr="00096E5D">
        <w:trPr>
          <w:jc w:val="center"/>
        </w:trPr>
        <w:tc>
          <w:tcPr>
            <w:tcW w:w="8296" w:type="dxa"/>
            <w:gridSpan w:val="6"/>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FFC8939" w14:textId="77777777" w:rsidR="00276875" w:rsidRPr="00046634" w:rsidRDefault="00276875" w:rsidP="007D54D0">
            <w:pPr>
              <w:spacing w:before="120" w:after="285" w:line="240" w:lineRule="auto"/>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color w:val="000000"/>
                <w:kern w:val="0"/>
                <w:sz w:val="20"/>
                <w:szCs w:val="20"/>
                <w:lang w:eastAsia="pt-BR"/>
                <w14:ligatures w14:val="none"/>
              </w:rPr>
              <w:t>TOTAL MENSAL ESTIMADO</w:t>
            </w:r>
          </w:p>
        </w:tc>
        <w:tc>
          <w:tcPr>
            <w:tcW w:w="1394"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36291398" w14:textId="443947DF" w:rsidR="00276875" w:rsidRPr="00046634" w:rsidRDefault="00096E5D" w:rsidP="007D54D0">
            <w:pPr>
              <w:spacing w:before="120" w:after="285" w:line="240" w:lineRule="auto"/>
              <w:rPr>
                <w:rFonts w:ascii="Times New Roman" w:eastAsia="Times New Roman" w:hAnsi="Times New Roman" w:cs="Times New Roman"/>
                <w:color w:val="000000"/>
                <w:kern w:val="0"/>
                <w:sz w:val="27"/>
                <w:szCs w:val="27"/>
                <w:lang w:eastAsia="pt-BR"/>
                <w14:ligatures w14:val="none"/>
              </w:rPr>
            </w:pPr>
            <w:r w:rsidRPr="00096E5D">
              <w:rPr>
                <w:rFonts w:ascii="Calibri" w:hAnsi="Calibri" w:cs="Calibri"/>
              </w:rPr>
              <w:t>R$ 26.744,70</w:t>
            </w:r>
          </w:p>
        </w:tc>
      </w:tr>
      <w:tr w:rsidR="00276875" w:rsidRPr="00046634" w14:paraId="69100EE0" w14:textId="77777777" w:rsidTr="00096E5D">
        <w:trPr>
          <w:jc w:val="center"/>
        </w:trPr>
        <w:tc>
          <w:tcPr>
            <w:tcW w:w="8296" w:type="dxa"/>
            <w:gridSpan w:val="6"/>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4AF55D5" w14:textId="77777777" w:rsidR="00276875" w:rsidRPr="00046634" w:rsidRDefault="00276875" w:rsidP="007D54D0">
            <w:pPr>
              <w:spacing w:before="120" w:after="285" w:line="240" w:lineRule="auto"/>
              <w:rPr>
                <w:rFonts w:ascii="Times New Roman" w:eastAsia="Times New Roman" w:hAnsi="Times New Roman" w:cs="Times New Roman"/>
                <w:color w:val="000000"/>
                <w:kern w:val="0"/>
                <w:sz w:val="27"/>
                <w:szCs w:val="27"/>
                <w:lang w:eastAsia="pt-BR"/>
                <w14:ligatures w14:val="none"/>
              </w:rPr>
            </w:pPr>
            <w:r w:rsidRPr="00046634">
              <w:rPr>
                <w:rFonts w:ascii="Arial" w:eastAsia="Times New Roman" w:hAnsi="Arial" w:cs="Arial"/>
                <w:color w:val="000000"/>
                <w:kern w:val="0"/>
                <w:sz w:val="20"/>
                <w:szCs w:val="20"/>
                <w:lang w:eastAsia="pt-BR"/>
                <w14:ligatures w14:val="none"/>
              </w:rPr>
              <w:t>TOTAL ESTIMADO PARA O PERIODO DE </w:t>
            </w:r>
            <w:r>
              <w:rPr>
                <w:rFonts w:ascii="Arial" w:eastAsia="Times New Roman" w:hAnsi="Arial" w:cs="Arial"/>
                <w:b/>
                <w:bCs/>
                <w:color w:val="000000"/>
                <w:kern w:val="0"/>
                <w:sz w:val="20"/>
                <w:szCs w:val="20"/>
                <w:lang w:eastAsia="pt-BR"/>
                <w14:ligatures w14:val="none"/>
              </w:rPr>
              <w:t>4</w:t>
            </w:r>
            <w:r w:rsidRPr="00046634">
              <w:rPr>
                <w:rFonts w:ascii="Arial" w:eastAsia="Times New Roman" w:hAnsi="Arial" w:cs="Arial"/>
                <w:b/>
                <w:bCs/>
                <w:color w:val="000000"/>
                <w:kern w:val="0"/>
                <w:sz w:val="20"/>
                <w:szCs w:val="20"/>
                <w:lang w:eastAsia="pt-BR"/>
                <w14:ligatures w14:val="none"/>
              </w:rPr>
              <w:t> </w:t>
            </w:r>
            <w:r w:rsidRPr="00046634">
              <w:rPr>
                <w:rFonts w:ascii="Arial" w:eastAsia="Times New Roman" w:hAnsi="Arial" w:cs="Arial"/>
                <w:color w:val="000000"/>
                <w:kern w:val="0"/>
                <w:sz w:val="20"/>
                <w:szCs w:val="20"/>
                <w:lang w:eastAsia="pt-BR"/>
                <w14:ligatures w14:val="none"/>
              </w:rPr>
              <w:t>MESES</w:t>
            </w:r>
          </w:p>
        </w:tc>
        <w:tc>
          <w:tcPr>
            <w:tcW w:w="1394"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57C9FED" w14:textId="01BCC262" w:rsidR="00276875" w:rsidRPr="00046634" w:rsidRDefault="00096E5D" w:rsidP="007D54D0">
            <w:pPr>
              <w:spacing w:before="120" w:after="285" w:line="240" w:lineRule="auto"/>
              <w:rPr>
                <w:rFonts w:ascii="Times New Roman" w:eastAsia="Times New Roman" w:hAnsi="Times New Roman" w:cs="Times New Roman"/>
                <w:color w:val="000000"/>
                <w:kern w:val="0"/>
                <w:sz w:val="27"/>
                <w:szCs w:val="27"/>
                <w:lang w:eastAsia="pt-BR"/>
                <w14:ligatures w14:val="none"/>
              </w:rPr>
            </w:pPr>
            <w:r w:rsidRPr="00096E5D">
              <w:rPr>
                <w:rFonts w:ascii="Calibri" w:hAnsi="Calibri" w:cs="Calibri"/>
              </w:rPr>
              <w:t>R$ 26.744,70</w:t>
            </w:r>
          </w:p>
        </w:tc>
      </w:tr>
    </w:tbl>
    <w:p w14:paraId="07D6FD04" w14:textId="77777777"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i/>
          <w:iCs/>
          <w:color w:val="000000"/>
          <w:kern w:val="0"/>
          <w:sz w:val="20"/>
          <w:szCs w:val="20"/>
          <w:lang w:eastAsia="pt-BR"/>
          <w14:ligatures w14:val="none"/>
        </w:rPr>
        <w:t>1.1.1. Em caso de eventual divergência entre a descrição do item do catálogo do sistema Compras.gov.br e as disposições deste Termo de Referência, prevalecem as disposições deste Termo de Referência.</w:t>
      </w:r>
    </w:p>
    <w:p w14:paraId="5DB5418B" w14:textId="4831DF6C"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1.1.</w:t>
      </w:r>
      <w:r w:rsidR="00276875" w:rsidRPr="00276875">
        <w:rPr>
          <w:rFonts w:ascii="Arial" w:eastAsia="Times New Roman" w:hAnsi="Arial" w:cs="Arial"/>
          <w:color w:val="000000"/>
          <w:kern w:val="0"/>
          <w:sz w:val="20"/>
          <w:szCs w:val="20"/>
          <w:lang w:eastAsia="pt-BR"/>
          <w14:ligatures w14:val="none"/>
        </w:rPr>
        <w:t>2</w:t>
      </w:r>
      <w:r w:rsidRPr="00E0527F">
        <w:rPr>
          <w:rFonts w:ascii="Arial" w:eastAsia="Times New Roman" w:hAnsi="Arial" w:cs="Arial"/>
          <w:color w:val="000000"/>
          <w:kern w:val="0"/>
          <w:sz w:val="20"/>
          <w:szCs w:val="20"/>
          <w:lang w:eastAsia="pt-BR"/>
          <w14:ligatures w14:val="none"/>
        </w:rPr>
        <w:t> O objeto desta contratação não se enquadra como bem de luxo, observando o disposto no artigo 20 da Lei nº 14.133, de 2021 e no Decreto estadual nº 67.985, de 2023.</w:t>
      </w:r>
    </w:p>
    <w:p w14:paraId="5737C8AD" w14:textId="59EB5F94" w:rsidR="00E0527F" w:rsidRPr="00E0527F" w:rsidRDefault="00E0527F" w:rsidP="00C97134">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1.3. O contrato ou outro instrumento hábil que o substitua (caso assim definido pela documentação que compõem a presente contratação) oferece maior detalhamento das regras que serão aplicadas em relação à vigência da contratação.</w:t>
      </w:r>
      <w:r w:rsidRPr="00E0527F">
        <w:rPr>
          <w:rFonts w:ascii="Times New Roman" w:eastAsia="Times New Roman" w:hAnsi="Times New Roman" w:cs="Times New Roman"/>
          <w:color w:val="000000"/>
          <w:kern w:val="0"/>
          <w:sz w:val="27"/>
          <w:szCs w:val="27"/>
          <w:lang w:eastAsia="pt-BR"/>
          <w14:ligatures w14:val="none"/>
        </w:rPr>
        <w:t> </w:t>
      </w:r>
    </w:p>
    <w:p w14:paraId="121A7E33"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2. FUNDAMENTAÇÃO E DESCRIÇÃO DA NECESSIDADE DA CONTRATAÇÃO</w:t>
      </w:r>
    </w:p>
    <w:p w14:paraId="1C17F5D6" w14:textId="77777777" w:rsidR="0020211C" w:rsidRDefault="00E0527F" w:rsidP="00E0527F">
      <w:pPr>
        <w:spacing w:before="120" w:after="120" w:line="240" w:lineRule="auto"/>
        <w:jc w:val="both"/>
        <w:rPr>
          <w:rFonts w:ascii="Arial" w:eastAsia="Times New Roman" w:hAnsi="Arial" w:cs="Arial"/>
          <w:color w:val="000000"/>
          <w:kern w:val="0"/>
          <w:sz w:val="20"/>
          <w:szCs w:val="20"/>
          <w:lang w:eastAsia="pt-BR"/>
          <w14:ligatures w14:val="none"/>
        </w:rPr>
      </w:pPr>
      <w:r w:rsidRPr="00E0527F">
        <w:rPr>
          <w:rFonts w:ascii="Arial" w:eastAsia="Times New Roman" w:hAnsi="Arial" w:cs="Arial"/>
          <w:color w:val="000000"/>
          <w:kern w:val="0"/>
          <w:sz w:val="20"/>
          <w:szCs w:val="20"/>
          <w:lang w:eastAsia="pt-BR"/>
          <w14:ligatures w14:val="none"/>
        </w:rPr>
        <w:t>2.1. A Fundamentação da Contratação está amparada no disposto na Lei Federal nº 11.947/2009, combinado com a Resolução n° 06, de 08 de maio de 2020, que dispõe sobre o atendimento da alimentação escolar aos alunos da educação básica no âmbito do Programa Nacional de Alimentação Escolar – PNAE.</w:t>
      </w:r>
      <w:r w:rsidR="00CD7B05">
        <w:rPr>
          <w:rFonts w:ascii="Arial" w:eastAsia="Times New Roman" w:hAnsi="Arial" w:cs="Arial"/>
          <w:color w:val="000000"/>
          <w:kern w:val="0"/>
          <w:sz w:val="20"/>
          <w:szCs w:val="20"/>
          <w:lang w:eastAsia="pt-BR"/>
          <w14:ligatures w14:val="none"/>
        </w:rPr>
        <w:t xml:space="preserve"> </w:t>
      </w:r>
    </w:p>
    <w:p w14:paraId="1D682CD7" w14:textId="5E3ECF5C" w:rsidR="00E0527F" w:rsidRPr="00E0527F" w:rsidRDefault="0020211C"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20211C">
        <w:rPr>
          <w:rFonts w:ascii="Arial" w:eastAsia="Times New Roman" w:hAnsi="Arial" w:cs="Arial"/>
          <w:color w:val="000000"/>
          <w:kern w:val="0"/>
          <w:sz w:val="20"/>
          <w:szCs w:val="20"/>
          <w:lang w:eastAsia="pt-BR"/>
          <w14:ligatures w14:val="none"/>
        </w:rPr>
        <w:t>A contratação em questão se faz necessária, tendo em vista que o produto é item essencial para o preparo das refeições. Mesmo a administração envidando esforços para adquirir o produto de forma centralizada, contudo, a licitação do óleo de soja na modalidade pregão eletrônico não teve sua homologação concluída, conforme processo licitatório n° 015.00210047/2024-97. Considerando os novos prazos necessários para análise laboratorial e demais trâmites pertinentes ao processo, até que se concluam os procedimentos para homologação, compra, recebimento e distribuição, o DAESC autorizou a compra deste item pelas Diretorias de Ensino, objetivando o abastecimento ininterrupto das unidades escolares.</w:t>
      </w:r>
    </w:p>
    <w:p w14:paraId="530C8049" w14:textId="77777777" w:rsidR="0020211C" w:rsidRDefault="0020211C" w:rsidP="00E0527F">
      <w:pPr>
        <w:spacing w:before="120" w:after="120" w:line="240" w:lineRule="auto"/>
        <w:jc w:val="both"/>
        <w:rPr>
          <w:rFonts w:ascii="Arial" w:eastAsia="Times New Roman" w:hAnsi="Arial" w:cs="Arial"/>
          <w:color w:val="000000"/>
          <w:kern w:val="0"/>
          <w:sz w:val="20"/>
          <w:szCs w:val="20"/>
          <w:lang w:eastAsia="pt-BR"/>
          <w14:ligatures w14:val="none"/>
        </w:rPr>
      </w:pPr>
    </w:p>
    <w:p w14:paraId="408D046E" w14:textId="19D31D01"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2.2. O objeto da contratação não está previsto no Plano de Contratações Anual de 2024, pois tal documento não foi elaborado no ano de 2023, estando a Pasta na situação da disposição transitória do Decreto nº 67.689 de 03 de maio de 2023.</w:t>
      </w:r>
    </w:p>
    <w:p w14:paraId="7CEFBF02" w14:textId="35BEA954"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3. DESCRIÇÃO DA SOLUÇÃO COMO UM TODO CONSIDERA</w:t>
      </w:r>
      <w:r w:rsidR="00C97134">
        <w:rPr>
          <w:rFonts w:ascii="Arial" w:eastAsia="Times New Roman" w:hAnsi="Arial" w:cs="Arial"/>
          <w:b/>
          <w:bCs/>
          <w:color w:val="000000"/>
          <w:kern w:val="0"/>
          <w:sz w:val="20"/>
          <w:szCs w:val="20"/>
          <w:lang w:eastAsia="pt-BR"/>
          <w14:ligatures w14:val="none"/>
        </w:rPr>
        <w:t>N</w:t>
      </w:r>
      <w:r w:rsidRPr="00E0527F">
        <w:rPr>
          <w:rFonts w:ascii="Arial" w:eastAsia="Times New Roman" w:hAnsi="Arial" w:cs="Arial"/>
          <w:b/>
          <w:bCs/>
          <w:color w:val="000000"/>
          <w:kern w:val="0"/>
          <w:sz w:val="20"/>
          <w:szCs w:val="20"/>
          <w:lang w:eastAsia="pt-BR"/>
          <w14:ligatures w14:val="none"/>
        </w:rPr>
        <w:t>DO O CICLO DE VIDA DO OBJETO E ESPECIFICAÇÃO DO PRODUTO</w:t>
      </w:r>
    </w:p>
    <w:p w14:paraId="147FA1C5" w14:textId="77777777"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97134">
        <w:rPr>
          <w:rFonts w:ascii="Arial" w:eastAsia="Times New Roman" w:hAnsi="Arial" w:cs="Arial"/>
          <w:color w:val="000000"/>
          <w:kern w:val="0"/>
          <w:sz w:val="20"/>
          <w:szCs w:val="20"/>
          <w:lang w:eastAsia="pt-BR"/>
          <w14:ligatures w14:val="none"/>
        </w:rPr>
        <w:t>3.1. A descrição da solução como um todo encontra-se pormenorizada </w:t>
      </w:r>
      <w:r w:rsidRPr="00C97134">
        <w:rPr>
          <w:rFonts w:ascii="Ecofont_Spranq_eco_Sans" w:eastAsia="Times New Roman" w:hAnsi="Ecofont_Spranq_eco_Sans" w:cs="Times New Roman"/>
          <w:color w:val="000000"/>
          <w:kern w:val="0"/>
          <w:sz w:val="20"/>
          <w:szCs w:val="20"/>
          <w:lang w:eastAsia="pt-BR"/>
          <w14:ligatures w14:val="none"/>
        </w:rPr>
        <w:t>neste</w:t>
      </w:r>
      <w:r w:rsidRPr="00C97134">
        <w:rPr>
          <w:rFonts w:ascii="Arial" w:eastAsia="Times New Roman" w:hAnsi="Arial" w:cs="Arial"/>
          <w:color w:val="000000"/>
          <w:kern w:val="0"/>
          <w:sz w:val="20"/>
          <w:szCs w:val="20"/>
          <w:lang w:eastAsia="pt-BR"/>
          <w14:ligatures w14:val="none"/>
        </w:rPr>
        <w:t> Termo de Referência</w:t>
      </w:r>
      <w:r w:rsidRPr="00E0527F">
        <w:rPr>
          <w:rFonts w:ascii="Arial" w:eastAsia="Times New Roman" w:hAnsi="Arial" w:cs="Arial"/>
          <w:b/>
          <w:bCs/>
          <w:i/>
          <w:iCs/>
          <w:color w:val="000000"/>
          <w:kern w:val="0"/>
          <w:sz w:val="20"/>
          <w:szCs w:val="20"/>
          <w:lang w:eastAsia="pt-BR"/>
          <w14:ligatures w14:val="none"/>
        </w:rPr>
        <w:t>.</w:t>
      </w:r>
    </w:p>
    <w:p w14:paraId="7F6DC7B9"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4. REQUISITOS DA CONTRATAÇÃO</w:t>
      </w:r>
    </w:p>
    <w:p w14:paraId="3193F726"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Garantia da contratação</w:t>
      </w:r>
    </w:p>
    <w:p w14:paraId="147D38DC" w14:textId="77777777"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shd w:val="clear" w:color="auto" w:fill="FFFFFF"/>
          <w:lang w:eastAsia="pt-BR"/>
          <w14:ligatures w14:val="none"/>
        </w:rPr>
        <w:t>4.1. </w:t>
      </w:r>
      <w:r w:rsidRPr="00E0527F">
        <w:rPr>
          <w:rFonts w:ascii="Roboto" w:eastAsia="Times New Roman" w:hAnsi="Roboto" w:cs="Times New Roman"/>
          <w:color w:val="000000"/>
          <w:kern w:val="0"/>
          <w:sz w:val="21"/>
          <w:szCs w:val="21"/>
          <w:shd w:val="clear" w:color="auto" w:fill="FFFFFF"/>
          <w:lang w:eastAsia="pt-BR"/>
          <w14:ligatures w14:val="none"/>
        </w:rPr>
        <w:t>Não haverá exigência da garantia da contratação dos artigos 96 e seguintes da Lei nº 14.133, de 2021.</w:t>
      </w:r>
    </w:p>
    <w:p w14:paraId="22FB1169"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5. MODELO DE EXECUÇÃO DO OBJETO</w:t>
      </w:r>
    </w:p>
    <w:p w14:paraId="14D7B98C"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Condições de Entrega</w:t>
      </w:r>
    </w:p>
    <w:p w14:paraId="32F5DF84" w14:textId="77777777"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5.1. O prazo de entrega dos bens é de 10 (dez) dias corridos, contados do(a) </w:t>
      </w:r>
      <w:r w:rsidRPr="00E0527F">
        <w:rPr>
          <w:rFonts w:ascii="Arial" w:eastAsia="Times New Roman" w:hAnsi="Arial" w:cs="Arial"/>
          <w:color w:val="000000"/>
          <w:kern w:val="0"/>
          <w:sz w:val="20"/>
          <w:szCs w:val="20"/>
          <w:shd w:val="clear" w:color="auto" w:fill="FFFFFF"/>
          <w:lang w:eastAsia="pt-BR"/>
          <w14:ligatures w14:val="none"/>
        </w:rPr>
        <w:t>recebimento do pedido/requisição/empenho</w:t>
      </w:r>
      <w:r w:rsidRPr="00E0527F">
        <w:rPr>
          <w:rFonts w:ascii="Arial" w:eastAsia="Times New Roman" w:hAnsi="Arial" w:cs="Arial"/>
          <w:color w:val="000000"/>
          <w:kern w:val="0"/>
          <w:sz w:val="20"/>
          <w:szCs w:val="20"/>
          <w:lang w:eastAsia="pt-BR"/>
          <w14:ligatures w14:val="none"/>
        </w:rPr>
        <w:t>, em remessa única.</w:t>
      </w:r>
    </w:p>
    <w:p w14:paraId="1D8C9283" w14:textId="4558FC7E"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5.2. </w:t>
      </w:r>
      <w:r w:rsidRPr="00E0527F">
        <w:rPr>
          <w:rFonts w:ascii="Arial" w:eastAsia="Times New Roman" w:hAnsi="Arial" w:cs="Arial"/>
          <w:i/>
          <w:iCs/>
          <w:color w:val="000000"/>
          <w:kern w:val="0"/>
          <w:sz w:val="20"/>
          <w:szCs w:val="20"/>
          <w:lang w:eastAsia="pt-BR"/>
          <w14:ligatures w14:val="none"/>
        </w:rPr>
        <w:t>Os bens deverão ser entregues no seguinte endereço</w:t>
      </w:r>
      <w:r w:rsidR="00C97134">
        <w:rPr>
          <w:rFonts w:ascii="Arial" w:eastAsia="Times New Roman" w:hAnsi="Arial" w:cs="Arial"/>
          <w:i/>
          <w:iCs/>
          <w:color w:val="000000"/>
          <w:kern w:val="0"/>
          <w:sz w:val="20"/>
          <w:szCs w:val="20"/>
          <w:lang w:eastAsia="pt-BR"/>
          <w14:ligatures w14:val="none"/>
        </w:rPr>
        <w:t>:</w:t>
      </w:r>
      <w:r w:rsidRPr="00E0527F">
        <w:rPr>
          <w:rFonts w:ascii="Arial" w:eastAsia="Times New Roman" w:hAnsi="Arial" w:cs="Arial"/>
          <w:i/>
          <w:iCs/>
          <w:color w:val="000000"/>
          <w:kern w:val="0"/>
          <w:sz w:val="20"/>
          <w:szCs w:val="20"/>
          <w:lang w:eastAsia="pt-BR"/>
          <w14:ligatures w14:val="none"/>
        </w:rPr>
        <w:t xml:space="preserve"> Diretoria de Ensino </w:t>
      </w:r>
      <w:r w:rsidR="00C97134">
        <w:rPr>
          <w:rFonts w:ascii="Arial" w:eastAsia="Times New Roman" w:hAnsi="Arial" w:cs="Arial"/>
          <w:i/>
          <w:iCs/>
          <w:color w:val="000000"/>
          <w:kern w:val="0"/>
          <w:sz w:val="20"/>
          <w:szCs w:val="20"/>
          <w:lang w:eastAsia="pt-BR"/>
          <w14:ligatures w14:val="none"/>
        </w:rPr>
        <w:t xml:space="preserve">– </w:t>
      </w:r>
      <w:r w:rsidRPr="00E0527F">
        <w:rPr>
          <w:rFonts w:ascii="Arial" w:eastAsia="Times New Roman" w:hAnsi="Arial" w:cs="Arial"/>
          <w:i/>
          <w:iCs/>
          <w:color w:val="000000"/>
          <w:kern w:val="0"/>
          <w:sz w:val="20"/>
          <w:szCs w:val="20"/>
          <w:lang w:eastAsia="pt-BR"/>
          <w14:ligatures w14:val="none"/>
        </w:rPr>
        <w:t xml:space="preserve">Região de </w:t>
      </w:r>
      <w:r w:rsidR="00C97134">
        <w:rPr>
          <w:rFonts w:ascii="Arial" w:eastAsia="Times New Roman" w:hAnsi="Arial" w:cs="Arial"/>
          <w:i/>
          <w:iCs/>
          <w:color w:val="000000"/>
          <w:kern w:val="0"/>
          <w:sz w:val="20"/>
          <w:szCs w:val="20"/>
          <w:lang w:eastAsia="pt-BR"/>
          <w14:ligatures w14:val="none"/>
        </w:rPr>
        <w:t>São José dos Campos</w:t>
      </w:r>
      <w:r w:rsidRPr="00E0527F">
        <w:rPr>
          <w:rFonts w:ascii="Arial" w:eastAsia="Times New Roman" w:hAnsi="Arial" w:cs="Arial"/>
          <w:i/>
          <w:iCs/>
          <w:color w:val="000000"/>
          <w:kern w:val="0"/>
          <w:sz w:val="20"/>
          <w:szCs w:val="20"/>
          <w:lang w:eastAsia="pt-BR"/>
          <w14:ligatures w14:val="none"/>
        </w:rPr>
        <w:t xml:space="preserve"> </w:t>
      </w:r>
      <w:r w:rsidR="00C97134">
        <w:rPr>
          <w:rFonts w:ascii="Arial" w:eastAsia="Times New Roman" w:hAnsi="Arial" w:cs="Arial"/>
          <w:i/>
          <w:iCs/>
          <w:color w:val="000000"/>
          <w:kern w:val="0"/>
          <w:sz w:val="20"/>
          <w:szCs w:val="20"/>
          <w:lang w:eastAsia="pt-BR"/>
          <w14:ligatures w14:val="none"/>
        </w:rPr>
        <w:t>–</w:t>
      </w:r>
      <w:r w:rsidRPr="00E0527F">
        <w:rPr>
          <w:rFonts w:ascii="Arial" w:eastAsia="Times New Roman" w:hAnsi="Arial" w:cs="Arial"/>
          <w:i/>
          <w:iCs/>
          <w:color w:val="000000"/>
          <w:kern w:val="0"/>
          <w:sz w:val="20"/>
          <w:szCs w:val="20"/>
          <w:lang w:eastAsia="pt-BR"/>
          <w14:ligatures w14:val="none"/>
        </w:rPr>
        <w:t xml:space="preserve"> R</w:t>
      </w:r>
      <w:r w:rsidR="00C97134">
        <w:rPr>
          <w:rFonts w:ascii="Arial" w:eastAsia="Times New Roman" w:hAnsi="Arial" w:cs="Arial"/>
          <w:i/>
          <w:iCs/>
          <w:color w:val="000000"/>
          <w:kern w:val="0"/>
          <w:sz w:val="20"/>
          <w:szCs w:val="20"/>
          <w:lang w:eastAsia="pt-BR"/>
          <w14:ligatures w14:val="none"/>
        </w:rPr>
        <w:t>ua Porto Príncipe</w:t>
      </w:r>
      <w:r w:rsidR="009216F4">
        <w:rPr>
          <w:rFonts w:ascii="Arial" w:eastAsia="Times New Roman" w:hAnsi="Arial" w:cs="Arial"/>
          <w:i/>
          <w:iCs/>
          <w:color w:val="000000"/>
          <w:kern w:val="0"/>
          <w:sz w:val="20"/>
          <w:szCs w:val="20"/>
          <w:lang w:eastAsia="pt-BR"/>
          <w14:ligatures w14:val="none"/>
        </w:rPr>
        <w:t>, 100</w:t>
      </w:r>
      <w:r w:rsidR="00CD7EF6">
        <w:rPr>
          <w:rFonts w:ascii="Arial" w:eastAsia="Times New Roman" w:hAnsi="Arial" w:cs="Arial"/>
          <w:i/>
          <w:iCs/>
          <w:color w:val="000000"/>
          <w:kern w:val="0"/>
          <w:sz w:val="20"/>
          <w:szCs w:val="20"/>
          <w:lang w:eastAsia="pt-BR"/>
          <w14:ligatures w14:val="none"/>
        </w:rPr>
        <w:t>, Vila Rubi – São José dos Campos/SP</w:t>
      </w:r>
      <w:r w:rsidRPr="00E0527F">
        <w:rPr>
          <w:rFonts w:ascii="Arial" w:eastAsia="Times New Roman" w:hAnsi="Arial" w:cs="Arial"/>
          <w:i/>
          <w:iCs/>
          <w:color w:val="000000"/>
          <w:kern w:val="0"/>
          <w:sz w:val="20"/>
          <w:szCs w:val="20"/>
          <w:lang w:eastAsia="pt-BR"/>
          <w14:ligatures w14:val="none"/>
        </w:rPr>
        <w:t>,</w:t>
      </w:r>
      <w:r w:rsidR="00CD7EF6">
        <w:rPr>
          <w:rFonts w:ascii="Arial" w:eastAsia="Times New Roman" w:hAnsi="Arial" w:cs="Arial"/>
          <w:i/>
          <w:iCs/>
          <w:color w:val="000000"/>
          <w:kern w:val="0"/>
          <w:sz w:val="20"/>
          <w:szCs w:val="20"/>
          <w:lang w:eastAsia="pt-BR"/>
          <w14:ligatures w14:val="none"/>
        </w:rPr>
        <w:t xml:space="preserve"> de segunda a sexta-feira (exceto feriados),</w:t>
      </w:r>
      <w:r w:rsidRPr="00E0527F">
        <w:rPr>
          <w:rFonts w:ascii="Arial" w:eastAsia="Times New Roman" w:hAnsi="Arial" w:cs="Arial"/>
          <w:i/>
          <w:iCs/>
          <w:color w:val="000000"/>
          <w:kern w:val="0"/>
          <w:sz w:val="20"/>
          <w:szCs w:val="20"/>
          <w:lang w:eastAsia="pt-BR"/>
          <w14:ligatures w14:val="none"/>
        </w:rPr>
        <w:t xml:space="preserve"> das 8h </w:t>
      </w:r>
      <w:r w:rsidR="00CD7EF6" w:rsidRPr="00E0527F">
        <w:rPr>
          <w:rFonts w:ascii="Arial" w:eastAsia="Times New Roman" w:hAnsi="Arial" w:cs="Arial"/>
          <w:i/>
          <w:iCs/>
          <w:color w:val="000000"/>
          <w:kern w:val="0"/>
          <w:sz w:val="20"/>
          <w:szCs w:val="20"/>
          <w:lang w:eastAsia="pt-BR"/>
          <w14:ligatures w14:val="none"/>
        </w:rPr>
        <w:t>às</w:t>
      </w:r>
      <w:r w:rsidRPr="00E0527F">
        <w:rPr>
          <w:rFonts w:ascii="Arial" w:eastAsia="Times New Roman" w:hAnsi="Arial" w:cs="Arial"/>
          <w:i/>
          <w:iCs/>
          <w:color w:val="000000"/>
          <w:kern w:val="0"/>
          <w:sz w:val="20"/>
          <w:szCs w:val="20"/>
          <w:lang w:eastAsia="pt-BR"/>
          <w14:ligatures w14:val="none"/>
        </w:rPr>
        <w:t xml:space="preserve"> 16h</w:t>
      </w:r>
      <w:r w:rsidR="00CD7EF6">
        <w:rPr>
          <w:rFonts w:ascii="Arial" w:eastAsia="Times New Roman" w:hAnsi="Arial" w:cs="Arial"/>
          <w:i/>
          <w:iCs/>
          <w:color w:val="000000"/>
          <w:kern w:val="0"/>
          <w:sz w:val="20"/>
          <w:szCs w:val="20"/>
          <w:lang w:eastAsia="pt-BR"/>
          <w14:ligatures w14:val="none"/>
        </w:rPr>
        <w:t>.</w:t>
      </w:r>
    </w:p>
    <w:p w14:paraId="34DD70F9" w14:textId="77777777"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5.3. </w:t>
      </w:r>
      <w:r w:rsidRPr="00CD7EF6">
        <w:rPr>
          <w:rFonts w:ascii="Arial" w:eastAsia="Times New Roman" w:hAnsi="Arial" w:cs="Arial"/>
          <w:color w:val="000000"/>
          <w:kern w:val="0"/>
          <w:sz w:val="20"/>
          <w:szCs w:val="20"/>
          <w:lang w:eastAsia="pt-BR"/>
          <w14:ligatures w14:val="none"/>
        </w:rPr>
        <w:t>No caso de produtos perecíveis, o prazo de validade na data da entrega não poderá ser inferior a dois terços do prazo total recomendado pelo fabricante.</w:t>
      </w:r>
    </w:p>
    <w:p w14:paraId="2E43E1F1"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Garantia, manutenção e assistência técnica</w:t>
      </w:r>
    </w:p>
    <w:p w14:paraId="7D3F9A16" w14:textId="77777777" w:rsidR="00E0527F" w:rsidRPr="00E0527F"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color w:val="000000"/>
          <w:kern w:val="0"/>
          <w:sz w:val="20"/>
          <w:szCs w:val="20"/>
          <w:lang w:eastAsia="pt-BR"/>
          <w14:ligatures w14:val="none"/>
        </w:rPr>
        <w:t>5.4. </w:t>
      </w:r>
      <w:r w:rsidRPr="00CD7EF6">
        <w:rPr>
          <w:rFonts w:ascii="Arial" w:eastAsia="Times New Roman" w:hAnsi="Arial" w:cs="Arial"/>
          <w:color w:val="000000"/>
          <w:kern w:val="0"/>
          <w:sz w:val="20"/>
          <w:szCs w:val="20"/>
          <w:lang w:eastAsia="pt-BR"/>
          <w14:ligatures w14:val="none"/>
        </w:rPr>
        <w:t>O prazo de garantia é aquele estabelecido na Lei nº 8.078, de 11 de setembro de 1990 (Código de Defesa do Consumidor)</w:t>
      </w:r>
    </w:p>
    <w:p w14:paraId="0C073F66"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6. MODELO DE GESTÃO DO CONTRATO</w:t>
      </w:r>
    </w:p>
    <w:p w14:paraId="0D17D3D8"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6.1. O contrato deverá ser executado fielmente pelas partes, de acordo com as cláusulas avençadas e as normas da Lei nº 14.133, de 2021, e cada parte responderá pelas consequências de sua inexecução total ou parcial.</w:t>
      </w:r>
    </w:p>
    <w:p w14:paraId="6626CA40"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6.2. Em caso de impedimento, ordem de paralisação ou suspensão do contrato, o cronograma de execução será prorrogado automaticamente pelo tempo correspondente, anotadas tais circunstâncias mediante simples apostila.</w:t>
      </w:r>
    </w:p>
    <w:p w14:paraId="7929EFB5"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6.3. As comunicações entre o órgão ou entidade e a contratada devem ser realizadas por escrito sempre que o ato exigir tal formalidade, admitindo-se o uso de mensagem eletrônica para esse fim.</w:t>
      </w:r>
    </w:p>
    <w:p w14:paraId="58DDF9A0"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6.4. O órgão ou entidade poderá convocar representante da Contratada para adoção de providências que devam ser cumpridas de imediato.</w:t>
      </w:r>
    </w:p>
    <w:p w14:paraId="3D628413" w14:textId="748EACCC" w:rsidR="00CD7EF6" w:rsidRDefault="00E0527F" w:rsidP="00E0527F">
      <w:pPr>
        <w:spacing w:before="120" w:after="120" w:line="240" w:lineRule="auto"/>
        <w:jc w:val="both"/>
        <w:rPr>
          <w:rFonts w:ascii="Arial" w:eastAsia="Times New Roman" w:hAnsi="Arial" w:cs="Arial"/>
          <w:color w:val="000000"/>
          <w:kern w:val="0"/>
          <w:sz w:val="20"/>
          <w:szCs w:val="20"/>
          <w:lang w:eastAsia="pt-BR"/>
          <w14:ligatures w14:val="none"/>
        </w:rPr>
      </w:pPr>
      <w:r w:rsidRPr="00CD7EF6">
        <w:rPr>
          <w:rFonts w:ascii="Arial" w:eastAsia="Times New Roman" w:hAnsi="Arial" w:cs="Arial"/>
          <w:color w:val="000000"/>
          <w:kern w:val="0"/>
          <w:sz w:val="20"/>
          <w:szCs w:val="20"/>
          <w:lang w:eastAsia="pt-BR"/>
          <w14:ligatures w14:val="none"/>
        </w:rPr>
        <w:t>6.5. Após a assinatura do contrato ou instrumento equivalente (caso assim definido pela documentação que compõem a presente contratação)</w:t>
      </w:r>
      <w:r w:rsidRPr="00CD7EF6">
        <w:rPr>
          <w:rFonts w:ascii="Arial" w:eastAsia="Times New Roman" w:hAnsi="Arial" w:cs="Arial"/>
          <w:strike/>
          <w:color w:val="000000"/>
          <w:kern w:val="0"/>
          <w:sz w:val="20"/>
          <w:szCs w:val="20"/>
          <w:lang w:eastAsia="pt-BR"/>
          <w14:ligatures w14:val="none"/>
        </w:rPr>
        <w:t>,</w:t>
      </w:r>
      <w:r w:rsidRPr="00CD7EF6">
        <w:rPr>
          <w:rFonts w:ascii="Arial" w:eastAsia="Times New Roman" w:hAnsi="Arial" w:cs="Arial"/>
          <w:color w:val="000000"/>
          <w:kern w:val="0"/>
          <w:sz w:val="20"/>
          <w:szCs w:val="20"/>
          <w:lang w:eastAsia="pt-BR"/>
          <w14:ligatures w14:val="none"/>
        </w:rPr>
        <w:t>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0871B6" w14:textId="77777777" w:rsidR="0020211C" w:rsidRDefault="0020211C" w:rsidP="00E0527F">
      <w:pPr>
        <w:spacing w:before="120" w:after="120" w:line="240" w:lineRule="auto"/>
        <w:jc w:val="both"/>
        <w:rPr>
          <w:rFonts w:ascii="Arial" w:eastAsia="Times New Roman" w:hAnsi="Arial" w:cs="Arial"/>
          <w:b/>
          <w:bCs/>
          <w:color w:val="000000"/>
          <w:kern w:val="0"/>
          <w:sz w:val="20"/>
          <w:szCs w:val="20"/>
          <w:lang w:eastAsia="pt-BR"/>
          <w14:ligatures w14:val="none"/>
        </w:rPr>
      </w:pPr>
    </w:p>
    <w:p w14:paraId="5CBD0081" w14:textId="21A250F4"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lastRenderedPageBreak/>
        <w:t>Fiscalização</w:t>
      </w:r>
    </w:p>
    <w:p w14:paraId="59C9446E"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6.6. A execução do contrato deverá ser acompanhada e fiscalizada pelo(s) fiscal(is) do contrato, ou pelos respectivos substitutos (</w:t>
      </w:r>
      <w:hyperlink r:id="rId6" w:anchor="art117" w:tgtFrame="_blank" w:history="1">
        <w:r w:rsidRPr="00CD7EF6">
          <w:rPr>
            <w:rFonts w:ascii="Arial" w:eastAsia="Times New Roman" w:hAnsi="Arial" w:cs="Arial"/>
            <w:color w:val="000000"/>
            <w:kern w:val="0"/>
            <w:sz w:val="20"/>
            <w:szCs w:val="20"/>
            <w:u w:val="single"/>
            <w:lang w:eastAsia="pt-BR"/>
            <w14:ligatures w14:val="none"/>
          </w:rPr>
          <w:t>Lei nº 14.133, de 2021, art. 117, caput</w:t>
        </w:r>
      </w:hyperlink>
      <w:r w:rsidRPr="00CD7EF6">
        <w:rPr>
          <w:rFonts w:ascii="Arial" w:eastAsia="Times New Roman" w:hAnsi="Arial" w:cs="Arial"/>
          <w:color w:val="000000"/>
          <w:kern w:val="0"/>
          <w:sz w:val="20"/>
          <w:szCs w:val="20"/>
          <w:lang w:eastAsia="pt-BR"/>
          <w14:ligatures w14:val="none"/>
        </w:rPr>
        <w:t>).</w:t>
      </w:r>
    </w:p>
    <w:p w14:paraId="19531B90" w14:textId="77777777" w:rsidR="00E0527F" w:rsidRPr="00E0527F"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E0527F">
        <w:rPr>
          <w:rFonts w:ascii="Arial" w:eastAsia="Times New Roman" w:hAnsi="Arial" w:cs="Arial"/>
          <w:b/>
          <w:bCs/>
          <w:color w:val="000000"/>
          <w:kern w:val="0"/>
          <w:sz w:val="20"/>
          <w:szCs w:val="20"/>
          <w:lang w:eastAsia="pt-BR"/>
          <w14:ligatures w14:val="none"/>
        </w:rPr>
        <w:t>Fiscalização Técnica</w:t>
      </w:r>
    </w:p>
    <w:p w14:paraId="2455107F"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6.7. O fiscal técnico do contrato acompanhará a execução do contrato, para que sejam cumpridas todas as condições estabelecidas no contrato, de modo a assegurar os melhores resultados para a Administração. (Decreto estadual nº 68.220, de 2023, art. 17).</w:t>
      </w:r>
    </w:p>
    <w:p w14:paraId="6E669FEA" w14:textId="77777777"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0"/>
          <w:szCs w:val="20"/>
          <w:lang w:eastAsia="pt-BR"/>
          <w14:ligatures w14:val="none"/>
        </w:rPr>
        <w:t>6.7.1. </w:t>
      </w:r>
      <w:r w:rsidRPr="00E0527F">
        <w:rPr>
          <w:rFonts w:ascii="Arial" w:eastAsia="Times New Roman" w:hAnsi="Arial" w:cs="Arial"/>
          <w:color w:val="000000"/>
          <w:kern w:val="0"/>
          <w:sz w:val="20"/>
          <w:szCs w:val="20"/>
          <w:lang w:eastAsia="pt-BR"/>
          <w14:ligatures w14:val="none"/>
        </w:rPr>
        <w:t>O fiscal técnico do contrato anotará no histórico de gerenciamento do contrato todas as ocorrências relacionadas à execução do contrato, com a descrição do que for necessário para a regularização das faltas ou dos defeitos observados. (</w:t>
      </w:r>
      <w:hyperlink r:id="rId7" w:anchor="art117%C2%A71" w:tgtFrame="_blank" w:history="1">
        <w:r w:rsidRPr="00E0527F">
          <w:rPr>
            <w:rFonts w:ascii="Arial" w:eastAsia="Times New Roman" w:hAnsi="Arial" w:cs="Arial"/>
            <w:color w:val="000080"/>
            <w:kern w:val="0"/>
            <w:sz w:val="20"/>
            <w:szCs w:val="20"/>
            <w:u w:val="single"/>
            <w:lang w:eastAsia="pt-BR"/>
            <w14:ligatures w14:val="none"/>
          </w:rPr>
          <w:t>Lei nº 14.133, de 2021, art. 117, §1º</w:t>
        </w:r>
      </w:hyperlink>
      <w:r w:rsidRPr="00E0527F">
        <w:rPr>
          <w:rFonts w:ascii="Arial" w:eastAsia="Times New Roman" w:hAnsi="Arial" w:cs="Arial"/>
          <w:color w:val="000000"/>
          <w:kern w:val="0"/>
          <w:sz w:val="20"/>
          <w:szCs w:val="20"/>
          <w:lang w:eastAsia="pt-BR"/>
          <w14:ligatures w14:val="none"/>
        </w:rPr>
        <w:t>, e Decreto estadual nº 68.220, de 2023, art. 17, II</w:t>
      </w:r>
      <w:hyperlink r:id="rId8" w:anchor="art22" w:tgtFrame="_blank" w:history="1">
        <w:r w:rsidRPr="00E0527F">
          <w:rPr>
            <w:rFonts w:ascii="Arial" w:eastAsia="Times New Roman" w:hAnsi="Arial" w:cs="Arial"/>
            <w:color w:val="000080"/>
            <w:kern w:val="0"/>
            <w:sz w:val="20"/>
            <w:szCs w:val="20"/>
            <w:u w:val="single"/>
            <w:lang w:eastAsia="pt-BR"/>
            <w14:ligatures w14:val="none"/>
          </w:rPr>
          <w:t>).</w:t>
        </w:r>
      </w:hyperlink>
    </w:p>
    <w:p w14:paraId="7211D4A8" w14:textId="77777777"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0"/>
          <w:szCs w:val="20"/>
          <w:lang w:eastAsia="pt-BR"/>
          <w14:ligatures w14:val="none"/>
        </w:rPr>
        <w:t>6.7.2. </w:t>
      </w:r>
      <w:r w:rsidRPr="00E0527F">
        <w:rPr>
          <w:rFonts w:ascii="Arial" w:eastAsia="Times New Roman" w:hAnsi="Arial" w:cs="Arial"/>
          <w:color w:val="000000"/>
          <w:kern w:val="0"/>
          <w:sz w:val="20"/>
          <w:szCs w:val="20"/>
          <w:lang w:eastAsia="pt-BR"/>
          <w14:ligatures w14:val="none"/>
        </w:rPr>
        <w:t>O fiscal técnico realizará, em conformidade com cronograma físico-financeiro, as medições do objeto executado e aprovará a planilha de medição emitida pela contratada (Decreto estadual nº 66.220, de 2023, art. 17, III).</w:t>
      </w:r>
    </w:p>
    <w:p w14:paraId="31182C97" w14:textId="77777777"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0"/>
          <w:szCs w:val="20"/>
          <w:lang w:eastAsia="pt-BR"/>
          <w14:ligatures w14:val="none"/>
        </w:rPr>
        <w:t>6.7.3. </w:t>
      </w:r>
      <w:r w:rsidRPr="00E0527F">
        <w:rPr>
          <w:rFonts w:ascii="Arial" w:eastAsia="Times New Roman" w:hAnsi="Arial" w:cs="Arial"/>
          <w:color w:val="000000"/>
          <w:kern w:val="0"/>
          <w:sz w:val="20"/>
          <w:szCs w:val="20"/>
          <w:lang w:eastAsia="pt-BR"/>
          <w14:ligatures w14:val="none"/>
        </w:rPr>
        <w:t>O fiscal técnico adotará medidas preventivas de controle de contratos, manifestando-se quanto à necessidade de suspensão da execução do objeto (Decreto estadual nº 66.220, de 2023, art. 17, IV).</w:t>
      </w:r>
    </w:p>
    <w:p w14:paraId="07736491" w14:textId="77777777"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0"/>
          <w:szCs w:val="20"/>
          <w:lang w:eastAsia="pt-BR"/>
          <w14:ligatures w14:val="none"/>
        </w:rPr>
        <w:t>6.7.4. </w:t>
      </w:r>
      <w:r w:rsidRPr="00E0527F">
        <w:rPr>
          <w:rFonts w:ascii="Arial" w:eastAsia="Times New Roman" w:hAnsi="Arial" w:cs="Arial"/>
          <w:color w:val="000000"/>
          <w:kern w:val="0"/>
          <w:sz w:val="20"/>
          <w:szCs w:val="20"/>
          <w:lang w:eastAsia="pt-BR"/>
          <w14:ligatures w14:val="none"/>
        </w:rPr>
        <w:t>O fiscal técnico do contrato informará ao gestor do contato, em tempo hábil, a situação que demandar decisão ou adoção de medidas que ultrapassem sua competência, para que adote as medidas necessárias e saneadoras, se for o caso. (Lei federal nº 14.133, de 2021, artigo 117, § 2º).</w:t>
      </w:r>
    </w:p>
    <w:p w14:paraId="70E5BBA1" w14:textId="77777777"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0"/>
          <w:szCs w:val="20"/>
          <w:lang w:eastAsia="pt-BR"/>
          <w14:ligatures w14:val="none"/>
        </w:rPr>
        <w:t>6.7.5. </w:t>
      </w:r>
      <w:r w:rsidRPr="00E0527F">
        <w:rPr>
          <w:rFonts w:ascii="Arial" w:eastAsia="Times New Roman" w:hAnsi="Arial" w:cs="Arial"/>
          <w:color w:val="000000"/>
          <w:kern w:val="0"/>
          <w:sz w:val="20"/>
          <w:szCs w:val="20"/>
          <w:lang w:eastAsia="pt-BR"/>
          <w14:ligatures w14:val="none"/>
        </w:rPr>
        <w:t>No caso de ocorrências que possam inviabilizar a execução do contrato nas datas aprazadas, o fiscal técnico do contrato comunicará o fato imediatamente ao gestor do contrato. (Decreto estadual nº 68.220, de 2023, art. 17, II).</w:t>
      </w:r>
    </w:p>
    <w:p w14:paraId="3EBBCC15" w14:textId="49933966" w:rsidR="00E0527F" w:rsidRPr="00E0527F"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E0527F">
        <w:rPr>
          <w:rFonts w:ascii="Times New Roman" w:eastAsia="Times New Roman" w:hAnsi="Times New Roman" w:cs="Times New Roman"/>
          <w:color w:val="000000"/>
          <w:kern w:val="0"/>
          <w:sz w:val="27"/>
          <w:szCs w:val="27"/>
          <w:lang w:eastAsia="pt-BR"/>
          <w14:ligatures w14:val="none"/>
        </w:rPr>
        <w:t> </w:t>
      </w:r>
      <w:r w:rsidRPr="00E0527F">
        <w:rPr>
          <w:rFonts w:ascii="Arial" w:eastAsia="Times New Roman" w:hAnsi="Arial" w:cs="Arial"/>
          <w:b/>
          <w:bCs/>
          <w:color w:val="000000"/>
          <w:kern w:val="0"/>
          <w:sz w:val="20"/>
          <w:szCs w:val="20"/>
          <w:lang w:eastAsia="pt-BR"/>
          <w14:ligatures w14:val="none"/>
        </w:rPr>
        <w:t>Fiscalização Administrativa</w:t>
      </w:r>
    </w:p>
    <w:p w14:paraId="45911C98"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estadual nº 68.220, de 2023, art. 18, II e III).</w:t>
      </w:r>
    </w:p>
    <w:p w14:paraId="6B02BA53"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6.8.1. </w:t>
      </w:r>
      <w:r w:rsidRPr="00CD7EF6">
        <w:rPr>
          <w:rFonts w:ascii="Arial" w:eastAsia="Times New Roman" w:hAnsi="Arial" w:cs="Arial"/>
          <w:color w:val="000000"/>
          <w:kern w:val="0"/>
          <w:sz w:val="20"/>
          <w:szCs w:val="20"/>
          <w:lang w:eastAsia="pt-BR"/>
          <w14:ligatures w14:val="none"/>
        </w:rPr>
        <w:t>Caso ocorra descumprimento das obrigações contratuais, o fiscal administrativo do contrato atuará tempestivamente na solução do problema, reportando ao gestor do contrato para que tome as providências cabíveis, quando ultrapassar a sua competência; (Decreto estadual nº 68.220, de 2023, art. 18, IV).</w:t>
      </w:r>
    </w:p>
    <w:p w14:paraId="62B2EA73"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6.8.2. </w:t>
      </w:r>
      <w:r w:rsidRPr="00CD7EF6">
        <w:rPr>
          <w:rFonts w:ascii="Arial" w:eastAsia="Times New Roman" w:hAnsi="Arial" w:cs="Arial"/>
          <w:color w:val="000000"/>
          <w:kern w:val="0"/>
          <w:sz w:val="20"/>
          <w:szCs w:val="20"/>
          <w:lang w:eastAsia="pt-BR"/>
          <w14:ligatures w14:val="none"/>
        </w:rPr>
        <w:t>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Lei federal nº 14.133, de 2021.</w:t>
      </w:r>
    </w:p>
    <w:p w14:paraId="04D937FD"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Gestor do Contrato</w:t>
      </w:r>
    </w:p>
    <w:p w14:paraId="1C45A234"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6.9. 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(Decreto estadual nº 68.220, de 2023, inciso III do art. 2º).</w:t>
      </w:r>
    </w:p>
    <w:p w14:paraId="78DF794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6.10. O gestor do contrato acompanhará a manutenção das condições de habilitação da contratada, para fins de empenho de despesa e pagamento, e anotará os problemas que obstem o fluxo normal da liquidação e do pagamento da despesa no relatório de riscos eventuais. (Decreto estadual nº 68.220, de 2023, art. 16, IX).</w:t>
      </w:r>
    </w:p>
    <w:p w14:paraId="303C9819"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lastRenderedPageBreak/>
        <w:t>6.11. 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estadual nº 68.220, de 2023, art. 18, VII).</w:t>
      </w:r>
    </w:p>
    <w:p w14:paraId="1FA3C1F0"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estadual nº 68.220, de 2023, art. 16, VIII).</w:t>
      </w:r>
    </w:p>
    <w:p w14:paraId="6853D945"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6.13. O gestor do contrato deverá elaborar relatório final com informações sobre a consecução dos objetivos que tenham justificado a contratação e eventuais condutas a serem adotadas para o aprimoramento das atividades da Administração. (Decreto estadual nº 68.220, de 2023, art. 16, VII e parágrafo único).</w:t>
      </w:r>
    </w:p>
    <w:p w14:paraId="73C31809"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6.14. O gestor do contrato deverá enviar a documentação pertinente ao setor de contratos para a formalização dos procedimentos de liquidação e pagamento, no valor dimensionado pela fiscalização e gestão nos termos do contrato.</w:t>
      </w:r>
    </w:p>
    <w:p w14:paraId="1E7E07A9"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7. CRITÉRIOS DE MEDIÇÃO E DE PAGAMENTO</w:t>
      </w:r>
    </w:p>
    <w:p w14:paraId="63F89192"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Recebimento</w:t>
      </w:r>
    </w:p>
    <w:p w14:paraId="51F56A33"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EF8106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7.2. Os bens poderão ser rejeitados, no todo ou em parte, inclusive antes do recebimento provisório, quando em desacordo com as especificações constantes no Termo de Referência e na proposta, devendo ser substituídos no prazo de 05 (cinco) dias úteis, a contar da notificação da contratada, às suas custas, sem prejuízo da aplicação das penalidades.</w:t>
      </w:r>
    </w:p>
    <w:p w14:paraId="1D9A0C26"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7.3. O recebimento definitivo ocorrerá no prazo </w:t>
      </w:r>
      <w:r w:rsidRPr="00CD7EF6">
        <w:rPr>
          <w:rFonts w:ascii="Arial" w:eastAsia="Times New Roman" w:hAnsi="Arial" w:cs="Arial"/>
          <w:b/>
          <w:bCs/>
          <w:color w:val="000000"/>
          <w:kern w:val="0"/>
          <w:sz w:val="20"/>
          <w:szCs w:val="20"/>
          <w:lang w:eastAsia="pt-BR"/>
          <w14:ligatures w14:val="none"/>
        </w:rPr>
        <w:t>05 (cinco) dias úteis,</w:t>
      </w:r>
      <w:r w:rsidRPr="00CD7EF6">
        <w:rPr>
          <w:rFonts w:ascii="Arial" w:eastAsia="Times New Roman" w:hAnsi="Arial" w:cs="Arial"/>
          <w:color w:val="000000"/>
          <w:kern w:val="0"/>
          <w:sz w:val="20"/>
          <w:szCs w:val="20"/>
          <w:lang w:eastAsia="pt-BR"/>
          <w14:ligatures w14:val="none"/>
        </w:rPr>
        <w:t> a contar do recebimento da nota fiscal ou instrumento de cobrança equivalente pela Administração, após a verificação da qualidade e quantidade do material e consequente aceitação mediante termo detalhado.</w:t>
      </w:r>
    </w:p>
    <w:p w14:paraId="39D0C148"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7.4. Para as contratações decorrentes de despesas cujos valores não ultrapassem o limite de que trata o </w:t>
      </w:r>
      <w:hyperlink r:id="rId9" w:anchor="art75" w:tgtFrame="_blank" w:history="1">
        <w:r w:rsidRPr="00CD7EF6">
          <w:rPr>
            <w:rFonts w:ascii="Arial" w:eastAsia="Times New Roman" w:hAnsi="Arial" w:cs="Arial"/>
            <w:color w:val="000000"/>
            <w:kern w:val="0"/>
            <w:sz w:val="20"/>
            <w:szCs w:val="20"/>
            <w:u w:val="single"/>
            <w:lang w:eastAsia="pt-BR"/>
            <w14:ligatures w14:val="none"/>
          </w:rPr>
          <w:t>inciso II do caput do art. 75 da Lei nº 14.133, de 2021</w:t>
        </w:r>
      </w:hyperlink>
      <w:r w:rsidRPr="00CD7EF6">
        <w:rPr>
          <w:rFonts w:ascii="Arial" w:eastAsia="Times New Roman" w:hAnsi="Arial" w:cs="Arial"/>
          <w:color w:val="000000"/>
          <w:kern w:val="0"/>
          <w:sz w:val="20"/>
          <w:szCs w:val="20"/>
          <w:lang w:eastAsia="pt-BR"/>
          <w14:ligatures w14:val="none"/>
        </w:rPr>
        <w:t>, o prazo máximo para o recebimento definitivo será de até </w:t>
      </w:r>
      <w:r w:rsidRPr="00CD7EF6">
        <w:rPr>
          <w:rFonts w:ascii="Arial" w:eastAsia="Times New Roman" w:hAnsi="Arial" w:cs="Arial"/>
          <w:b/>
          <w:bCs/>
          <w:color w:val="000000"/>
          <w:kern w:val="0"/>
          <w:sz w:val="20"/>
          <w:szCs w:val="20"/>
          <w:lang w:eastAsia="pt-BR"/>
          <w14:ligatures w14:val="none"/>
        </w:rPr>
        <w:t>05 (cinco) dias úteis</w:t>
      </w:r>
      <w:r w:rsidRPr="00CD7EF6">
        <w:rPr>
          <w:rFonts w:ascii="Arial" w:eastAsia="Times New Roman" w:hAnsi="Arial" w:cs="Arial"/>
          <w:color w:val="000000"/>
          <w:kern w:val="0"/>
          <w:sz w:val="20"/>
          <w:szCs w:val="20"/>
          <w:lang w:eastAsia="pt-BR"/>
          <w14:ligatures w14:val="none"/>
        </w:rPr>
        <w:t>.</w:t>
      </w:r>
    </w:p>
    <w:p w14:paraId="1893B8D5"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7.5. O prazo para recebimento definitivo poderá ser excepcionalmente prorrogado, de forma justificada, por igual período, quando houver necessidade de diligências para a aferição do atendimento das exigências contratuais.</w:t>
      </w:r>
    </w:p>
    <w:p w14:paraId="7626766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7.6. No caso de controvérsia sobre a execução do objeto, quanto à dimensão, qualidade e quantidade, se houver parcela incontroversa, deverá ser observado o teor do </w:t>
      </w:r>
      <w:hyperlink r:id="rId10" w:anchor="art143" w:tgtFrame="_blank" w:history="1">
        <w:r w:rsidRPr="00CD7EF6">
          <w:rPr>
            <w:rFonts w:ascii="Arial" w:eastAsia="Times New Roman" w:hAnsi="Arial" w:cs="Arial"/>
            <w:color w:val="000000"/>
            <w:kern w:val="0"/>
            <w:sz w:val="20"/>
            <w:szCs w:val="20"/>
            <w:u w:val="single"/>
            <w:lang w:eastAsia="pt-BR"/>
            <w14:ligatures w14:val="none"/>
          </w:rPr>
          <w:t>art. 143 da Lei nº 14.133, de 2021</w:t>
        </w:r>
      </w:hyperlink>
      <w:r w:rsidRPr="00CD7EF6">
        <w:rPr>
          <w:rFonts w:ascii="Arial" w:eastAsia="Times New Roman" w:hAnsi="Arial" w:cs="Arial"/>
          <w:color w:val="000000"/>
          <w:kern w:val="0"/>
          <w:sz w:val="20"/>
          <w:szCs w:val="20"/>
          <w:lang w:eastAsia="pt-BR"/>
          <w14:ligatures w14:val="none"/>
        </w:rPr>
        <w:t>, com a comunicação ao contratado para emissão de Nota Fiscal/Fatura no que pertine à parcela incontroversa, para efeito de liquidação e pagamento.</w:t>
      </w:r>
    </w:p>
    <w:p w14:paraId="3C994202"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E86127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7.8. O recebimento provisório ou definitivo não excluirá a responsabilidade civil pela solidez e pela segurança dos bens nem a responsabilidade ético-profissional pela perfeita execução do contrato.</w:t>
      </w:r>
    </w:p>
    <w:p w14:paraId="3B91DA3A" w14:textId="77777777" w:rsidR="00916EE9" w:rsidRDefault="00916EE9" w:rsidP="00E0527F">
      <w:pPr>
        <w:spacing w:before="240" w:after="120" w:line="240" w:lineRule="auto"/>
        <w:jc w:val="both"/>
        <w:rPr>
          <w:rFonts w:ascii="Arial" w:eastAsia="Times New Roman" w:hAnsi="Arial" w:cs="Arial"/>
          <w:b/>
          <w:bCs/>
          <w:color w:val="000000"/>
          <w:kern w:val="0"/>
          <w:sz w:val="20"/>
          <w:szCs w:val="20"/>
          <w:lang w:eastAsia="pt-BR"/>
          <w14:ligatures w14:val="none"/>
        </w:rPr>
      </w:pPr>
    </w:p>
    <w:p w14:paraId="587FC4A9" w14:textId="656DB68A"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lastRenderedPageBreak/>
        <w:t>Liquidação</w:t>
      </w:r>
    </w:p>
    <w:p w14:paraId="38A8684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7.9. Recebida a Nota Fiscal ou documento de cobrança equivalente, correrá o prazo de dez dias úteis para fins de liquidação, a contar de seu recebimento pela Administração, na forma desta seção, prorrogáveis por igual período, justificadamente, quando houver necessidade de diligências para a aferição do atendimento das exigências contratuais.</w:t>
      </w:r>
    </w:p>
    <w:p w14:paraId="2FB54050"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7.9.1. </w:t>
      </w:r>
      <w:r w:rsidRPr="00CD7EF6">
        <w:rPr>
          <w:rFonts w:ascii="Arial" w:eastAsia="Times New Roman" w:hAnsi="Arial" w:cs="Arial"/>
          <w:color w:val="000000"/>
          <w:kern w:val="0"/>
          <w:sz w:val="20"/>
          <w:szCs w:val="20"/>
          <w:lang w:eastAsia="pt-BR"/>
          <w14:ligatures w14:val="none"/>
        </w:rPr>
        <w:t>O prazo de que trata o item anterior será reduzido à metade, mantendo-se a possibilidade de prorrogação nele especificada, no caso de contratações decorrentes de despesas cujos valores não ultrapassem o limite de que trata o </w:t>
      </w:r>
      <w:hyperlink r:id="rId11" w:anchor="art75" w:tgtFrame="_blank" w:history="1">
        <w:r w:rsidRPr="00CD7EF6">
          <w:rPr>
            <w:rFonts w:ascii="Arial" w:eastAsia="Times New Roman" w:hAnsi="Arial" w:cs="Arial"/>
            <w:color w:val="000000"/>
            <w:kern w:val="0"/>
            <w:sz w:val="20"/>
            <w:szCs w:val="20"/>
            <w:u w:val="single"/>
            <w:lang w:eastAsia="pt-BR"/>
            <w14:ligatures w14:val="none"/>
          </w:rPr>
          <w:t>inciso II do caput do art. 75 da Lei nº 14.133, de 2021</w:t>
        </w:r>
      </w:hyperlink>
      <w:r w:rsidRPr="00CD7EF6">
        <w:rPr>
          <w:rFonts w:ascii="Arial" w:eastAsia="Times New Roman" w:hAnsi="Arial" w:cs="Arial"/>
          <w:color w:val="000000"/>
          <w:kern w:val="0"/>
          <w:sz w:val="20"/>
          <w:szCs w:val="20"/>
          <w:lang w:eastAsia="pt-BR"/>
          <w14:ligatures w14:val="none"/>
        </w:rPr>
        <w:t>.</w:t>
      </w:r>
    </w:p>
    <w:p w14:paraId="577112B4"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 Para fins de liquidação, o setor competente deverá verificar se a nota fiscal ou instrumento de cobrança equivalente apresentado expressa os elementos necessários e essenciais do documento, tais como, caso aplicáveis:</w:t>
      </w:r>
    </w:p>
    <w:p w14:paraId="27E774D5"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7.10.1. o prazo de validade;</w:t>
      </w:r>
    </w:p>
    <w:p w14:paraId="7579E95D"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7.10.2. a data da emissão;</w:t>
      </w:r>
    </w:p>
    <w:p w14:paraId="60FA9AC1"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7.10.3. os dados do contrato e do órgão contratante;</w:t>
      </w:r>
    </w:p>
    <w:p w14:paraId="090FD5A1"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7.10.4. o período respectivo de execução do contrato;</w:t>
      </w:r>
    </w:p>
    <w:p w14:paraId="3F832A1A"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7.10.5. o valor a pagar; e</w:t>
      </w:r>
    </w:p>
    <w:p w14:paraId="25F2EC28"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7.10.6. eventual destaque do valor de retenções tributárias cabíveis.</w:t>
      </w:r>
    </w:p>
    <w:p w14:paraId="735A83A9"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279CF05"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2" w:anchor="art68" w:tgtFrame="_blank" w:history="1">
        <w:r w:rsidRPr="00CD7EF6">
          <w:rPr>
            <w:rFonts w:ascii="Arial" w:eastAsia="Times New Roman" w:hAnsi="Arial" w:cs="Arial"/>
            <w:color w:val="000000"/>
            <w:kern w:val="0"/>
            <w:sz w:val="20"/>
            <w:szCs w:val="20"/>
            <w:u w:val="single"/>
            <w:lang w:eastAsia="pt-BR"/>
            <w14:ligatures w14:val="none"/>
          </w:rPr>
          <w:t>art. 68 da Lei nº 14.133, de 2021.</w:t>
        </w:r>
      </w:hyperlink>
    </w:p>
    <w:p w14:paraId="4607F0EC"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bookmarkStart w:id="1" w:name="_heading=h.tyjcwt"/>
      <w:bookmarkEnd w:id="1"/>
      <w:r w:rsidRPr="00CD7EF6">
        <w:rPr>
          <w:rFonts w:ascii="Arial" w:eastAsia="Times New Roman" w:hAnsi="Arial" w:cs="Arial"/>
          <w:color w:val="000000"/>
          <w:kern w:val="0"/>
          <w:sz w:val="20"/>
          <w:szCs w:val="20"/>
          <w:lang w:eastAsia="pt-BR"/>
          <w14:ligatures w14:val="none"/>
        </w:rPr>
        <w:t>7.13. 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 c/c Decreto estadual nº 67.608, de 2023).</w:t>
      </w:r>
    </w:p>
    <w:p w14:paraId="39B25C2F"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A8757BC"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53D86E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7.16. Persistindo a irregularidade, o contratante deverá adotar as medidas necessárias à extinção contratual nos autos do processo administrativo correspondente, assegurada ao contratado a ampla defesa.</w:t>
      </w:r>
    </w:p>
    <w:p w14:paraId="246D7AA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7.17. Havendo a efetiva execução do objeto, os pagamentos serão realizados normalmente, até que se decida pela extinção do contrato, caso o contratado não regularize sua situação junto ao SICAF.</w:t>
      </w:r>
    </w:p>
    <w:p w14:paraId="381A4D97" w14:textId="77777777" w:rsidR="008A672A" w:rsidRDefault="008A672A" w:rsidP="00E0527F">
      <w:pPr>
        <w:spacing w:before="240" w:after="120" w:line="240" w:lineRule="auto"/>
        <w:jc w:val="both"/>
        <w:rPr>
          <w:rFonts w:ascii="Arial" w:eastAsia="Times New Roman" w:hAnsi="Arial" w:cs="Arial"/>
          <w:b/>
          <w:bCs/>
          <w:color w:val="000000"/>
          <w:kern w:val="0"/>
          <w:sz w:val="20"/>
          <w:szCs w:val="20"/>
          <w:lang w:eastAsia="pt-BR"/>
          <w14:ligatures w14:val="none"/>
        </w:rPr>
      </w:pPr>
    </w:p>
    <w:p w14:paraId="170722A0" w14:textId="2A2A696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lastRenderedPageBreak/>
        <w:t>Prazo de pagamento</w:t>
      </w:r>
    </w:p>
    <w:p w14:paraId="07C81252"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7.18. 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w:t>
      </w:r>
    </w:p>
    <w:p w14:paraId="21737E20"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7.19. No caso de atraso pelo Contratante, os valores devidos ao contratado serão atualizados monetariamente na forma da legislação aplicável (artigo 2º, inciso III, do Decreto nº 67.608/2023, c/c o artigo 1º do Decreto nº 32.117/1990), bem como incidirão juros moratórios, a razão de 0,5% (meio por cento) ao mês, calculados pro rata temporis, em relação ao atraso verificado.</w:t>
      </w:r>
    </w:p>
    <w:p w14:paraId="66BA5D27"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Forma de pagamento</w:t>
      </w:r>
    </w:p>
    <w:p w14:paraId="16947E9B"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7.20. O pagamento será realizado por meio de ordem bancária, para depósito em conta corrente bancária em nome do contratado no Banco do Brasil S/A.</w:t>
      </w:r>
    </w:p>
    <w:p w14:paraId="59C9C731" w14:textId="77777777" w:rsidR="00E0527F" w:rsidRPr="00CD7EF6" w:rsidRDefault="00E0527F" w:rsidP="00E0527F">
      <w:pPr>
        <w:spacing w:after="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7.20.1.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Lei estadual nº 12.799, 2008.</w:t>
      </w:r>
    </w:p>
    <w:p w14:paraId="2CEB7633"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7.21. Será considerada data do pagamento o dia em que constar como emitida a ordem bancária para pagamento.</w:t>
      </w:r>
    </w:p>
    <w:p w14:paraId="60223C5F"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7.22. O Contratante poderá, por ocasião do pagamento, efetuar a retenção de tributos determinada por lei, ainda que não haja indicação de retenção na nota fiscal apresentada ou que se refira a retenções não realizadas em meses anteriores.</w:t>
      </w:r>
    </w:p>
    <w:p w14:paraId="1C72EB0B"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7.22.1. Independentemente do percentual de tributo inserido na planilha, quando houver, serão retidos na fonte, quando da realização do pagamento, os percentuais estabelecidos na legislação vigente.</w:t>
      </w:r>
    </w:p>
    <w:p w14:paraId="7FAFD95D"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bookmarkStart w:id="2" w:name="_heading=h.3dy6vkm"/>
      <w:bookmarkEnd w:id="2"/>
      <w:r w:rsidRPr="00CD7EF6">
        <w:rPr>
          <w:rFonts w:ascii="Arial" w:eastAsia="Times New Roman" w:hAnsi="Arial" w:cs="Arial"/>
          <w:color w:val="000000"/>
          <w:kern w:val="0"/>
          <w:sz w:val="20"/>
          <w:szCs w:val="20"/>
          <w:lang w:eastAsia="pt-BR"/>
          <w14:ligatures w14:val="none"/>
        </w:rPr>
        <w:t>7.23. O contratado regularmente optante pelo Simples Nacional, nos termos da </w:t>
      </w:r>
      <w:hyperlink r:id="rId13" w:tgtFrame="_blank" w:history="1">
        <w:r w:rsidRPr="00CD7EF6">
          <w:rPr>
            <w:rFonts w:ascii="Arial" w:eastAsia="Times New Roman" w:hAnsi="Arial" w:cs="Arial"/>
            <w:color w:val="000000"/>
            <w:kern w:val="0"/>
            <w:sz w:val="20"/>
            <w:szCs w:val="20"/>
            <w:u w:val="single"/>
            <w:lang w:eastAsia="pt-BR"/>
            <w14:ligatures w14:val="none"/>
          </w:rPr>
          <w:t>Lei Complementar nº 123, de 2006</w:t>
        </w:r>
      </w:hyperlink>
      <w:r w:rsidRPr="00CD7EF6">
        <w:rPr>
          <w:rFonts w:ascii="Arial" w:eastAsia="Times New Roman" w:hAnsi="Arial" w:cs="Arial"/>
          <w:color w:val="000000"/>
          <w:kern w:val="0"/>
          <w:sz w:val="20"/>
          <w:szCs w:val="20"/>
          <w:lang w:eastAsia="pt-BR"/>
          <w14:ligatures w14: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832B2DC"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8. FORMA E CRITÉRIOS DE SELEÇÃO DO FORNECEDOR E FORMA DE FORNECIMENTO</w:t>
      </w:r>
    </w:p>
    <w:p w14:paraId="6C044EF4"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 O fornecedor será selecionado por meio da realização de procedimento de dispensa de licitação, na forma eletrônica, com fundamento na hipótese do art. 75, caput, inciso II da Lei n.º 14.133/2021, que culminará com a seleção da proposta de </w:t>
      </w:r>
      <w:r w:rsidRPr="00CD7EF6">
        <w:rPr>
          <w:rFonts w:ascii="Arial" w:eastAsia="Times New Roman" w:hAnsi="Arial" w:cs="Arial"/>
          <w:b/>
          <w:bCs/>
          <w:color w:val="000000"/>
          <w:kern w:val="0"/>
          <w:sz w:val="20"/>
          <w:szCs w:val="20"/>
          <w:lang w:eastAsia="pt-BR"/>
          <w14:ligatures w14:val="none"/>
        </w:rPr>
        <w:t>MENOR PREÇO POR ITEM</w:t>
      </w:r>
      <w:r w:rsidRPr="00CD7EF6">
        <w:rPr>
          <w:rFonts w:ascii="Ecofont_Spranq_eco_Sans" w:eastAsia="Times New Roman" w:hAnsi="Ecofont_Spranq_eco_Sans" w:cs="Times New Roman"/>
          <w:color w:val="000000"/>
          <w:kern w:val="0"/>
          <w:sz w:val="20"/>
          <w:szCs w:val="20"/>
          <w:lang w:eastAsia="pt-BR"/>
          <w14:ligatures w14:val="none"/>
        </w:rPr>
        <w:t>.</w:t>
      </w:r>
    </w:p>
    <w:p w14:paraId="7C55C6D8"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Forma de fornecimento</w:t>
      </w:r>
    </w:p>
    <w:p w14:paraId="01BA555E" w14:textId="4AFAC246"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8.2. </w:t>
      </w:r>
      <w:r w:rsidRPr="00CD7EF6">
        <w:rPr>
          <w:rFonts w:ascii="Arial" w:eastAsia="Times New Roman" w:hAnsi="Arial" w:cs="Arial"/>
          <w:color w:val="000000"/>
          <w:kern w:val="0"/>
          <w:sz w:val="20"/>
          <w:szCs w:val="20"/>
          <w:shd w:val="clear" w:color="auto" w:fill="FFFFFF"/>
          <w:lang w:eastAsia="pt-BR"/>
          <w14:ligatures w14:val="none"/>
        </w:rPr>
        <w:t>O fornecimento do objeto </w:t>
      </w:r>
      <w:r w:rsidR="00330B0E">
        <w:rPr>
          <w:rFonts w:ascii="Arial" w:eastAsia="Times New Roman" w:hAnsi="Arial" w:cs="Arial"/>
          <w:color w:val="000000"/>
          <w:kern w:val="0"/>
          <w:sz w:val="20"/>
          <w:szCs w:val="20"/>
          <w:shd w:val="clear" w:color="auto" w:fill="FFFFFF"/>
          <w:lang w:eastAsia="pt-BR"/>
          <w14:ligatures w14:val="none"/>
        </w:rPr>
        <w:t xml:space="preserve">será </w:t>
      </w:r>
      <w:r w:rsidRPr="00CD7EF6">
        <w:rPr>
          <w:rFonts w:ascii="Arial" w:eastAsia="Times New Roman" w:hAnsi="Arial" w:cs="Arial"/>
          <w:b/>
          <w:bCs/>
          <w:color w:val="000000"/>
          <w:kern w:val="0"/>
          <w:sz w:val="20"/>
          <w:szCs w:val="20"/>
          <w:lang w:eastAsia="pt-BR"/>
          <w14:ligatures w14:val="none"/>
        </w:rPr>
        <w:t>integral</w:t>
      </w:r>
      <w:r w:rsidR="00330B0E">
        <w:rPr>
          <w:rFonts w:ascii="Arial" w:eastAsia="Times New Roman" w:hAnsi="Arial" w:cs="Arial"/>
          <w:b/>
          <w:bCs/>
          <w:color w:val="000000"/>
          <w:kern w:val="0"/>
          <w:sz w:val="20"/>
          <w:szCs w:val="20"/>
          <w:lang w:eastAsia="pt-BR"/>
          <w14:ligatures w14:val="none"/>
        </w:rPr>
        <w:t>.</w:t>
      </w:r>
    </w:p>
    <w:p w14:paraId="6469A53A"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Exigências de habilitação</w:t>
      </w:r>
    </w:p>
    <w:p w14:paraId="43F4971C"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 Previamente à celebração do contrato, a Administração verificará o eventual descumprimento das condições para contratação, especialmente quanto à existência de sanção que a impeça, mediante a consulta aos seguintes cadastros informativos oficiais:</w:t>
      </w:r>
    </w:p>
    <w:p w14:paraId="1955F360" w14:textId="77777777"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a) SICAF;</w:t>
      </w:r>
    </w:p>
    <w:p w14:paraId="11667A6D" w14:textId="77777777"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b) Cadastro Nacional de Empresas Inidôneas e Suspensas - CEIS, mantido pela Controladoria-Geral da União (https://portaldatransparencia.gov.br/sancoes/consulta);</w:t>
      </w:r>
    </w:p>
    <w:p w14:paraId="23736531" w14:textId="77777777"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c) Cadastro Nacional de Empresas Punidas – CNEP, mantido pela Controladoria-Geral da União (https://portaldatransparencia.gov.br/sancoes/consulta);</w:t>
      </w:r>
    </w:p>
    <w:p w14:paraId="1CFDC81E" w14:textId="77777777"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lastRenderedPageBreak/>
        <w:t>d) Cadastro Nacional de Condenações Cíveis por Ato de Improbidade Administrativa e Inelegibilidade – CNCIAI, do Conselho Nacional de Justiça (http://www.cnj.jus.br/improbidade_adm/consultar_requerido.php);</w:t>
      </w:r>
    </w:p>
    <w:p w14:paraId="4EF2ED08" w14:textId="77777777"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e) Sistema Eletrônico de Aplicação e Registro de Sanções Administrativas – e-Sanções (http://www.esancoes.sp.gov.br);</w:t>
      </w:r>
    </w:p>
    <w:p w14:paraId="587C2658" w14:textId="77777777"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f) Cadastro Estadual de Empresas Punidas – CEEP (http://www.servicos.controladoriageral.sp.gov.br/PesquisaCEEP.aspx); e</w:t>
      </w:r>
    </w:p>
    <w:p w14:paraId="4DE081F7" w14:textId="121059CC" w:rsidR="00E0527F" w:rsidRPr="00CD7EF6" w:rsidRDefault="00E0527F" w:rsidP="00E0527F">
      <w:pPr>
        <w:spacing w:before="120" w:after="120" w:line="240" w:lineRule="auto"/>
        <w:ind w:left="810"/>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g) Relação de apenados publicada pelo Tribunal de Contas do Estado de São Paulo (</w:t>
      </w:r>
      <w:hyperlink r:id="rId14" w:tgtFrame="_blank" w:history="1">
        <w:r w:rsidRPr="00CD7EF6">
          <w:rPr>
            <w:rFonts w:ascii="Arial" w:eastAsia="Times New Roman" w:hAnsi="Arial" w:cs="Arial"/>
            <w:color w:val="000080"/>
            <w:kern w:val="0"/>
            <w:sz w:val="20"/>
            <w:szCs w:val="20"/>
            <w:u w:val="single"/>
            <w:lang w:eastAsia="pt-BR"/>
            <w14:ligatures w14:val="none"/>
          </w:rPr>
          <w:t>https://www.tce.sp.gov.br/apenados</w:t>
        </w:r>
      </w:hyperlink>
      <w:r w:rsidRPr="00CD7EF6">
        <w:rPr>
          <w:rFonts w:ascii="Arial" w:eastAsia="Times New Roman" w:hAnsi="Arial" w:cs="Arial"/>
          <w:color w:val="000000"/>
          <w:kern w:val="0"/>
          <w:sz w:val="20"/>
          <w:szCs w:val="20"/>
          <w:lang w:eastAsia="pt-BR"/>
          <w14:ligatures w14:val="none"/>
        </w:rPr>
        <w:t>).</w:t>
      </w:r>
      <w:r w:rsidRPr="00CD7EF6">
        <w:rPr>
          <w:rFonts w:ascii="Times New Roman" w:eastAsia="Times New Roman" w:hAnsi="Times New Roman" w:cs="Times New Roman"/>
          <w:color w:val="000000"/>
          <w:kern w:val="0"/>
          <w:sz w:val="27"/>
          <w:szCs w:val="27"/>
          <w:lang w:eastAsia="pt-BR"/>
          <w14:ligatures w14:val="none"/>
        </w:rPr>
        <w:t> </w:t>
      </w:r>
    </w:p>
    <w:p w14:paraId="38E6B1F4"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8.4. A consulta ao cadastro especificado na alínea “d” do item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45B396"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8.5. Caso conste na Consulta de Situação do interessado a existência de Ocorrências Impeditivas Indiretas, o gestor diligenciará para verificar se houve fraude por parte das empresas apontadas no Relatório de Ocorrências Impeditivas Indiretas.</w:t>
      </w:r>
    </w:p>
    <w:p w14:paraId="5E074214"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8.6. 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Lei estadual nº 12.799, de 2008.</w:t>
      </w:r>
    </w:p>
    <w:p w14:paraId="577EE922"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8.7. Caso atendidas as condições para contratação, a habilitação do interessado será verificada por meio do SICAF, nos documentos por ele abrangidos.</w:t>
      </w:r>
    </w:p>
    <w:p w14:paraId="3AC29E76"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8.8. É dever do interessado manter atualizada a respectiva documentação constante do SICAF, ou encaminhar, quando solicitado pela Administração, a respectiva documentação atualizada.</w:t>
      </w:r>
    </w:p>
    <w:p w14:paraId="5745D7ED"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8.9. Não serão aceitos documentos de habilitação com indicação de CNPJ/CPF diferentes, salvo aqueles legalmente permitidos.</w:t>
      </w:r>
    </w:p>
    <w:p w14:paraId="2D798EBE"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8.10.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B65DB3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8.11. Serão aceitos registros de CNPJ de fornecedor matriz e filial com diferenças de números de documentos pertinentes ao CND e ao CRF/FGTS, quando for comprovada a centralização do recolhimento dessas contribuições.</w:t>
      </w:r>
    </w:p>
    <w:p w14:paraId="7D980F7E"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8.12. Para fins de habilitação, deverá o interessado comprovar os seguintes requisitos, que serão exigidos conforme sua natureza jurídica:</w:t>
      </w:r>
    </w:p>
    <w:p w14:paraId="4D97434B"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Habilitação jurídica</w:t>
      </w:r>
    </w:p>
    <w:p w14:paraId="3EFD6B1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bookmarkStart w:id="3" w:name="_heading=h.1t3h5sf"/>
      <w:bookmarkEnd w:id="3"/>
      <w:r w:rsidRPr="00CD7EF6">
        <w:rPr>
          <w:rFonts w:ascii="Arial" w:eastAsia="Times New Roman" w:hAnsi="Arial" w:cs="Arial"/>
          <w:color w:val="000000"/>
          <w:kern w:val="0"/>
          <w:sz w:val="20"/>
          <w:szCs w:val="20"/>
          <w:lang w:eastAsia="pt-BR"/>
          <w14:ligatures w14:val="none"/>
        </w:rPr>
        <w:t>8.13. </w:t>
      </w:r>
      <w:r w:rsidRPr="00CD7EF6">
        <w:rPr>
          <w:rFonts w:ascii="Arial" w:eastAsia="Times New Roman" w:hAnsi="Arial" w:cs="Arial"/>
          <w:b/>
          <w:bCs/>
          <w:color w:val="000000"/>
          <w:kern w:val="0"/>
          <w:sz w:val="20"/>
          <w:szCs w:val="20"/>
          <w:lang w:eastAsia="pt-BR"/>
          <w14:ligatures w14:val="none"/>
        </w:rPr>
        <w:t>Pessoa física:</w:t>
      </w:r>
      <w:r w:rsidRPr="00CD7EF6">
        <w:rPr>
          <w:rFonts w:ascii="Arial" w:eastAsia="Times New Roman" w:hAnsi="Arial" w:cs="Arial"/>
          <w:color w:val="000000"/>
          <w:kern w:val="0"/>
          <w:sz w:val="20"/>
          <w:szCs w:val="20"/>
          <w:lang w:eastAsia="pt-BR"/>
          <w14:ligatures w14:val="none"/>
        </w:rPr>
        <w:t> cédula de identidade (RG) ou documento equivalente que, por força de lei, tenha validade para fins de identificação em todo o território nacional;</w:t>
      </w:r>
    </w:p>
    <w:p w14:paraId="1B0218D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8.14. </w:t>
      </w:r>
      <w:r w:rsidRPr="00CD7EF6">
        <w:rPr>
          <w:rFonts w:ascii="Arial" w:eastAsia="Times New Roman" w:hAnsi="Arial" w:cs="Arial"/>
          <w:b/>
          <w:bCs/>
          <w:color w:val="000000"/>
          <w:kern w:val="0"/>
          <w:sz w:val="20"/>
          <w:szCs w:val="20"/>
          <w:lang w:eastAsia="pt-BR"/>
          <w14:ligatures w14:val="none"/>
        </w:rPr>
        <w:t>Empresário individual:</w:t>
      </w:r>
      <w:r w:rsidRPr="00CD7EF6">
        <w:rPr>
          <w:rFonts w:ascii="Arial" w:eastAsia="Times New Roman" w:hAnsi="Arial" w:cs="Arial"/>
          <w:color w:val="000000"/>
          <w:kern w:val="0"/>
          <w:sz w:val="20"/>
          <w:szCs w:val="20"/>
          <w:lang w:eastAsia="pt-BR"/>
          <w14:ligatures w14:val="none"/>
        </w:rPr>
        <w:t> inscrição no Registro Público de Empresas Mercantis, a cargo da Junta Comercial da respectiva sede;</w:t>
      </w:r>
    </w:p>
    <w:p w14:paraId="3A7FAE85"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8.15. </w:t>
      </w:r>
      <w:r w:rsidRPr="00CD7EF6">
        <w:rPr>
          <w:rFonts w:ascii="Arial" w:eastAsia="Times New Roman" w:hAnsi="Arial" w:cs="Arial"/>
          <w:b/>
          <w:bCs/>
          <w:color w:val="000000"/>
          <w:kern w:val="0"/>
          <w:sz w:val="20"/>
          <w:szCs w:val="20"/>
          <w:lang w:eastAsia="pt-BR"/>
          <w14:ligatures w14:val="none"/>
        </w:rPr>
        <w:t>Microempreendedor Individual - MEI:</w:t>
      </w:r>
      <w:r w:rsidRPr="00CD7EF6">
        <w:rPr>
          <w:rFonts w:ascii="Arial" w:eastAsia="Times New Roman" w:hAnsi="Arial" w:cs="Arial"/>
          <w:color w:val="000000"/>
          <w:kern w:val="0"/>
          <w:sz w:val="20"/>
          <w:szCs w:val="20"/>
          <w:lang w:eastAsia="pt-BR"/>
          <w14:ligatures w14:val="none"/>
        </w:rPr>
        <w:t> Certificado da Condição de Microempreendedor Individual - CCMEI, cuja aceitação ficará condicionada à verificação da autenticidade no sítio </w:t>
      </w:r>
      <w:hyperlink r:id="rId15" w:tgtFrame="_blank" w:history="1">
        <w:r w:rsidRPr="00CD7EF6">
          <w:rPr>
            <w:rFonts w:ascii="Arial" w:eastAsia="Times New Roman" w:hAnsi="Arial" w:cs="Arial"/>
            <w:color w:val="000000"/>
            <w:kern w:val="0"/>
            <w:sz w:val="20"/>
            <w:szCs w:val="20"/>
            <w:u w:val="single"/>
            <w:lang w:eastAsia="pt-BR"/>
            <w14:ligatures w14:val="none"/>
          </w:rPr>
          <w:t>https://www.gov.br/empresas-e-negocios/pt-br/empreendedor</w:t>
        </w:r>
      </w:hyperlink>
      <w:r w:rsidRPr="00CD7EF6">
        <w:rPr>
          <w:rFonts w:ascii="Arial" w:eastAsia="Times New Roman" w:hAnsi="Arial" w:cs="Arial"/>
          <w:color w:val="000000"/>
          <w:kern w:val="0"/>
          <w:sz w:val="20"/>
          <w:szCs w:val="20"/>
          <w:lang w:eastAsia="pt-BR"/>
          <w14:ligatures w14:val="none"/>
        </w:rPr>
        <w:t>;</w:t>
      </w:r>
    </w:p>
    <w:p w14:paraId="4F5709EB"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 xml:space="preserve">8.16. Sociedade empresária, sociedade limitada unipessoal – SLU ou sociedade identificada como empresa individual de responsabilidade limitada - EIRELI: inscrição do ato constitutivo, </w:t>
      </w:r>
      <w:r w:rsidRPr="00CD7EF6">
        <w:rPr>
          <w:rFonts w:ascii="Arial" w:eastAsia="Times New Roman" w:hAnsi="Arial" w:cs="Arial"/>
          <w:color w:val="000000"/>
          <w:kern w:val="0"/>
          <w:sz w:val="20"/>
          <w:szCs w:val="20"/>
          <w:lang w:eastAsia="pt-BR"/>
          <w14:ligatures w14:val="none"/>
        </w:rPr>
        <w:lastRenderedPageBreak/>
        <w:t>estatuto ou contrato social no Registro Público de Empresas Mercantis, a cargo da Junta Comercial da respectiva sede, acompanhada de documento comprobatório de seus administradores;</w:t>
      </w:r>
    </w:p>
    <w:p w14:paraId="592461E6"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8.17. </w:t>
      </w:r>
      <w:r w:rsidRPr="00CD7EF6">
        <w:rPr>
          <w:rFonts w:ascii="Arial" w:eastAsia="Times New Roman" w:hAnsi="Arial" w:cs="Arial"/>
          <w:b/>
          <w:bCs/>
          <w:color w:val="000000"/>
          <w:kern w:val="0"/>
          <w:sz w:val="20"/>
          <w:szCs w:val="20"/>
          <w:lang w:eastAsia="pt-BR"/>
          <w14:ligatures w14:val="none"/>
        </w:rPr>
        <w:t>Sociedade empresária estrangeira:</w:t>
      </w:r>
      <w:r w:rsidRPr="00CD7EF6">
        <w:rPr>
          <w:rFonts w:ascii="Arial" w:eastAsia="Times New Roman" w:hAnsi="Arial" w:cs="Arial"/>
          <w:color w:val="000000"/>
          <w:kern w:val="0"/>
          <w:sz w:val="20"/>
          <w:szCs w:val="20"/>
          <w:lang w:eastAsia="pt-BR"/>
          <w14:ligatures w14:val="none"/>
        </w:rPr>
        <w:t>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tgtFrame="_blank" w:history="1">
        <w:r w:rsidRPr="00CD7EF6">
          <w:rPr>
            <w:rFonts w:ascii="Arial" w:eastAsia="Times New Roman" w:hAnsi="Arial" w:cs="Arial"/>
            <w:color w:val="000000"/>
            <w:kern w:val="0"/>
            <w:sz w:val="20"/>
            <w:szCs w:val="20"/>
            <w:u w:val="single"/>
            <w:lang w:eastAsia="pt-BR"/>
            <w14:ligatures w14:val="none"/>
          </w:rPr>
          <w:t>Normativa DREI/ME n.º 77, de 18 de março de 2020</w:t>
        </w:r>
      </w:hyperlink>
      <w:r w:rsidRPr="00CD7EF6">
        <w:rPr>
          <w:rFonts w:ascii="Arial" w:eastAsia="Times New Roman" w:hAnsi="Arial" w:cs="Arial"/>
          <w:color w:val="000000"/>
          <w:kern w:val="0"/>
          <w:sz w:val="20"/>
          <w:szCs w:val="20"/>
          <w:lang w:eastAsia="pt-BR"/>
          <w14:ligatures w14:val="none"/>
        </w:rPr>
        <w:t>.</w:t>
      </w:r>
    </w:p>
    <w:p w14:paraId="63CC931D"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8.18. </w:t>
      </w:r>
      <w:r w:rsidRPr="00CD7EF6">
        <w:rPr>
          <w:rFonts w:ascii="Arial" w:eastAsia="Times New Roman" w:hAnsi="Arial" w:cs="Arial"/>
          <w:b/>
          <w:bCs/>
          <w:color w:val="000000"/>
          <w:kern w:val="0"/>
          <w:sz w:val="20"/>
          <w:szCs w:val="20"/>
          <w:lang w:eastAsia="pt-BR"/>
          <w14:ligatures w14:val="none"/>
        </w:rPr>
        <w:t>Sociedade simples: </w:t>
      </w:r>
      <w:r w:rsidRPr="00CD7EF6">
        <w:rPr>
          <w:rFonts w:ascii="Arial" w:eastAsia="Times New Roman" w:hAnsi="Arial" w:cs="Arial"/>
          <w:color w:val="000000"/>
          <w:kern w:val="0"/>
          <w:sz w:val="20"/>
          <w:szCs w:val="20"/>
          <w:lang w:eastAsia="pt-BR"/>
          <w14:ligatures w14:val="none"/>
        </w:rPr>
        <w:t>inscrição do ato constitutivo no Registro Civil de Pessoas Jurídicas do local de sua sede, acompanhada de documento comprobatório de seus administradores;</w:t>
      </w:r>
    </w:p>
    <w:p w14:paraId="3A34A23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bookmarkStart w:id="4" w:name="_heading=h.4d34og8"/>
      <w:bookmarkEnd w:id="4"/>
      <w:r w:rsidRPr="00CD7EF6">
        <w:rPr>
          <w:rFonts w:ascii="Arial" w:eastAsia="Times New Roman" w:hAnsi="Arial" w:cs="Arial"/>
          <w:color w:val="000000"/>
          <w:kern w:val="0"/>
          <w:sz w:val="20"/>
          <w:szCs w:val="20"/>
          <w:lang w:eastAsia="pt-BR"/>
          <w14:ligatures w14:val="none"/>
        </w:rPr>
        <w:t>8.19. </w:t>
      </w:r>
      <w:r w:rsidRPr="00CD7EF6">
        <w:rPr>
          <w:rFonts w:ascii="Arial" w:eastAsia="Times New Roman" w:hAnsi="Arial" w:cs="Arial"/>
          <w:b/>
          <w:bCs/>
          <w:color w:val="000000"/>
          <w:kern w:val="0"/>
          <w:sz w:val="20"/>
          <w:szCs w:val="20"/>
          <w:lang w:eastAsia="pt-BR"/>
          <w14:ligatures w14:val="none"/>
        </w:rPr>
        <w:t>Filial, sucursal ou agência de sociedade simples ou empresária:</w:t>
      </w:r>
      <w:r w:rsidRPr="00CD7EF6">
        <w:rPr>
          <w:rFonts w:ascii="Arial" w:eastAsia="Times New Roman" w:hAnsi="Arial" w:cs="Arial"/>
          <w:color w:val="000000"/>
          <w:kern w:val="0"/>
          <w:sz w:val="20"/>
          <w:szCs w:val="20"/>
          <w:lang w:eastAsia="pt-BR"/>
          <w14:ligatures w14: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3FFA4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8.20. </w:t>
      </w:r>
      <w:r w:rsidRPr="00CD7EF6">
        <w:rPr>
          <w:rFonts w:ascii="Arial" w:eastAsia="Times New Roman" w:hAnsi="Arial" w:cs="Arial"/>
          <w:b/>
          <w:bCs/>
          <w:color w:val="000000"/>
          <w:kern w:val="0"/>
          <w:sz w:val="20"/>
          <w:szCs w:val="20"/>
          <w:lang w:eastAsia="pt-BR"/>
          <w14:ligatures w14:val="none"/>
        </w:rPr>
        <w:t>Sociedade cooperativa:</w:t>
      </w:r>
      <w:r w:rsidRPr="00CD7EF6">
        <w:rPr>
          <w:rFonts w:ascii="Arial" w:eastAsia="Times New Roman" w:hAnsi="Arial" w:cs="Arial"/>
          <w:color w:val="000000"/>
          <w:kern w:val="0"/>
          <w:sz w:val="20"/>
          <w:szCs w:val="20"/>
          <w:lang w:eastAsia="pt-BR"/>
          <w14:ligatures w14:val="none"/>
        </w:rPr>
        <w:t> ata de fundação e estatuto social, com a ata da assembleia que o aprovou, devidamente arquivado na Junta Comercial, devendo o estatuto estar adequado à Lei federal nº 12.690/2012; documentos de eleição ou designação dos atuais administradores; e registro perante a entidade estadual da Organização das Cooperativas Brasileiras de que trata o </w:t>
      </w:r>
      <w:hyperlink r:id="rId17" w:anchor="art107" w:tgtFrame="_blank" w:history="1">
        <w:r w:rsidRPr="00CD7EF6">
          <w:rPr>
            <w:rFonts w:ascii="Arial" w:eastAsia="Times New Roman" w:hAnsi="Arial" w:cs="Arial"/>
            <w:color w:val="000000"/>
            <w:kern w:val="0"/>
            <w:sz w:val="20"/>
            <w:szCs w:val="20"/>
            <w:u w:val="single"/>
            <w:lang w:eastAsia="pt-BR"/>
            <w14:ligatures w14:val="none"/>
          </w:rPr>
          <w:t>art. 107 da Lei nº 5.764, de 16 de dezembro 1971</w:t>
        </w:r>
      </w:hyperlink>
      <w:r w:rsidRPr="00CD7EF6">
        <w:rPr>
          <w:rFonts w:ascii="Arial" w:eastAsia="Times New Roman" w:hAnsi="Arial" w:cs="Arial"/>
          <w:color w:val="000000"/>
          <w:kern w:val="0"/>
          <w:sz w:val="20"/>
          <w:szCs w:val="20"/>
          <w:lang w:eastAsia="pt-BR"/>
          <w14:ligatures w14:val="none"/>
        </w:rPr>
        <w:t>.</w:t>
      </w:r>
    </w:p>
    <w:p w14:paraId="0171A85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8.21. </w:t>
      </w:r>
      <w:r w:rsidRPr="00CD7EF6">
        <w:rPr>
          <w:rFonts w:ascii="Arial" w:eastAsia="Times New Roman" w:hAnsi="Arial" w:cs="Arial"/>
          <w:b/>
          <w:bCs/>
          <w:color w:val="000000"/>
          <w:kern w:val="0"/>
          <w:sz w:val="20"/>
          <w:szCs w:val="20"/>
          <w:lang w:eastAsia="pt-BR"/>
          <w14:ligatures w14:val="none"/>
        </w:rPr>
        <w:t>Agricultor familiar:</w:t>
      </w:r>
      <w:r w:rsidRPr="00CD7EF6">
        <w:rPr>
          <w:rFonts w:ascii="Arial" w:eastAsia="Times New Roman" w:hAnsi="Arial" w:cs="Arial"/>
          <w:color w:val="000000"/>
          <w:kern w:val="0"/>
          <w:sz w:val="20"/>
          <w:szCs w:val="20"/>
          <w:lang w:eastAsia="pt-BR"/>
          <w14:ligatures w14:val="none"/>
        </w:rPr>
        <w:t> Cadastro Nacional da Agricultura Familiar – CAF válido, Declaração de Aptidão ao Programa Nacional de Fortalecimento da Agricultura Familiar – DAP ativa, ou, ainda, outros documentos definidos pelo Grupo Gestor do Programa de Aquisição de Alimentos - PAA, nos termos do artigo 2º, § 3º, do Decreto nº 11.802, de 28 de novembro de 2023.</w:t>
      </w:r>
    </w:p>
    <w:p w14:paraId="00543268"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8.22. </w:t>
      </w:r>
      <w:r w:rsidRPr="00CD7EF6">
        <w:rPr>
          <w:rFonts w:ascii="Arial" w:eastAsia="Times New Roman" w:hAnsi="Arial" w:cs="Arial"/>
          <w:b/>
          <w:bCs/>
          <w:color w:val="000000"/>
          <w:kern w:val="0"/>
          <w:sz w:val="20"/>
          <w:szCs w:val="20"/>
          <w:lang w:eastAsia="pt-BR"/>
          <w14:ligatures w14:val="none"/>
        </w:rPr>
        <w:t>Produtor Rural pessoa física:</w:t>
      </w:r>
      <w:r w:rsidRPr="00CD7EF6">
        <w:rPr>
          <w:rFonts w:ascii="Arial" w:eastAsia="Times New Roman" w:hAnsi="Arial" w:cs="Arial"/>
          <w:color w:val="000000"/>
          <w:kern w:val="0"/>
          <w:sz w:val="20"/>
          <w:szCs w:val="20"/>
          <w:lang w:eastAsia="pt-BR"/>
          <w14:ligatures w14:val="none"/>
        </w:rPr>
        <w:t> matrícula no Cadastro Específico do INSS – CEI, que comprove a qualificação como produtor rural pessoa física, nos termos da Instrução Normativa RFB nº 2.110, de 17 de outubro de 2022 (artigos 15 a 17 e 146).</w:t>
      </w:r>
    </w:p>
    <w:p w14:paraId="391E6B9E"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8.23. Os documentos apresentados deverão estar acompanhados de todas as alterações ou da consolidação respectiva.</w:t>
      </w:r>
    </w:p>
    <w:p w14:paraId="5F135556"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Habilitação fiscal, social e trabalhista</w:t>
      </w:r>
    </w:p>
    <w:p w14:paraId="03BDBCE1"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8.24. Prova de inscrição no Cadastro Nacional de Pessoas Jurídicas ou no Cadastro de Pessoas Físicas, conforme o caso;</w:t>
      </w:r>
    </w:p>
    <w:p w14:paraId="2103C826"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8.25.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9222D6D"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8.26. Prova de regularidade com o Fundo de Garantia do Tempo de Serviço (FGTS);</w:t>
      </w:r>
    </w:p>
    <w:p w14:paraId="1F357D5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8.27. declaração de que não emprega menor de 18 anos em trabalho noturno, perigoso ou insalubre e não emprega menor de 16 anos, salvo menor, a partir de 14 anos, na condição de aprendiz, nos termos do artigo 7°, XXXIII, da Constituição;</w:t>
      </w:r>
    </w:p>
    <w:p w14:paraId="6216957F"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7224FF"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8.29. Prova de inscrição no cadastro de contribuintes [Estadual/Distrital] e/ou [Municipal/Distrital] relativo ao domicílio ou sede do fornecedor, pertinente ao seu ramo de atividade e compatível com o objeto contratual;</w:t>
      </w:r>
    </w:p>
    <w:p w14:paraId="110207C8"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8.30. Prova de regularidade com a Fazenda [Estadual/Distrital] e/ou [Municipal/Distrital] do domicílio ou sede do fornecedor, relativa à atividade em cujo exercício contrata ou concorre;</w:t>
      </w:r>
    </w:p>
    <w:p w14:paraId="15F13F87"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lastRenderedPageBreak/>
        <w:t>8.31.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31ED689"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194453" w14:textId="77777777" w:rsidR="00E0527F" w:rsidRPr="00CD7EF6" w:rsidRDefault="00E0527F" w:rsidP="00E0527F">
      <w:pPr>
        <w:spacing w:before="24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Qualificação Econômico-Financeira</w:t>
      </w:r>
    </w:p>
    <w:p w14:paraId="315EF5F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8.33. Certidão negativa de insolvência civil expedida pelo distribuidor do domicílio ou sede do interessado, caso se trate de pessoa física, desde que admitida a sua </w:t>
      </w:r>
      <w:r w:rsidRPr="00CD7EF6">
        <w:rPr>
          <w:rFonts w:ascii="Arial" w:eastAsia="Times New Roman" w:hAnsi="Arial" w:cs="Arial"/>
          <w:color w:val="000000"/>
          <w:kern w:val="0"/>
          <w:sz w:val="20"/>
          <w:szCs w:val="20"/>
          <w:shd w:val="clear" w:color="auto" w:fill="00FF00"/>
          <w:lang w:eastAsia="pt-BR"/>
          <w14:ligatures w14:val="none"/>
        </w:rPr>
        <w:t>contratação</w:t>
      </w:r>
      <w:r w:rsidRPr="00CD7EF6">
        <w:rPr>
          <w:rFonts w:ascii="Arial" w:eastAsia="Times New Roman" w:hAnsi="Arial" w:cs="Arial"/>
          <w:color w:val="000000"/>
          <w:kern w:val="0"/>
          <w:sz w:val="20"/>
          <w:szCs w:val="20"/>
          <w:lang w:eastAsia="pt-BR"/>
          <w14:ligatures w14:val="none"/>
        </w:rPr>
        <w:t> (</w:t>
      </w:r>
      <w:hyperlink r:id="rId18" w:anchor="art5" w:tgtFrame="_blank" w:history="1">
        <w:r w:rsidRPr="00CD7EF6">
          <w:rPr>
            <w:rFonts w:ascii="Arial" w:eastAsia="Times New Roman" w:hAnsi="Arial" w:cs="Arial"/>
            <w:color w:val="000000"/>
            <w:kern w:val="0"/>
            <w:sz w:val="20"/>
            <w:szCs w:val="20"/>
            <w:u w:val="single"/>
            <w:lang w:eastAsia="pt-BR"/>
            <w14:ligatures w14:val="none"/>
          </w:rPr>
          <w:t>art. 5º, inciso II, alínea “c”, da Instrução Normativa Seges/ME nº 116, de 2021</w:t>
        </w:r>
      </w:hyperlink>
      <w:r w:rsidRPr="00CD7EF6">
        <w:rPr>
          <w:rFonts w:ascii="Arial" w:eastAsia="Times New Roman" w:hAnsi="Arial" w:cs="Arial"/>
          <w:color w:val="000000"/>
          <w:kern w:val="0"/>
          <w:sz w:val="20"/>
          <w:szCs w:val="20"/>
          <w:u w:val="single"/>
          <w:lang w:eastAsia="pt-BR"/>
          <w14:ligatures w14:val="none"/>
        </w:rPr>
        <w:t> c/c Decreto estadual nº 67.608, de 2023</w:t>
      </w:r>
      <w:r w:rsidRPr="00CD7EF6">
        <w:rPr>
          <w:rFonts w:ascii="Arial" w:eastAsia="Times New Roman" w:hAnsi="Arial" w:cs="Arial"/>
          <w:color w:val="000000"/>
          <w:kern w:val="0"/>
          <w:sz w:val="20"/>
          <w:szCs w:val="20"/>
          <w:lang w:eastAsia="pt-BR"/>
          <w14:ligatures w14:val="none"/>
        </w:rPr>
        <w:t>), ou de sociedade simples;</w:t>
      </w:r>
    </w:p>
    <w:p w14:paraId="230F38C9"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8.34. Certidão negativa de falência, recuperação judicial ou extrajudicial, expedida pelo distribuidor da sede do fornecedor;</w:t>
      </w:r>
    </w:p>
    <w:p w14:paraId="1A023D01" w14:textId="77777777" w:rsidR="00E0527F" w:rsidRPr="00CD7EF6" w:rsidRDefault="00E0527F" w:rsidP="00E0527F">
      <w:pPr>
        <w:spacing w:after="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8.35.1. Caso o fornecedor esteja em recuperação judicial ou extrajudicial, deverá ser comprovado o acolhimento do plano de recuperação judicial ou a homologação do plano de recuperação extrajudicial, conforme o caso;</w:t>
      </w:r>
    </w:p>
    <w:p w14:paraId="62EB1BDD" w14:textId="77777777" w:rsidR="00E0527F" w:rsidRPr="00CD7EF6" w:rsidRDefault="00E0527F" w:rsidP="00E0527F">
      <w:pPr>
        <w:spacing w:after="0" w:line="240" w:lineRule="auto"/>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7"/>
          <w:szCs w:val="27"/>
          <w:lang w:eastAsia="pt-BR"/>
          <w14:ligatures w14:val="none"/>
        </w:rPr>
        <w:t> </w:t>
      </w:r>
    </w:p>
    <w:p w14:paraId="7098D894" w14:textId="77777777" w:rsidR="00E0527F" w:rsidRPr="00CD7EF6" w:rsidRDefault="00E0527F" w:rsidP="00E0527F">
      <w:pPr>
        <w:spacing w:after="0" w:line="240" w:lineRule="auto"/>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b/>
          <w:bCs/>
          <w:color w:val="000000"/>
          <w:kern w:val="0"/>
          <w:sz w:val="20"/>
          <w:szCs w:val="20"/>
          <w:lang w:eastAsia="pt-BR"/>
          <w14:ligatures w14:val="none"/>
        </w:rPr>
        <w:t>Outras comprovações</w:t>
      </w:r>
    </w:p>
    <w:p w14:paraId="32B9AA2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8.35. Declaração subscrita por representante legal do fornecedor, atestando que não possui empregados executando trabalho degradante ou forçado, observando o disposto nos incisos III e IV do artigo 1º e no inciso III do artigo 5º da Constituição federal;</w:t>
      </w:r>
    </w:p>
    <w:p w14:paraId="17C1E59A" w14:textId="77777777" w:rsidR="00E0527F" w:rsidRPr="00CD7EF6" w:rsidRDefault="00E0527F" w:rsidP="00E0527F">
      <w:pPr>
        <w:spacing w:before="120" w:after="120" w:line="240" w:lineRule="auto"/>
        <w:jc w:val="both"/>
        <w:rPr>
          <w:rFonts w:ascii="Times New Roman" w:eastAsia="Times New Roman" w:hAnsi="Times New Roman" w:cs="Times New Roman"/>
          <w:color w:val="000000"/>
          <w:kern w:val="0"/>
          <w:sz w:val="27"/>
          <w:szCs w:val="27"/>
          <w:lang w:eastAsia="pt-BR"/>
          <w14:ligatures w14:val="none"/>
        </w:rPr>
      </w:pPr>
      <w:r w:rsidRPr="00CD7EF6">
        <w:rPr>
          <w:rFonts w:ascii="Arial" w:eastAsia="Times New Roman" w:hAnsi="Arial" w:cs="Arial"/>
          <w:color w:val="000000"/>
          <w:kern w:val="0"/>
          <w:sz w:val="20"/>
          <w:szCs w:val="20"/>
          <w:lang w:eastAsia="pt-BR"/>
          <w14:ligatures w14:val="none"/>
        </w:rPr>
        <w:t>8.36. Caso admitida a participação de cooperativas, será exigida a seguinte documentação complementar, para evidenciar a observância do disposto no artigo 16 da Lei federal nº 14.133/2021:</w:t>
      </w:r>
    </w:p>
    <w:p w14:paraId="0491FE58"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8.36.1. </w:t>
      </w:r>
      <w:r w:rsidRPr="00CD7EF6">
        <w:rPr>
          <w:rFonts w:ascii="Arial" w:eastAsia="Times New Roman" w:hAnsi="Arial" w:cs="Arial"/>
          <w:color w:val="000000"/>
          <w:kern w:val="0"/>
          <w:sz w:val="20"/>
          <w:szCs w:val="20"/>
          <w:lang w:eastAsia="pt-BR"/>
          <w14:ligatures w14:val="none"/>
        </w:rPr>
        <w:t>A relação dos cooperados que atendem aos requisitos técnicos exigidos para a contratação e que executarão o contrato, com as respectivas atas de inscrição, respeitado o disposto nos </w:t>
      </w:r>
      <w:hyperlink r:id="rId19" w:anchor="art4" w:tgtFrame="_blank" w:history="1">
        <w:r w:rsidRPr="00CD7EF6">
          <w:rPr>
            <w:rFonts w:ascii="Arial" w:eastAsia="Times New Roman" w:hAnsi="Arial" w:cs="Arial"/>
            <w:color w:val="000000"/>
            <w:kern w:val="0"/>
            <w:sz w:val="20"/>
            <w:szCs w:val="20"/>
            <w:u w:val="single"/>
            <w:lang w:eastAsia="pt-BR"/>
            <w14:ligatures w14:val="none"/>
          </w:rPr>
          <w:t>arts. 4º, inciso XI, 21, inciso I</w:t>
        </w:r>
      </w:hyperlink>
      <w:r w:rsidRPr="00CD7EF6">
        <w:rPr>
          <w:rFonts w:ascii="Arial" w:eastAsia="Times New Roman" w:hAnsi="Arial" w:cs="Arial"/>
          <w:color w:val="000000"/>
          <w:kern w:val="0"/>
          <w:sz w:val="20"/>
          <w:szCs w:val="20"/>
          <w:lang w:eastAsia="pt-BR"/>
          <w14:ligatures w14:val="none"/>
        </w:rPr>
        <w:t> e </w:t>
      </w:r>
      <w:hyperlink r:id="rId20" w:anchor="art42" w:tgtFrame="_blank" w:history="1">
        <w:r w:rsidRPr="00CD7EF6">
          <w:rPr>
            <w:rFonts w:ascii="Arial" w:eastAsia="Times New Roman" w:hAnsi="Arial" w:cs="Arial"/>
            <w:color w:val="000000"/>
            <w:kern w:val="0"/>
            <w:sz w:val="20"/>
            <w:szCs w:val="20"/>
            <w:u w:val="single"/>
            <w:lang w:eastAsia="pt-BR"/>
            <w14:ligatures w14:val="none"/>
          </w:rPr>
          <w:t>42, §§2º a 6º da Lei n. 5.764, de 1971</w:t>
        </w:r>
      </w:hyperlink>
      <w:r w:rsidRPr="00CD7EF6">
        <w:rPr>
          <w:rFonts w:ascii="Arial" w:eastAsia="Times New Roman" w:hAnsi="Arial" w:cs="Arial"/>
          <w:color w:val="000000"/>
          <w:kern w:val="0"/>
          <w:sz w:val="20"/>
          <w:szCs w:val="20"/>
          <w:lang w:eastAsia="pt-BR"/>
          <w14:ligatures w14:val="none"/>
        </w:rPr>
        <w:t>;</w:t>
      </w:r>
    </w:p>
    <w:p w14:paraId="6FD72EB0"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8.36.2. </w:t>
      </w:r>
      <w:r w:rsidRPr="00CD7EF6">
        <w:rPr>
          <w:rFonts w:ascii="Arial" w:eastAsia="Times New Roman" w:hAnsi="Arial" w:cs="Arial"/>
          <w:color w:val="000000"/>
          <w:kern w:val="0"/>
          <w:sz w:val="20"/>
          <w:szCs w:val="20"/>
          <w:lang w:eastAsia="pt-BR"/>
          <w14:ligatures w14:val="none"/>
        </w:rPr>
        <w:t>A declaração de regularidade de situação do contribuinte individual – DRSCI, para cada um dos cooperados indicados;</w:t>
      </w:r>
    </w:p>
    <w:p w14:paraId="2D270309"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8.36.3. </w:t>
      </w:r>
      <w:r w:rsidRPr="00CD7EF6">
        <w:rPr>
          <w:rFonts w:ascii="Arial" w:eastAsia="Times New Roman" w:hAnsi="Arial" w:cs="Arial"/>
          <w:color w:val="000000"/>
          <w:kern w:val="0"/>
          <w:sz w:val="20"/>
          <w:szCs w:val="20"/>
          <w:lang w:eastAsia="pt-BR"/>
          <w14:ligatures w14:val="none"/>
        </w:rPr>
        <w:t>Regimento dos fundos instituídos pelos cooperados, com a ata da assembleia;</w:t>
      </w:r>
    </w:p>
    <w:p w14:paraId="4CAC35BA"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8.36.4. </w:t>
      </w:r>
      <w:r w:rsidRPr="00CD7EF6">
        <w:rPr>
          <w:rFonts w:ascii="Arial" w:eastAsia="Times New Roman" w:hAnsi="Arial" w:cs="Arial"/>
          <w:color w:val="000000"/>
          <w:kern w:val="0"/>
          <w:sz w:val="20"/>
          <w:szCs w:val="20"/>
          <w:lang w:eastAsia="pt-BR"/>
          <w14:ligatures w14:val="none"/>
        </w:rPr>
        <w:t>Edital de convocação e ata da última assembleia geral, e registro de presença dos cooperados presentes nessa assembleia;</w:t>
      </w:r>
    </w:p>
    <w:p w14:paraId="05960906"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8.36.5. </w:t>
      </w:r>
      <w:r w:rsidRPr="00CD7EF6">
        <w:rPr>
          <w:rFonts w:ascii="Arial" w:eastAsia="Times New Roman" w:hAnsi="Arial" w:cs="Arial"/>
          <w:color w:val="000000"/>
          <w:kern w:val="0"/>
          <w:sz w:val="20"/>
          <w:szCs w:val="20"/>
          <w:lang w:eastAsia="pt-BR"/>
          <w14:ligatures w14:val="none"/>
        </w:rPr>
        <w:t>Ata da reunião em que os cooperados autorizaram a cooperativa a contratar o objeto da contratação direta;</w:t>
      </w:r>
    </w:p>
    <w:p w14:paraId="67E4E699"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8.36.6. </w:t>
      </w:r>
      <w:r w:rsidRPr="00CD7EF6">
        <w:rPr>
          <w:rFonts w:ascii="Arial" w:eastAsia="Times New Roman" w:hAnsi="Arial" w:cs="Arial"/>
          <w:color w:val="000000"/>
          <w:kern w:val="0"/>
          <w:sz w:val="20"/>
          <w:szCs w:val="20"/>
          <w:lang w:eastAsia="pt-BR"/>
          <w14:ligatures w14:val="none"/>
        </w:rPr>
        <w:t>A última auditoria contábil-financeira da cooperativa, conforme dispõe o </w:t>
      </w:r>
      <w:hyperlink r:id="rId21" w:anchor="art112" w:tgtFrame="_blank" w:history="1">
        <w:r w:rsidRPr="00CD7EF6">
          <w:rPr>
            <w:rFonts w:ascii="Arial" w:eastAsia="Times New Roman" w:hAnsi="Arial" w:cs="Arial"/>
            <w:color w:val="000000"/>
            <w:kern w:val="0"/>
            <w:sz w:val="20"/>
            <w:szCs w:val="20"/>
            <w:u w:val="single"/>
            <w:lang w:eastAsia="pt-BR"/>
            <w14:ligatures w14:val="none"/>
          </w:rPr>
          <w:t>art. 112 da Lei n. 5.764, de 1971</w:t>
        </w:r>
      </w:hyperlink>
      <w:r w:rsidRPr="00CD7EF6">
        <w:rPr>
          <w:rFonts w:ascii="Arial" w:eastAsia="Times New Roman" w:hAnsi="Arial" w:cs="Arial"/>
          <w:color w:val="000000"/>
          <w:kern w:val="0"/>
          <w:sz w:val="20"/>
          <w:szCs w:val="20"/>
          <w:lang w:eastAsia="pt-BR"/>
          <w14:ligatures w14:val="none"/>
        </w:rPr>
        <w:t>, ou uma declaração, sob as penas da lei, de que tal auditoria não foi exigida pelo órgão fiscalizador;</w:t>
      </w:r>
    </w:p>
    <w:p w14:paraId="536F56FE" w14:textId="77777777"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r w:rsidRPr="00CD7EF6">
        <w:rPr>
          <w:rFonts w:ascii="Times New Roman" w:eastAsia="Times New Roman" w:hAnsi="Times New Roman" w:cs="Times New Roman"/>
          <w:color w:val="000000"/>
          <w:kern w:val="0"/>
          <w:sz w:val="20"/>
          <w:szCs w:val="20"/>
          <w:lang w:eastAsia="pt-BR"/>
          <w14:ligatures w14:val="none"/>
        </w:rPr>
        <w:t>8.36.7. </w:t>
      </w:r>
      <w:r w:rsidRPr="00CD7EF6">
        <w:rPr>
          <w:rFonts w:ascii="Arial" w:eastAsia="Times New Roman" w:hAnsi="Arial" w:cs="Arial"/>
          <w:color w:val="000000"/>
          <w:kern w:val="0"/>
          <w:sz w:val="20"/>
          <w:szCs w:val="20"/>
          <w:lang w:eastAsia="pt-BR"/>
          <w14:ligatures w14:val="none"/>
        </w:rPr>
        <w:t>Documentação que seja demonstrativa de atuação em regime cooperado, com repartição de receitas e despesas entre os cooperados, caso essa circunstância não esteja evidenciada na documentação a ser apresentada para atendimento aos subitens anteriores.</w:t>
      </w:r>
    </w:p>
    <w:p w14:paraId="71693F30" w14:textId="1B7E8CFA" w:rsidR="00E0527F" w:rsidRPr="00CD7EF6" w:rsidRDefault="00E0527F" w:rsidP="00E0527F">
      <w:pPr>
        <w:spacing w:before="120" w:after="120" w:line="240" w:lineRule="auto"/>
        <w:ind w:left="285"/>
        <w:jc w:val="both"/>
        <w:rPr>
          <w:rFonts w:ascii="Times New Roman" w:eastAsia="Times New Roman" w:hAnsi="Times New Roman" w:cs="Times New Roman"/>
          <w:color w:val="000000"/>
          <w:kern w:val="0"/>
          <w:sz w:val="27"/>
          <w:szCs w:val="27"/>
          <w:lang w:eastAsia="pt-BR"/>
          <w14:ligatures w14:val="none"/>
        </w:rPr>
      </w:pPr>
      <w:bookmarkStart w:id="5" w:name="_heading=h.2s8eyo1"/>
      <w:bookmarkEnd w:id="5"/>
      <w:r w:rsidRPr="00CD7EF6">
        <w:rPr>
          <w:rFonts w:ascii="Arial" w:eastAsia="Times New Roman" w:hAnsi="Arial" w:cs="Arial"/>
          <w:color w:val="000000"/>
          <w:kern w:val="0"/>
          <w:sz w:val="20"/>
          <w:szCs w:val="20"/>
          <w:lang w:eastAsia="pt-BR"/>
          <w14:ligatures w14:val="none"/>
        </w:rPr>
        <w:t>8.41. Declaração subscrita por representante legal da proponente, em conformidade com o modelo 2, afirmando que sua proposta foi elaborada de maneira independente e que conduz seus negócios de forma a coibir fraudes, corrupção e a prática de quaisquer outros atos lesivos à Administração Pública, nacional ou estrangeira, em atendimento à Lei Federal nº 12.846/ 2013 e ao Decreto Estadual nº 67.301/2022</w:t>
      </w:r>
      <w:r w:rsidR="00415F95">
        <w:rPr>
          <w:rFonts w:ascii="Arial" w:eastAsia="Times New Roman" w:hAnsi="Arial" w:cs="Arial"/>
          <w:color w:val="000000"/>
          <w:kern w:val="0"/>
          <w:sz w:val="20"/>
          <w:szCs w:val="20"/>
          <w:lang w:eastAsia="pt-BR"/>
          <w14:ligatures w14:val="none"/>
        </w:rPr>
        <w:t>.</w:t>
      </w:r>
    </w:p>
    <w:p w14:paraId="5B7CBEE3" w14:textId="77777777" w:rsidR="00D374AE" w:rsidRDefault="00D374AE"/>
    <w:sectPr w:rsidR="00D374AE">
      <w:head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E9B11" w14:textId="77777777" w:rsidR="00A33EBA" w:rsidRDefault="00A33EBA" w:rsidP="00B13365">
      <w:pPr>
        <w:spacing w:after="0" w:line="240" w:lineRule="auto"/>
      </w:pPr>
      <w:r>
        <w:separator/>
      </w:r>
    </w:p>
  </w:endnote>
  <w:endnote w:type="continuationSeparator" w:id="0">
    <w:p w14:paraId="2B1E2A0F" w14:textId="77777777" w:rsidR="00A33EBA" w:rsidRDefault="00A33EBA" w:rsidP="00B13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1A7B5" w14:textId="77777777" w:rsidR="00A33EBA" w:rsidRDefault="00A33EBA" w:rsidP="00B13365">
      <w:pPr>
        <w:spacing w:after="0" w:line="240" w:lineRule="auto"/>
      </w:pPr>
      <w:r>
        <w:separator/>
      </w:r>
    </w:p>
  </w:footnote>
  <w:footnote w:type="continuationSeparator" w:id="0">
    <w:p w14:paraId="29DBD1AD" w14:textId="77777777" w:rsidR="00A33EBA" w:rsidRDefault="00A33EBA" w:rsidP="00B13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FE2BA" w14:textId="77777777" w:rsidR="00B13365" w:rsidRPr="00B13365" w:rsidRDefault="00415F95" w:rsidP="00B13365">
    <w:pPr>
      <w:widowControl w:val="0"/>
      <w:autoSpaceDE w:val="0"/>
      <w:autoSpaceDN w:val="0"/>
      <w:spacing w:after="0" w:line="240" w:lineRule="auto"/>
      <w:jc w:val="center"/>
      <w:rPr>
        <w:rFonts w:ascii="Times New Roman" w:eastAsia="Times New Roman" w:hAnsi="Times New Roman" w:cs="Times New Roman"/>
        <w:b/>
        <w:kern w:val="0"/>
        <w:sz w:val="26"/>
        <w:lang w:val="pt-PT"/>
        <w14:ligatures w14:val="none"/>
      </w:rPr>
    </w:pPr>
    <w:r>
      <w:rPr>
        <w:rFonts w:ascii="Times New Roman" w:eastAsia="Times New Roman" w:hAnsi="Times New Roman" w:cs="Times New Roman"/>
        <w:noProof/>
        <w:kern w:val="0"/>
        <w:lang w:val="pt-PT" w:eastAsia="pt-BR"/>
        <w14:ligatures w14:val="none"/>
      </w:rPr>
      <w:object w:dxaOrig="1440" w:dyaOrig="1440" w14:anchorId="4CAB0D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05pt;margin-top:-7.7pt;width:57.65pt;height:62.25pt;z-index:251658240" fillcolor="window">
          <v:imagedata r:id="rId1" o:title=""/>
        </v:shape>
        <o:OLEObject Type="Embed" ProgID="PBrush" ShapeID="_x0000_s1026" DrawAspect="Content" ObjectID="_1783236340" r:id="rId2"/>
      </w:object>
    </w:r>
    <w:r w:rsidR="00B13365" w:rsidRPr="00B13365">
      <w:rPr>
        <w:rFonts w:ascii="Times New Roman" w:eastAsia="Times New Roman" w:hAnsi="Times New Roman" w:cs="Times New Roman"/>
        <w:kern w:val="0"/>
        <w:lang w:val="pt-PT"/>
        <w14:ligatures w14:val="none"/>
      </w:rPr>
      <w:t xml:space="preserve"> </w:t>
    </w:r>
    <w:r w:rsidR="00B13365" w:rsidRPr="00B13365">
      <w:rPr>
        <w:rFonts w:ascii="Times New Roman" w:eastAsia="Times New Roman" w:hAnsi="Times New Roman" w:cs="Times New Roman"/>
        <w:b/>
        <w:kern w:val="0"/>
        <w:sz w:val="26"/>
        <w:lang w:val="pt-PT"/>
        <w14:ligatures w14:val="none"/>
      </w:rPr>
      <w:t>GOVERNO DO ESTADO DE SÃO PAULO</w:t>
    </w:r>
  </w:p>
  <w:p w14:paraId="50F9D282" w14:textId="77777777" w:rsidR="00B13365" w:rsidRPr="00B13365" w:rsidRDefault="00B13365" w:rsidP="00B13365">
    <w:pPr>
      <w:widowControl w:val="0"/>
      <w:autoSpaceDE w:val="0"/>
      <w:autoSpaceDN w:val="0"/>
      <w:spacing w:after="0" w:line="240" w:lineRule="auto"/>
      <w:jc w:val="center"/>
      <w:rPr>
        <w:rFonts w:ascii="Times New Roman" w:eastAsia="Times New Roman" w:hAnsi="Times New Roman" w:cs="Times New Roman"/>
        <w:b/>
        <w:kern w:val="0"/>
        <w:sz w:val="24"/>
        <w:szCs w:val="24"/>
        <w:lang w:val="pt-PT"/>
        <w14:ligatures w14:val="none"/>
      </w:rPr>
    </w:pPr>
    <w:r w:rsidRPr="00B13365">
      <w:rPr>
        <w:rFonts w:ascii="Times New Roman" w:eastAsia="Times New Roman" w:hAnsi="Times New Roman" w:cs="Times New Roman"/>
        <w:b/>
        <w:kern w:val="0"/>
        <w:sz w:val="24"/>
        <w:szCs w:val="24"/>
        <w:lang w:val="pt-PT"/>
        <w14:ligatures w14:val="none"/>
      </w:rPr>
      <w:t>SECRETARIA DE ESTADO DA EDUCAÇÃO</w:t>
    </w:r>
  </w:p>
  <w:p w14:paraId="1B0DB65F" w14:textId="77777777" w:rsidR="00B13365" w:rsidRPr="00B13365" w:rsidRDefault="00B13365" w:rsidP="00B13365">
    <w:pPr>
      <w:widowControl w:val="0"/>
      <w:autoSpaceDE w:val="0"/>
      <w:autoSpaceDN w:val="0"/>
      <w:spacing w:after="0" w:line="240" w:lineRule="auto"/>
      <w:jc w:val="center"/>
      <w:rPr>
        <w:rFonts w:ascii="Times New Roman" w:eastAsia="Times New Roman" w:hAnsi="Times New Roman" w:cs="Times New Roman"/>
        <w:b/>
        <w:kern w:val="0"/>
        <w:lang w:val="pt-PT"/>
        <w14:ligatures w14:val="none"/>
      </w:rPr>
    </w:pPr>
    <w:r w:rsidRPr="00B13365">
      <w:rPr>
        <w:rFonts w:ascii="Times New Roman" w:eastAsia="Times New Roman" w:hAnsi="Times New Roman" w:cs="Times New Roman"/>
        <w:b/>
        <w:kern w:val="0"/>
        <w:lang w:val="pt-PT"/>
        <w14:ligatures w14:val="none"/>
      </w:rPr>
      <w:t>DIRETORIA DE ENSINO – REGIÃO DE</w:t>
    </w:r>
    <w:permStart w:id="1103780137" w:edGrp="everyone"/>
    <w:r w:rsidRPr="00B13365">
      <w:rPr>
        <w:rFonts w:ascii="Times New Roman" w:eastAsia="Times New Roman" w:hAnsi="Times New Roman" w:cs="Times New Roman"/>
        <w:b/>
        <w:kern w:val="0"/>
        <w:lang w:val="pt-PT"/>
        <w14:ligatures w14:val="none"/>
      </w:rPr>
      <w:t xml:space="preserve"> SÃO JOSÉ DOS CAMPOS</w:t>
    </w:r>
  </w:p>
  <w:p w14:paraId="781A18A0" w14:textId="77777777" w:rsidR="00B13365" w:rsidRPr="00B13365" w:rsidRDefault="00B13365" w:rsidP="00B13365">
    <w:pPr>
      <w:widowControl w:val="0"/>
      <w:autoSpaceDE w:val="0"/>
      <w:autoSpaceDN w:val="0"/>
      <w:spacing w:after="0" w:line="240" w:lineRule="auto"/>
      <w:jc w:val="center"/>
      <w:rPr>
        <w:rFonts w:ascii="Times New Roman" w:eastAsia="Times New Roman" w:hAnsi="Times New Roman" w:cs="Times New Roman"/>
        <w:b/>
        <w:kern w:val="0"/>
        <w:sz w:val="18"/>
        <w:szCs w:val="18"/>
        <w:lang w:val="pt-PT"/>
        <w14:ligatures w14:val="none"/>
      </w:rPr>
    </w:pPr>
    <w:r w:rsidRPr="00B13365">
      <w:rPr>
        <w:rFonts w:ascii="Times New Roman" w:eastAsia="Times New Roman" w:hAnsi="Times New Roman" w:cs="Times New Roman"/>
        <w:b/>
        <w:kern w:val="0"/>
        <w:sz w:val="18"/>
        <w:szCs w:val="18"/>
        <w:lang w:val="pt-PT"/>
        <w14:ligatures w14:val="none"/>
      </w:rPr>
      <w:t>Rua Porto Príncipe, 100, Vila Rubi – São José dos Campos/SP</w:t>
    </w:r>
  </w:p>
  <w:permEnd w:id="1103780137"/>
  <w:p w14:paraId="4F80F07F" w14:textId="77777777" w:rsidR="00B13365" w:rsidRDefault="00B1336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4AE"/>
    <w:rsid w:val="0006540E"/>
    <w:rsid w:val="00096E5D"/>
    <w:rsid w:val="0020211C"/>
    <w:rsid w:val="00232F62"/>
    <w:rsid w:val="00276875"/>
    <w:rsid w:val="00330B0E"/>
    <w:rsid w:val="00415F95"/>
    <w:rsid w:val="00433EC6"/>
    <w:rsid w:val="004C4A97"/>
    <w:rsid w:val="005F1CD0"/>
    <w:rsid w:val="008A672A"/>
    <w:rsid w:val="00916EE9"/>
    <w:rsid w:val="009216F4"/>
    <w:rsid w:val="00A33EBA"/>
    <w:rsid w:val="00B13365"/>
    <w:rsid w:val="00C042D6"/>
    <w:rsid w:val="00C97134"/>
    <w:rsid w:val="00CD7B05"/>
    <w:rsid w:val="00CD7EF6"/>
    <w:rsid w:val="00D070C2"/>
    <w:rsid w:val="00D374AE"/>
    <w:rsid w:val="00E0527F"/>
    <w:rsid w:val="00EA2C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D936D"/>
  <w15:chartTrackingRefBased/>
  <w15:docId w15:val="{EA64D5A5-17EA-4EEF-B1FF-FF82B0AD0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1336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3365"/>
  </w:style>
  <w:style w:type="paragraph" w:styleId="Rodap">
    <w:name w:val="footer"/>
    <w:basedOn w:val="Normal"/>
    <w:link w:val="RodapChar"/>
    <w:uiPriority w:val="99"/>
    <w:unhideWhenUsed/>
    <w:rsid w:val="00B13365"/>
    <w:pPr>
      <w:tabs>
        <w:tab w:val="center" w:pos="4252"/>
        <w:tab w:val="right" w:pos="8504"/>
      </w:tabs>
      <w:spacing w:after="0" w:line="240" w:lineRule="auto"/>
    </w:pPr>
  </w:style>
  <w:style w:type="character" w:customStyle="1" w:styleId="RodapChar">
    <w:name w:val="Rodapé Char"/>
    <w:basedOn w:val="Fontepargpadro"/>
    <w:link w:val="Rodap"/>
    <w:uiPriority w:val="99"/>
    <w:rsid w:val="00B133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569066">
      <w:bodyDiv w:val="1"/>
      <w:marLeft w:val="0"/>
      <w:marRight w:val="0"/>
      <w:marTop w:val="0"/>
      <w:marBottom w:val="0"/>
      <w:divBdr>
        <w:top w:val="none" w:sz="0" w:space="0" w:color="auto"/>
        <w:left w:val="none" w:sz="0" w:space="0" w:color="auto"/>
        <w:bottom w:val="none" w:sz="0" w:space="0" w:color="auto"/>
        <w:right w:val="none" w:sz="0" w:space="0" w:color="auto"/>
      </w:divBdr>
    </w:div>
    <w:div w:id="138891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2/Decreto/D11246.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gov.br/compras/pt-br/acesso-a-informacao/legislacao/instrucoes-normativas/instrucao-normativa-seges-me-no-116-de-21-de-dezembro-de-2021" TargetMode="External"/><Relationship Id="rId3" Type="http://schemas.openxmlformats.org/officeDocument/2006/relationships/webSettings" Target="webSettings.xml"/><Relationship Id="rId21" Type="http://schemas.openxmlformats.org/officeDocument/2006/relationships/hyperlink" Target="https://www.planalto.gov.br/ccivil_03/leis/l5764.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5764.htm" TargetMode="External"/><Relationship Id="rId2" Type="http://schemas.openxmlformats.org/officeDocument/2006/relationships/settings" Target="setting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s://www.planalto.gov.br/ccivil_03/leis/l5764.htm" TargetMode="External"/><Relationship Id="rId1" Type="http://schemas.openxmlformats.org/officeDocument/2006/relationships/styles" Target="styles.xm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gov.br/empresas-e-negocios/pt-br/empreendedor" TargetMode="External"/><Relationship Id="rId23"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footnotes" Target="footnot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tce.sp.gov.br/apenado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4923</Words>
  <Characters>26588</Characters>
  <Application>Microsoft Office Word</Application>
  <DocSecurity>0</DocSecurity>
  <Lines>221</Lines>
  <Paragraphs>62</Paragraphs>
  <ScaleCrop>false</ScaleCrop>
  <Company>FDE</Company>
  <LinksUpToDate>false</LinksUpToDate>
  <CharactersWithSpaces>31449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SAO JOSE DOS CAMPOS NCS</dc:creator>
  <cp:keywords/>
  <dc:description/>
  <cp:lastModifiedBy>DE SAO JOSE DOS CAMPOS NCS</cp:lastModifiedBy>
  <cp:revision>10</cp:revision>
  <dcterms:created xsi:type="dcterms:W3CDTF">2024-07-23T13:34:00Z</dcterms:created>
  <dcterms:modified xsi:type="dcterms:W3CDTF">2024-07-23T13:39:00Z</dcterms:modified>
</cp:coreProperties>
</file>