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D3C4B" w14:textId="77777777" w:rsidR="00D50898" w:rsidRDefault="00D50898" w:rsidP="00D50898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ANEXO III</w:t>
      </w:r>
    </w:p>
    <w:p w14:paraId="543F0B2C" w14:textId="77777777" w:rsidR="00D50898" w:rsidRDefault="00D50898" w:rsidP="00D50898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119C6FA1" w14:textId="77777777" w:rsidR="00D50898" w:rsidRPr="00301AD1" w:rsidRDefault="00D50898" w:rsidP="00D5089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301AD1">
        <w:rPr>
          <w:rFonts w:ascii="Arial" w:hAnsi="Arial" w:cs="Arial"/>
          <w:b/>
          <w:bCs/>
          <w:sz w:val="20"/>
          <w:szCs w:val="20"/>
        </w:rPr>
        <w:t>RESOLUÇÃO SEDUC Nº 28, DE 23 DE FEVEREIRO DE 2026</w:t>
      </w:r>
    </w:p>
    <w:p w14:paraId="39732265" w14:textId="77777777" w:rsidR="00D50898" w:rsidRDefault="00D50898" w:rsidP="00D50898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10FB4B4B" w14:textId="77777777" w:rsidR="00D50898" w:rsidRPr="00C712DB" w:rsidRDefault="00D50898" w:rsidP="00D50898">
      <w:pPr>
        <w:jc w:val="both"/>
        <w:rPr>
          <w:rFonts w:ascii="Arial" w:hAnsi="Arial" w:cs="Arial"/>
          <w:i/>
          <w:iCs/>
          <w:sz w:val="20"/>
          <w:szCs w:val="20"/>
        </w:rPr>
      </w:pPr>
      <w:r w:rsidRPr="00C712DB">
        <w:rPr>
          <w:rFonts w:ascii="Arial" w:hAnsi="Arial" w:cs="Arial"/>
          <w:i/>
          <w:iCs/>
          <w:sz w:val="20"/>
          <w:szCs w:val="20"/>
        </w:rPr>
        <w:t>Dispõe sobre a aplicação das sanções administrativas previstas na Lei Federal nº 14.133/21, de 1º de abril de 2021, no âmbito da Secretaria de Estado da Educação</w:t>
      </w:r>
    </w:p>
    <w:p w14:paraId="1384447B" w14:textId="77777777" w:rsidR="00D50898" w:rsidRDefault="00D50898" w:rsidP="00D50898">
      <w:pPr>
        <w:jc w:val="both"/>
        <w:rPr>
          <w:rFonts w:ascii="Arial" w:hAnsi="Arial" w:cs="Arial"/>
          <w:sz w:val="20"/>
          <w:szCs w:val="20"/>
        </w:rPr>
      </w:pPr>
    </w:p>
    <w:p w14:paraId="5443DA0E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sz w:val="20"/>
          <w:szCs w:val="20"/>
        </w:rPr>
        <w:t>O SECRETÁRIO DE ESTADO DA EDUCAÇÃO, no uso de suas atribuições legais, com fundamento no artigo 12, inciso I, alínea b, da Lei 10.177, de 30 de dezembro de 1998, e considerando:</w:t>
      </w:r>
    </w:p>
    <w:p w14:paraId="4A112DD7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sz w:val="20"/>
          <w:szCs w:val="20"/>
        </w:rPr>
        <w:t>as disposições da Lei 14.133/21, de 1º de abril de 2021, que estabelece procedimento para aplicação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de sanções decorrentes da prática de infrações previstas nos artigos 155 a 163;</w:t>
      </w:r>
    </w:p>
    <w:p w14:paraId="10187A62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sz w:val="20"/>
          <w:szCs w:val="20"/>
        </w:rPr>
        <w:t>o Decreto-Lei nº 4.657, de 04 de setembro de 1942, (Lei de Introdução às Normas do Direito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Brasileiro);</w:t>
      </w:r>
    </w:p>
    <w:p w14:paraId="161BBCF3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sz w:val="20"/>
          <w:szCs w:val="20"/>
        </w:rPr>
        <w:t>o disposto no Decreto Estadual nº 69.665, de 30 de junho de 2025, que aprovou a estrutura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organizacional da SEDUC-SP;</w:t>
      </w:r>
    </w:p>
    <w:p w14:paraId="412C645C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sz w:val="20"/>
          <w:szCs w:val="20"/>
        </w:rPr>
        <w:t>a Resolução SEDUC nº 122, de 4 de setembro de 2025, que delega competência ao Secretário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Executivo;</w:t>
      </w:r>
    </w:p>
    <w:p w14:paraId="5F12EC18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sz w:val="20"/>
          <w:szCs w:val="20"/>
        </w:rPr>
        <w:t>a necessidade de padronizar o procedimento administrativo sancionatório no âmbito desta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Pasta.</w:t>
      </w:r>
    </w:p>
    <w:p w14:paraId="73F84A47" w14:textId="77777777" w:rsidR="00D50898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174685C6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RESOLVE:</w:t>
      </w:r>
    </w:p>
    <w:p w14:paraId="0786B9B3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CAPÍTULO I</w:t>
      </w:r>
    </w:p>
    <w:p w14:paraId="568EC76A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DAS DISPOSIÇÕES GERAIS</w:t>
      </w:r>
    </w:p>
    <w:p w14:paraId="3E8520F9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Artigo 1º</w:t>
      </w:r>
      <w:r w:rsidRPr="00C712DB">
        <w:rPr>
          <w:rFonts w:ascii="Arial" w:hAnsi="Arial" w:cs="Arial"/>
          <w:sz w:val="20"/>
          <w:szCs w:val="20"/>
        </w:rPr>
        <w:t xml:space="preserve"> – Esta Resolução disciplina a aplicação das sanções administrativas, o processo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administrativo sancionatório e os registros e comunicações correlatos decorrentes de infrações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previstas no art. 155 da Lei nº 14.133/2021, no âmbito da Secretaria da Educação do Estado de São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Paulo.</w:t>
      </w:r>
    </w:p>
    <w:p w14:paraId="144EC6C7" w14:textId="77777777" w:rsidR="00D50898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2D2C7D5C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Artigo 2º</w:t>
      </w:r>
      <w:r w:rsidRPr="00C712DB">
        <w:rPr>
          <w:rFonts w:ascii="Arial" w:hAnsi="Arial" w:cs="Arial"/>
          <w:sz w:val="20"/>
          <w:szCs w:val="20"/>
        </w:rPr>
        <w:t xml:space="preserve"> – Compete:</w:t>
      </w:r>
    </w:p>
    <w:p w14:paraId="1ED20DB0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I</w:t>
      </w:r>
      <w:r w:rsidRPr="00C712DB">
        <w:rPr>
          <w:rFonts w:ascii="Arial" w:hAnsi="Arial" w:cs="Arial"/>
          <w:sz w:val="20"/>
          <w:szCs w:val="20"/>
        </w:rPr>
        <w:t xml:space="preserve"> – ao Ordenador de Despesa, aplicar as sanções de advertência e de multa;</w:t>
      </w:r>
    </w:p>
    <w:p w14:paraId="7B63D58D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II</w:t>
      </w:r>
      <w:r w:rsidRPr="00C712DB">
        <w:rPr>
          <w:rFonts w:ascii="Arial" w:hAnsi="Arial" w:cs="Arial"/>
          <w:sz w:val="20"/>
          <w:szCs w:val="20"/>
        </w:rPr>
        <w:t xml:space="preserve"> – ao Secretário Executivo, aplicar a sanção de impedimento de licitar e contratar com 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Administração Pública estadual;</w:t>
      </w:r>
    </w:p>
    <w:p w14:paraId="40048067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III</w:t>
      </w:r>
      <w:r w:rsidRPr="00C712DB">
        <w:rPr>
          <w:rFonts w:ascii="Arial" w:hAnsi="Arial" w:cs="Arial"/>
          <w:sz w:val="20"/>
          <w:szCs w:val="20"/>
        </w:rPr>
        <w:t xml:space="preserve"> – ao Secretário de Estado da Educação, aplicar a sanção de declaração de inidoneidade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para licitar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e contratar com a Administração Pública, observada a análise jurídica prévia (art. 156, § 6º, da Lei nº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14.133/2021).</w:t>
      </w:r>
    </w:p>
    <w:p w14:paraId="07BEC4C4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Paragrafo único</w:t>
      </w:r>
      <w:r w:rsidRPr="00C712DB">
        <w:rPr>
          <w:rFonts w:ascii="Arial" w:hAnsi="Arial" w:cs="Arial"/>
          <w:sz w:val="20"/>
          <w:szCs w:val="20"/>
        </w:rPr>
        <w:t xml:space="preserve"> - A dosimetria considerará a natureza e gravidade da infração, os danos causados, as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circunstâncias atenuantes e agravantes, a proporcionalidade e a razoabilidade, bem como a boa</w:t>
      </w:r>
      <w:r w:rsidRPr="00C712DB">
        <w:rPr>
          <w:rFonts w:ascii="Cambria Math" w:hAnsi="Cambria Math" w:cs="Cambria Math"/>
          <w:sz w:val="20"/>
          <w:szCs w:val="20"/>
        </w:rPr>
        <w:t>‑</w:t>
      </w:r>
      <w:r w:rsidRPr="00C712DB">
        <w:rPr>
          <w:rFonts w:ascii="Arial" w:hAnsi="Arial" w:cs="Arial"/>
          <w:sz w:val="20"/>
          <w:szCs w:val="20"/>
        </w:rPr>
        <w:t>fé, cooperação e medidas de mitigação adotadas pelo interessado.</w:t>
      </w:r>
    </w:p>
    <w:p w14:paraId="3C8F4269" w14:textId="77777777" w:rsidR="00D50898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5EF37A41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CAPÍTULO II</w:t>
      </w:r>
    </w:p>
    <w:p w14:paraId="3DA5EDB9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DA SUSPENSÃO CONTRATUAL</w:t>
      </w:r>
    </w:p>
    <w:p w14:paraId="219DB171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Artigo 3º</w:t>
      </w:r>
      <w:r w:rsidRPr="00C712DB">
        <w:rPr>
          <w:rFonts w:ascii="Arial" w:hAnsi="Arial" w:cs="Arial"/>
          <w:sz w:val="20"/>
          <w:szCs w:val="20"/>
        </w:rPr>
        <w:t xml:space="preserve"> – Independentemente da instauração de processo sancionatório, caso constatada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irregularidade no procedimento licitatório ou na execução contratual, a autoridade competente da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Unidade/Coordenadoria poderá determinar, quando a medida se revelar de interesse público, 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suspensão da execução do contrato, mediante comunicação expressa aos responsáveis indicados no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Termo de Ciência e de Notificação, desde que avaliados os aspectos a que se refere o artigo 147 da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Lei Federal nº 14.133/21.</w:t>
      </w:r>
    </w:p>
    <w:p w14:paraId="39AD10B8" w14:textId="77777777" w:rsidR="00D50898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3F67466C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CAPÍTULO III</w:t>
      </w:r>
    </w:p>
    <w:p w14:paraId="7805866E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DAS SANÇÕES E DA DOSIMETRIA</w:t>
      </w:r>
    </w:p>
    <w:p w14:paraId="07032B11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Artigo 4º</w:t>
      </w:r>
      <w:r w:rsidRPr="00C712DB">
        <w:rPr>
          <w:rFonts w:ascii="Arial" w:hAnsi="Arial" w:cs="Arial"/>
          <w:sz w:val="20"/>
          <w:szCs w:val="20"/>
        </w:rPr>
        <w:t xml:space="preserve"> – O licitante ou contratado que incidir nas infrações previstas no art. 155 da Lei nº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14.133/2021 ficará sujeito às seguintes sanções, observado o devido processo legal e assegurados 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contraditório e a ampla defesa:</w:t>
      </w:r>
    </w:p>
    <w:p w14:paraId="1F97DD74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I</w:t>
      </w:r>
      <w:r w:rsidRPr="00C712DB">
        <w:rPr>
          <w:rFonts w:ascii="Arial" w:hAnsi="Arial" w:cs="Arial"/>
          <w:sz w:val="20"/>
          <w:szCs w:val="20"/>
        </w:rPr>
        <w:t xml:space="preserve"> – advertência;</w:t>
      </w:r>
    </w:p>
    <w:p w14:paraId="20178069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II</w:t>
      </w:r>
      <w:r w:rsidRPr="00C712DB">
        <w:rPr>
          <w:rFonts w:ascii="Arial" w:hAnsi="Arial" w:cs="Arial"/>
          <w:sz w:val="20"/>
          <w:szCs w:val="20"/>
        </w:rPr>
        <w:t xml:space="preserve"> – multa;</w:t>
      </w:r>
    </w:p>
    <w:p w14:paraId="40A60ABF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III</w:t>
      </w:r>
      <w:r w:rsidRPr="00C712DB">
        <w:rPr>
          <w:rFonts w:ascii="Arial" w:hAnsi="Arial" w:cs="Arial"/>
          <w:sz w:val="20"/>
          <w:szCs w:val="20"/>
        </w:rPr>
        <w:t xml:space="preserve"> – impedimento de licitar e contratar com a Administração Pública estadual direta e indireta, pelo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prazo de até 3 (três) anos;</w:t>
      </w:r>
    </w:p>
    <w:p w14:paraId="3CF7099E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 xml:space="preserve">IV </w:t>
      </w:r>
      <w:r w:rsidRPr="00C712DB">
        <w:rPr>
          <w:rFonts w:ascii="Arial" w:hAnsi="Arial" w:cs="Arial"/>
          <w:sz w:val="20"/>
          <w:szCs w:val="20"/>
        </w:rPr>
        <w:t xml:space="preserve">– declaração de inidoneidade para licitar e contratar no âmbito da Administração Pública direta </w:t>
      </w:r>
      <w:r w:rsidRPr="00C712DB">
        <w:rPr>
          <w:rFonts w:ascii="Arial" w:hAnsi="Arial" w:cs="Arial"/>
          <w:sz w:val="20"/>
          <w:szCs w:val="20"/>
        </w:rPr>
        <w:lastRenderedPageBreak/>
        <w:t>e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indireta de todos os entes federativos, pelo prazo mínimo de 3 (três) anos e máximo de 6 (seis) anos.</w:t>
      </w:r>
    </w:p>
    <w:p w14:paraId="6C38D022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§ 1º</w:t>
      </w:r>
      <w:r w:rsidRPr="00C712DB">
        <w:rPr>
          <w:rFonts w:ascii="Arial" w:hAnsi="Arial" w:cs="Arial"/>
          <w:sz w:val="20"/>
          <w:szCs w:val="20"/>
        </w:rPr>
        <w:t xml:space="preserve"> – A aplicação das sanções previstas neste artigo não exclui a obrigação de reparação integral do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dano causado à Administração Pública, nos termos do art. 156, § 9º, da Lei nº 14.133/2021.</w:t>
      </w:r>
    </w:p>
    <w:p w14:paraId="5A958B1B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§ 2º</w:t>
      </w:r>
      <w:r w:rsidRPr="00C712DB">
        <w:rPr>
          <w:rFonts w:ascii="Arial" w:hAnsi="Arial" w:cs="Arial"/>
          <w:sz w:val="20"/>
          <w:szCs w:val="20"/>
        </w:rPr>
        <w:t xml:space="preserve"> – As sanções de que tratam os incisos I, III e IV poderão ser aplicadas cumulativamente com 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pena de multa.</w:t>
      </w:r>
    </w:p>
    <w:p w14:paraId="3606743C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§ 3º</w:t>
      </w:r>
      <w:r w:rsidRPr="00C712DB">
        <w:rPr>
          <w:rFonts w:ascii="Arial" w:hAnsi="Arial" w:cs="Arial"/>
          <w:sz w:val="20"/>
          <w:szCs w:val="20"/>
        </w:rPr>
        <w:t xml:space="preserve"> – As multas sancionatórias e moratórias possuem naturezas distintas e serão disciplinadas em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seções próprias desta Resolução.</w:t>
      </w:r>
    </w:p>
    <w:p w14:paraId="30A5EB14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Artigo 5º</w:t>
      </w:r>
      <w:r w:rsidRPr="00C712DB">
        <w:rPr>
          <w:rFonts w:ascii="Arial" w:hAnsi="Arial" w:cs="Arial"/>
          <w:sz w:val="20"/>
          <w:szCs w:val="20"/>
        </w:rPr>
        <w:t xml:space="preserve"> - Na aplicação das sanções a que se refere o artigo 4º, serão considerados:</w:t>
      </w:r>
    </w:p>
    <w:p w14:paraId="68382A77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 xml:space="preserve">I </w:t>
      </w:r>
      <w:r w:rsidRPr="00C712DB">
        <w:rPr>
          <w:rFonts w:ascii="Arial" w:hAnsi="Arial" w:cs="Arial"/>
          <w:sz w:val="20"/>
          <w:szCs w:val="20"/>
        </w:rPr>
        <w:t>- a natureza e a gravidade da infração cometida;</w:t>
      </w:r>
    </w:p>
    <w:p w14:paraId="4DC20D04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II</w:t>
      </w:r>
      <w:r w:rsidRPr="00C712DB">
        <w:rPr>
          <w:rFonts w:ascii="Arial" w:hAnsi="Arial" w:cs="Arial"/>
          <w:sz w:val="20"/>
          <w:szCs w:val="20"/>
        </w:rPr>
        <w:t xml:space="preserve"> - as peculiaridades do caso concreto;</w:t>
      </w:r>
    </w:p>
    <w:p w14:paraId="287A40F9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III</w:t>
      </w:r>
      <w:r w:rsidRPr="00C712DB">
        <w:rPr>
          <w:rFonts w:ascii="Arial" w:hAnsi="Arial" w:cs="Arial"/>
          <w:sz w:val="20"/>
          <w:szCs w:val="20"/>
        </w:rPr>
        <w:t xml:space="preserve"> - as circunstâncias agravantes ou atenuantes;</w:t>
      </w:r>
    </w:p>
    <w:p w14:paraId="751B6739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IV</w:t>
      </w:r>
      <w:r w:rsidRPr="00C712DB">
        <w:rPr>
          <w:rFonts w:ascii="Arial" w:hAnsi="Arial" w:cs="Arial"/>
          <w:sz w:val="20"/>
          <w:szCs w:val="20"/>
        </w:rPr>
        <w:t xml:space="preserve"> - os danos que dela provierem para a Administração Pública;</w:t>
      </w:r>
    </w:p>
    <w:p w14:paraId="3753DC96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 xml:space="preserve">V </w:t>
      </w:r>
      <w:r w:rsidRPr="00C712DB">
        <w:rPr>
          <w:rFonts w:ascii="Arial" w:hAnsi="Arial" w:cs="Arial"/>
          <w:sz w:val="20"/>
          <w:szCs w:val="20"/>
        </w:rPr>
        <w:t>- a implantação ou o aperfeiçoamento de programa de integridade, conforme normas e orientações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dos órgãos de controle.</w:t>
      </w:r>
    </w:p>
    <w:p w14:paraId="2742291B" w14:textId="77777777" w:rsidR="00D50898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B83EBE">
        <w:rPr>
          <w:rFonts w:ascii="Arial" w:hAnsi="Arial" w:cs="Arial"/>
          <w:b/>
          <w:bCs/>
          <w:sz w:val="20"/>
          <w:szCs w:val="20"/>
        </w:rPr>
        <w:t>§ 1º</w:t>
      </w:r>
      <w:r w:rsidRPr="00C712DB">
        <w:rPr>
          <w:rFonts w:ascii="Arial" w:hAnsi="Arial" w:cs="Arial"/>
          <w:sz w:val="20"/>
          <w:szCs w:val="20"/>
        </w:rPr>
        <w:t xml:space="preserve"> - São circunstâncias agravantes da sanção: </w:t>
      </w:r>
    </w:p>
    <w:p w14:paraId="302FB6A5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sz w:val="20"/>
          <w:szCs w:val="20"/>
        </w:rPr>
        <w:t>1 - a existência de registro do licitante ou contratado na Bolsa Eletrônica de Compras de São Paulo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(BEC/SP), no Cadastro Nacional de Empresas Inidôneas e Suspensas (CEIS),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no Cadastro Nacional de Empresas Punidas (CNEP), ou na Relação de Apenados do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Tribunal de Contas do Estado de São Paulo, em vigência no momento do cometimento da infração,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em decorrência da prática de tipos infracionais em licitações e contratos administrativos nos 12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(doze) meses que antecederam o fato que ensejou a abertura de processo sancionatório pela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Secretaria de Estado da Educação;</w:t>
      </w:r>
    </w:p>
    <w:p w14:paraId="317E9682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sz w:val="20"/>
          <w:szCs w:val="20"/>
        </w:rPr>
        <w:t>2 - a desclassificação ou inabilitação por descumprimento das exigências do edital, quando for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notória a impossibilidade de atendimento ao estabelecido, que somente será considerada quando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estiver vinculada a uma das infrações previstas nos incisos VIII a XII do art. 155 da Lei nº 14.133/2021;</w:t>
      </w:r>
    </w:p>
    <w:p w14:paraId="6060C667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sz w:val="20"/>
          <w:szCs w:val="20"/>
        </w:rPr>
        <w:t>3 - ausência deliberada de resposta às diligências destinadas a esclarecer ou a complementar 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instrução do processo licitatório, ou o inadimplemento de obrigações contratuais;</w:t>
      </w:r>
    </w:p>
    <w:p w14:paraId="7BA83AB3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sz w:val="20"/>
          <w:szCs w:val="20"/>
        </w:rPr>
        <w:t>4 - quando firmada a convicção, no âmbito administrativo, acerca da falsidade de declaração,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apresentada pelo licitante, de que é beneficiário de tratamento diferenciado concedido em legislação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específica.</w:t>
      </w:r>
    </w:p>
    <w:p w14:paraId="7FE0EAB2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§ 2º</w:t>
      </w:r>
      <w:r w:rsidRPr="00C712DB">
        <w:rPr>
          <w:rFonts w:ascii="Arial" w:hAnsi="Arial" w:cs="Arial"/>
          <w:sz w:val="20"/>
          <w:szCs w:val="20"/>
        </w:rPr>
        <w:t xml:space="preserve"> - São circunstâncias atenuantes da sanção:</w:t>
      </w:r>
    </w:p>
    <w:p w14:paraId="7298B0A9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sz w:val="20"/>
          <w:szCs w:val="20"/>
        </w:rPr>
        <w:t>1 - quando restar comprovada a ausência de registro na Bolsa Eletrônica de Compras de São Paulo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(BEC/SP), no Cadastro Nacional de Empresas Inidôneas e Suspensas (CEIS),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no Cadastro Nacional de Empresas Punidas (CNEP), ou na Relação de Apenados do Tribunal de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Contas do Estado de São Paulo de sanção aplicada à licitante ou à contratada por parte da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Administração Pública Estadual em decorrência da prática de tipos infracionais em licitações e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contratos administrativos nos 24 (vinte e quatro) meses que antecederam o fato que ensejou 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abertura de processo sancionatório;</w:t>
      </w:r>
    </w:p>
    <w:p w14:paraId="66BE494A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sz w:val="20"/>
          <w:szCs w:val="20"/>
        </w:rPr>
        <w:t>2 - O erro justificável cometido pelo licitante ou contratado;</w:t>
      </w:r>
    </w:p>
    <w:p w14:paraId="2D0E8C80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sz w:val="20"/>
          <w:szCs w:val="20"/>
        </w:rPr>
        <w:t>3 - quando a conduta praticada seja decorrente da apresentação de documentação que não atendeu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às exigências do edital, desde que reste evidenciado equívoco em seu encaminhamento e ausência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de dolo;</w:t>
      </w:r>
    </w:p>
    <w:p w14:paraId="2230E491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sz w:val="20"/>
          <w:szCs w:val="20"/>
        </w:rPr>
        <w:t>4 - mitigação dos efeitos danosos da respectiva conduta.</w:t>
      </w:r>
    </w:p>
    <w:p w14:paraId="48BD4EE4" w14:textId="77777777" w:rsidR="00D50898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21884DDB" w14:textId="77777777" w:rsidR="00D50898" w:rsidRPr="003B07A9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B07A9">
        <w:rPr>
          <w:rFonts w:ascii="Arial" w:hAnsi="Arial" w:cs="Arial"/>
          <w:b/>
          <w:bCs/>
          <w:sz w:val="20"/>
          <w:szCs w:val="20"/>
        </w:rPr>
        <w:t>CAPÍTULO IV</w:t>
      </w:r>
    </w:p>
    <w:p w14:paraId="051F99E9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DAS INFRAÇÕES E SANÇÕES ADMINISTRATIVAS</w:t>
      </w:r>
    </w:p>
    <w:p w14:paraId="286040D5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Seção I</w:t>
      </w:r>
    </w:p>
    <w:p w14:paraId="0FA40645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Da Advertência</w:t>
      </w:r>
    </w:p>
    <w:p w14:paraId="22914535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Artigo 6º -</w:t>
      </w:r>
      <w:r w:rsidRPr="00C712DB">
        <w:rPr>
          <w:rFonts w:ascii="Arial" w:hAnsi="Arial" w:cs="Arial"/>
          <w:sz w:val="20"/>
          <w:szCs w:val="20"/>
        </w:rPr>
        <w:t xml:space="preserve"> A sanção de advertência será aplicada como instrumento de diálogo e correção de conduta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na hipótese de descumprimento contratual de pequena relevância, que não acarrete prejuízo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significativo à Administração que justifique a imposição de penalidade mais grave, podendo ser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cumulada com a pena de multa.</w:t>
      </w:r>
    </w:p>
    <w:p w14:paraId="3A18C850" w14:textId="77777777" w:rsidR="00D50898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63C97888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Seção II</w:t>
      </w:r>
    </w:p>
    <w:p w14:paraId="4321E095" w14:textId="77777777" w:rsidR="00D50898" w:rsidRPr="003B07A9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B07A9">
        <w:rPr>
          <w:rFonts w:ascii="Arial" w:hAnsi="Arial" w:cs="Arial"/>
          <w:b/>
          <w:bCs/>
          <w:sz w:val="20"/>
          <w:szCs w:val="20"/>
        </w:rPr>
        <w:t>Da Multa</w:t>
      </w:r>
    </w:p>
    <w:p w14:paraId="05B1928B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lastRenderedPageBreak/>
        <w:t>Artigo 7º</w:t>
      </w:r>
      <w:r w:rsidRPr="00C712DB">
        <w:rPr>
          <w:rFonts w:ascii="Arial" w:hAnsi="Arial" w:cs="Arial"/>
          <w:sz w:val="20"/>
          <w:szCs w:val="20"/>
        </w:rPr>
        <w:t xml:space="preserve"> – A multa sancionatória será aplicada nas hipóteses do art. 155 da Lei nº 14.133/2021,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observado o intervalo mínimo de 0,5% (cinco décimos por cento) e máximo de 30% (trinta por cento),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a ser calculada na conformidade dos Anexos I e II desta resolução.</w:t>
      </w:r>
    </w:p>
    <w:p w14:paraId="084F8CE1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§ 1º</w:t>
      </w:r>
      <w:r w:rsidRPr="00C712DB">
        <w:rPr>
          <w:rFonts w:ascii="Arial" w:hAnsi="Arial" w:cs="Arial"/>
          <w:sz w:val="20"/>
          <w:szCs w:val="20"/>
        </w:rPr>
        <w:t xml:space="preserve"> – No caso de descumprimento parcial do ajuste, a multa deverá ser calculada de forma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proporcional ao tempo da execução do contrato, ou sobre a parcela inadimplida.</w:t>
      </w:r>
    </w:p>
    <w:p w14:paraId="6EDC57EC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§ 2º</w:t>
      </w:r>
      <w:r w:rsidRPr="00C712DB">
        <w:rPr>
          <w:rFonts w:ascii="Arial" w:hAnsi="Arial" w:cs="Arial"/>
          <w:sz w:val="20"/>
          <w:szCs w:val="20"/>
        </w:rPr>
        <w:t xml:space="preserve"> – Quando não houver valor contratual definido, a multa incidirá sobre o valor estimado da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contratação, apurado na pesquisa de preços (art. 23 da Lei nº 14.133/2021), ou, na sua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ausência,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sobre a estimativa preliminar constante do Documento de Formalização de Demanda (DFD) e/ou do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Estudo Técnico Preliminar (ETP).</w:t>
      </w:r>
    </w:p>
    <w:p w14:paraId="1625DDD1" w14:textId="77777777" w:rsidR="00D50898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45BB4FC0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Artigo 8º</w:t>
      </w:r>
      <w:r w:rsidRPr="00C712DB">
        <w:rPr>
          <w:rFonts w:ascii="Arial" w:hAnsi="Arial" w:cs="Arial"/>
          <w:sz w:val="20"/>
          <w:szCs w:val="20"/>
        </w:rPr>
        <w:t xml:space="preserve"> – A multa moratória incidirá em caso de atraso na execução de obrigação contratual, nos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termos do art. 162 da Lei federal nº 14.133/2021, tendo como base de cálculo o valor da parcela em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atraso, e será contada em dias corridos, a partir do primeiro dia útil seguinte ao término do prazo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estipulado, observados os seguintes critérios:</w:t>
      </w:r>
    </w:p>
    <w:p w14:paraId="3DEF54C3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 xml:space="preserve">I </w:t>
      </w:r>
      <w:r w:rsidRPr="00C712DB">
        <w:rPr>
          <w:rFonts w:ascii="Arial" w:hAnsi="Arial" w:cs="Arial"/>
          <w:sz w:val="20"/>
          <w:szCs w:val="20"/>
        </w:rPr>
        <w:t>- de 0,5% (meio por cento) ao dia, no caso de atraso no cumprimento dos prazos estipulados,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calculada sobre o valor da parcela entregue com atraso, até o 10º (décimo) dia de atraso;</w:t>
      </w:r>
    </w:p>
    <w:p w14:paraId="219398C7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 xml:space="preserve">II </w:t>
      </w:r>
      <w:r w:rsidRPr="00C712DB">
        <w:rPr>
          <w:rFonts w:ascii="Arial" w:hAnsi="Arial" w:cs="Arial"/>
          <w:sz w:val="20"/>
          <w:szCs w:val="20"/>
        </w:rPr>
        <w:t>- de 1% (um por cento) ao dia, no caso de atraso no cumprimento dos prazos estipulados, calculada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sobre o valor da parcela em atraso, entre o 11º (décimo primeiro) e o 30º (trigésimo) dia de atraso,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em acréscimo ao disposto no inciso I;</w:t>
      </w:r>
    </w:p>
    <w:p w14:paraId="3658DF43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 xml:space="preserve">III </w:t>
      </w:r>
      <w:r w:rsidRPr="00C712DB">
        <w:rPr>
          <w:rFonts w:ascii="Arial" w:hAnsi="Arial" w:cs="Arial"/>
          <w:sz w:val="20"/>
          <w:szCs w:val="20"/>
        </w:rPr>
        <w:t>- Após 30 (trinta) dias, fica caracterizada a inexecução parcial ou total do contrato, conforme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o caso.</w:t>
      </w:r>
    </w:p>
    <w:p w14:paraId="0A79E66F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Parágrafo único</w:t>
      </w:r>
      <w:r w:rsidRPr="00C712DB">
        <w:rPr>
          <w:rFonts w:ascii="Arial" w:hAnsi="Arial" w:cs="Arial"/>
          <w:sz w:val="20"/>
          <w:szCs w:val="20"/>
        </w:rPr>
        <w:t xml:space="preserve"> - Até o 30º (trigésimo) dia de atraso, a autoridade poderá, mediante decisão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motivada, converter a multa moratória em multa sancionatória e promover a extinção unilateral do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contrato, com a aplicação cumulada de outras sanções previstas nesta resolução.</w:t>
      </w:r>
    </w:p>
    <w:p w14:paraId="0189E2AE" w14:textId="77777777" w:rsidR="00D50898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21C9E316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Artigo 9º</w:t>
      </w:r>
      <w:r w:rsidRPr="00C712DB">
        <w:rPr>
          <w:rFonts w:ascii="Arial" w:hAnsi="Arial" w:cs="Arial"/>
          <w:sz w:val="20"/>
          <w:szCs w:val="20"/>
        </w:rPr>
        <w:t xml:space="preserve"> - O valor da multa aplicada será compensado dos pagamentos devidos pela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Administração.</w:t>
      </w:r>
    </w:p>
    <w:p w14:paraId="59198D79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Parágrafo único</w:t>
      </w:r>
      <w:r w:rsidRPr="00C712DB">
        <w:rPr>
          <w:rFonts w:ascii="Arial" w:hAnsi="Arial" w:cs="Arial"/>
          <w:sz w:val="20"/>
          <w:szCs w:val="20"/>
        </w:rPr>
        <w:t xml:space="preserve"> - Se a multa aplicada e as indenizações cabíveis forem superiores ao valor de</w:t>
      </w:r>
    </w:p>
    <w:p w14:paraId="44552F10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sz w:val="20"/>
          <w:szCs w:val="20"/>
        </w:rPr>
        <w:t>pagamento eventualmente devido pela Administração ao contratado, além da perda desse valor, 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diferença será descontada da garantia prestada ou será cobrada judicialmente.</w:t>
      </w:r>
    </w:p>
    <w:p w14:paraId="12FB61B7" w14:textId="77777777" w:rsidR="00D50898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50E06858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Seção III</w:t>
      </w:r>
    </w:p>
    <w:p w14:paraId="4C0FE105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Do Impedimento de Licitar e Contratar</w:t>
      </w:r>
    </w:p>
    <w:p w14:paraId="1838499F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Artigo 10 -</w:t>
      </w:r>
      <w:r w:rsidRPr="00C712DB">
        <w:rPr>
          <w:rFonts w:ascii="Arial" w:hAnsi="Arial" w:cs="Arial"/>
          <w:sz w:val="20"/>
          <w:szCs w:val="20"/>
        </w:rPr>
        <w:t xml:space="preserve"> Será aplicada a penalidade de impedimento de licitar e de firmar contratos com 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Administração Pública Estadual direta e indireta, por um período de até três anos, sempre que não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houver justificativa para uma sanção mais rigorosa aos responsáveis pelas infrações a seguir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especificadas:</w:t>
      </w:r>
    </w:p>
    <w:p w14:paraId="426D1335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I</w:t>
      </w:r>
      <w:r w:rsidRPr="00C712DB">
        <w:rPr>
          <w:rFonts w:ascii="Arial" w:hAnsi="Arial" w:cs="Arial"/>
          <w:sz w:val="20"/>
          <w:szCs w:val="20"/>
        </w:rPr>
        <w:t xml:space="preserve"> - dar causa à inexecução parcial do contrato que cause grave dano à administração pública,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ao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funcionamento dos serviços públicos ou ao interesse coletivo: 1 (um) ano;</w:t>
      </w:r>
    </w:p>
    <w:p w14:paraId="6D86A5CD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II</w:t>
      </w:r>
      <w:r w:rsidRPr="00C712DB">
        <w:rPr>
          <w:rFonts w:ascii="Arial" w:hAnsi="Arial" w:cs="Arial"/>
          <w:sz w:val="20"/>
          <w:szCs w:val="20"/>
        </w:rPr>
        <w:t xml:space="preserve"> - dar causa à inexecução total do contrato: parâmetro inicial de 2 (dois) anos;</w:t>
      </w:r>
    </w:p>
    <w:p w14:paraId="6193A999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 xml:space="preserve">III </w:t>
      </w:r>
      <w:r w:rsidRPr="00C712DB">
        <w:rPr>
          <w:rFonts w:ascii="Arial" w:hAnsi="Arial" w:cs="Arial"/>
          <w:sz w:val="20"/>
          <w:szCs w:val="20"/>
        </w:rPr>
        <w:t>- deixar de entregar a documentação exigida para o certame: 2 (dois) meses;</w:t>
      </w:r>
    </w:p>
    <w:p w14:paraId="78DE43CC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IV</w:t>
      </w:r>
      <w:r w:rsidRPr="00C712DB">
        <w:rPr>
          <w:rFonts w:ascii="Arial" w:hAnsi="Arial" w:cs="Arial"/>
          <w:sz w:val="20"/>
          <w:szCs w:val="20"/>
        </w:rPr>
        <w:t xml:space="preserve"> - não manter a proposta, salvo em decorrência de fato superveniente devidamente justificado: 4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(quatro) meses;</w:t>
      </w:r>
    </w:p>
    <w:p w14:paraId="01DBD490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V</w:t>
      </w:r>
      <w:r w:rsidRPr="00C712DB">
        <w:rPr>
          <w:rFonts w:ascii="Arial" w:hAnsi="Arial" w:cs="Arial"/>
          <w:sz w:val="20"/>
          <w:szCs w:val="20"/>
        </w:rPr>
        <w:t xml:space="preserve"> - não celebrar o contrato ou não entregar a documentação exigida para a contratação,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quando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convocado no prazo de validade de sua proposta: 6 (seis) meses;</w:t>
      </w:r>
    </w:p>
    <w:p w14:paraId="697637B5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VI</w:t>
      </w:r>
      <w:r w:rsidRPr="00C712DB">
        <w:rPr>
          <w:rFonts w:ascii="Arial" w:hAnsi="Arial" w:cs="Arial"/>
          <w:sz w:val="20"/>
          <w:szCs w:val="20"/>
        </w:rPr>
        <w:t xml:space="preserve"> - ensejar o retardamento da execução ou da entrega do objeto da licitação sem motivo justificado: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6 (seis) meses.</w:t>
      </w:r>
    </w:p>
    <w:p w14:paraId="7743F8B7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Parágrafo único</w:t>
      </w:r>
      <w:r w:rsidRPr="00C712DB">
        <w:rPr>
          <w:rFonts w:ascii="Arial" w:hAnsi="Arial" w:cs="Arial"/>
          <w:sz w:val="20"/>
          <w:szCs w:val="20"/>
        </w:rPr>
        <w:t xml:space="preserve"> - Os prazos de que trata este artigo poderão ser reduzidos ou majorados, neste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último caso até a sanção máxima de 3 (três) anos, à vista de circunstâncias atenuantes ou agravantes.</w:t>
      </w:r>
    </w:p>
    <w:p w14:paraId="05A96CC9" w14:textId="77777777" w:rsidR="00D50898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4FBF0880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Seção IV</w:t>
      </w:r>
    </w:p>
    <w:p w14:paraId="6EB5FA27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Da Declaração de Inidoneidade</w:t>
      </w:r>
    </w:p>
    <w:p w14:paraId="564A9A56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Artigo 11</w:t>
      </w:r>
      <w:r w:rsidRPr="00C712DB">
        <w:rPr>
          <w:rFonts w:ascii="Arial" w:hAnsi="Arial" w:cs="Arial"/>
          <w:sz w:val="20"/>
          <w:szCs w:val="20"/>
        </w:rPr>
        <w:t xml:space="preserve"> - A sanção de declaração de inidoneidade será aplicada ao contratado ou licitante pelas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infrações administrativas previstas nos incisos VIII a XII do caput do artigo 155 da LLCA, bem como, se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justificarem a imposição de penalidade mais grave, por aquelas previstas nos incisos II a VII do caput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do mesmo artigo, e impedirá o contratado ou licitante de licitar ou contratar no âmbito da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 xml:space="preserve">Administração Pública direta e indireta de todos os entes federativos, pelo </w:t>
      </w:r>
      <w:r w:rsidRPr="00C712DB">
        <w:rPr>
          <w:rFonts w:ascii="Arial" w:hAnsi="Arial" w:cs="Arial"/>
          <w:sz w:val="20"/>
          <w:szCs w:val="20"/>
        </w:rPr>
        <w:lastRenderedPageBreak/>
        <w:t>prazo de 4 (quatro) anos.</w:t>
      </w:r>
    </w:p>
    <w:p w14:paraId="070FABF0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§ 1º</w:t>
      </w:r>
      <w:r w:rsidRPr="00C712DB">
        <w:rPr>
          <w:rFonts w:ascii="Arial" w:hAnsi="Arial" w:cs="Arial"/>
          <w:sz w:val="20"/>
          <w:szCs w:val="20"/>
        </w:rPr>
        <w:t xml:space="preserve"> - O prazo a que alude o “caput” deste artigo poderá ser reduzido ou majorado, à vista de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circunstâncias atenuantes ou agravantes, respeitado o mínimo de 3 (três) anos e o máximo de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6 (seis)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anos.</w:t>
      </w:r>
    </w:p>
    <w:p w14:paraId="7F43CFBB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§ 2º</w:t>
      </w:r>
      <w:r w:rsidRPr="00C712DB">
        <w:rPr>
          <w:rFonts w:ascii="Arial" w:hAnsi="Arial" w:cs="Arial"/>
          <w:sz w:val="20"/>
          <w:szCs w:val="20"/>
        </w:rPr>
        <w:t xml:space="preserve"> - Para os fins do inciso X do “caput” do artigo 155 da LLCA, considera-se comportamento inidôneo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a prática de atos direcionados a prejudicar o bom andamento do certame ou do contrato.</w:t>
      </w:r>
    </w:p>
    <w:p w14:paraId="678525F4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Artigo 12</w:t>
      </w:r>
      <w:r w:rsidRPr="00C712DB">
        <w:rPr>
          <w:rFonts w:ascii="Arial" w:hAnsi="Arial" w:cs="Arial"/>
          <w:sz w:val="20"/>
          <w:szCs w:val="20"/>
        </w:rPr>
        <w:t xml:space="preserve"> - A ocorrência de uma conduta que se enquadre em múltiplas infrações no âmbito de uma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mesma licitação ou relação contratual implicará a aplicação da sanção correspondente à infração de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maior gravidade. Na hipótese de conduta classificável em duas ou mais infrações de igual gravidade,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será aplicada somente uma penalidade, considerando-se, em qualquer caso, as demais infrações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como circunstâncias agravantes para fins de dosimetria da sanção.</w:t>
      </w:r>
    </w:p>
    <w:p w14:paraId="7A0DE691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CAPÍTULO V</w:t>
      </w:r>
    </w:p>
    <w:p w14:paraId="02533C38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DO PROCESSO SANCIONATÓRIO</w:t>
      </w:r>
    </w:p>
    <w:p w14:paraId="4E39E76A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Seção I</w:t>
      </w:r>
    </w:p>
    <w:p w14:paraId="1E6FBAC2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Da Instauração do Processo Administrativo Sancionatório</w:t>
      </w:r>
    </w:p>
    <w:p w14:paraId="3F5C6883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Artigo 13</w:t>
      </w:r>
      <w:r w:rsidRPr="00C712DB">
        <w:rPr>
          <w:rFonts w:ascii="Arial" w:hAnsi="Arial" w:cs="Arial"/>
          <w:sz w:val="20"/>
          <w:szCs w:val="20"/>
        </w:rPr>
        <w:t xml:space="preserve"> - A instauração do processo sancionatório será precedida de comunicação formal elaborada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pelo gestor, ou pelo agente responsável pelo acompanhamento da execução contratual, contendo 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descrição objetiva dos fatos, a qual deverá ser encaminhada à autoridade competente e,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posteriormente, remetida à Coordenadoria de Procedimento Sancionatório para certificação da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regularidade da instrução inicial, nos termos da legislação aplicável.</w:t>
      </w:r>
    </w:p>
    <w:p w14:paraId="572240BB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Parágrafo único</w:t>
      </w:r>
      <w:r w:rsidRPr="00C712DB">
        <w:rPr>
          <w:rFonts w:ascii="Arial" w:hAnsi="Arial" w:cs="Arial"/>
          <w:sz w:val="20"/>
          <w:szCs w:val="20"/>
        </w:rPr>
        <w:t xml:space="preserve"> -Os emitentes das garantias exigidas no contrato deverão ser notificados quanto ao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início de processo sancionatório para apuração de descumprimento de cláusulas contratuais, nos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termos do artigo 137, § 4º, da Lei federal nº 14.133/2021.</w:t>
      </w:r>
    </w:p>
    <w:p w14:paraId="581A294A" w14:textId="77777777" w:rsidR="00D50898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EAED02C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Artigo 14</w:t>
      </w:r>
      <w:r w:rsidRPr="00C712DB">
        <w:rPr>
          <w:rFonts w:ascii="Arial" w:hAnsi="Arial" w:cs="Arial"/>
          <w:sz w:val="20"/>
          <w:szCs w:val="20"/>
        </w:rPr>
        <w:t xml:space="preserve"> – A comunicação a que se refere o artigo anterior se dará por meio de parecer técnico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opinativo da área requisitante ou contratante, contendo a identificação do fornecedor, a descrição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objetiva dos fatos, a indicação do enquadramento jurídico e os elementos de prova disponíveis.</w:t>
      </w:r>
    </w:p>
    <w:p w14:paraId="13753574" w14:textId="77777777" w:rsidR="00D50898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12905439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Artigo 15</w:t>
      </w:r>
      <w:r w:rsidRPr="00C712DB">
        <w:rPr>
          <w:rFonts w:ascii="Arial" w:hAnsi="Arial" w:cs="Arial"/>
          <w:sz w:val="20"/>
          <w:szCs w:val="20"/>
        </w:rPr>
        <w:t xml:space="preserve"> – Recebida a comunicação, a Coordenadoria de Procedimento Sancionatório opinará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quanto aos requisitos formais, devendo:</w:t>
      </w:r>
    </w:p>
    <w:p w14:paraId="45FBC135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sz w:val="20"/>
          <w:szCs w:val="20"/>
        </w:rPr>
        <w:t>I – verificar a regularidade da instrução e, quando necessário, determinar a complementação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documental;</w:t>
      </w:r>
    </w:p>
    <w:p w14:paraId="662FF86D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sz w:val="20"/>
          <w:szCs w:val="20"/>
        </w:rPr>
        <w:t>II – indicar o servidor responsável pela apuração nos casos de advertência e multa, ou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comissão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composta de 2 (dois) ou mais servidores estáveis para os casos de impedimento e declaração de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inidoneidade;</w:t>
      </w:r>
    </w:p>
    <w:p w14:paraId="595A5632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sz w:val="20"/>
          <w:szCs w:val="20"/>
        </w:rPr>
        <w:t>III – encaminhar os autos à autoridade competente para que esta realize o juízo de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admissibilidade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quanto ao mérito e, se for o caso, autorize a instauração do processo administrativo sancionatório.</w:t>
      </w:r>
    </w:p>
    <w:p w14:paraId="79A9ABE1" w14:textId="77777777" w:rsidR="00D50898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D33D045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Artigo 16</w:t>
      </w:r>
      <w:r w:rsidRPr="00C712DB">
        <w:rPr>
          <w:rFonts w:ascii="Arial" w:hAnsi="Arial" w:cs="Arial"/>
          <w:sz w:val="20"/>
          <w:szCs w:val="20"/>
        </w:rPr>
        <w:t xml:space="preserve"> – Caso procedente o juízo de admissibilidade, e devidamente autorizado pela autoridade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competente, o processo deverá ser encaminhado para o servidor responsável indicado, ou por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comissão processante formada por 2 (dois) ou mais servidores efetivos, para análise.</w:t>
      </w:r>
    </w:p>
    <w:p w14:paraId="47C9D8E2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Parágrafo único</w:t>
      </w:r>
      <w:r w:rsidRPr="00C712DB">
        <w:rPr>
          <w:rFonts w:ascii="Arial" w:hAnsi="Arial" w:cs="Arial"/>
          <w:sz w:val="20"/>
          <w:szCs w:val="20"/>
        </w:rPr>
        <w:t xml:space="preserve"> - Na hipótese de a infração ensejar a aplicação cumulativa das sanções de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impedimento de licitar ou contratar, ou declaração de inidoneidade com a de multa, o procedimento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será conduzido pela comissão processante.</w:t>
      </w:r>
    </w:p>
    <w:p w14:paraId="25922CA5" w14:textId="77777777" w:rsidR="00D50898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3C787E9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Artigo 17</w:t>
      </w:r>
      <w:r w:rsidRPr="00C712DB">
        <w:rPr>
          <w:rFonts w:ascii="Arial" w:hAnsi="Arial" w:cs="Arial"/>
          <w:sz w:val="20"/>
          <w:szCs w:val="20"/>
        </w:rPr>
        <w:t xml:space="preserve"> - Iniciado o processo administrativo sancionador, o responsável pela sua condução,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ou 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comissão processante, deverá intimar o licitante, ou contratado, para, no prazo de 15 (quinze) dias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úteis, contado da data da intimação, apresentar defesa escrita e especificar as provas que pretende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produzir.</w:t>
      </w:r>
    </w:p>
    <w:p w14:paraId="48B5EAE8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§ 1º</w:t>
      </w:r>
      <w:r w:rsidRPr="00C712DB">
        <w:rPr>
          <w:rFonts w:ascii="Arial" w:hAnsi="Arial" w:cs="Arial"/>
          <w:sz w:val="20"/>
          <w:szCs w:val="20"/>
        </w:rPr>
        <w:t xml:space="preserve"> – Na hipótese de acolhimento de requerimento para produção de novas provas ou de anexação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de elementos probatórios, considerados essenciais pela comissão processante, será facultado ao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licitante ou contratado o oferecimento de alegações finais, no prazo de quinze (15) dias úteis,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contados a partir da data da respectiva intimação.</w:t>
      </w:r>
    </w:p>
    <w:p w14:paraId="0601AA77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§ 2º</w:t>
      </w:r>
      <w:r w:rsidRPr="00C712DB">
        <w:rPr>
          <w:rFonts w:ascii="Arial" w:hAnsi="Arial" w:cs="Arial"/>
          <w:sz w:val="20"/>
          <w:szCs w:val="20"/>
        </w:rPr>
        <w:t xml:space="preserve"> – Serão indeferidas, mediante decisão devidamente motivada, as provas que se revelem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ilícitas,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impertinentes, desnecessárias, meramente protelatórias ou apresentadas fora do prazo legal.</w:t>
      </w:r>
    </w:p>
    <w:p w14:paraId="08F54517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lastRenderedPageBreak/>
        <w:t>§ 3º</w:t>
      </w:r>
      <w:r w:rsidRPr="00C712DB">
        <w:rPr>
          <w:rFonts w:ascii="Arial" w:hAnsi="Arial" w:cs="Arial"/>
          <w:sz w:val="20"/>
          <w:szCs w:val="20"/>
        </w:rPr>
        <w:t xml:space="preserve"> – Concluída a fase de instrução probatória ou decorrido o prazo para apresentação de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alegações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finais, o servidor responsável, ou a comissão processante, deverá elaborar relatório circunstanciado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dos fatos apurados, no prazo máximo de quinze (15) dias úteis.</w:t>
      </w:r>
    </w:p>
    <w:p w14:paraId="44683D20" w14:textId="77777777" w:rsidR="00D50898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6DFDD02F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Artigo 18</w:t>
      </w:r>
      <w:r w:rsidRPr="00C712DB">
        <w:rPr>
          <w:rFonts w:ascii="Arial" w:hAnsi="Arial" w:cs="Arial"/>
          <w:sz w:val="20"/>
          <w:szCs w:val="20"/>
        </w:rPr>
        <w:t xml:space="preserve"> – Após a confecção do Relatório Final Conclusivo, o responsável pela sua condução, ou pela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Comissão Permanente de Procedimentos Apuratórios, os autos serão submetidos à Coordenadoria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de Procedimento Sancionatório para certificação da instrução dos autos.</w:t>
      </w:r>
    </w:p>
    <w:p w14:paraId="3D2899EE" w14:textId="77777777" w:rsidR="00D50898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59A606DE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Seção II</w:t>
      </w:r>
    </w:p>
    <w:p w14:paraId="51625075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Da Aplicação de Sanção e da Fase Recursal</w:t>
      </w:r>
    </w:p>
    <w:p w14:paraId="43B5823A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Artigo 19</w:t>
      </w:r>
      <w:r w:rsidRPr="00C712DB">
        <w:rPr>
          <w:rFonts w:ascii="Arial" w:hAnsi="Arial" w:cs="Arial"/>
          <w:sz w:val="20"/>
          <w:szCs w:val="20"/>
        </w:rPr>
        <w:t xml:space="preserve"> - Após a certificação da instrução pela Coordenadoria de Procedimento Sancionatório, 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relatório conclusivo elaborado pelo servidor responsável, ou pela comissão referida no artigo 17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desta Resolução, os autos serão encaminhados de acordo com a infração identificada:</w:t>
      </w:r>
    </w:p>
    <w:p w14:paraId="2551D03A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 xml:space="preserve">I </w:t>
      </w:r>
      <w:r w:rsidRPr="00C712DB">
        <w:rPr>
          <w:rFonts w:ascii="Arial" w:hAnsi="Arial" w:cs="Arial"/>
          <w:sz w:val="20"/>
          <w:szCs w:val="20"/>
        </w:rPr>
        <w:t>- ao Ordenador de Despesa, a quem compete aplicar a sanção de advertência ou multa;</w:t>
      </w:r>
    </w:p>
    <w:p w14:paraId="4EADFCCA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154677">
        <w:rPr>
          <w:rFonts w:ascii="Arial" w:hAnsi="Arial" w:cs="Arial"/>
          <w:b/>
          <w:bCs/>
          <w:sz w:val="20"/>
          <w:szCs w:val="20"/>
        </w:rPr>
        <w:t>II</w:t>
      </w:r>
      <w:r w:rsidRPr="00C712DB">
        <w:rPr>
          <w:rFonts w:ascii="Arial" w:hAnsi="Arial" w:cs="Arial"/>
          <w:sz w:val="20"/>
          <w:szCs w:val="20"/>
        </w:rPr>
        <w:t xml:space="preserve"> - ao Secretário Executivo, a quem compete aplicar a sanção de impedimento de licitar e contratar;</w:t>
      </w:r>
    </w:p>
    <w:p w14:paraId="03C7A24F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III</w:t>
      </w:r>
      <w:r w:rsidRPr="00C712DB">
        <w:rPr>
          <w:rFonts w:ascii="Arial" w:hAnsi="Arial" w:cs="Arial"/>
          <w:sz w:val="20"/>
          <w:szCs w:val="20"/>
        </w:rPr>
        <w:t xml:space="preserve"> - ao Secretário da Educação, autoridade competente para aplicação da sanção de declaração de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inidoneidade para licitar e contratar, que, previamente à aplicação da sanção, encaminhará à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Consultoria Jurídica da Pasta, nos termos do §6º do artigo 156 da Lei n° 14.133, de 2021.</w:t>
      </w:r>
    </w:p>
    <w:p w14:paraId="1CAA6AC5" w14:textId="77777777" w:rsidR="00D50898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50CED8A3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Artigo 20</w:t>
      </w:r>
      <w:r w:rsidRPr="00C712DB">
        <w:rPr>
          <w:rFonts w:ascii="Arial" w:hAnsi="Arial" w:cs="Arial"/>
          <w:sz w:val="20"/>
          <w:szCs w:val="20"/>
        </w:rPr>
        <w:t xml:space="preserve"> - Da decisão do Ordenador de Despesa que aplicar as sanções de advertência e multa,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caberá recurso no prazo de 15 (quinze) dias úteis, a contar da intimação.</w:t>
      </w:r>
    </w:p>
    <w:p w14:paraId="2A59D396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§ 1º</w:t>
      </w:r>
      <w:r w:rsidRPr="00C712DB">
        <w:rPr>
          <w:rFonts w:ascii="Arial" w:hAnsi="Arial" w:cs="Arial"/>
          <w:sz w:val="20"/>
          <w:szCs w:val="20"/>
        </w:rPr>
        <w:t xml:space="preserve"> - O recurso de que trata o caput deste artigo será dirigido à autoridade sancionadora, que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deverá, no prazo de até 5 (cinco) dias úteis, proferir decisão de mérito para rever ou manter a decisão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recorrida.</w:t>
      </w:r>
    </w:p>
    <w:p w14:paraId="5316EA52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§ 2º</w:t>
      </w:r>
      <w:r w:rsidRPr="00C712DB">
        <w:rPr>
          <w:rFonts w:ascii="Arial" w:hAnsi="Arial" w:cs="Arial"/>
          <w:sz w:val="20"/>
          <w:szCs w:val="20"/>
        </w:rPr>
        <w:t xml:space="preserve"> - Caso a autoridade sancionadora decida pela manutenção da decisão recorrida, deverá,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imediatamente, submeter o recurso ao Secretário Executivo, que decidirá sobre suas condições de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admissibilidade e o seu mérito no prazo de até 20 (vinte) dias úteis.</w:t>
      </w:r>
    </w:p>
    <w:p w14:paraId="31283AE9" w14:textId="77777777" w:rsidR="00D50898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6F68BE6E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Artigo 21</w:t>
      </w:r>
      <w:r w:rsidRPr="00C712DB">
        <w:rPr>
          <w:rFonts w:ascii="Arial" w:hAnsi="Arial" w:cs="Arial"/>
          <w:sz w:val="20"/>
          <w:szCs w:val="20"/>
        </w:rPr>
        <w:t xml:space="preserve"> - Da decisão do Secretário Executivo que aplicar a sanção de impedimento de licitar e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contratar, caberá recurso, no prazo de 15 (quinze) dias úteis, a contar da intimação.</w:t>
      </w:r>
    </w:p>
    <w:p w14:paraId="205E6E3C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§ 1º</w:t>
      </w:r>
      <w:r w:rsidRPr="00C712DB">
        <w:rPr>
          <w:rFonts w:ascii="Arial" w:hAnsi="Arial" w:cs="Arial"/>
          <w:sz w:val="20"/>
          <w:szCs w:val="20"/>
        </w:rPr>
        <w:t xml:space="preserve"> - O recurso de que trata o caput deste artigo será dirigido ao Secretário Executivo, que deverá, no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prazo de até 5 (cinco) dias úteis, proferir decisão de mérito para rever ou manter a decisão recorrida.</w:t>
      </w:r>
    </w:p>
    <w:p w14:paraId="61B7B967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§ 2º</w:t>
      </w:r>
      <w:r w:rsidRPr="00C712DB">
        <w:rPr>
          <w:rFonts w:ascii="Arial" w:hAnsi="Arial" w:cs="Arial"/>
          <w:sz w:val="20"/>
          <w:szCs w:val="20"/>
        </w:rPr>
        <w:t xml:space="preserve"> - Caso a autoridade sancionadora decida pela manutenção da decisão recorrida, deverá,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imediatamente, submeter o recurso ao Secretário da Educação, que decidirá sobre suas condições de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admissibilidade e o seu mérito no prazo de até 20 (vinte) dias úteis, contados do seu recebimento.</w:t>
      </w:r>
    </w:p>
    <w:p w14:paraId="60509ACE" w14:textId="77777777" w:rsidR="00D50898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0F4FAA61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Artigo 22</w:t>
      </w:r>
      <w:r w:rsidRPr="00C712DB">
        <w:rPr>
          <w:rFonts w:ascii="Arial" w:hAnsi="Arial" w:cs="Arial"/>
          <w:sz w:val="20"/>
          <w:szCs w:val="20"/>
        </w:rPr>
        <w:t xml:space="preserve"> - Da decisão que aplicar a penalidade de declaração de inidoneidade para licitar ou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contratar, caberá apenas pedido de reconsideração, a ser apresentado no prazo de 15 (quinze) dias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úteis, contado da data do recebimento da intimação, e decidido no prazo máximo de 20 (vinte) dias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úteis, a contar da data do protocolo.</w:t>
      </w:r>
    </w:p>
    <w:p w14:paraId="7E480109" w14:textId="77777777" w:rsidR="00D50898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2B5CA025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Artigo 23</w:t>
      </w:r>
      <w:r w:rsidRPr="00C712DB">
        <w:rPr>
          <w:rFonts w:ascii="Arial" w:hAnsi="Arial" w:cs="Arial"/>
          <w:sz w:val="20"/>
          <w:szCs w:val="20"/>
        </w:rPr>
        <w:t xml:space="preserve"> - O recurso e o pedido de reconsideração terão efeito suspensivo a partir do ato ou da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decisão recorrida até que sobrevenha decisão final da autoridade competente.</w:t>
      </w:r>
    </w:p>
    <w:p w14:paraId="1B78783F" w14:textId="77777777" w:rsidR="00D50898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7A9C354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Artigo 24</w:t>
      </w:r>
      <w:r w:rsidRPr="00C712DB">
        <w:rPr>
          <w:rFonts w:ascii="Arial" w:hAnsi="Arial" w:cs="Arial"/>
          <w:sz w:val="20"/>
          <w:szCs w:val="20"/>
        </w:rPr>
        <w:t xml:space="preserve"> - A notificação dos atos relativos à aplicação de sanções será realizada por meio de ofício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encaminhado ao(s) responsável(eis) por uma das seguintes formas, observando-se a ordem de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preferência:</w:t>
      </w:r>
    </w:p>
    <w:p w14:paraId="46B7616E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I</w:t>
      </w:r>
      <w:r w:rsidRPr="00C712DB">
        <w:rPr>
          <w:rFonts w:ascii="Arial" w:hAnsi="Arial" w:cs="Arial"/>
          <w:sz w:val="20"/>
          <w:szCs w:val="20"/>
        </w:rPr>
        <w:t xml:space="preserve"> - envio ao endereço eletrônico do fornecedor cadastrado constante do Termo de Ciência e de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Notificação ou na Autorização de Serviços ou de Compras, com comprovante de recebimento;</w:t>
      </w:r>
    </w:p>
    <w:p w14:paraId="042192CE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II</w:t>
      </w:r>
      <w:r w:rsidRPr="00C712DB">
        <w:rPr>
          <w:rFonts w:ascii="Arial" w:hAnsi="Arial" w:cs="Arial"/>
          <w:sz w:val="20"/>
          <w:szCs w:val="20"/>
        </w:rPr>
        <w:t xml:space="preserve"> - envio pelo correio, com aviso de recebimento;</w:t>
      </w:r>
    </w:p>
    <w:p w14:paraId="17099426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 xml:space="preserve">III </w:t>
      </w:r>
      <w:r w:rsidRPr="00C712DB">
        <w:rPr>
          <w:rFonts w:ascii="Arial" w:hAnsi="Arial" w:cs="Arial"/>
          <w:sz w:val="20"/>
          <w:szCs w:val="20"/>
        </w:rPr>
        <w:t>- publicação no diário oficial eletrônico.</w:t>
      </w:r>
    </w:p>
    <w:p w14:paraId="658528D4" w14:textId="77777777" w:rsidR="00D50898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407C419B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Seção III</w:t>
      </w:r>
    </w:p>
    <w:p w14:paraId="79EDA30F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Dos Cadastros dos Fornecedores Impedidos</w:t>
      </w:r>
    </w:p>
    <w:p w14:paraId="2C9568CB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Artigo 25</w:t>
      </w:r>
      <w:r w:rsidRPr="00C712DB">
        <w:rPr>
          <w:rFonts w:ascii="Arial" w:hAnsi="Arial" w:cs="Arial"/>
          <w:sz w:val="20"/>
          <w:szCs w:val="20"/>
        </w:rPr>
        <w:t xml:space="preserve"> - As sanções administrativas aplicadas pela Secretaria de Estado da Educação, após </w:t>
      </w:r>
      <w:r w:rsidRPr="00C712DB">
        <w:rPr>
          <w:rFonts w:ascii="Arial" w:hAnsi="Arial" w:cs="Arial"/>
          <w:sz w:val="20"/>
          <w:szCs w:val="20"/>
        </w:rPr>
        <w:lastRenderedPageBreak/>
        <w:t>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trânsito em julgado administrativo, deverão ser registradas nos seguintes prazos e sistemas:</w:t>
      </w:r>
    </w:p>
    <w:p w14:paraId="7AE1EE69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I</w:t>
      </w:r>
      <w:r w:rsidRPr="00C712DB">
        <w:rPr>
          <w:rFonts w:ascii="Arial" w:hAnsi="Arial" w:cs="Arial"/>
          <w:sz w:val="20"/>
          <w:szCs w:val="20"/>
        </w:rPr>
        <w:t xml:space="preserve"> – no CADIN Estadual, no prazo de até 5 (cinco) dias úteis, decorridos o prazo contido na notificação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para recolhimento da multa nos termos da Lei estadual nº 12.799, de 11 de janeiro de 2008, e do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Decreto estadual nº 53.455, de 2 de outubro de 2008, e inscrição do débito na Dívida Ativa do Estado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para cobrança judicial;</w:t>
      </w:r>
    </w:p>
    <w:p w14:paraId="48843AF7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 xml:space="preserve">II </w:t>
      </w:r>
      <w:r w:rsidRPr="00C712DB">
        <w:rPr>
          <w:rFonts w:ascii="Arial" w:hAnsi="Arial" w:cs="Arial"/>
          <w:sz w:val="20"/>
          <w:szCs w:val="20"/>
        </w:rPr>
        <w:t>– no Cadastro Nacional de Empresas Inidôneas e Suspensas – CEIS, e no Cadastro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Nacional de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Empresas Punidas – CNEP, no prazo de até 15 (quinze) dias úteis;</w:t>
      </w:r>
    </w:p>
    <w:p w14:paraId="13D6E349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 xml:space="preserve">III </w:t>
      </w:r>
      <w:r w:rsidRPr="00C712DB">
        <w:rPr>
          <w:rFonts w:ascii="Arial" w:hAnsi="Arial" w:cs="Arial"/>
          <w:sz w:val="20"/>
          <w:szCs w:val="20"/>
        </w:rPr>
        <w:t>– na Relação de Apenados do Tribunal de Contas do Estado de São Paulo (TCE-SP), no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prazo de até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5 (cinco) dias úteis;</w:t>
      </w:r>
    </w:p>
    <w:p w14:paraId="35DA1AEC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IV</w:t>
      </w:r>
      <w:r w:rsidRPr="00C712DB">
        <w:rPr>
          <w:rFonts w:ascii="Arial" w:hAnsi="Arial" w:cs="Arial"/>
          <w:sz w:val="20"/>
          <w:szCs w:val="20"/>
        </w:rPr>
        <w:t xml:space="preserve"> – em outros sistemas ou bases cadastrais estaduais ou federais que venham a ser instituídos para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fins de publicidade, controle e intercâmbio de informações sobre sanções administrativas, nos prazos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próprios definidos pelos respectivos normativos.</w:t>
      </w:r>
    </w:p>
    <w:p w14:paraId="0B479A71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Parágrafo único</w:t>
      </w:r>
      <w:r w:rsidRPr="00C712DB">
        <w:rPr>
          <w:rFonts w:ascii="Arial" w:hAnsi="Arial" w:cs="Arial"/>
          <w:sz w:val="20"/>
          <w:szCs w:val="20"/>
        </w:rPr>
        <w:t xml:space="preserve"> – A unidade responsável pelo registro deverá assegurar a fidedignidade das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informações, a atualização tempestiva dos dados e o cumprimento dos prazos estabelecidos neste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artigo.</w:t>
      </w:r>
    </w:p>
    <w:p w14:paraId="54FC9832" w14:textId="77777777" w:rsidR="00D50898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967AA60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CAPÍTULO VI</w:t>
      </w:r>
    </w:p>
    <w:p w14:paraId="19001A84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DA REABILITAÇÃO</w:t>
      </w:r>
    </w:p>
    <w:p w14:paraId="3405F453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Artigo 26</w:t>
      </w:r>
      <w:r w:rsidRPr="00C712DB">
        <w:rPr>
          <w:rFonts w:ascii="Arial" w:hAnsi="Arial" w:cs="Arial"/>
          <w:sz w:val="20"/>
          <w:szCs w:val="20"/>
        </w:rPr>
        <w:t xml:space="preserve"> - É admitida a reabilitação do fornecedor perante a própria autoridade que aplicou 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penalidade, exigidos, cumulativamente:</w:t>
      </w:r>
    </w:p>
    <w:p w14:paraId="637ADABC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 xml:space="preserve">I </w:t>
      </w:r>
      <w:r w:rsidRPr="00C712DB">
        <w:rPr>
          <w:rFonts w:ascii="Arial" w:hAnsi="Arial" w:cs="Arial"/>
          <w:sz w:val="20"/>
          <w:szCs w:val="20"/>
        </w:rPr>
        <w:t>- reparação integral do dano causado à administração pública;</w:t>
      </w:r>
    </w:p>
    <w:p w14:paraId="7B263C2E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II</w:t>
      </w:r>
      <w:r w:rsidRPr="00C712DB">
        <w:rPr>
          <w:rFonts w:ascii="Arial" w:hAnsi="Arial" w:cs="Arial"/>
          <w:sz w:val="20"/>
          <w:szCs w:val="20"/>
        </w:rPr>
        <w:t xml:space="preserve"> - pagamento da multa;</w:t>
      </w:r>
    </w:p>
    <w:p w14:paraId="04DFA168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 xml:space="preserve">III </w:t>
      </w:r>
      <w:r w:rsidRPr="00C712DB">
        <w:rPr>
          <w:rFonts w:ascii="Arial" w:hAnsi="Arial" w:cs="Arial"/>
          <w:sz w:val="20"/>
          <w:szCs w:val="20"/>
        </w:rPr>
        <w:t>- transcurso do prazo mínimo de 1 (um) ano da aplicação da penalidade, no caso de impedimento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de licitar e contratar, ou de 3 (três) anos da aplicação da penalidade, no caso de declaração de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inidoneidade;</w:t>
      </w:r>
    </w:p>
    <w:p w14:paraId="123FCD74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IV</w:t>
      </w:r>
      <w:r w:rsidRPr="00C712DB">
        <w:rPr>
          <w:rFonts w:ascii="Arial" w:hAnsi="Arial" w:cs="Arial"/>
          <w:sz w:val="20"/>
          <w:szCs w:val="20"/>
        </w:rPr>
        <w:t xml:space="preserve"> - cumprimento das condições de reabilitação definidas no ato punitivo;</w:t>
      </w:r>
    </w:p>
    <w:p w14:paraId="34B9973C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V</w:t>
      </w:r>
      <w:r w:rsidRPr="00C712DB">
        <w:rPr>
          <w:rFonts w:ascii="Arial" w:hAnsi="Arial" w:cs="Arial"/>
          <w:sz w:val="20"/>
          <w:szCs w:val="20"/>
        </w:rPr>
        <w:t xml:space="preserve"> - análise jurídica prévia pela Consultoria Jurídica da Pasta, com posicionamento conclusivo quanto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ao cumprimento dos requisitos definidos neste artigo.</w:t>
      </w:r>
    </w:p>
    <w:p w14:paraId="4EEBA632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Parágrafo único</w:t>
      </w:r>
      <w:r w:rsidRPr="00C712DB">
        <w:rPr>
          <w:rFonts w:ascii="Arial" w:hAnsi="Arial" w:cs="Arial"/>
          <w:sz w:val="20"/>
          <w:szCs w:val="20"/>
        </w:rPr>
        <w:t xml:space="preserve"> - A sanção pelas infrações previstas nos incisos VIII e XII do caput do art. 155 da Lei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Federal nº 14.133/2021 exigirá, como condição de reabilitação do fornecedor, a implantação ou 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aperfeiçoamento de programa de integridade pelo responsável.</w:t>
      </w:r>
    </w:p>
    <w:p w14:paraId="4153BE5B" w14:textId="77777777" w:rsidR="00D50898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44BA7C01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CAPÍTULO VII</w:t>
      </w:r>
    </w:p>
    <w:p w14:paraId="41340F20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DA DESCONSIDERAÇÃO DA PERSONALIDADE JURÍDICA</w:t>
      </w:r>
    </w:p>
    <w:p w14:paraId="05351386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Artigo 27</w:t>
      </w:r>
      <w:r w:rsidRPr="00C712DB">
        <w:rPr>
          <w:rFonts w:ascii="Arial" w:hAnsi="Arial" w:cs="Arial"/>
          <w:sz w:val="20"/>
          <w:szCs w:val="20"/>
        </w:rPr>
        <w:t xml:space="preserve"> - A personalidade jurídica do fornecedor, licitante ou contratado poderá ser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desconsiderada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sempre que utilizada com abuso de direito para facilitar, encobrir ou dissimular a prática de atos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ilícitos previstos na Lei Federal nº 14.133/2021, ou para provocar confusão patrimonial.</w:t>
      </w:r>
    </w:p>
    <w:p w14:paraId="603AA770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§ 1º</w:t>
      </w:r>
      <w:r w:rsidRPr="00C712DB">
        <w:rPr>
          <w:rFonts w:ascii="Arial" w:hAnsi="Arial" w:cs="Arial"/>
          <w:sz w:val="20"/>
          <w:szCs w:val="20"/>
        </w:rPr>
        <w:t xml:space="preserve"> - Desconsiderada a personalidade jurídica, todos os efeitos das sanções aplicadas à pessoa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jurídica serão estendidos aos seus administradores e sócios com poderes de administração, à pessoa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jurídica sucessora, ou à empresa do mesmo ramo com relação de coligação, ou controle, de fato ou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de direito, com o sancionado.</w:t>
      </w:r>
    </w:p>
    <w:p w14:paraId="45365086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§ 2º</w:t>
      </w:r>
      <w:r w:rsidRPr="00C712DB">
        <w:rPr>
          <w:rFonts w:ascii="Arial" w:hAnsi="Arial" w:cs="Arial"/>
          <w:sz w:val="20"/>
          <w:szCs w:val="20"/>
        </w:rPr>
        <w:t xml:space="preserve"> - Nas hipóteses de desconsideração da personalidade jurídica a que se refere o caput, serão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observados o contraditório, a ampla defesa e a obrigatoriedade de análise jurídica prévia pela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Consultoria Jurídica da Pasta.</w:t>
      </w:r>
    </w:p>
    <w:p w14:paraId="4FBC008B" w14:textId="77777777" w:rsidR="00D50898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A6DA27E" w14:textId="77777777" w:rsidR="00D50898" w:rsidRPr="00585470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585470">
        <w:rPr>
          <w:rFonts w:ascii="Arial" w:hAnsi="Arial" w:cs="Arial"/>
          <w:b/>
          <w:bCs/>
          <w:sz w:val="20"/>
          <w:szCs w:val="20"/>
        </w:rPr>
        <w:t>CAPÍTULO VIII</w:t>
      </w:r>
    </w:p>
    <w:p w14:paraId="5AFFBF59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DO JULGAMENTO CONJUNTO DE ATOS LESIVOS CONTRA A ADMINISTRAÇÃO</w:t>
      </w:r>
    </w:p>
    <w:p w14:paraId="205C91AD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Artigo 28</w:t>
      </w:r>
      <w:r w:rsidRPr="00C712DB">
        <w:rPr>
          <w:rFonts w:ascii="Arial" w:hAnsi="Arial" w:cs="Arial"/>
          <w:sz w:val="20"/>
          <w:szCs w:val="20"/>
        </w:rPr>
        <w:t xml:space="preserve"> - Os atos previstos como infrações administrativas na Lei Federal nº 14.133/2021, ou em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outras leis de licitações e contratos da administração pública que também sejam tipificados como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atos lesivos na Lei Federal nº 12.846/2013, serão apurados e julgados conjuntamente, nos mesmos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autos, observados o rito procedimental e a autoridade competente definidos nesta última Lei.</w:t>
      </w:r>
    </w:p>
    <w:p w14:paraId="1A4D533F" w14:textId="77777777" w:rsidR="00D50898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237F509C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CAPÍTULO IX</w:t>
      </w:r>
    </w:p>
    <w:p w14:paraId="66443767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DA PRESCRIÇÃO</w:t>
      </w:r>
    </w:p>
    <w:p w14:paraId="620E563D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Artigo 29</w:t>
      </w:r>
      <w:r w:rsidRPr="00C712DB">
        <w:rPr>
          <w:rFonts w:ascii="Arial" w:hAnsi="Arial" w:cs="Arial"/>
          <w:sz w:val="20"/>
          <w:szCs w:val="20"/>
        </w:rPr>
        <w:t xml:space="preserve"> - A prescrição ocorrerá em 5 (cinco) anos, contados da ciência da infração pela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administração pública, e será:</w:t>
      </w:r>
    </w:p>
    <w:p w14:paraId="5B0F4A9C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lastRenderedPageBreak/>
        <w:t xml:space="preserve">I </w:t>
      </w:r>
      <w:r w:rsidRPr="00C712DB">
        <w:rPr>
          <w:rFonts w:ascii="Arial" w:hAnsi="Arial" w:cs="Arial"/>
          <w:sz w:val="20"/>
          <w:szCs w:val="20"/>
        </w:rPr>
        <w:t>- interrompida pela instauração do processo administrativo punitivo de que trata o Capítulo III desta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Resolução;</w:t>
      </w:r>
    </w:p>
    <w:p w14:paraId="74AE2473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II</w:t>
      </w:r>
      <w:r w:rsidRPr="00C712DB">
        <w:rPr>
          <w:rFonts w:ascii="Arial" w:hAnsi="Arial" w:cs="Arial"/>
          <w:sz w:val="20"/>
          <w:szCs w:val="20"/>
        </w:rPr>
        <w:t xml:space="preserve"> - suspensa pela celebração de acordo de leniência, previsto na Lei Federal nº 12.486/ 2013;</w:t>
      </w:r>
    </w:p>
    <w:p w14:paraId="57B9518D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III</w:t>
      </w:r>
      <w:r w:rsidRPr="00C712DB">
        <w:rPr>
          <w:rFonts w:ascii="Arial" w:hAnsi="Arial" w:cs="Arial"/>
          <w:sz w:val="20"/>
          <w:szCs w:val="20"/>
        </w:rPr>
        <w:t xml:space="preserve"> - suspensa por decisão judicial que inviabilize a conclusão da apuração administrativa.</w:t>
      </w:r>
    </w:p>
    <w:p w14:paraId="7B7A7F23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Parágrafo único</w:t>
      </w:r>
      <w:r w:rsidRPr="00C712DB">
        <w:rPr>
          <w:rFonts w:ascii="Arial" w:hAnsi="Arial" w:cs="Arial"/>
          <w:sz w:val="20"/>
          <w:szCs w:val="20"/>
        </w:rPr>
        <w:t xml:space="preserve"> - Declarada a prescrição, serão os autos do procedimento sancionatório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encaminhados ao Departamento de Correição da Pasta para análise de viabilidade de instauração de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procedimento correcional acusatório, para apurar eventuais irregularidades que deram causa à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prescrição.</w:t>
      </w:r>
    </w:p>
    <w:p w14:paraId="256C57A7" w14:textId="77777777" w:rsidR="00D50898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486B77E9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CAPÍTULO X</w:t>
      </w:r>
    </w:p>
    <w:p w14:paraId="5DE4021B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DAS DISPOSIÇÕES GERAIS</w:t>
      </w:r>
    </w:p>
    <w:p w14:paraId="0F31A532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Artigo 30</w:t>
      </w:r>
      <w:r w:rsidRPr="00C712DB">
        <w:rPr>
          <w:rFonts w:ascii="Arial" w:hAnsi="Arial" w:cs="Arial"/>
          <w:sz w:val="20"/>
          <w:szCs w:val="20"/>
        </w:rPr>
        <w:t xml:space="preserve"> - Para efeito desta Resolução, equipara-se a contrato qualquer outro instrumento hábil que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o substitua na forma da lei, e os ajustes decorrentes dos procedimentos auxiliares das licitações e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das contratações, definidos no art. 78 da Lei nº 14.133/2021.</w:t>
      </w:r>
    </w:p>
    <w:p w14:paraId="7E9B2B67" w14:textId="77777777" w:rsidR="00D50898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21DD101F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Artigo 31 -</w:t>
      </w:r>
      <w:r w:rsidRPr="00C712DB">
        <w:rPr>
          <w:rFonts w:ascii="Arial" w:hAnsi="Arial" w:cs="Arial"/>
          <w:sz w:val="20"/>
          <w:szCs w:val="20"/>
        </w:rPr>
        <w:t xml:space="preserve"> A presente Resolução deverá integrar, obrigatoriamente, na qualidade de anexo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vinculante, os instrumentos convocatórios de licitação, os contratos administrativos e demais</w:t>
      </w:r>
      <w:r>
        <w:rPr>
          <w:rFonts w:ascii="Arial" w:hAnsi="Arial" w:cs="Arial"/>
          <w:sz w:val="20"/>
          <w:szCs w:val="20"/>
        </w:rPr>
        <w:t xml:space="preserve"> </w:t>
      </w:r>
      <w:r w:rsidRPr="00C712DB">
        <w:rPr>
          <w:rFonts w:ascii="Arial" w:hAnsi="Arial" w:cs="Arial"/>
          <w:sz w:val="20"/>
          <w:szCs w:val="20"/>
        </w:rPr>
        <w:t>instrumentos congêneres firmados pela Secretaria de Estado da Educação.</w:t>
      </w:r>
    </w:p>
    <w:p w14:paraId="38C038EC" w14:textId="77777777" w:rsidR="00D50898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41549066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Artigo 32</w:t>
      </w:r>
      <w:r w:rsidRPr="00C712DB">
        <w:rPr>
          <w:rFonts w:ascii="Arial" w:hAnsi="Arial" w:cs="Arial"/>
          <w:sz w:val="20"/>
          <w:szCs w:val="20"/>
        </w:rPr>
        <w:t xml:space="preserve"> - Esta resolução entra em vigor na data de sua publicação.</w:t>
      </w:r>
    </w:p>
    <w:p w14:paraId="64346AA6" w14:textId="77777777" w:rsidR="00D50898" w:rsidRDefault="00D50898" w:rsidP="00D50898">
      <w:pPr>
        <w:jc w:val="both"/>
        <w:rPr>
          <w:rFonts w:ascii="Arial" w:hAnsi="Arial" w:cs="Arial"/>
          <w:sz w:val="20"/>
          <w:szCs w:val="20"/>
        </w:rPr>
      </w:pPr>
    </w:p>
    <w:p w14:paraId="49EC5B17" w14:textId="77777777" w:rsidR="00D50898" w:rsidRDefault="00D50898" w:rsidP="00D50898">
      <w:pPr>
        <w:jc w:val="both"/>
        <w:rPr>
          <w:rFonts w:ascii="Arial" w:hAnsi="Arial" w:cs="Arial"/>
          <w:sz w:val="20"/>
          <w:szCs w:val="20"/>
        </w:rPr>
      </w:pPr>
    </w:p>
    <w:p w14:paraId="0B6F53B5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sz w:val="20"/>
          <w:szCs w:val="20"/>
        </w:rPr>
        <w:t>ANEXO I</w:t>
      </w:r>
    </w:p>
    <w:p w14:paraId="48EAEBC5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a que se referem os artigos 5º e 7º desta Resolução</w:t>
      </w:r>
    </w:p>
    <w:p w14:paraId="7763B410" w14:textId="77777777" w:rsidR="00D50898" w:rsidRPr="00C712DB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712DB">
        <w:rPr>
          <w:rFonts w:ascii="Arial" w:hAnsi="Arial" w:cs="Arial"/>
          <w:b/>
          <w:bCs/>
          <w:sz w:val="20"/>
          <w:szCs w:val="20"/>
        </w:rPr>
        <w:t>Metodologia Referencial de dosimetria e aplicação das sanções administrativas</w:t>
      </w:r>
    </w:p>
    <w:p w14:paraId="46FFBF4D" w14:textId="77777777" w:rsidR="00D50898" w:rsidRPr="00585470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585470">
        <w:rPr>
          <w:rFonts w:ascii="Arial" w:hAnsi="Arial" w:cs="Arial"/>
          <w:b/>
          <w:bCs/>
          <w:sz w:val="20"/>
          <w:szCs w:val="20"/>
        </w:rPr>
        <w:t>Quadro 1 – Níveis de Impacto do Dano à Administração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704"/>
        <w:gridCol w:w="1559"/>
        <w:gridCol w:w="6231"/>
      </w:tblGrid>
      <w:tr w:rsidR="00D50898" w:rsidRPr="00C712DB" w14:paraId="70178A32" w14:textId="77777777" w:rsidTr="00B872E9">
        <w:tc>
          <w:tcPr>
            <w:tcW w:w="414" w:type="pct"/>
          </w:tcPr>
          <w:p w14:paraId="5C5ABF9E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Nível</w:t>
            </w:r>
          </w:p>
        </w:tc>
        <w:tc>
          <w:tcPr>
            <w:tcW w:w="918" w:type="pct"/>
          </w:tcPr>
          <w:p w14:paraId="2075F7A7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Classificação</w:t>
            </w:r>
          </w:p>
        </w:tc>
        <w:tc>
          <w:tcPr>
            <w:tcW w:w="3668" w:type="pct"/>
          </w:tcPr>
          <w:p w14:paraId="68AA80AE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Critérios de Avaliação</w:t>
            </w:r>
          </w:p>
        </w:tc>
      </w:tr>
      <w:tr w:rsidR="00D50898" w:rsidRPr="00C712DB" w14:paraId="71223DBD" w14:textId="77777777" w:rsidTr="00B872E9">
        <w:tc>
          <w:tcPr>
            <w:tcW w:w="414" w:type="pct"/>
          </w:tcPr>
          <w:p w14:paraId="521D8B16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I</w:t>
            </w:r>
          </w:p>
        </w:tc>
        <w:tc>
          <w:tcPr>
            <w:tcW w:w="918" w:type="pct"/>
          </w:tcPr>
          <w:p w14:paraId="526DAC9F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Mínimo</w:t>
            </w:r>
          </w:p>
        </w:tc>
        <w:tc>
          <w:tcPr>
            <w:tcW w:w="3668" w:type="pct"/>
          </w:tcPr>
          <w:p w14:paraId="5484439A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Falha formal sem prejuízo financeiro ou operacional</w:t>
            </w:r>
          </w:p>
        </w:tc>
      </w:tr>
      <w:tr w:rsidR="00D50898" w:rsidRPr="00C712DB" w14:paraId="2D8C411D" w14:textId="77777777" w:rsidTr="00B872E9">
        <w:tc>
          <w:tcPr>
            <w:tcW w:w="414" w:type="pct"/>
          </w:tcPr>
          <w:p w14:paraId="49A770D9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II</w:t>
            </w:r>
          </w:p>
        </w:tc>
        <w:tc>
          <w:tcPr>
            <w:tcW w:w="918" w:type="pct"/>
          </w:tcPr>
          <w:p w14:paraId="37A111F8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Pequeno</w:t>
            </w:r>
          </w:p>
        </w:tc>
        <w:tc>
          <w:tcPr>
            <w:tcW w:w="3668" w:type="pct"/>
          </w:tcPr>
          <w:p w14:paraId="393B2877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Transtorno administrativo restrito, sem prejuízo ao usuário final.</w:t>
            </w:r>
          </w:p>
        </w:tc>
      </w:tr>
      <w:tr w:rsidR="00D50898" w:rsidRPr="00C712DB" w14:paraId="4D691DB5" w14:textId="77777777" w:rsidTr="00B872E9">
        <w:tc>
          <w:tcPr>
            <w:tcW w:w="414" w:type="pct"/>
          </w:tcPr>
          <w:p w14:paraId="78AAADE1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III</w:t>
            </w:r>
          </w:p>
        </w:tc>
        <w:tc>
          <w:tcPr>
            <w:tcW w:w="918" w:type="pct"/>
          </w:tcPr>
          <w:p w14:paraId="46DD815B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Moderado</w:t>
            </w:r>
          </w:p>
        </w:tc>
        <w:tc>
          <w:tcPr>
            <w:tcW w:w="3668" w:type="pct"/>
          </w:tcPr>
          <w:p w14:paraId="3AB85A33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Afeta o planejamento e gera ajustes administrativos</w:t>
            </w:r>
          </w:p>
        </w:tc>
      </w:tr>
      <w:tr w:rsidR="00D50898" w:rsidRPr="00C712DB" w14:paraId="3DF922A3" w14:textId="77777777" w:rsidTr="00B872E9">
        <w:tc>
          <w:tcPr>
            <w:tcW w:w="414" w:type="pct"/>
          </w:tcPr>
          <w:p w14:paraId="54A59805" w14:textId="77777777" w:rsidR="00D50898" w:rsidRPr="00585470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IV</w:t>
            </w:r>
          </w:p>
        </w:tc>
        <w:tc>
          <w:tcPr>
            <w:tcW w:w="918" w:type="pct"/>
          </w:tcPr>
          <w:p w14:paraId="6FC5EDE7" w14:textId="77777777" w:rsidR="00D50898" w:rsidRPr="00585470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Severo</w:t>
            </w:r>
          </w:p>
        </w:tc>
        <w:tc>
          <w:tcPr>
            <w:tcW w:w="3668" w:type="pct"/>
          </w:tcPr>
          <w:p w14:paraId="17449AF3" w14:textId="77777777" w:rsidR="00D50898" w:rsidRPr="00585470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Prejuízo financeiro ou interrupção relevante de serviço, Inviabilização do contrato</w:t>
            </w:r>
            <w:r>
              <w:rPr>
                <w:rFonts w:ascii="Arial" w:hAnsi="Arial" w:cs="Arial"/>
              </w:rPr>
              <w:t xml:space="preserve"> </w:t>
            </w:r>
            <w:r w:rsidRPr="00585470">
              <w:rPr>
                <w:rFonts w:ascii="Arial" w:hAnsi="Arial" w:cs="Arial"/>
              </w:rPr>
              <w:t>ou dano grave ao interesse público.</w:t>
            </w:r>
          </w:p>
        </w:tc>
      </w:tr>
    </w:tbl>
    <w:p w14:paraId="19B29033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</w:p>
    <w:p w14:paraId="7252A4DA" w14:textId="77777777" w:rsidR="00D50898" w:rsidRPr="00585470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585470">
        <w:rPr>
          <w:rFonts w:ascii="Arial" w:hAnsi="Arial" w:cs="Arial"/>
          <w:b/>
          <w:bCs/>
          <w:sz w:val="20"/>
          <w:szCs w:val="20"/>
        </w:rPr>
        <w:t>Quadro 2 – Níveis de Gravidade da Infração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704"/>
        <w:gridCol w:w="1418"/>
        <w:gridCol w:w="6372"/>
      </w:tblGrid>
      <w:tr w:rsidR="00D50898" w:rsidRPr="00C712DB" w14:paraId="39A48904" w14:textId="77777777" w:rsidTr="00B872E9">
        <w:tc>
          <w:tcPr>
            <w:tcW w:w="414" w:type="pct"/>
          </w:tcPr>
          <w:p w14:paraId="678B4577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Nível</w:t>
            </w:r>
          </w:p>
        </w:tc>
        <w:tc>
          <w:tcPr>
            <w:tcW w:w="835" w:type="pct"/>
          </w:tcPr>
          <w:p w14:paraId="64F4D340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Gravidade</w:t>
            </w:r>
          </w:p>
        </w:tc>
        <w:tc>
          <w:tcPr>
            <w:tcW w:w="3751" w:type="pct"/>
          </w:tcPr>
          <w:p w14:paraId="1F59231B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Critérios</w:t>
            </w:r>
          </w:p>
        </w:tc>
      </w:tr>
      <w:tr w:rsidR="00D50898" w:rsidRPr="00C712DB" w14:paraId="19E5716B" w14:textId="77777777" w:rsidTr="00B872E9">
        <w:tc>
          <w:tcPr>
            <w:tcW w:w="414" w:type="pct"/>
          </w:tcPr>
          <w:p w14:paraId="78293FDB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I</w:t>
            </w:r>
          </w:p>
        </w:tc>
        <w:tc>
          <w:tcPr>
            <w:tcW w:w="835" w:type="pct"/>
          </w:tcPr>
          <w:p w14:paraId="6183B9DB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Mínima</w:t>
            </w:r>
          </w:p>
        </w:tc>
        <w:tc>
          <w:tcPr>
            <w:tcW w:w="3751" w:type="pct"/>
          </w:tcPr>
          <w:p w14:paraId="157DE5CC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Descumprimento formal sem dolo.</w:t>
            </w:r>
          </w:p>
        </w:tc>
      </w:tr>
      <w:tr w:rsidR="00D50898" w:rsidRPr="00C712DB" w14:paraId="7BC66CB2" w14:textId="77777777" w:rsidTr="00B872E9">
        <w:tc>
          <w:tcPr>
            <w:tcW w:w="414" w:type="pct"/>
          </w:tcPr>
          <w:p w14:paraId="123CD317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II</w:t>
            </w:r>
          </w:p>
        </w:tc>
        <w:tc>
          <w:tcPr>
            <w:tcW w:w="835" w:type="pct"/>
          </w:tcPr>
          <w:p w14:paraId="427ADC31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Leve</w:t>
            </w:r>
          </w:p>
        </w:tc>
        <w:tc>
          <w:tcPr>
            <w:tcW w:w="3751" w:type="pct"/>
          </w:tcPr>
          <w:p w14:paraId="7E5E1E89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Falha pontual sem prejuízo relevante</w:t>
            </w:r>
          </w:p>
        </w:tc>
      </w:tr>
      <w:tr w:rsidR="00D50898" w:rsidRPr="00C712DB" w14:paraId="1B640302" w14:textId="77777777" w:rsidTr="00B872E9">
        <w:tc>
          <w:tcPr>
            <w:tcW w:w="414" w:type="pct"/>
          </w:tcPr>
          <w:p w14:paraId="0644DD7B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III</w:t>
            </w:r>
          </w:p>
        </w:tc>
        <w:tc>
          <w:tcPr>
            <w:tcW w:w="835" w:type="pct"/>
          </w:tcPr>
          <w:p w14:paraId="1AF1720E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Média</w:t>
            </w:r>
          </w:p>
        </w:tc>
        <w:tc>
          <w:tcPr>
            <w:tcW w:w="3751" w:type="pct"/>
          </w:tcPr>
          <w:p w14:paraId="3BB149AB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Inexecução parcial com impacto administrativo</w:t>
            </w:r>
          </w:p>
        </w:tc>
      </w:tr>
      <w:tr w:rsidR="00D50898" w:rsidRPr="00C712DB" w14:paraId="0839DD9D" w14:textId="77777777" w:rsidTr="00B872E9">
        <w:tc>
          <w:tcPr>
            <w:tcW w:w="414" w:type="pct"/>
          </w:tcPr>
          <w:p w14:paraId="66D42E0E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IV</w:t>
            </w:r>
          </w:p>
        </w:tc>
        <w:tc>
          <w:tcPr>
            <w:tcW w:w="835" w:type="pct"/>
          </w:tcPr>
          <w:p w14:paraId="74F7B01D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Grave</w:t>
            </w:r>
          </w:p>
        </w:tc>
        <w:tc>
          <w:tcPr>
            <w:tcW w:w="3751" w:type="pct"/>
          </w:tcPr>
          <w:p w14:paraId="5D2C515A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Compromete a execução contratual</w:t>
            </w:r>
          </w:p>
        </w:tc>
      </w:tr>
      <w:tr w:rsidR="00D50898" w:rsidRPr="00C712DB" w14:paraId="256DD4F5" w14:textId="77777777" w:rsidTr="00B872E9">
        <w:tc>
          <w:tcPr>
            <w:tcW w:w="414" w:type="pct"/>
          </w:tcPr>
          <w:p w14:paraId="2EF78370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</w:t>
            </w:r>
          </w:p>
        </w:tc>
        <w:tc>
          <w:tcPr>
            <w:tcW w:w="835" w:type="pct"/>
          </w:tcPr>
          <w:p w14:paraId="687A2A64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Muito Grave</w:t>
            </w:r>
          </w:p>
        </w:tc>
        <w:tc>
          <w:tcPr>
            <w:tcW w:w="3751" w:type="pct"/>
          </w:tcPr>
          <w:p w14:paraId="31B91BD7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585470">
              <w:rPr>
                <w:rFonts w:ascii="Arial" w:hAnsi="Arial" w:cs="Arial"/>
              </w:rPr>
              <w:t>Inexecução total, fraude, má-fé ou conduta dolosa grave</w:t>
            </w:r>
          </w:p>
        </w:tc>
      </w:tr>
    </w:tbl>
    <w:p w14:paraId="018F8A48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</w:p>
    <w:p w14:paraId="7AB8A65F" w14:textId="77777777" w:rsidR="00D50898" w:rsidRPr="0027093D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7093D">
        <w:rPr>
          <w:rFonts w:ascii="Arial" w:hAnsi="Arial" w:cs="Arial"/>
          <w:b/>
          <w:bCs/>
          <w:sz w:val="20"/>
          <w:szCs w:val="20"/>
        </w:rPr>
        <w:t>Quadro 3 – Matriz Referencial de Dosimetria da Multa (0,5% a 30%)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2547"/>
        <w:gridCol w:w="1670"/>
        <w:gridCol w:w="958"/>
        <w:gridCol w:w="1116"/>
        <w:gridCol w:w="1116"/>
        <w:gridCol w:w="1087"/>
      </w:tblGrid>
      <w:tr w:rsidR="00D50898" w:rsidRPr="00C712DB" w14:paraId="185F4E5E" w14:textId="77777777" w:rsidTr="00B872E9">
        <w:tc>
          <w:tcPr>
            <w:tcW w:w="1499" w:type="pct"/>
          </w:tcPr>
          <w:p w14:paraId="18D38FE3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Impacto / Gravidade</w:t>
            </w:r>
          </w:p>
        </w:tc>
        <w:tc>
          <w:tcPr>
            <w:tcW w:w="983" w:type="pct"/>
          </w:tcPr>
          <w:p w14:paraId="0743C2C6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Grau I</w:t>
            </w:r>
          </w:p>
        </w:tc>
        <w:tc>
          <w:tcPr>
            <w:tcW w:w="564" w:type="pct"/>
          </w:tcPr>
          <w:p w14:paraId="4D93C819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Grau II</w:t>
            </w:r>
          </w:p>
        </w:tc>
        <w:tc>
          <w:tcPr>
            <w:tcW w:w="657" w:type="pct"/>
          </w:tcPr>
          <w:p w14:paraId="39703A54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Grau III</w:t>
            </w:r>
          </w:p>
        </w:tc>
        <w:tc>
          <w:tcPr>
            <w:tcW w:w="657" w:type="pct"/>
          </w:tcPr>
          <w:p w14:paraId="217A7ACA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Grau IV</w:t>
            </w:r>
          </w:p>
        </w:tc>
        <w:tc>
          <w:tcPr>
            <w:tcW w:w="640" w:type="pct"/>
          </w:tcPr>
          <w:p w14:paraId="72C55BCA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Grau V</w:t>
            </w:r>
          </w:p>
        </w:tc>
      </w:tr>
      <w:tr w:rsidR="00D50898" w:rsidRPr="00C712DB" w14:paraId="3FC75718" w14:textId="77777777" w:rsidTr="00B872E9">
        <w:tc>
          <w:tcPr>
            <w:tcW w:w="1499" w:type="pct"/>
          </w:tcPr>
          <w:p w14:paraId="1B4E3AE7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Severo</w:t>
            </w:r>
          </w:p>
        </w:tc>
        <w:tc>
          <w:tcPr>
            <w:tcW w:w="983" w:type="pct"/>
          </w:tcPr>
          <w:p w14:paraId="23365FB9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5%</w:t>
            </w:r>
          </w:p>
        </w:tc>
        <w:tc>
          <w:tcPr>
            <w:tcW w:w="564" w:type="pct"/>
          </w:tcPr>
          <w:p w14:paraId="780311B2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10%</w:t>
            </w:r>
          </w:p>
        </w:tc>
        <w:tc>
          <w:tcPr>
            <w:tcW w:w="657" w:type="pct"/>
          </w:tcPr>
          <w:p w14:paraId="28CAE389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15%</w:t>
            </w:r>
          </w:p>
        </w:tc>
        <w:tc>
          <w:tcPr>
            <w:tcW w:w="657" w:type="pct"/>
          </w:tcPr>
          <w:p w14:paraId="0A87BAA4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20%</w:t>
            </w:r>
          </w:p>
        </w:tc>
        <w:tc>
          <w:tcPr>
            <w:tcW w:w="640" w:type="pct"/>
          </w:tcPr>
          <w:p w14:paraId="140FDE14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30%</w:t>
            </w:r>
          </w:p>
        </w:tc>
      </w:tr>
      <w:tr w:rsidR="00D50898" w:rsidRPr="00C712DB" w14:paraId="73543AAE" w14:textId="77777777" w:rsidTr="00B872E9">
        <w:tc>
          <w:tcPr>
            <w:tcW w:w="1499" w:type="pct"/>
          </w:tcPr>
          <w:p w14:paraId="5D65058A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Moderado</w:t>
            </w:r>
          </w:p>
        </w:tc>
        <w:tc>
          <w:tcPr>
            <w:tcW w:w="983" w:type="pct"/>
          </w:tcPr>
          <w:p w14:paraId="07926676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2%</w:t>
            </w:r>
          </w:p>
        </w:tc>
        <w:tc>
          <w:tcPr>
            <w:tcW w:w="564" w:type="pct"/>
          </w:tcPr>
          <w:p w14:paraId="167182DA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5%</w:t>
            </w:r>
          </w:p>
        </w:tc>
        <w:tc>
          <w:tcPr>
            <w:tcW w:w="657" w:type="pct"/>
          </w:tcPr>
          <w:p w14:paraId="1BB5B1B3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8%</w:t>
            </w:r>
          </w:p>
        </w:tc>
        <w:tc>
          <w:tcPr>
            <w:tcW w:w="657" w:type="pct"/>
          </w:tcPr>
          <w:p w14:paraId="246EE4F7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12%</w:t>
            </w:r>
          </w:p>
        </w:tc>
        <w:tc>
          <w:tcPr>
            <w:tcW w:w="640" w:type="pct"/>
          </w:tcPr>
          <w:p w14:paraId="4D528F67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15%</w:t>
            </w:r>
          </w:p>
        </w:tc>
      </w:tr>
      <w:tr w:rsidR="00D50898" w:rsidRPr="00C712DB" w14:paraId="1A2A7F5E" w14:textId="77777777" w:rsidTr="00B872E9">
        <w:tc>
          <w:tcPr>
            <w:tcW w:w="1499" w:type="pct"/>
          </w:tcPr>
          <w:p w14:paraId="015C245E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Pequeno</w:t>
            </w:r>
          </w:p>
        </w:tc>
        <w:tc>
          <w:tcPr>
            <w:tcW w:w="983" w:type="pct"/>
          </w:tcPr>
          <w:p w14:paraId="46EBE711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1%</w:t>
            </w:r>
          </w:p>
        </w:tc>
        <w:tc>
          <w:tcPr>
            <w:tcW w:w="564" w:type="pct"/>
          </w:tcPr>
          <w:p w14:paraId="630C4480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2%</w:t>
            </w:r>
          </w:p>
        </w:tc>
        <w:tc>
          <w:tcPr>
            <w:tcW w:w="657" w:type="pct"/>
          </w:tcPr>
          <w:p w14:paraId="68ACD92F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4%</w:t>
            </w:r>
          </w:p>
        </w:tc>
        <w:tc>
          <w:tcPr>
            <w:tcW w:w="657" w:type="pct"/>
          </w:tcPr>
          <w:p w14:paraId="4A14D57D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7%</w:t>
            </w:r>
          </w:p>
        </w:tc>
        <w:tc>
          <w:tcPr>
            <w:tcW w:w="640" w:type="pct"/>
          </w:tcPr>
          <w:p w14:paraId="1C4EE817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12%</w:t>
            </w:r>
          </w:p>
        </w:tc>
      </w:tr>
      <w:tr w:rsidR="00D50898" w:rsidRPr="00C712DB" w14:paraId="41C4D241" w14:textId="77777777" w:rsidTr="00B872E9">
        <w:tc>
          <w:tcPr>
            <w:tcW w:w="1499" w:type="pct"/>
          </w:tcPr>
          <w:p w14:paraId="6B64F7C9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Mínimo</w:t>
            </w:r>
          </w:p>
        </w:tc>
        <w:tc>
          <w:tcPr>
            <w:tcW w:w="983" w:type="pct"/>
          </w:tcPr>
          <w:p w14:paraId="1B82D488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Advertência</w:t>
            </w:r>
          </w:p>
        </w:tc>
        <w:tc>
          <w:tcPr>
            <w:tcW w:w="564" w:type="pct"/>
          </w:tcPr>
          <w:p w14:paraId="05201849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1%</w:t>
            </w:r>
          </w:p>
        </w:tc>
        <w:tc>
          <w:tcPr>
            <w:tcW w:w="657" w:type="pct"/>
          </w:tcPr>
          <w:p w14:paraId="3B5068CF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2%</w:t>
            </w:r>
          </w:p>
        </w:tc>
        <w:tc>
          <w:tcPr>
            <w:tcW w:w="657" w:type="pct"/>
          </w:tcPr>
          <w:p w14:paraId="16D1A132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5%</w:t>
            </w:r>
          </w:p>
        </w:tc>
        <w:tc>
          <w:tcPr>
            <w:tcW w:w="640" w:type="pct"/>
          </w:tcPr>
          <w:p w14:paraId="0321C665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10%</w:t>
            </w:r>
          </w:p>
        </w:tc>
      </w:tr>
    </w:tbl>
    <w:p w14:paraId="36C2DEFC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</w:p>
    <w:p w14:paraId="6CF12C15" w14:textId="77777777" w:rsidR="00D50898" w:rsidRPr="0027093D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7093D">
        <w:rPr>
          <w:rFonts w:ascii="Arial" w:hAnsi="Arial" w:cs="Arial"/>
          <w:b/>
          <w:bCs/>
          <w:sz w:val="20"/>
          <w:szCs w:val="20"/>
        </w:rPr>
        <w:t>Quadro 4 – Circunstâncias Agravantes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846"/>
        <w:gridCol w:w="2552"/>
        <w:gridCol w:w="5096"/>
      </w:tblGrid>
      <w:tr w:rsidR="00D50898" w:rsidRPr="00C712DB" w14:paraId="6A2CCD86" w14:textId="77777777" w:rsidTr="00B872E9">
        <w:tc>
          <w:tcPr>
            <w:tcW w:w="498" w:type="pct"/>
          </w:tcPr>
          <w:p w14:paraId="7B3506DB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Item</w:t>
            </w:r>
          </w:p>
        </w:tc>
        <w:tc>
          <w:tcPr>
            <w:tcW w:w="1502" w:type="pct"/>
          </w:tcPr>
          <w:p w14:paraId="3C54E8AF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Agravante</w:t>
            </w:r>
          </w:p>
        </w:tc>
        <w:tc>
          <w:tcPr>
            <w:tcW w:w="3000" w:type="pct"/>
          </w:tcPr>
          <w:p w14:paraId="206F556C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Efeito Referencial</w:t>
            </w:r>
          </w:p>
        </w:tc>
      </w:tr>
      <w:tr w:rsidR="00D50898" w:rsidRPr="00C712DB" w14:paraId="17AC85A0" w14:textId="77777777" w:rsidTr="00B872E9">
        <w:tc>
          <w:tcPr>
            <w:tcW w:w="498" w:type="pct"/>
          </w:tcPr>
          <w:p w14:paraId="53D57DD9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I</w:t>
            </w:r>
          </w:p>
        </w:tc>
        <w:tc>
          <w:tcPr>
            <w:tcW w:w="1502" w:type="pct"/>
          </w:tcPr>
          <w:p w14:paraId="4049C473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Reincidência</w:t>
            </w:r>
          </w:p>
        </w:tc>
        <w:tc>
          <w:tcPr>
            <w:tcW w:w="3000" w:type="pct"/>
          </w:tcPr>
          <w:p w14:paraId="690248B7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Elevação do percentual dentro da faixa aplicável</w:t>
            </w:r>
          </w:p>
        </w:tc>
      </w:tr>
      <w:tr w:rsidR="00D50898" w:rsidRPr="00C712DB" w14:paraId="05230168" w14:textId="77777777" w:rsidTr="00B872E9">
        <w:tc>
          <w:tcPr>
            <w:tcW w:w="498" w:type="pct"/>
          </w:tcPr>
          <w:p w14:paraId="508F093D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II</w:t>
            </w:r>
          </w:p>
        </w:tc>
        <w:tc>
          <w:tcPr>
            <w:tcW w:w="1502" w:type="pct"/>
          </w:tcPr>
          <w:p w14:paraId="1A625941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Erro Notório</w:t>
            </w:r>
          </w:p>
        </w:tc>
        <w:tc>
          <w:tcPr>
            <w:tcW w:w="3000" w:type="pct"/>
          </w:tcPr>
          <w:p w14:paraId="4A06E243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Agravamento moderado da sanção</w:t>
            </w:r>
          </w:p>
        </w:tc>
      </w:tr>
      <w:tr w:rsidR="00D50898" w:rsidRPr="00C712DB" w14:paraId="2FEE811F" w14:textId="77777777" w:rsidTr="00B872E9">
        <w:tc>
          <w:tcPr>
            <w:tcW w:w="498" w:type="pct"/>
          </w:tcPr>
          <w:p w14:paraId="2AF996D3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III</w:t>
            </w:r>
          </w:p>
        </w:tc>
        <w:tc>
          <w:tcPr>
            <w:tcW w:w="1502" w:type="pct"/>
          </w:tcPr>
          <w:p w14:paraId="441BDE4A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Obstrução Deliberada</w:t>
            </w:r>
          </w:p>
        </w:tc>
        <w:tc>
          <w:tcPr>
            <w:tcW w:w="3000" w:type="pct"/>
          </w:tcPr>
          <w:p w14:paraId="7C2B9B37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Agravamento relevante da sanção</w:t>
            </w:r>
          </w:p>
        </w:tc>
      </w:tr>
      <w:tr w:rsidR="00D50898" w:rsidRPr="00C712DB" w14:paraId="3DBA68E2" w14:textId="77777777" w:rsidTr="00B872E9">
        <w:tc>
          <w:tcPr>
            <w:tcW w:w="498" w:type="pct"/>
          </w:tcPr>
          <w:p w14:paraId="6BDC4AB7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IV</w:t>
            </w:r>
          </w:p>
        </w:tc>
        <w:tc>
          <w:tcPr>
            <w:tcW w:w="1502" w:type="pct"/>
          </w:tcPr>
          <w:p w14:paraId="7D2B411E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Falsidade de Declaração</w:t>
            </w:r>
          </w:p>
        </w:tc>
        <w:tc>
          <w:tcPr>
            <w:tcW w:w="3000" w:type="pct"/>
          </w:tcPr>
          <w:p w14:paraId="7F6E18CD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Elevação para patamares superiores da matriz</w:t>
            </w:r>
          </w:p>
        </w:tc>
      </w:tr>
      <w:tr w:rsidR="00D50898" w:rsidRPr="00C712DB" w14:paraId="7EF4B8C3" w14:textId="77777777" w:rsidTr="00B872E9">
        <w:tc>
          <w:tcPr>
            <w:tcW w:w="498" w:type="pct"/>
          </w:tcPr>
          <w:p w14:paraId="33567C0C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V</w:t>
            </w:r>
          </w:p>
        </w:tc>
        <w:tc>
          <w:tcPr>
            <w:tcW w:w="1502" w:type="pct"/>
          </w:tcPr>
          <w:p w14:paraId="17E198F3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Dolo ou Má-Fé</w:t>
            </w:r>
          </w:p>
        </w:tc>
        <w:tc>
          <w:tcPr>
            <w:tcW w:w="3000" w:type="pct"/>
          </w:tcPr>
          <w:p w14:paraId="44B56BC8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Aproximação do limite máximo da faixa</w:t>
            </w:r>
          </w:p>
        </w:tc>
      </w:tr>
    </w:tbl>
    <w:p w14:paraId="0D60FA44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</w:p>
    <w:p w14:paraId="5C6DCC0E" w14:textId="77777777" w:rsidR="00D50898" w:rsidRPr="0027093D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7093D">
        <w:rPr>
          <w:rFonts w:ascii="Arial" w:hAnsi="Arial" w:cs="Arial"/>
          <w:b/>
          <w:bCs/>
          <w:sz w:val="20"/>
          <w:szCs w:val="20"/>
        </w:rPr>
        <w:t>Quadro 5 – Circunstâncias Atenuantes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846"/>
        <w:gridCol w:w="2835"/>
        <w:gridCol w:w="4813"/>
      </w:tblGrid>
      <w:tr w:rsidR="00D50898" w:rsidRPr="00C712DB" w14:paraId="766B13DF" w14:textId="77777777" w:rsidTr="00B872E9">
        <w:tc>
          <w:tcPr>
            <w:tcW w:w="498" w:type="pct"/>
          </w:tcPr>
          <w:p w14:paraId="7B3A2E9E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lastRenderedPageBreak/>
              <w:t>Item</w:t>
            </w:r>
          </w:p>
        </w:tc>
        <w:tc>
          <w:tcPr>
            <w:tcW w:w="1669" w:type="pct"/>
          </w:tcPr>
          <w:p w14:paraId="021B5512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Atenuante</w:t>
            </w:r>
          </w:p>
        </w:tc>
        <w:tc>
          <w:tcPr>
            <w:tcW w:w="2833" w:type="pct"/>
          </w:tcPr>
          <w:p w14:paraId="6D9B35C7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Efeito Referencial</w:t>
            </w:r>
          </w:p>
        </w:tc>
      </w:tr>
      <w:tr w:rsidR="00D50898" w:rsidRPr="00C712DB" w14:paraId="01326F93" w14:textId="77777777" w:rsidTr="00B872E9">
        <w:tc>
          <w:tcPr>
            <w:tcW w:w="498" w:type="pct"/>
          </w:tcPr>
          <w:p w14:paraId="04E6373E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I</w:t>
            </w:r>
          </w:p>
        </w:tc>
        <w:tc>
          <w:tcPr>
            <w:tcW w:w="1669" w:type="pct"/>
          </w:tcPr>
          <w:p w14:paraId="0EE2084A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Primariedade</w:t>
            </w:r>
          </w:p>
        </w:tc>
        <w:tc>
          <w:tcPr>
            <w:tcW w:w="2833" w:type="pct"/>
          </w:tcPr>
          <w:p w14:paraId="1064AC4B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Redução do percentual dentro da faixa.</w:t>
            </w:r>
          </w:p>
        </w:tc>
      </w:tr>
      <w:tr w:rsidR="00D50898" w:rsidRPr="00C712DB" w14:paraId="2D76B4E8" w14:textId="77777777" w:rsidTr="00B872E9">
        <w:tc>
          <w:tcPr>
            <w:tcW w:w="498" w:type="pct"/>
          </w:tcPr>
          <w:p w14:paraId="06EF01F8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II</w:t>
            </w:r>
          </w:p>
        </w:tc>
        <w:tc>
          <w:tcPr>
            <w:tcW w:w="1669" w:type="pct"/>
          </w:tcPr>
          <w:p w14:paraId="1A2B36FA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Erro Justificável</w:t>
            </w:r>
          </w:p>
        </w:tc>
        <w:tc>
          <w:tcPr>
            <w:tcW w:w="2833" w:type="pct"/>
          </w:tcPr>
          <w:p w14:paraId="06E8D66D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Mitigação do rigor sancionatório.</w:t>
            </w:r>
          </w:p>
        </w:tc>
      </w:tr>
      <w:tr w:rsidR="00D50898" w:rsidRPr="00C712DB" w14:paraId="74EAE729" w14:textId="77777777" w:rsidTr="00B872E9">
        <w:tc>
          <w:tcPr>
            <w:tcW w:w="498" w:type="pct"/>
          </w:tcPr>
          <w:p w14:paraId="3E06E4F0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III</w:t>
            </w:r>
          </w:p>
        </w:tc>
        <w:tc>
          <w:tcPr>
            <w:tcW w:w="1669" w:type="pct"/>
          </w:tcPr>
          <w:p w14:paraId="2989934F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Equívoco sem Dolo</w:t>
            </w:r>
          </w:p>
        </w:tc>
        <w:tc>
          <w:tcPr>
            <w:tcW w:w="2833" w:type="pct"/>
          </w:tcPr>
          <w:p w14:paraId="1DE4FDD7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Aplicação de patamar inferior.</w:t>
            </w:r>
          </w:p>
        </w:tc>
      </w:tr>
      <w:tr w:rsidR="00D50898" w:rsidRPr="00C712DB" w14:paraId="2D142682" w14:textId="77777777" w:rsidTr="00B872E9">
        <w:tc>
          <w:tcPr>
            <w:tcW w:w="498" w:type="pct"/>
          </w:tcPr>
          <w:p w14:paraId="72B309BA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IV</w:t>
            </w:r>
          </w:p>
        </w:tc>
        <w:tc>
          <w:tcPr>
            <w:tcW w:w="1669" w:type="pct"/>
          </w:tcPr>
          <w:p w14:paraId="59890BE5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Mitigação do Dano</w:t>
            </w:r>
          </w:p>
        </w:tc>
        <w:tc>
          <w:tcPr>
            <w:tcW w:w="2833" w:type="pct"/>
          </w:tcPr>
          <w:p w14:paraId="799A3C9C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27093D">
              <w:rPr>
                <w:rFonts w:ascii="Arial" w:hAnsi="Arial" w:cs="Arial"/>
              </w:rPr>
              <w:t>Redução proporcional da sanção.</w:t>
            </w:r>
          </w:p>
        </w:tc>
      </w:tr>
    </w:tbl>
    <w:p w14:paraId="79160A30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</w:p>
    <w:p w14:paraId="5D91BFC8" w14:textId="77777777" w:rsidR="00D50898" w:rsidRPr="00C712DB" w:rsidRDefault="00D50898" w:rsidP="00D50898">
      <w:pPr>
        <w:jc w:val="both"/>
        <w:rPr>
          <w:rFonts w:ascii="Arial" w:hAnsi="Arial" w:cs="Arial"/>
          <w:sz w:val="20"/>
          <w:szCs w:val="20"/>
        </w:rPr>
      </w:pPr>
      <w:r w:rsidRPr="00C712DB">
        <w:rPr>
          <w:rFonts w:ascii="Arial" w:hAnsi="Arial" w:cs="Arial"/>
          <w:sz w:val="20"/>
          <w:szCs w:val="20"/>
        </w:rPr>
        <w:t>ANEXO II</w:t>
      </w:r>
    </w:p>
    <w:p w14:paraId="3B774EAC" w14:textId="77777777" w:rsidR="00D50898" w:rsidRPr="0027093D" w:rsidRDefault="00D50898" w:rsidP="00D5089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7093D">
        <w:rPr>
          <w:rFonts w:ascii="Arial" w:hAnsi="Arial" w:cs="Arial"/>
          <w:b/>
          <w:bCs/>
          <w:sz w:val="20"/>
          <w:szCs w:val="20"/>
        </w:rPr>
        <w:t>Memória de Cálculo e Fórmula Referencial de Dosimetria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8494"/>
      </w:tblGrid>
      <w:tr w:rsidR="00D50898" w:rsidRPr="00C712DB" w14:paraId="2A184BDA" w14:textId="77777777" w:rsidTr="00B872E9">
        <w:tc>
          <w:tcPr>
            <w:tcW w:w="5000" w:type="pct"/>
          </w:tcPr>
          <w:p w14:paraId="6B11EF5A" w14:textId="77777777" w:rsidR="00D50898" w:rsidRPr="00C712DB" w:rsidRDefault="00D50898" w:rsidP="00B872E9">
            <w:pPr>
              <w:jc w:val="both"/>
              <w:rPr>
                <w:rFonts w:ascii="Arial" w:hAnsi="Arial" w:cs="Arial"/>
              </w:rPr>
            </w:pPr>
            <w:r w:rsidRPr="00C712DB">
              <w:rPr>
                <w:rFonts w:ascii="Arial" w:hAnsi="Arial" w:cs="Arial"/>
              </w:rPr>
              <w:t>1. A fórmula para definição do valor da multa pecuniária observará os limites do art. 156, § 3º da Lei</w:t>
            </w:r>
            <w:r>
              <w:rPr>
                <w:rFonts w:ascii="Arial" w:hAnsi="Arial" w:cs="Arial"/>
              </w:rPr>
              <w:t xml:space="preserve"> </w:t>
            </w:r>
            <w:r w:rsidRPr="00C712DB">
              <w:rPr>
                <w:rFonts w:ascii="Arial" w:hAnsi="Arial" w:cs="Arial"/>
              </w:rPr>
              <w:t>nº 14.133/2021: M = (B x p\%) x A x T Onde: · M: Valor final da multa consolidada. · B (Base de</w:t>
            </w:r>
            <w:r>
              <w:rPr>
                <w:rFonts w:ascii="Arial" w:hAnsi="Arial" w:cs="Arial"/>
              </w:rPr>
              <w:t xml:space="preserve"> </w:t>
            </w:r>
            <w:r w:rsidRPr="00C712DB">
              <w:rPr>
                <w:rFonts w:ascii="Arial" w:hAnsi="Arial" w:cs="Arial"/>
              </w:rPr>
              <w:t>Cálculo): Valor total atualizado do contrato ou da parcela inadimplida. · p% (Percentual Base):</w:t>
            </w:r>
            <w:r>
              <w:rPr>
                <w:rFonts w:ascii="Arial" w:hAnsi="Arial" w:cs="Arial"/>
              </w:rPr>
              <w:t xml:space="preserve"> </w:t>
            </w:r>
            <w:r w:rsidRPr="00C712DB">
              <w:rPr>
                <w:rFonts w:ascii="Arial" w:hAnsi="Arial" w:cs="Arial"/>
              </w:rPr>
              <w:t>Percentual obtido no cruzamento entre o Nível de Impacto (Quadro 1) e o Nível de Gravidade</w:t>
            </w:r>
            <w:r>
              <w:rPr>
                <w:rFonts w:ascii="Arial" w:hAnsi="Arial" w:cs="Arial"/>
              </w:rPr>
              <w:t xml:space="preserve"> </w:t>
            </w:r>
            <w:r w:rsidRPr="00C712DB">
              <w:rPr>
                <w:rFonts w:ascii="Arial" w:hAnsi="Arial" w:cs="Arial"/>
              </w:rPr>
              <w:t>(Quadro 2) através da Matriz Referencial (Quadro 3). · A (Fator de Agravantes): Produtório dos</w:t>
            </w:r>
            <w:r>
              <w:rPr>
                <w:rFonts w:ascii="Arial" w:hAnsi="Arial" w:cs="Arial"/>
              </w:rPr>
              <w:t xml:space="preserve"> </w:t>
            </w:r>
            <w:r w:rsidRPr="00C712DB">
              <w:rPr>
                <w:rFonts w:ascii="Arial" w:hAnsi="Arial" w:cs="Arial"/>
              </w:rPr>
              <w:t>coeficientes das circunstâncias identificadas no Quadro 4. · T (Fator de Atenuantes): Produtório dos</w:t>
            </w:r>
            <w:r>
              <w:rPr>
                <w:rFonts w:ascii="Arial" w:hAnsi="Arial" w:cs="Arial"/>
              </w:rPr>
              <w:t xml:space="preserve"> </w:t>
            </w:r>
            <w:r w:rsidRPr="00C712DB">
              <w:rPr>
                <w:rFonts w:ascii="Arial" w:hAnsi="Arial" w:cs="Arial"/>
              </w:rPr>
              <w:t>coeficientes das circunstâncias identificadas no Quadro 5. 2. Trava Legal e Arredondamentos: · O</w:t>
            </w:r>
            <w:r>
              <w:rPr>
                <w:rFonts w:ascii="Arial" w:hAnsi="Arial" w:cs="Arial"/>
              </w:rPr>
              <w:t xml:space="preserve"> </w:t>
            </w:r>
            <w:r w:rsidRPr="00C712DB">
              <w:rPr>
                <w:rFonts w:ascii="Arial" w:hAnsi="Arial" w:cs="Arial"/>
              </w:rPr>
              <w:t>valor final M não poderá ser inferior a 0,5% nem superior a 30% do valor contratado. · Nos casos de</w:t>
            </w:r>
            <w:r>
              <w:rPr>
                <w:rFonts w:ascii="Arial" w:hAnsi="Arial" w:cs="Arial"/>
              </w:rPr>
              <w:t xml:space="preserve"> </w:t>
            </w:r>
            <w:r w:rsidRPr="00C712DB">
              <w:rPr>
                <w:rFonts w:ascii="Arial" w:hAnsi="Arial" w:cs="Arial"/>
              </w:rPr>
              <w:t>"Mínimo x Grau I", a sanção será de Advertência</w:t>
            </w:r>
          </w:p>
        </w:tc>
      </w:tr>
    </w:tbl>
    <w:p w14:paraId="14CDB9B9" w14:textId="77777777" w:rsidR="00B0658D" w:rsidRDefault="00B0658D"/>
    <w:sectPr w:rsidR="00B0658D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56C8D1" w14:textId="77777777" w:rsidR="00D50898" w:rsidRDefault="00D50898" w:rsidP="00D50898">
      <w:r>
        <w:separator/>
      </w:r>
    </w:p>
  </w:endnote>
  <w:endnote w:type="continuationSeparator" w:id="0">
    <w:p w14:paraId="17D7362F" w14:textId="77777777" w:rsidR="00D50898" w:rsidRDefault="00D50898" w:rsidP="00D50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C49A6" w14:textId="77777777" w:rsidR="00D50898" w:rsidRPr="00B03734" w:rsidRDefault="00D50898" w:rsidP="00D50898">
    <w:pPr>
      <w:pStyle w:val="Rodap"/>
      <w:rPr>
        <w:rFonts w:ascii="Arial" w:hAnsi="Arial" w:cs="Arial"/>
        <w:sz w:val="12"/>
        <w:szCs w:val="12"/>
      </w:rPr>
    </w:pPr>
    <w:bookmarkStart w:id="1" w:name="_Hlk187250133"/>
    <w:bookmarkStart w:id="2" w:name="_Hlk187250134"/>
    <w:r w:rsidRPr="00B03734">
      <w:rPr>
        <w:rFonts w:ascii="Arial" w:hAnsi="Arial" w:cs="Arial"/>
        <w:sz w:val="12"/>
        <w:szCs w:val="12"/>
      </w:rPr>
      <w:t>Administração Pública do Estado São Paulo</w:t>
    </w:r>
  </w:p>
  <w:p w14:paraId="56B2284A" w14:textId="77777777" w:rsidR="00D50898" w:rsidRPr="00B03734" w:rsidRDefault="00D50898" w:rsidP="00D50898">
    <w:pPr>
      <w:pStyle w:val="Rodap"/>
      <w:rPr>
        <w:rFonts w:ascii="Arial" w:hAnsi="Arial" w:cs="Arial"/>
        <w:sz w:val="12"/>
        <w:szCs w:val="12"/>
      </w:rPr>
    </w:pPr>
    <w:r w:rsidRPr="00B03734">
      <w:rPr>
        <w:rFonts w:ascii="Arial" w:hAnsi="Arial" w:cs="Arial"/>
        <w:sz w:val="12"/>
        <w:szCs w:val="12"/>
      </w:rPr>
      <w:t>Minuta padronizada. Análise técnica: Subsecretaria de Gestão. Exame jurídico: PGE</w:t>
    </w:r>
  </w:p>
  <w:p w14:paraId="0BC08790" w14:textId="77777777" w:rsidR="00D50898" w:rsidRPr="00B03734" w:rsidRDefault="00D50898" w:rsidP="00D50898">
    <w:pPr>
      <w:pStyle w:val="Rodap"/>
      <w:rPr>
        <w:rFonts w:ascii="Arial" w:hAnsi="Arial" w:cs="Arial"/>
        <w:sz w:val="12"/>
        <w:szCs w:val="12"/>
      </w:rPr>
    </w:pPr>
    <w:r w:rsidRPr="00B03734">
      <w:rPr>
        <w:rFonts w:ascii="Arial" w:hAnsi="Arial" w:cs="Arial"/>
        <w:sz w:val="12"/>
        <w:szCs w:val="12"/>
      </w:rPr>
      <w:t>Aviso de Contratação Direta</w:t>
    </w:r>
  </w:p>
  <w:p w14:paraId="741D4945" w14:textId="77777777" w:rsidR="00D50898" w:rsidRPr="00B03734" w:rsidRDefault="00D50898" w:rsidP="00D50898">
    <w:pPr>
      <w:pStyle w:val="Rodap"/>
      <w:rPr>
        <w:rFonts w:ascii="Arial" w:hAnsi="Arial" w:cs="Arial"/>
      </w:rPr>
    </w:pPr>
    <w:r w:rsidRPr="00B03734">
      <w:rPr>
        <w:rFonts w:ascii="Arial" w:hAnsi="Arial" w:cs="Arial"/>
        <w:sz w:val="12"/>
        <w:szCs w:val="12"/>
      </w:rPr>
      <w:t xml:space="preserve">Versão atualizada em: </w:t>
    </w:r>
    <w:r>
      <w:rPr>
        <w:rFonts w:ascii="Arial" w:hAnsi="Arial" w:cs="Arial"/>
        <w:sz w:val="12"/>
        <w:szCs w:val="12"/>
      </w:rPr>
      <w:t>02</w:t>
    </w:r>
    <w:r w:rsidRPr="00B03734">
      <w:rPr>
        <w:rFonts w:ascii="Arial" w:hAnsi="Arial" w:cs="Arial"/>
        <w:sz w:val="12"/>
        <w:szCs w:val="12"/>
      </w:rPr>
      <w:t>/0</w:t>
    </w:r>
    <w:r>
      <w:rPr>
        <w:rFonts w:ascii="Arial" w:hAnsi="Arial" w:cs="Arial"/>
        <w:sz w:val="12"/>
        <w:szCs w:val="12"/>
      </w:rPr>
      <w:t>7</w:t>
    </w:r>
    <w:r w:rsidRPr="00B03734">
      <w:rPr>
        <w:rFonts w:ascii="Arial" w:hAnsi="Arial" w:cs="Arial"/>
        <w:sz w:val="12"/>
        <w:szCs w:val="12"/>
      </w:rPr>
      <w:t>/202</w:t>
    </w:r>
    <w:bookmarkEnd w:id="1"/>
    <w:bookmarkEnd w:id="2"/>
    <w:r w:rsidRPr="00B03734">
      <w:rPr>
        <w:rFonts w:ascii="Arial" w:hAnsi="Arial" w:cs="Arial"/>
        <w:sz w:val="12"/>
        <w:szCs w:val="12"/>
      </w:rPr>
      <w:t>6</w:t>
    </w:r>
  </w:p>
  <w:p w14:paraId="4F140D84" w14:textId="77777777" w:rsidR="00D50898" w:rsidRDefault="00D5089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001CE" w14:textId="77777777" w:rsidR="00D50898" w:rsidRDefault="00D50898" w:rsidP="00D50898">
      <w:r>
        <w:separator/>
      </w:r>
    </w:p>
  </w:footnote>
  <w:footnote w:type="continuationSeparator" w:id="0">
    <w:p w14:paraId="62170D78" w14:textId="77777777" w:rsidR="00D50898" w:rsidRDefault="00D50898" w:rsidP="00D508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BC0F4" w14:textId="77777777" w:rsidR="00D50898" w:rsidRPr="003C4D4F" w:rsidRDefault="00D50898" w:rsidP="00D50898">
    <w:pPr>
      <w:jc w:val="center"/>
      <w:rPr>
        <w:rFonts w:ascii="Arial" w:hAnsi="Arial" w:cs="Arial"/>
        <w:b/>
        <w:sz w:val="20"/>
        <w:szCs w:val="20"/>
      </w:rPr>
    </w:pPr>
    <w:bookmarkStart w:id="0" w:name="_Hlk187250126"/>
    <w:r>
      <w:rPr>
        <w:rFonts w:ascii="Arial" w:hAnsi="Arial" w:cs="Arial"/>
        <w:noProof/>
        <w:sz w:val="20"/>
        <w:szCs w:val="20"/>
        <w:lang w:eastAsia="pt-BR"/>
      </w:rPr>
      <w:object w:dxaOrig="1440" w:dyaOrig="1440" w14:anchorId="541702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.05pt;margin-top:-4.7pt;width:57.65pt;height:62.25pt;z-index:251659264" fillcolor="window">
          <v:imagedata r:id="rId1" o:title=""/>
        </v:shape>
        <o:OLEObject Type="Embed" ProgID="PBrush" ShapeID="_x0000_s1025" DrawAspect="Content" ObjectID="_1845802816" r:id="rId2"/>
      </w:object>
    </w:r>
    <w:r w:rsidRPr="003C4D4F">
      <w:rPr>
        <w:rFonts w:ascii="Arial" w:hAnsi="Arial" w:cs="Arial"/>
        <w:sz w:val="20"/>
        <w:szCs w:val="20"/>
      </w:rPr>
      <w:t xml:space="preserve"> </w:t>
    </w:r>
    <w:r w:rsidRPr="003C4D4F">
      <w:rPr>
        <w:rFonts w:ascii="Arial" w:hAnsi="Arial" w:cs="Arial"/>
        <w:b/>
        <w:sz w:val="20"/>
        <w:szCs w:val="20"/>
      </w:rPr>
      <w:t>GOVERNO DO ESTADO DE SÃO PAULO</w:t>
    </w:r>
  </w:p>
  <w:p w14:paraId="2D760C23" w14:textId="77777777" w:rsidR="00D50898" w:rsidRPr="003C4D4F" w:rsidRDefault="00D50898" w:rsidP="00D50898">
    <w:pPr>
      <w:jc w:val="center"/>
      <w:rPr>
        <w:rFonts w:ascii="Arial" w:hAnsi="Arial" w:cs="Arial"/>
        <w:b/>
        <w:sz w:val="20"/>
        <w:szCs w:val="20"/>
      </w:rPr>
    </w:pPr>
    <w:r w:rsidRPr="003C4D4F">
      <w:rPr>
        <w:rFonts w:ascii="Arial" w:hAnsi="Arial" w:cs="Arial"/>
        <w:b/>
        <w:sz w:val="20"/>
        <w:szCs w:val="20"/>
      </w:rPr>
      <w:t>SECRETARIA DE ESTADO DA EDUCAÇÃO</w:t>
    </w:r>
  </w:p>
  <w:p w14:paraId="24BC56BC" w14:textId="66148CE2" w:rsidR="00D50898" w:rsidRPr="003C4D4F" w:rsidRDefault="00D50898" w:rsidP="00D50898">
    <w:pPr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UNIDADE REGIONAL</w:t>
    </w:r>
    <w:r w:rsidRPr="003C4D4F">
      <w:rPr>
        <w:rFonts w:ascii="Arial" w:hAnsi="Arial" w:cs="Arial"/>
        <w:b/>
        <w:sz w:val="20"/>
        <w:szCs w:val="20"/>
      </w:rPr>
      <w:t xml:space="preserve"> DE ENSINO – REGIÃO DE </w:t>
    </w:r>
    <w:r>
      <w:rPr>
        <w:rFonts w:ascii="Arial" w:hAnsi="Arial" w:cs="Arial"/>
        <w:b/>
        <w:sz w:val="20"/>
        <w:szCs w:val="20"/>
      </w:rPr>
      <w:t>ADAMANTINA</w:t>
    </w:r>
  </w:p>
  <w:p w14:paraId="685830BA" w14:textId="735A602F" w:rsidR="00D50898" w:rsidRPr="003C4D4F" w:rsidRDefault="00D50898" w:rsidP="00D50898">
    <w:pPr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Alameda Bráulio Molina Frias, 120 – Vila </w:t>
    </w:r>
    <w:proofErr w:type="spellStart"/>
    <w:r>
      <w:rPr>
        <w:rFonts w:ascii="Arial" w:hAnsi="Arial" w:cs="Arial"/>
        <w:b/>
        <w:sz w:val="20"/>
        <w:szCs w:val="20"/>
      </w:rPr>
      <w:t>Cicma</w:t>
    </w:r>
    <w:proofErr w:type="spellEnd"/>
    <w:r>
      <w:rPr>
        <w:rFonts w:ascii="Arial" w:hAnsi="Arial" w:cs="Arial"/>
        <w:b/>
        <w:sz w:val="20"/>
        <w:szCs w:val="20"/>
      </w:rPr>
      <w:t xml:space="preserve"> – Adamantina/SP</w:t>
    </w:r>
  </w:p>
  <w:bookmarkEnd w:id="0"/>
  <w:p w14:paraId="58FD2B1C" w14:textId="77777777" w:rsidR="00D50898" w:rsidRDefault="00D5089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898"/>
    <w:rsid w:val="009C092D"/>
    <w:rsid w:val="00A14F77"/>
    <w:rsid w:val="00B0658D"/>
    <w:rsid w:val="00D50898"/>
    <w:rsid w:val="00DB1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0659D6"/>
  <w15:chartTrackingRefBased/>
  <w15:docId w15:val="{04D6C2CF-F411-46F1-BC21-0086B5705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50898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0898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0898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0898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0898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0898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0898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0898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0898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08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08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08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089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089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089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089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089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089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50898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508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0898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508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0898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5089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50898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5089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0898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089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089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D50898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kern w:val="2"/>
      <w:lang w:val="pt-BR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D50898"/>
  </w:style>
  <w:style w:type="paragraph" w:styleId="Rodap">
    <w:name w:val="footer"/>
    <w:basedOn w:val="Normal"/>
    <w:link w:val="RodapChar"/>
    <w:uiPriority w:val="99"/>
    <w:unhideWhenUsed/>
    <w:rsid w:val="00D50898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kern w:val="2"/>
      <w:lang w:val="pt-BR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qFormat/>
    <w:rsid w:val="00D50898"/>
  </w:style>
  <w:style w:type="table" w:styleId="Tabelacomgrade">
    <w:name w:val="Table Grid"/>
    <w:basedOn w:val="Tabelanormal"/>
    <w:uiPriority w:val="39"/>
    <w:rsid w:val="00D50898"/>
    <w:pPr>
      <w:spacing w:after="120" w:line="276" w:lineRule="auto"/>
    </w:pPr>
    <w:rPr>
      <w:rFonts w:ascii="Calibri" w:eastAsia="Calibri" w:hAnsi="Calibri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4057</Words>
  <Characters>21911</Characters>
  <Application>Microsoft Office Word</Application>
  <DocSecurity>0</DocSecurity>
  <Lines>182</Lines>
  <Paragraphs>51</Paragraphs>
  <ScaleCrop>false</ScaleCrop>
  <Company/>
  <LinksUpToDate>false</LinksUpToDate>
  <CharactersWithSpaces>25917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Gabriele Cardim Scramim Garcia</dc:creator>
  <cp:keywords/>
  <dc:description/>
  <cp:lastModifiedBy>Gabriele Cardim Scramim Garcia</cp:lastModifiedBy>
  <cp:revision>1</cp:revision>
  <dcterms:created xsi:type="dcterms:W3CDTF">2026-07-17T17:11:00Z</dcterms:created>
  <dcterms:modified xsi:type="dcterms:W3CDTF">2026-07-17T17:14:00Z</dcterms:modified>
</cp:coreProperties>
</file>