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5D5CA71">
      <w:pPr>
        <w:rPr>
          <w:rFonts w:hint="default"/>
          <w:lang w:val="pt-BR"/>
        </w:rPr>
      </w:pPr>
      <w:r>
        <w:rPr>
          <w:rFonts w:hint="default"/>
        </w:rPr>
        <w:t>Empresas</w:t>
      </w:r>
      <w:r>
        <w:rPr>
          <w:rFonts w:hint="default"/>
          <w:lang w:val="pt-BR"/>
        </w:rPr>
        <w:t>.</w:t>
      </w:r>
    </w:p>
    <w:p w14:paraId="6A0F9C64">
      <w:pPr>
        <w:rPr>
          <w:rFonts w:hint="default"/>
          <w:lang w:val="pt-BR"/>
        </w:rPr>
      </w:pPr>
    </w:p>
    <w:p w14:paraId="13A232D3">
      <w:pPr>
        <w:rPr>
          <w:rFonts w:hint="default"/>
          <w:lang w:val="pt-BR"/>
        </w:rPr>
      </w:pPr>
    </w:p>
    <w:p w14:paraId="3382BA07">
      <w:pPr>
        <w:rPr>
          <w:rFonts w:hint="default"/>
        </w:rPr>
      </w:pPr>
      <w:r>
        <w:rPr>
          <w:rFonts w:hint="default"/>
        </w:rPr>
        <w:t>Por um lapso foi encerrada a sessão sem darmos o tempo de entrega da amostra, conforme item 07.29 do Edital.</w:t>
      </w:r>
    </w:p>
    <w:p w14:paraId="53EFD19A">
      <w:pPr>
        <w:rPr>
          <w:rFonts w:hint="default"/>
        </w:rPr>
      </w:pPr>
    </w:p>
    <w:p w14:paraId="1D811A77">
      <w:pPr>
        <w:rPr>
          <w:rFonts w:hint="default"/>
        </w:rPr>
      </w:pPr>
      <w:r>
        <w:rPr>
          <w:rFonts w:hint="default"/>
        </w:rPr>
        <w:t>O encerramento foi dia 30/10</w:t>
      </w:r>
      <w:r>
        <w:rPr>
          <w:rFonts w:hint="default"/>
          <w:lang w:val="pt-BR"/>
        </w:rPr>
        <w:t xml:space="preserve"> </w:t>
      </w:r>
      <w:r>
        <w:rPr>
          <w:rFonts w:hint="default"/>
        </w:rPr>
        <w:t>e são dados dez dias úteis para o envio das amostras após as empresas declaradas habilitadas.</w:t>
      </w:r>
    </w:p>
    <w:p w14:paraId="60BC27F4">
      <w:pPr>
        <w:rPr>
          <w:rFonts w:hint="default"/>
        </w:rPr>
      </w:pPr>
    </w:p>
    <w:p w14:paraId="5A0B800F">
      <w:pPr>
        <w:rPr>
          <w:rFonts w:hint="default"/>
        </w:rPr>
      </w:pPr>
      <w:r>
        <w:rPr>
          <w:rFonts w:hint="default"/>
        </w:rPr>
        <w:t>Assim, contando desde o</w:t>
      </w:r>
      <w:r>
        <w:rPr>
          <w:rFonts w:hint="default"/>
          <w:lang w:val="pt-BR"/>
        </w:rPr>
        <w:t xml:space="preserve"> dia 30/10</w:t>
      </w:r>
      <w:r>
        <w:rPr>
          <w:rFonts w:hint="default"/>
        </w:rPr>
        <w:t>, as empresas têm até o dia 14/11 para enviar as amostras, como itens do Edital esclarecem os lugares, quantidades e etc.</w:t>
      </w:r>
    </w:p>
    <w:p w14:paraId="1C4CE677">
      <w:pPr>
        <w:rPr>
          <w:rFonts w:hint="default"/>
        </w:rPr>
      </w:pPr>
    </w:p>
    <w:p w14:paraId="301AC657">
      <w:pPr>
        <w:rPr>
          <w:rFonts w:hint="default"/>
        </w:rPr>
      </w:pPr>
      <w:r>
        <w:rPr>
          <w:rFonts w:hint="default"/>
        </w:rPr>
        <w:t>A retomada da nossa análise das amostras fica marcada para o dia 22/11 às nove horas.</w:t>
      </w:r>
    </w:p>
    <w:p w14:paraId="5A73801D">
      <w:pPr>
        <w:rPr>
          <w:rFonts w:hint="default"/>
        </w:rPr>
      </w:pPr>
    </w:p>
    <w:p w14:paraId="40359A25">
      <w:pPr>
        <w:rPr>
          <w:rFonts w:hint="default"/>
        </w:rPr>
      </w:pPr>
    </w:p>
    <w:p w14:paraId="70B0C990">
      <w:pPr>
        <w:rPr>
          <w:rFonts w:hint="default"/>
        </w:rPr>
      </w:pPr>
      <w:r>
        <w:rPr>
          <w:rFonts w:hint="default"/>
        </w:rPr>
        <w:t>Peço que estejam on line neste dia e horário.</w:t>
      </w:r>
    </w:p>
    <w:p w14:paraId="47859F39">
      <w:pPr>
        <w:rPr>
          <w:rFonts w:hint="default"/>
        </w:rPr>
      </w:pPr>
    </w:p>
    <w:p w14:paraId="501B5931">
      <w:pPr>
        <w:rPr>
          <w:rFonts w:hint="default"/>
        </w:rPr>
      </w:pPr>
    </w:p>
    <w:p w14:paraId="2C150292">
      <w:pPr>
        <w:rPr>
          <w:rFonts w:hint="default"/>
        </w:rPr>
      </w:pPr>
    </w:p>
    <w:p w14:paraId="4B0F7A74">
      <w:pPr>
        <w:rPr>
          <w:rFonts w:hint="default"/>
        </w:rPr>
      </w:pPr>
    </w:p>
    <w:p w14:paraId="29A04AE6">
      <w:pPr>
        <w:rPr>
          <w:rFonts w:hint="default"/>
        </w:rPr>
      </w:pPr>
    </w:p>
    <w:p w14:paraId="06B44C19">
      <w:pPr>
        <w:rPr>
          <w:rFonts w:hint="default"/>
          <w:lang w:val="pt-BR"/>
        </w:rPr>
      </w:pPr>
      <w:r>
        <w:rPr>
          <w:rFonts w:hint="default"/>
          <w:lang w:val="pt-BR"/>
        </w:rPr>
        <w:t>Att. Pedro.</w:t>
      </w:r>
      <w:bookmarkStart w:id="0" w:name="_GoBack"/>
      <w:bookmarkEnd w:id="0"/>
    </w:p>
    <w:sectPr>
      <w:pgSz w:w="11906" w:h="16838"/>
      <w:pgMar w:top="1440" w:right="1800" w:bottom="1440" w:left="1800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imHei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708"/>
  <w:drawingGridVerticalSpacing w:val="156"/>
  <w:displayHorizontalDrawingGridEvery w:val="0"/>
  <w:displayVerticalDrawingGridEvery w:val="2"/>
  <w:characterSpacingControl w:val="doNotCompress"/>
  <w:compat>
    <w:spaceForUL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417D69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rPr>
      <w:rFonts w:asciiTheme="minorHAnsi" w:hAnsiTheme="minorHAnsi" w:eastAsiaTheme="minorEastAsia" w:cstheme="minorBidi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Office_12.2.0.17562_F1E327BC-269C-435d-A152-05C5408002CA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2024-10-31T12:01:27Z</dcterms:created>
  <dc:creator>pedro.jones</dc:creator>
  <cp:lastModifiedBy>pedro.jones</cp:lastModifiedBy>
  <dcterms:modified xsi:type="dcterms:W3CDTF">2024-10-31T12:02:35Z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1046-12.2.0.17562</vt:lpwstr>
  </property>
  <property fmtid="{D5CDD505-2E9C-101B-9397-08002B2CF9AE}" pid="3" name="ICV">
    <vt:lpwstr>C791A8FF623748C289B8FC4A20F0E804_12</vt:lpwstr>
  </property>
</Properties>
</file>