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highlight w:val="none"/>
        </w:rPr>
      </w:pPr>
      <w:r>
        <w:rPr>
          <w:highlight w:val="none"/>
        </w:rPr>
        <w:pict>
          <v:shape id="_x0000_s1026" o:spid="_x0000_s1026" o:spt="75" type="#_x0000_t75" style="position:absolute;left:0pt;margin-left:-13.3pt;margin-top:4.3pt;height:65.9pt;width:69.65pt;z-index:251661312;mso-width-relative:page;mso-height-relative:page;" o:ole="t" filled="f" o:preferrelative="t" stroked="f" coordsize="21600,21600">
            <v:path/>
            <v:fill on="f" focussize="0,0"/>
            <v:stroke on="f"/>
            <v:imagedata r:id="rId11" o:title=""/>
            <o:lock v:ext="edit" aspectratio="t"/>
          </v:shape>
          <o:OLEObject Type="Embed" ProgID="CorelDraw.Graphic.16" ShapeID="_x0000_s1026" DrawAspect="Content" ObjectID="_1468075725" r:id="rId10">
            <o:LockedField>false</o:LockedField>
          </o:OLEObject>
        </w:pict>
      </w:r>
      <w:r>
        <w:rPr>
          <w:rFonts w:cs="Arial"/>
          <w:highlight w:val="none"/>
          <w:lang w:eastAsia="pt-BR"/>
        </w:rPr>
        <mc:AlternateContent>
          <mc:Choice Requires="wps">
            <w:drawing>
              <wp:anchor distT="0" distB="0" distL="114300" distR="114300" simplePos="0" relativeHeight="251659264" behindDoc="0" locked="0" layoutInCell="1" allowOverlap="1">
                <wp:simplePos x="0" y="0"/>
                <wp:positionH relativeFrom="column">
                  <wp:posOffset>652780</wp:posOffset>
                </wp:positionH>
                <wp:positionV relativeFrom="paragraph">
                  <wp:posOffset>82550</wp:posOffset>
                </wp:positionV>
                <wp:extent cx="5616575" cy="890270"/>
                <wp:effectExtent l="4445" t="4445" r="17780" b="19685"/>
                <wp:wrapNone/>
                <wp:docPr id="19" name="Caixa de Texto 19"/>
                <wp:cNvGraphicFramePr/>
                <a:graphic xmlns:a="http://schemas.openxmlformats.org/drawingml/2006/main">
                  <a:graphicData uri="http://schemas.microsoft.com/office/word/2010/wordprocessingShape">
                    <wps:wsp>
                      <wps:cNvSpPr txBox="1"/>
                      <wps:spPr>
                        <a:xfrm>
                          <a:off x="0" y="0"/>
                          <a:ext cx="5616575" cy="890270"/>
                        </a:xfrm>
                        <a:prstGeom prst="rect">
                          <a:avLst/>
                        </a:prstGeom>
                        <a:noFill/>
                        <a:ln w="6350">
                          <a:solidFill>
                            <a:schemeClr val="bg1"/>
                          </a:solidFill>
                        </a:ln>
                        <a:effectLst/>
                      </wps:spPr>
                      <wps:txbx>
                        <w:txbxContent>
                          <w:p>
                            <w:pPr>
                              <w:spacing w:before="0" w:after="0" w:line="276" w:lineRule="auto"/>
                              <w:jc w:val="center"/>
                              <w:rPr>
                                <w:rFonts w:ascii="Tahoma" w:hAnsi="Tahoma" w:cs="Tahoma"/>
                                <w:b/>
                                <w:color w:val="auto"/>
                                <w:spacing w:val="10"/>
                                <w:szCs w:val="22"/>
                              </w:rPr>
                            </w:pPr>
                            <w:r>
                              <w:rPr>
                                <w:rFonts w:ascii="Tahoma" w:hAnsi="Tahoma" w:cs="Tahoma"/>
                                <w:b/>
                                <w:color w:val="auto"/>
                                <w:spacing w:val="10"/>
                                <w:sz w:val="34"/>
                                <w:szCs w:val="34"/>
                              </w:rPr>
                              <w:t>PREFEITURA MUNICIPAL DE ITAPEVA</w:t>
                            </w:r>
                          </w:p>
                          <w:p>
                            <w:pPr>
                              <w:spacing w:before="0" w:after="0" w:line="276" w:lineRule="auto"/>
                              <w:jc w:val="center"/>
                              <w:rPr>
                                <w:rFonts w:ascii="Tahoma" w:hAnsi="Tahoma" w:cs="Tahoma"/>
                                <w:b/>
                                <w:color w:val="auto"/>
                                <w:spacing w:val="10"/>
                                <w:szCs w:val="22"/>
                              </w:rPr>
                            </w:pPr>
                            <w:r>
                              <w:rPr>
                                <w:rFonts w:ascii="Tahoma" w:hAnsi="Tahoma" w:cs="Tahoma"/>
                                <w:b/>
                                <w:color w:val="auto"/>
                                <w:spacing w:val="10"/>
                                <w:sz w:val="16"/>
                                <w:szCs w:val="16"/>
                              </w:rPr>
                              <w:t>ESTADO DE SÃO PAULO</w:t>
                            </w:r>
                          </w:p>
                          <w:p>
                            <w:pPr>
                              <w:spacing w:before="0" w:after="0" w:line="276" w:lineRule="auto"/>
                              <w:jc w:val="center"/>
                              <w:rPr>
                                <w:rFonts w:ascii="Tahoma" w:hAnsi="Tahoma" w:cs="Tahoma"/>
                                <w:b/>
                                <w:color w:val="auto"/>
                                <w:spacing w:val="10"/>
                                <w:sz w:val="10"/>
                                <w:szCs w:val="10"/>
                              </w:rPr>
                            </w:pPr>
                          </w:p>
                          <w:p>
                            <w:pPr>
                              <w:spacing w:before="0" w:after="0" w:line="276" w:lineRule="auto"/>
                              <w:jc w:val="center"/>
                              <w:rPr>
                                <w:rFonts w:ascii="Tahoma" w:hAnsi="Tahoma" w:cs="Tahoma"/>
                                <w:b/>
                                <w:color w:val="auto"/>
                                <w:spacing w:val="10"/>
                                <w:sz w:val="20"/>
                                <w:szCs w:val="20"/>
                              </w:rPr>
                            </w:pPr>
                            <w:r>
                              <w:rPr>
                                <w:rFonts w:ascii="Tahoma" w:hAnsi="Tahoma" w:cs="Tahoma"/>
                                <w:b/>
                                <w:color w:val="auto"/>
                                <w:spacing w:val="24"/>
                                <w:sz w:val="20"/>
                                <w:szCs w:val="20"/>
                              </w:rPr>
                              <w:t>SECRETARIA MUNICIPAL DE ADMINISTRAÇÃO E RECURSOS HUMANOS</w:t>
                            </w:r>
                          </w:p>
                          <w:p>
                            <w:pPr>
                              <w:spacing w:before="0" w:line="360" w:lineRule="auto"/>
                              <w:rPr>
                                <w:rFonts w:ascii="Tahoma" w:hAnsi="Tahoma" w:cs="Tahoma"/>
                                <w:color w:val="auto"/>
                                <w:spacing w:val="24"/>
                                <w:szCs w:val="22"/>
                              </w:rPr>
                            </w:pPr>
                          </w:p>
                          <w:p>
                            <w:pPr>
                              <w:spacing w:before="0" w:after="0"/>
                              <w:jc w:val="center"/>
                              <w:rPr>
                                <w:rFonts w:cs="Arial"/>
                                <w:b/>
                                <w:color w:val="auto"/>
                                <w:spacing w:val="10"/>
                                <w:sz w:val="36"/>
                                <w:szCs w:val="36"/>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1.4pt;margin-top:6.5pt;height:70.1pt;width:442.25pt;z-index:251659264;mso-width-relative:page;mso-height-relative:page;" filled="f" stroked="t" coordsize="21600,21600" o:gfxdata="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AAmUBbZAAAACgEAAA8A&#10;AAAAAAAAAQAgAAAAIgAAAGRycy9kb3ducmV2LnhtbFBLAQIUABQAAAAIAIdO4kAueCxUTwIAAKQE&#10;AAAOAAAAAAAAAAEAIAAAACgBAABkcnMvZTJvRG9jLnhtbFBLBQYAAAAABgAGAFkBAADpBQAAAAA=&#10;">
                <v:fill on="f" focussize="0,0"/>
                <v:stroke weight="0.5pt" color="#FFFFFF [3212]" joinstyle="round"/>
                <v:imagedata o:title=""/>
                <o:lock v:ext="edit" aspectratio="f"/>
                <v:textbox>
                  <w:txbxContent>
                    <w:p>
                      <w:pPr>
                        <w:spacing w:before="0" w:after="0" w:line="276" w:lineRule="auto"/>
                        <w:jc w:val="center"/>
                        <w:rPr>
                          <w:rFonts w:ascii="Tahoma" w:hAnsi="Tahoma" w:cs="Tahoma"/>
                          <w:b/>
                          <w:color w:val="auto"/>
                          <w:spacing w:val="10"/>
                          <w:szCs w:val="22"/>
                        </w:rPr>
                      </w:pPr>
                      <w:r>
                        <w:rPr>
                          <w:rFonts w:ascii="Tahoma" w:hAnsi="Tahoma" w:cs="Tahoma"/>
                          <w:b/>
                          <w:color w:val="auto"/>
                          <w:spacing w:val="10"/>
                          <w:sz w:val="34"/>
                          <w:szCs w:val="34"/>
                        </w:rPr>
                        <w:t>PREFEITURA MUNICIPAL DE ITAPEVA</w:t>
                      </w:r>
                    </w:p>
                    <w:p>
                      <w:pPr>
                        <w:spacing w:before="0" w:after="0" w:line="276" w:lineRule="auto"/>
                        <w:jc w:val="center"/>
                        <w:rPr>
                          <w:rFonts w:ascii="Tahoma" w:hAnsi="Tahoma" w:cs="Tahoma"/>
                          <w:b/>
                          <w:color w:val="auto"/>
                          <w:spacing w:val="10"/>
                          <w:szCs w:val="22"/>
                        </w:rPr>
                      </w:pPr>
                      <w:r>
                        <w:rPr>
                          <w:rFonts w:ascii="Tahoma" w:hAnsi="Tahoma" w:cs="Tahoma"/>
                          <w:b/>
                          <w:color w:val="auto"/>
                          <w:spacing w:val="10"/>
                          <w:sz w:val="16"/>
                          <w:szCs w:val="16"/>
                        </w:rPr>
                        <w:t>ESTADO DE SÃO PAULO</w:t>
                      </w:r>
                    </w:p>
                    <w:p>
                      <w:pPr>
                        <w:spacing w:before="0" w:after="0" w:line="276" w:lineRule="auto"/>
                        <w:jc w:val="center"/>
                        <w:rPr>
                          <w:rFonts w:ascii="Tahoma" w:hAnsi="Tahoma" w:cs="Tahoma"/>
                          <w:b/>
                          <w:color w:val="auto"/>
                          <w:spacing w:val="10"/>
                          <w:sz w:val="10"/>
                          <w:szCs w:val="10"/>
                        </w:rPr>
                      </w:pPr>
                    </w:p>
                    <w:p>
                      <w:pPr>
                        <w:spacing w:before="0" w:after="0" w:line="276" w:lineRule="auto"/>
                        <w:jc w:val="center"/>
                        <w:rPr>
                          <w:rFonts w:ascii="Tahoma" w:hAnsi="Tahoma" w:cs="Tahoma"/>
                          <w:b/>
                          <w:color w:val="auto"/>
                          <w:spacing w:val="10"/>
                          <w:sz w:val="20"/>
                          <w:szCs w:val="20"/>
                        </w:rPr>
                      </w:pPr>
                      <w:r>
                        <w:rPr>
                          <w:rFonts w:ascii="Tahoma" w:hAnsi="Tahoma" w:cs="Tahoma"/>
                          <w:b/>
                          <w:color w:val="auto"/>
                          <w:spacing w:val="24"/>
                          <w:sz w:val="20"/>
                          <w:szCs w:val="20"/>
                        </w:rPr>
                        <w:t>SECRETARIA MUNICIPAL DE ADMINISTRAÇÃO E RECURSOS HUMANOS</w:t>
                      </w:r>
                    </w:p>
                    <w:p>
                      <w:pPr>
                        <w:spacing w:before="0" w:line="360" w:lineRule="auto"/>
                        <w:rPr>
                          <w:rFonts w:ascii="Tahoma" w:hAnsi="Tahoma" w:cs="Tahoma"/>
                          <w:color w:val="auto"/>
                          <w:spacing w:val="24"/>
                          <w:szCs w:val="22"/>
                        </w:rPr>
                      </w:pPr>
                    </w:p>
                    <w:p>
                      <w:pPr>
                        <w:spacing w:before="0" w:after="0"/>
                        <w:jc w:val="center"/>
                        <w:rPr>
                          <w:rFonts w:cs="Arial"/>
                          <w:b/>
                          <w:color w:val="auto"/>
                          <w:spacing w:val="10"/>
                          <w:sz w:val="36"/>
                          <w:szCs w:val="36"/>
                        </w:rPr>
                      </w:pPr>
                    </w:p>
                  </w:txbxContent>
                </v:textbox>
              </v:shape>
            </w:pict>
          </mc:Fallback>
        </mc:AlternateContent>
      </w:r>
    </w:p>
    <w:p>
      <w:pPr>
        <w:tabs>
          <w:tab w:val="left" w:pos="8894"/>
        </w:tabs>
        <w:rPr>
          <w:rFonts w:cs="Arial"/>
          <w:color w:val="auto"/>
          <w:highlight w:val="none"/>
        </w:rPr>
      </w:pPr>
    </w:p>
    <w:p>
      <w:pPr>
        <w:tabs>
          <w:tab w:val="left" w:pos="8894"/>
        </w:tabs>
        <w:rPr>
          <w:rFonts w:cs="Arial"/>
          <w:color w:val="auto"/>
          <w:highlight w:val="none"/>
        </w:rPr>
      </w:pPr>
    </w:p>
    <w:p>
      <w:pPr>
        <w:spacing w:before="0" w:after="0" w:line="240" w:lineRule="exact"/>
        <w:ind w:right="708"/>
        <w:jc w:val="both"/>
        <w:rPr>
          <w:rFonts w:cs="Arial"/>
          <w:color w:val="auto"/>
          <w:sz w:val="19"/>
          <w:szCs w:val="19"/>
          <w:highlight w:val="none"/>
        </w:rPr>
      </w:pPr>
    </w:p>
    <w:p>
      <w:pPr>
        <w:spacing w:before="0" w:after="0" w:line="276" w:lineRule="auto"/>
        <w:jc w:val="center"/>
        <w:rPr>
          <w:rFonts w:cs="Arial"/>
          <w:color w:val="auto"/>
          <w:spacing w:val="6"/>
          <w:sz w:val="36"/>
          <w:szCs w:val="36"/>
          <w:highlight w:val="none"/>
          <w:u w:val="single"/>
        </w:rPr>
      </w:pPr>
      <w:r>
        <w:rPr>
          <w:rFonts w:cs="Arial"/>
          <w:b/>
          <w:color w:val="auto"/>
          <w:highlight w:val="none"/>
          <w:lang w:eastAsia="pt-BR"/>
        </w:rPr>
        <mc:AlternateContent>
          <mc:Choice Requires="wps">
            <w:drawing>
              <wp:anchor distT="0" distB="0" distL="114300" distR="114300" simplePos="0" relativeHeight="251660288" behindDoc="0" locked="0" layoutInCell="1" allowOverlap="1">
                <wp:simplePos x="0" y="0"/>
                <wp:positionH relativeFrom="column">
                  <wp:posOffset>707390</wp:posOffset>
                </wp:positionH>
                <wp:positionV relativeFrom="paragraph">
                  <wp:posOffset>60960</wp:posOffset>
                </wp:positionV>
                <wp:extent cx="5450840" cy="21590"/>
                <wp:effectExtent l="0" t="4445" r="16510" b="12065"/>
                <wp:wrapNone/>
                <wp:docPr id="20" name="Conector Reto 20"/>
                <wp:cNvGraphicFramePr/>
                <a:graphic xmlns:a="http://schemas.openxmlformats.org/drawingml/2006/main">
                  <a:graphicData uri="http://schemas.microsoft.com/office/word/2010/wordprocessingShape">
                    <wps:wsp>
                      <wps:cNvCnPr/>
                      <wps:spPr>
                        <a:xfrm flipV="1">
                          <a:off x="0" y="0"/>
                          <a:ext cx="5450840" cy="21590"/>
                        </a:xfrm>
                        <a:prstGeom prst="line">
                          <a:avLst/>
                        </a:prstGeom>
                        <a:ln w="31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55.7pt;margin-top:4.8pt;height:1.7pt;width:429.2pt;z-index:251660288;mso-width-relative:page;mso-height-relative:page;" filled="f" stroked="t" coordsize="21600,21600" o:gfxdata="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PNYZsnTAAAACAEAAA8AAAAAAAAAAQAgAAAAIgAAAGRy&#10;cy9kb3ducmV2LnhtbFBLAQIUABQAAAAIAIdO4kBxAd4b0QEAAKgDAAAOAAAAAAAAAAEAIAAAACIB&#10;AABkcnMvZTJvRG9jLnhtbFBLBQYAAAAABgAGAFkBAABlBQAAAAA=&#10;">
                <v:fill on="f" focussize="0,0"/>
                <v:stroke weight="0.25pt" color="#000000 [3213]" joinstyle="round"/>
                <v:imagedata o:title=""/>
                <o:lock v:ext="edit" aspectratio="f"/>
              </v:line>
            </w:pict>
          </mc:Fallback>
        </mc:AlternateContent>
      </w:r>
    </w:p>
    <w:p>
      <w:pPr>
        <w:spacing w:before="0" w:after="0" w:line="276" w:lineRule="auto"/>
        <w:jc w:val="center"/>
        <w:rPr>
          <w:rFonts w:cs="Arial"/>
          <w:color w:val="auto"/>
          <w:spacing w:val="6"/>
          <w:sz w:val="36"/>
          <w:szCs w:val="36"/>
          <w:highlight w:val="none"/>
          <w:u w:val="single"/>
        </w:rPr>
      </w:pPr>
    </w:p>
    <w:p>
      <w:pPr>
        <w:spacing w:before="0" w:after="0" w:line="276" w:lineRule="auto"/>
        <w:jc w:val="center"/>
        <w:rPr>
          <w:rFonts w:cs="Arial"/>
          <w:color w:val="auto"/>
          <w:spacing w:val="6"/>
          <w:sz w:val="36"/>
          <w:szCs w:val="36"/>
          <w:highlight w:val="none"/>
          <w:u w:val="single"/>
        </w:rPr>
      </w:pPr>
      <w:r>
        <w:rPr>
          <w:rFonts w:cs="Arial"/>
          <w:color w:val="auto"/>
          <w:spacing w:val="6"/>
          <w:sz w:val="36"/>
          <w:szCs w:val="36"/>
          <w:highlight w:val="none"/>
          <w:u w:val="single"/>
        </w:rPr>
        <w:t>PREGÃO ELETRÔNICO</w:t>
      </w:r>
    </w:p>
    <w:p>
      <w:pPr>
        <w:tabs>
          <w:tab w:val="left" w:pos="993"/>
        </w:tabs>
        <w:spacing w:before="0" w:after="0" w:line="276" w:lineRule="auto"/>
        <w:jc w:val="center"/>
        <w:rPr>
          <w:rFonts w:hint="default" w:cs="Arial"/>
          <w:b/>
          <w:bCs/>
          <w:color w:val="auto"/>
          <w:spacing w:val="16"/>
          <w:szCs w:val="22"/>
          <w:highlight w:val="none"/>
          <w:lang w:val="pt-BR"/>
        </w:rPr>
      </w:pPr>
      <w:r>
        <w:rPr>
          <w:rFonts w:cs="Arial"/>
          <w:color w:val="auto"/>
          <w:spacing w:val="16"/>
          <w:szCs w:val="22"/>
          <w:highlight w:val="none"/>
        </w:rPr>
        <w:t xml:space="preserve">EDITAL N° </w:t>
      </w:r>
      <w:r>
        <w:rPr>
          <w:rFonts w:hint="default" w:cs="Arial"/>
          <w:color w:val="auto"/>
          <w:spacing w:val="16"/>
          <w:szCs w:val="22"/>
          <w:highlight w:val="none"/>
          <w:lang w:val="pt-BR"/>
        </w:rPr>
        <w:t>31</w:t>
      </w:r>
      <w:r>
        <w:rPr>
          <w:rFonts w:cs="Arial"/>
          <w:color w:val="auto"/>
          <w:spacing w:val="16"/>
          <w:szCs w:val="22"/>
          <w:highlight w:val="none"/>
        </w:rPr>
        <w:t>/2023</w:t>
      </w:r>
      <w:r>
        <w:rPr>
          <w:rFonts w:hint="default" w:cs="Arial"/>
          <w:color w:val="auto"/>
          <w:spacing w:val="16"/>
          <w:szCs w:val="22"/>
          <w:highlight w:val="none"/>
          <w:lang w:val="pt-BR"/>
        </w:rPr>
        <w:t xml:space="preserve">- </w:t>
      </w:r>
      <w:r>
        <w:rPr>
          <w:rFonts w:hint="default" w:cs="Arial"/>
          <w:b/>
          <w:bCs/>
          <w:color w:val="auto"/>
          <w:spacing w:val="16"/>
          <w:szCs w:val="22"/>
          <w:highlight w:val="none"/>
          <w:lang w:val="pt-BR"/>
        </w:rPr>
        <w:t>Reeditado</w:t>
      </w:r>
    </w:p>
    <w:p>
      <w:pPr>
        <w:tabs>
          <w:tab w:val="left" w:pos="993"/>
        </w:tabs>
        <w:spacing w:before="0" w:after="0" w:line="480" w:lineRule="auto"/>
        <w:jc w:val="center"/>
        <w:rPr>
          <w:rFonts w:cs="Arial"/>
          <w:color w:val="auto"/>
          <w:szCs w:val="22"/>
          <w:highlight w:val="none"/>
        </w:rPr>
      </w:pPr>
      <w:r>
        <w:rPr>
          <w:rFonts w:cs="Arial"/>
          <w:color w:val="auto"/>
          <w:szCs w:val="22"/>
          <w:highlight w:val="none"/>
        </w:rPr>
        <w:t xml:space="preserve">PROCESSO ADMINISTRATIVO Nº </w:t>
      </w:r>
      <w:r>
        <w:rPr>
          <w:rFonts w:hint="default" w:cs="Arial"/>
          <w:color w:val="auto"/>
          <w:szCs w:val="22"/>
          <w:highlight w:val="none"/>
          <w:lang w:val="pt-BR"/>
        </w:rPr>
        <w:t>2.180</w:t>
      </w:r>
      <w:r>
        <w:rPr>
          <w:rFonts w:cs="Arial"/>
          <w:color w:val="auto"/>
          <w:szCs w:val="22"/>
          <w:highlight w:val="none"/>
        </w:rPr>
        <w:t>/2023</w:t>
      </w:r>
    </w:p>
    <w:p>
      <w:pPr>
        <w:spacing w:before="0"/>
        <w:ind w:left="993" w:right="638"/>
        <w:jc w:val="center"/>
        <w:rPr>
          <w:rFonts w:cs="Arial"/>
          <w:b/>
          <w:color w:val="auto"/>
          <w:sz w:val="24"/>
          <w:highlight w:val="none"/>
        </w:rPr>
      </w:pPr>
      <w:bookmarkStart w:id="245" w:name="_GoBack"/>
      <w:bookmarkEnd w:id="245"/>
    </w:p>
    <w:p>
      <w:pPr>
        <w:spacing w:before="0"/>
        <w:ind w:left="993" w:right="638"/>
        <w:jc w:val="center"/>
        <w:rPr>
          <w:rFonts w:cs="Arial"/>
          <w:b/>
          <w:color w:val="auto"/>
          <w:sz w:val="24"/>
          <w:highlight w:val="none"/>
        </w:rPr>
      </w:pPr>
      <w:r>
        <w:rPr>
          <w:rFonts w:hint="default" w:cs="Arial"/>
          <w:b/>
          <w:color w:val="auto"/>
          <w:sz w:val="24"/>
          <w:highlight w:val="none"/>
          <w:lang w:val="pt-BR"/>
        </w:rPr>
        <w:t>A</w:t>
      </w:r>
      <w:r>
        <w:rPr>
          <w:rFonts w:cs="Arial"/>
          <w:b/>
          <w:color w:val="auto"/>
          <w:sz w:val="24"/>
          <w:highlight w:val="none"/>
          <w:lang w:val="en-US" w:eastAsia="zh-CN"/>
        </w:rPr>
        <w:t xml:space="preserve">quisição e instalação de Unidades </w:t>
      </w:r>
    </w:p>
    <w:p>
      <w:pPr>
        <w:spacing w:before="0"/>
        <w:ind w:left="993" w:right="638"/>
        <w:jc w:val="center"/>
        <w:rPr>
          <w:rFonts w:cs="Arial"/>
          <w:b/>
          <w:color w:val="auto"/>
          <w:sz w:val="24"/>
          <w:highlight w:val="none"/>
        </w:rPr>
      </w:pPr>
      <w:r>
        <w:rPr>
          <w:rFonts w:hint="default" w:cs="Arial"/>
          <w:b/>
          <w:color w:val="auto"/>
          <w:sz w:val="24"/>
          <w:highlight w:val="none"/>
          <w:lang w:val="en-US" w:eastAsia="zh-CN"/>
        </w:rPr>
        <w:t>Sanitárias Individuais (USI's)</w:t>
      </w:r>
    </w:p>
    <w:p>
      <w:pPr>
        <w:spacing w:before="0"/>
        <w:ind w:left="993" w:right="638"/>
        <w:jc w:val="center"/>
        <w:rPr>
          <w:rFonts w:cs="Arial"/>
          <w:color w:val="auto"/>
          <w:szCs w:val="22"/>
          <w:highlight w:val="none"/>
        </w:rPr>
      </w:pPr>
    </w:p>
    <w:p>
      <w:pPr>
        <w:spacing w:before="0"/>
        <w:ind w:left="993" w:right="638"/>
        <w:jc w:val="center"/>
        <w:rPr>
          <w:rFonts w:cs="Arial"/>
          <w:color w:val="auto"/>
          <w:szCs w:val="22"/>
          <w:highlight w:val="none"/>
        </w:rPr>
      </w:pPr>
      <w:r>
        <w:rPr>
          <w:rFonts w:cs="Arial"/>
          <w:color w:val="auto"/>
          <w:szCs w:val="22"/>
          <w:highlight w:val="none"/>
        </w:rPr>
        <w:t xml:space="preserve">Recebimento das propostas: A partir das </w:t>
      </w:r>
      <w:r>
        <w:rPr>
          <w:rFonts w:hint="default" w:cs="Arial"/>
          <w:b/>
          <w:bCs/>
          <w:color w:val="auto"/>
          <w:szCs w:val="22"/>
          <w:highlight w:val="none"/>
          <w:lang w:val="pt-BR"/>
        </w:rPr>
        <w:t>09</w:t>
      </w:r>
      <w:r>
        <w:rPr>
          <w:rFonts w:cs="Arial"/>
          <w:b/>
          <w:color w:val="auto"/>
          <w:szCs w:val="22"/>
          <w:highlight w:val="none"/>
        </w:rPr>
        <w:t>h</w:t>
      </w:r>
      <w:r>
        <w:rPr>
          <w:rFonts w:hint="default" w:cs="Arial"/>
          <w:b/>
          <w:color w:val="auto"/>
          <w:szCs w:val="22"/>
          <w:highlight w:val="none"/>
          <w:lang w:val="pt-BR"/>
        </w:rPr>
        <w:t>00</w:t>
      </w:r>
      <w:r>
        <w:rPr>
          <w:rFonts w:cs="Arial"/>
          <w:b/>
          <w:color w:val="auto"/>
          <w:szCs w:val="22"/>
          <w:highlight w:val="none"/>
        </w:rPr>
        <w:t>min</w:t>
      </w:r>
      <w:r>
        <w:rPr>
          <w:rFonts w:cs="Arial"/>
          <w:color w:val="auto"/>
          <w:szCs w:val="22"/>
          <w:highlight w:val="none"/>
        </w:rPr>
        <w:t xml:space="preserve"> do dia </w:t>
      </w:r>
      <w:r>
        <w:rPr>
          <w:rFonts w:hint="default" w:cs="Arial"/>
          <w:b/>
          <w:bCs/>
          <w:color w:val="auto"/>
          <w:szCs w:val="22"/>
          <w:highlight w:val="none"/>
          <w:lang w:val="pt-BR"/>
        </w:rPr>
        <w:t>12/</w:t>
      </w:r>
      <w:r>
        <w:rPr>
          <w:rFonts w:hint="default" w:cs="Arial"/>
          <w:b/>
          <w:color w:val="auto"/>
          <w:szCs w:val="22"/>
          <w:highlight w:val="none"/>
          <w:lang w:val="pt-BR"/>
        </w:rPr>
        <w:t>07</w:t>
      </w:r>
      <w:r>
        <w:rPr>
          <w:rFonts w:cs="Arial"/>
          <w:b/>
          <w:color w:val="auto"/>
          <w:szCs w:val="22"/>
          <w:highlight w:val="none"/>
        </w:rPr>
        <w:t>/2023</w:t>
      </w:r>
    </w:p>
    <w:p>
      <w:pPr>
        <w:spacing w:before="0"/>
        <w:ind w:left="993" w:right="638"/>
        <w:jc w:val="center"/>
        <w:rPr>
          <w:rFonts w:cs="Arial"/>
          <w:color w:val="auto"/>
          <w:szCs w:val="22"/>
          <w:highlight w:val="none"/>
        </w:rPr>
      </w:pPr>
      <w:r>
        <w:rPr>
          <w:rFonts w:cs="Arial"/>
          <w:color w:val="auto"/>
          <w:szCs w:val="22"/>
          <w:highlight w:val="none"/>
        </w:rPr>
        <w:t>Encerramento de recebimento das propostas e Início da Sessão Pública:</w:t>
      </w:r>
    </w:p>
    <w:p>
      <w:pPr>
        <w:spacing w:before="0"/>
        <w:ind w:left="993" w:right="638"/>
        <w:jc w:val="center"/>
        <w:rPr>
          <w:rFonts w:cs="Arial"/>
          <w:b/>
          <w:color w:val="auto"/>
          <w:szCs w:val="22"/>
          <w:highlight w:val="none"/>
        </w:rPr>
      </w:pPr>
      <w:r>
        <w:rPr>
          <w:rFonts w:cs="Arial"/>
          <w:color w:val="auto"/>
          <w:szCs w:val="22"/>
          <w:highlight w:val="none"/>
        </w:rPr>
        <w:t xml:space="preserve">Às </w:t>
      </w:r>
      <w:r>
        <w:rPr>
          <w:rFonts w:cs="Arial"/>
          <w:b/>
          <w:color w:val="auto"/>
          <w:szCs w:val="22"/>
          <w:highlight w:val="none"/>
        </w:rPr>
        <w:t>09h00min</w:t>
      </w:r>
      <w:r>
        <w:rPr>
          <w:rFonts w:cs="Arial"/>
          <w:color w:val="auto"/>
          <w:szCs w:val="22"/>
          <w:highlight w:val="none"/>
        </w:rPr>
        <w:t xml:space="preserve"> do dia </w:t>
      </w:r>
      <w:r>
        <w:rPr>
          <w:rFonts w:hint="default" w:cs="Arial"/>
          <w:b/>
          <w:bCs/>
          <w:color w:val="auto"/>
          <w:szCs w:val="22"/>
          <w:highlight w:val="none"/>
          <w:lang w:val="pt-BR"/>
        </w:rPr>
        <w:t>27/</w:t>
      </w:r>
      <w:r>
        <w:rPr>
          <w:rFonts w:hint="default" w:cs="Arial"/>
          <w:b/>
          <w:color w:val="auto"/>
          <w:szCs w:val="22"/>
          <w:highlight w:val="none"/>
          <w:lang w:val="pt-BR"/>
        </w:rPr>
        <w:t>07</w:t>
      </w:r>
      <w:r>
        <w:rPr>
          <w:rFonts w:cs="Arial"/>
          <w:b/>
          <w:color w:val="auto"/>
          <w:szCs w:val="22"/>
          <w:highlight w:val="none"/>
        </w:rPr>
        <w:t>/2023</w:t>
      </w:r>
    </w:p>
    <w:p>
      <w:pPr>
        <w:spacing w:before="0"/>
        <w:ind w:left="993" w:right="638"/>
        <w:jc w:val="both"/>
        <w:rPr>
          <w:rFonts w:cs="Arial"/>
          <w:color w:val="auto"/>
          <w:szCs w:val="22"/>
          <w:highlight w:val="none"/>
        </w:rPr>
      </w:pPr>
    </w:p>
    <w:p>
      <w:pPr>
        <w:tabs>
          <w:tab w:val="left" w:pos="1140"/>
        </w:tabs>
        <w:rPr>
          <w:rFonts w:cs="Arial"/>
          <w:b/>
          <w:color w:val="auto"/>
          <w:sz w:val="24"/>
          <w:highlight w:val="none"/>
        </w:rPr>
      </w:pPr>
    </w:p>
    <w:p>
      <w:pPr>
        <w:tabs>
          <w:tab w:val="left" w:pos="1140"/>
        </w:tabs>
        <w:rPr>
          <w:rFonts w:cs="Arial"/>
          <w:b/>
          <w:color w:val="auto"/>
          <w:sz w:val="24"/>
          <w:highlight w:val="none"/>
        </w:rPr>
      </w:pPr>
    </w:p>
    <w:p>
      <w:pPr>
        <w:jc w:val="center"/>
        <w:rPr>
          <w:rFonts w:cs="Arial"/>
          <w:color w:val="auto"/>
          <w:sz w:val="24"/>
          <w:highlight w:val="none"/>
        </w:rPr>
      </w:pPr>
      <w:r>
        <w:rPr>
          <w:rFonts w:cs="Arial"/>
          <w:color w:val="auto"/>
          <w:sz w:val="24"/>
          <w:highlight w:val="none"/>
        </w:rPr>
        <w:t>Índice</w:t>
      </w:r>
    </w:p>
    <w:p>
      <w:pPr>
        <w:pStyle w:val="34"/>
        <w:tabs>
          <w:tab w:val="right" w:leader="dot" w:pos="9497"/>
          <w:tab w:val="clear" w:pos="1418"/>
          <w:tab w:val="clear" w:pos="8789"/>
        </w:tabs>
        <w:rPr>
          <w:highlight w:val="none"/>
        </w:rPr>
      </w:pPr>
      <w:r>
        <w:rPr>
          <w:rFonts w:cs="Arial"/>
          <w:color w:val="auto"/>
          <w:highlight w:val="none"/>
        </w:rPr>
        <w:fldChar w:fldCharType="begin"/>
      </w:r>
      <w:r>
        <w:rPr>
          <w:rFonts w:cs="Arial"/>
          <w:color w:val="auto"/>
          <w:highlight w:val="none"/>
        </w:rPr>
        <w:instrText xml:space="preserve"> TOC \o "1-3" \h \z \u </w:instrText>
      </w:r>
      <w:r>
        <w:rPr>
          <w:rFonts w:cs="Arial"/>
          <w:color w:val="auto"/>
          <w:highlight w:val="none"/>
        </w:rPr>
        <w:fldChar w:fldCharType="separate"/>
      </w:r>
      <w:r>
        <w:rPr>
          <w:rFonts w:cs="Arial"/>
          <w:color w:val="auto"/>
          <w:highlight w:val="none"/>
        </w:rPr>
        <w:fldChar w:fldCharType="begin"/>
      </w:r>
      <w:r>
        <w:rPr>
          <w:rFonts w:cs="Arial"/>
          <w:highlight w:val="none"/>
        </w:rPr>
        <w:instrText xml:space="preserve"> HYPERLINK \l _Toc13475 </w:instrText>
      </w:r>
      <w:r>
        <w:rPr>
          <w:rFonts w:cs="Arial"/>
          <w:highlight w:val="none"/>
        </w:rPr>
        <w:fldChar w:fldCharType="separate"/>
      </w:r>
      <w:r>
        <w:rPr>
          <w:rFonts w:hint="default"/>
          <w:szCs w:val="20"/>
          <w:highlight w:val="none"/>
        </w:rPr>
        <w:t xml:space="preserve">1. </w:t>
      </w:r>
      <w:r>
        <w:rPr>
          <w:highlight w:val="none"/>
        </w:rPr>
        <w:t>DO OBJETO</w:t>
      </w:r>
      <w:r>
        <w:rPr>
          <w:highlight w:val="none"/>
        </w:rPr>
        <w:tab/>
      </w:r>
      <w:r>
        <w:rPr>
          <w:highlight w:val="none"/>
        </w:rPr>
        <w:fldChar w:fldCharType="begin"/>
      </w:r>
      <w:r>
        <w:rPr>
          <w:highlight w:val="none"/>
        </w:rPr>
        <w:instrText xml:space="preserve"> PAGEREF _Toc13475 \h </w:instrText>
      </w:r>
      <w:r>
        <w:rPr>
          <w:highlight w:val="none"/>
        </w:rPr>
        <w:fldChar w:fldCharType="separate"/>
      </w:r>
      <w:r>
        <w:rPr>
          <w:highlight w:val="none"/>
        </w:rPr>
        <w:t>2</w:t>
      </w:r>
      <w:r>
        <w:rPr>
          <w:highlight w:val="none"/>
        </w:rPr>
        <w:fldChar w:fldCharType="end"/>
      </w:r>
      <w:r>
        <w:rPr>
          <w:rFonts w:cs="Arial"/>
          <w:color w:val="auto"/>
          <w:highlight w:val="none"/>
        </w:rPr>
        <w:fldChar w:fldCharType="end"/>
      </w:r>
    </w:p>
    <w:p>
      <w:pPr>
        <w:pStyle w:val="34"/>
        <w:tabs>
          <w:tab w:val="right" w:leader="dot" w:pos="9497"/>
          <w:tab w:val="clear" w:pos="1418"/>
          <w:tab w:val="clear" w:pos="8789"/>
        </w:tabs>
        <w:rPr>
          <w:highlight w:val="none"/>
        </w:rPr>
      </w:pPr>
      <w:r>
        <w:rPr>
          <w:rFonts w:cs="Arial"/>
          <w:color w:val="auto"/>
          <w:szCs w:val="22"/>
          <w:highlight w:val="none"/>
        </w:rPr>
        <w:fldChar w:fldCharType="begin"/>
      </w:r>
      <w:r>
        <w:rPr>
          <w:rFonts w:cs="Arial"/>
          <w:szCs w:val="22"/>
          <w:highlight w:val="none"/>
        </w:rPr>
        <w:instrText xml:space="preserve"> HYPERLINK \l _Toc26843 </w:instrText>
      </w:r>
      <w:r>
        <w:rPr>
          <w:rFonts w:cs="Arial"/>
          <w:szCs w:val="22"/>
          <w:highlight w:val="none"/>
        </w:rPr>
        <w:fldChar w:fldCharType="separate"/>
      </w:r>
      <w:r>
        <w:rPr>
          <w:rFonts w:hint="default"/>
          <w:szCs w:val="20"/>
          <w:highlight w:val="none"/>
        </w:rPr>
        <w:t xml:space="preserve">2. </w:t>
      </w:r>
      <w:r>
        <w:rPr>
          <w:highlight w:val="none"/>
        </w:rPr>
        <w:t>A PARTICIPAÇÃO</w:t>
      </w:r>
      <w:r>
        <w:rPr>
          <w:highlight w:val="none"/>
        </w:rPr>
        <w:tab/>
      </w:r>
      <w:r>
        <w:rPr>
          <w:highlight w:val="none"/>
        </w:rPr>
        <w:fldChar w:fldCharType="begin"/>
      </w:r>
      <w:r>
        <w:rPr>
          <w:highlight w:val="none"/>
        </w:rPr>
        <w:instrText xml:space="preserve"> PAGEREF _Toc26843 \h </w:instrText>
      </w:r>
      <w:r>
        <w:rPr>
          <w:highlight w:val="none"/>
        </w:rPr>
        <w:fldChar w:fldCharType="separate"/>
      </w:r>
      <w:r>
        <w:rPr>
          <w:highlight w:val="none"/>
        </w:rPr>
        <w:t>2</w:t>
      </w:r>
      <w:r>
        <w:rPr>
          <w:highlight w:val="none"/>
        </w:rPr>
        <w:fldChar w:fldCharType="end"/>
      </w:r>
      <w:r>
        <w:rPr>
          <w:rFonts w:cs="Arial"/>
          <w:color w:val="auto"/>
          <w:szCs w:val="22"/>
          <w:highlight w:val="none"/>
        </w:rPr>
        <w:fldChar w:fldCharType="end"/>
      </w:r>
    </w:p>
    <w:p>
      <w:pPr>
        <w:pStyle w:val="34"/>
        <w:tabs>
          <w:tab w:val="right" w:leader="dot" w:pos="9497"/>
          <w:tab w:val="clear" w:pos="1418"/>
          <w:tab w:val="clear" w:pos="8789"/>
        </w:tabs>
        <w:rPr>
          <w:highlight w:val="none"/>
        </w:rPr>
      </w:pPr>
      <w:r>
        <w:rPr>
          <w:rFonts w:cs="Arial"/>
          <w:color w:val="auto"/>
          <w:szCs w:val="22"/>
          <w:highlight w:val="none"/>
        </w:rPr>
        <w:fldChar w:fldCharType="begin"/>
      </w:r>
      <w:r>
        <w:rPr>
          <w:rFonts w:cs="Arial"/>
          <w:szCs w:val="22"/>
          <w:highlight w:val="none"/>
        </w:rPr>
        <w:instrText xml:space="preserve"> HYPERLINK \l _Toc25879 </w:instrText>
      </w:r>
      <w:r>
        <w:rPr>
          <w:rFonts w:cs="Arial"/>
          <w:szCs w:val="22"/>
          <w:highlight w:val="none"/>
        </w:rPr>
        <w:fldChar w:fldCharType="separate"/>
      </w:r>
      <w:r>
        <w:rPr>
          <w:rFonts w:hint="default"/>
          <w:szCs w:val="20"/>
          <w:highlight w:val="none"/>
        </w:rPr>
        <w:t xml:space="preserve">3. </w:t>
      </w:r>
      <w:r>
        <w:rPr>
          <w:highlight w:val="none"/>
        </w:rPr>
        <w:t>DO PROCEDIMENTO</w:t>
      </w:r>
      <w:r>
        <w:rPr>
          <w:highlight w:val="none"/>
        </w:rPr>
        <w:tab/>
      </w:r>
      <w:r>
        <w:rPr>
          <w:highlight w:val="none"/>
        </w:rPr>
        <w:fldChar w:fldCharType="begin"/>
      </w:r>
      <w:r>
        <w:rPr>
          <w:highlight w:val="none"/>
        </w:rPr>
        <w:instrText xml:space="preserve"> PAGEREF _Toc25879 \h </w:instrText>
      </w:r>
      <w:r>
        <w:rPr>
          <w:highlight w:val="none"/>
        </w:rPr>
        <w:fldChar w:fldCharType="separate"/>
      </w:r>
      <w:r>
        <w:rPr>
          <w:highlight w:val="none"/>
        </w:rPr>
        <w:t>3</w:t>
      </w:r>
      <w:r>
        <w:rPr>
          <w:highlight w:val="none"/>
        </w:rPr>
        <w:fldChar w:fldCharType="end"/>
      </w:r>
      <w:r>
        <w:rPr>
          <w:rFonts w:cs="Arial"/>
          <w:color w:val="auto"/>
          <w:szCs w:val="22"/>
          <w:highlight w:val="none"/>
        </w:rPr>
        <w:fldChar w:fldCharType="end"/>
      </w:r>
    </w:p>
    <w:p>
      <w:pPr>
        <w:pStyle w:val="34"/>
        <w:tabs>
          <w:tab w:val="right" w:leader="dot" w:pos="9497"/>
          <w:tab w:val="clear" w:pos="1418"/>
          <w:tab w:val="clear" w:pos="8789"/>
        </w:tabs>
        <w:rPr>
          <w:highlight w:val="none"/>
        </w:rPr>
      </w:pPr>
      <w:r>
        <w:rPr>
          <w:rFonts w:cs="Arial"/>
          <w:color w:val="auto"/>
          <w:szCs w:val="22"/>
          <w:highlight w:val="none"/>
        </w:rPr>
        <w:fldChar w:fldCharType="begin"/>
      </w:r>
      <w:r>
        <w:rPr>
          <w:rFonts w:cs="Arial"/>
          <w:szCs w:val="22"/>
          <w:highlight w:val="none"/>
        </w:rPr>
        <w:instrText xml:space="preserve"> HYPERLINK \l _Toc31787 </w:instrText>
      </w:r>
      <w:r>
        <w:rPr>
          <w:rFonts w:cs="Arial"/>
          <w:szCs w:val="22"/>
          <w:highlight w:val="none"/>
        </w:rPr>
        <w:fldChar w:fldCharType="separate"/>
      </w:r>
      <w:r>
        <w:rPr>
          <w:rFonts w:hint="default"/>
          <w:szCs w:val="20"/>
          <w:highlight w:val="none"/>
        </w:rPr>
        <w:t xml:space="preserve">4. </w:t>
      </w:r>
      <w:r>
        <w:rPr>
          <w:highlight w:val="none"/>
        </w:rPr>
        <w:t>DA PROPOSTA NO SISTEMA ELETRÔNICO</w:t>
      </w:r>
      <w:r>
        <w:rPr>
          <w:highlight w:val="none"/>
        </w:rPr>
        <w:tab/>
      </w:r>
      <w:r>
        <w:rPr>
          <w:highlight w:val="none"/>
        </w:rPr>
        <w:fldChar w:fldCharType="begin"/>
      </w:r>
      <w:r>
        <w:rPr>
          <w:highlight w:val="none"/>
        </w:rPr>
        <w:instrText xml:space="preserve"> PAGEREF _Toc31787 \h </w:instrText>
      </w:r>
      <w:r>
        <w:rPr>
          <w:highlight w:val="none"/>
        </w:rPr>
        <w:fldChar w:fldCharType="separate"/>
      </w:r>
      <w:r>
        <w:rPr>
          <w:highlight w:val="none"/>
        </w:rPr>
        <w:t>4</w:t>
      </w:r>
      <w:r>
        <w:rPr>
          <w:highlight w:val="none"/>
        </w:rPr>
        <w:fldChar w:fldCharType="end"/>
      </w:r>
      <w:r>
        <w:rPr>
          <w:rFonts w:cs="Arial"/>
          <w:color w:val="auto"/>
          <w:szCs w:val="22"/>
          <w:highlight w:val="none"/>
        </w:rPr>
        <w:fldChar w:fldCharType="end"/>
      </w:r>
    </w:p>
    <w:p>
      <w:pPr>
        <w:pStyle w:val="34"/>
        <w:tabs>
          <w:tab w:val="right" w:leader="dot" w:pos="9497"/>
          <w:tab w:val="clear" w:pos="1418"/>
          <w:tab w:val="clear" w:pos="8789"/>
        </w:tabs>
        <w:rPr>
          <w:highlight w:val="none"/>
        </w:rPr>
      </w:pPr>
      <w:r>
        <w:rPr>
          <w:rFonts w:cs="Arial"/>
          <w:color w:val="auto"/>
          <w:szCs w:val="22"/>
          <w:highlight w:val="none"/>
        </w:rPr>
        <w:fldChar w:fldCharType="begin"/>
      </w:r>
      <w:r>
        <w:rPr>
          <w:rFonts w:cs="Arial"/>
          <w:szCs w:val="22"/>
          <w:highlight w:val="none"/>
        </w:rPr>
        <w:instrText xml:space="preserve"> HYPERLINK \l _Toc20551 </w:instrText>
      </w:r>
      <w:r>
        <w:rPr>
          <w:rFonts w:cs="Arial"/>
          <w:szCs w:val="22"/>
          <w:highlight w:val="none"/>
        </w:rPr>
        <w:fldChar w:fldCharType="separate"/>
      </w:r>
      <w:r>
        <w:rPr>
          <w:rFonts w:hint="default"/>
          <w:szCs w:val="20"/>
          <w:highlight w:val="none"/>
        </w:rPr>
        <w:t xml:space="preserve">5. </w:t>
      </w:r>
      <w:r>
        <w:rPr>
          <w:highlight w:val="none"/>
        </w:rPr>
        <w:t>DA ETAPA DE FORMULAÇÃO DOS LANCES</w:t>
      </w:r>
      <w:r>
        <w:rPr>
          <w:highlight w:val="none"/>
        </w:rPr>
        <w:tab/>
      </w:r>
      <w:r>
        <w:rPr>
          <w:highlight w:val="none"/>
        </w:rPr>
        <w:fldChar w:fldCharType="begin"/>
      </w:r>
      <w:r>
        <w:rPr>
          <w:highlight w:val="none"/>
        </w:rPr>
        <w:instrText xml:space="preserve"> PAGEREF _Toc20551 \h </w:instrText>
      </w:r>
      <w:r>
        <w:rPr>
          <w:highlight w:val="none"/>
        </w:rPr>
        <w:fldChar w:fldCharType="separate"/>
      </w:r>
      <w:r>
        <w:rPr>
          <w:highlight w:val="none"/>
        </w:rPr>
        <w:t>5</w:t>
      </w:r>
      <w:r>
        <w:rPr>
          <w:highlight w:val="none"/>
        </w:rPr>
        <w:fldChar w:fldCharType="end"/>
      </w:r>
      <w:r>
        <w:rPr>
          <w:rFonts w:cs="Arial"/>
          <w:color w:val="auto"/>
          <w:szCs w:val="22"/>
          <w:highlight w:val="none"/>
        </w:rPr>
        <w:fldChar w:fldCharType="end"/>
      </w:r>
    </w:p>
    <w:p>
      <w:pPr>
        <w:pStyle w:val="34"/>
        <w:tabs>
          <w:tab w:val="right" w:leader="dot" w:pos="9497"/>
          <w:tab w:val="clear" w:pos="1418"/>
          <w:tab w:val="clear" w:pos="8789"/>
        </w:tabs>
        <w:rPr>
          <w:highlight w:val="none"/>
        </w:rPr>
      </w:pPr>
      <w:r>
        <w:rPr>
          <w:rFonts w:cs="Arial"/>
          <w:color w:val="auto"/>
          <w:szCs w:val="22"/>
          <w:highlight w:val="none"/>
        </w:rPr>
        <w:fldChar w:fldCharType="begin"/>
      </w:r>
      <w:r>
        <w:rPr>
          <w:rFonts w:cs="Arial"/>
          <w:szCs w:val="22"/>
          <w:highlight w:val="none"/>
        </w:rPr>
        <w:instrText xml:space="preserve"> HYPERLINK \l _Toc4567 </w:instrText>
      </w:r>
      <w:r>
        <w:rPr>
          <w:rFonts w:cs="Arial"/>
          <w:szCs w:val="22"/>
          <w:highlight w:val="none"/>
        </w:rPr>
        <w:fldChar w:fldCharType="separate"/>
      </w:r>
      <w:r>
        <w:rPr>
          <w:rFonts w:hint="default"/>
          <w:szCs w:val="20"/>
          <w:highlight w:val="none"/>
        </w:rPr>
        <w:t xml:space="preserve">6. </w:t>
      </w:r>
      <w:r>
        <w:rPr>
          <w:highlight w:val="none"/>
        </w:rPr>
        <w:t>DO CRITÉRIO DE JULGAMENTO</w:t>
      </w:r>
      <w:r>
        <w:rPr>
          <w:highlight w:val="none"/>
        </w:rPr>
        <w:tab/>
      </w:r>
      <w:r>
        <w:rPr>
          <w:highlight w:val="none"/>
        </w:rPr>
        <w:fldChar w:fldCharType="begin"/>
      </w:r>
      <w:r>
        <w:rPr>
          <w:highlight w:val="none"/>
        </w:rPr>
        <w:instrText xml:space="preserve"> PAGEREF _Toc4567 \h </w:instrText>
      </w:r>
      <w:r>
        <w:rPr>
          <w:highlight w:val="none"/>
        </w:rPr>
        <w:fldChar w:fldCharType="separate"/>
      </w:r>
      <w:r>
        <w:rPr>
          <w:highlight w:val="none"/>
        </w:rPr>
        <w:t>6</w:t>
      </w:r>
      <w:r>
        <w:rPr>
          <w:highlight w:val="none"/>
        </w:rPr>
        <w:fldChar w:fldCharType="end"/>
      </w:r>
      <w:r>
        <w:rPr>
          <w:rFonts w:cs="Arial"/>
          <w:color w:val="auto"/>
          <w:szCs w:val="22"/>
          <w:highlight w:val="none"/>
        </w:rPr>
        <w:fldChar w:fldCharType="end"/>
      </w:r>
    </w:p>
    <w:p>
      <w:pPr>
        <w:pStyle w:val="34"/>
        <w:tabs>
          <w:tab w:val="right" w:leader="dot" w:pos="9497"/>
          <w:tab w:val="clear" w:pos="1418"/>
          <w:tab w:val="clear" w:pos="8789"/>
        </w:tabs>
        <w:rPr>
          <w:highlight w:val="none"/>
        </w:rPr>
      </w:pPr>
      <w:r>
        <w:rPr>
          <w:rFonts w:cs="Arial"/>
          <w:color w:val="auto"/>
          <w:szCs w:val="22"/>
          <w:highlight w:val="none"/>
        </w:rPr>
        <w:fldChar w:fldCharType="begin"/>
      </w:r>
      <w:r>
        <w:rPr>
          <w:rFonts w:cs="Arial"/>
          <w:szCs w:val="22"/>
          <w:highlight w:val="none"/>
        </w:rPr>
        <w:instrText xml:space="preserve"> HYPERLINK \l _Toc13743 </w:instrText>
      </w:r>
      <w:r>
        <w:rPr>
          <w:rFonts w:cs="Arial"/>
          <w:szCs w:val="22"/>
          <w:highlight w:val="none"/>
        </w:rPr>
        <w:fldChar w:fldCharType="separate"/>
      </w:r>
      <w:r>
        <w:rPr>
          <w:rFonts w:hint="default"/>
          <w:szCs w:val="20"/>
          <w:highlight w:val="none"/>
        </w:rPr>
        <w:t xml:space="preserve">7. </w:t>
      </w:r>
      <w:r>
        <w:rPr>
          <w:highlight w:val="none"/>
        </w:rPr>
        <w:t>DA APRESENTAÇÃO DOS DOCUMENTOS DE HABILITAÇÃO</w:t>
      </w:r>
      <w:r>
        <w:rPr>
          <w:highlight w:val="none"/>
        </w:rPr>
        <w:tab/>
      </w:r>
      <w:r>
        <w:rPr>
          <w:highlight w:val="none"/>
        </w:rPr>
        <w:fldChar w:fldCharType="begin"/>
      </w:r>
      <w:r>
        <w:rPr>
          <w:highlight w:val="none"/>
        </w:rPr>
        <w:instrText xml:space="preserve"> PAGEREF _Toc13743 \h </w:instrText>
      </w:r>
      <w:r>
        <w:rPr>
          <w:highlight w:val="none"/>
        </w:rPr>
        <w:fldChar w:fldCharType="separate"/>
      </w:r>
      <w:r>
        <w:rPr>
          <w:highlight w:val="none"/>
        </w:rPr>
        <w:t>7</w:t>
      </w:r>
      <w:r>
        <w:rPr>
          <w:highlight w:val="none"/>
        </w:rPr>
        <w:fldChar w:fldCharType="end"/>
      </w:r>
      <w:r>
        <w:rPr>
          <w:rFonts w:cs="Arial"/>
          <w:color w:val="auto"/>
          <w:szCs w:val="22"/>
          <w:highlight w:val="none"/>
        </w:rPr>
        <w:fldChar w:fldCharType="end"/>
      </w:r>
    </w:p>
    <w:p>
      <w:pPr>
        <w:pStyle w:val="34"/>
        <w:tabs>
          <w:tab w:val="right" w:leader="dot" w:pos="9497"/>
          <w:tab w:val="clear" w:pos="1418"/>
          <w:tab w:val="clear" w:pos="8789"/>
        </w:tabs>
        <w:rPr>
          <w:highlight w:val="none"/>
        </w:rPr>
      </w:pPr>
      <w:r>
        <w:rPr>
          <w:rFonts w:cs="Arial"/>
          <w:color w:val="auto"/>
          <w:szCs w:val="22"/>
          <w:highlight w:val="none"/>
        </w:rPr>
        <w:fldChar w:fldCharType="begin"/>
      </w:r>
      <w:r>
        <w:rPr>
          <w:rFonts w:cs="Arial"/>
          <w:szCs w:val="22"/>
          <w:highlight w:val="none"/>
        </w:rPr>
        <w:instrText xml:space="preserve"> HYPERLINK \l _Toc27136 </w:instrText>
      </w:r>
      <w:r>
        <w:rPr>
          <w:rFonts w:cs="Arial"/>
          <w:szCs w:val="22"/>
          <w:highlight w:val="none"/>
        </w:rPr>
        <w:fldChar w:fldCharType="separate"/>
      </w:r>
      <w:r>
        <w:rPr>
          <w:rFonts w:hint="default"/>
          <w:szCs w:val="20"/>
          <w:highlight w:val="none"/>
        </w:rPr>
        <w:t xml:space="preserve">8. </w:t>
      </w:r>
      <w:r>
        <w:rPr>
          <w:highlight w:val="none"/>
        </w:rPr>
        <w:t>DA HABILITAÇÃO</w:t>
      </w:r>
      <w:r>
        <w:rPr>
          <w:highlight w:val="none"/>
        </w:rPr>
        <w:tab/>
      </w:r>
      <w:r>
        <w:rPr>
          <w:highlight w:val="none"/>
        </w:rPr>
        <w:fldChar w:fldCharType="begin"/>
      </w:r>
      <w:r>
        <w:rPr>
          <w:highlight w:val="none"/>
        </w:rPr>
        <w:instrText xml:space="preserve"> PAGEREF _Toc27136 \h </w:instrText>
      </w:r>
      <w:r>
        <w:rPr>
          <w:highlight w:val="none"/>
        </w:rPr>
        <w:fldChar w:fldCharType="separate"/>
      </w:r>
      <w:r>
        <w:rPr>
          <w:highlight w:val="none"/>
        </w:rPr>
        <w:t>7</w:t>
      </w:r>
      <w:r>
        <w:rPr>
          <w:highlight w:val="none"/>
        </w:rPr>
        <w:fldChar w:fldCharType="end"/>
      </w:r>
      <w:r>
        <w:rPr>
          <w:rFonts w:cs="Arial"/>
          <w:color w:val="auto"/>
          <w:szCs w:val="22"/>
          <w:highlight w:val="none"/>
        </w:rPr>
        <w:fldChar w:fldCharType="end"/>
      </w:r>
    </w:p>
    <w:p>
      <w:pPr>
        <w:pStyle w:val="34"/>
        <w:tabs>
          <w:tab w:val="right" w:leader="dot" w:pos="9497"/>
          <w:tab w:val="clear" w:pos="1418"/>
          <w:tab w:val="clear" w:pos="8789"/>
        </w:tabs>
        <w:rPr>
          <w:highlight w:val="none"/>
        </w:rPr>
      </w:pPr>
      <w:r>
        <w:rPr>
          <w:rFonts w:cs="Arial"/>
          <w:color w:val="auto"/>
          <w:szCs w:val="22"/>
          <w:highlight w:val="none"/>
        </w:rPr>
        <w:fldChar w:fldCharType="begin"/>
      </w:r>
      <w:r>
        <w:rPr>
          <w:rFonts w:cs="Arial"/>
          <w:szCs w:val="22"/>
          <w:highlight w:val="none"/>
        </w:rPr>
        <w:instrText xml:space="preserve"> HYPERLINK \l _Toc8497 </w:instrText>
      </w:r>
      <w:r>
        <w:rPr>
          <w:rFonts w:cs="Arial"/>
          <w:szCs w:val="22"/>
          <w:highlight w:val="none"/>
        </w:rPr>
        <w:fldChar w:fldCharType="separate"/>
      </w:r>
      <w:r>
        <w:rPr>
          <w:rFonts w:hint="default"/>
          <w:szCs w:val="20"/>
          <w:highlight w:val="none"/>
        </w:rPr>
        <w:t xml:space="preserve">9. </w:t>
      </w:r>
      <w:r>
        <w:rPr>
          <w:highlight w:val="none"/>
        </w:rPr>
        <w:t>DA IMPUGNAÇÃO DO EDITAL E RECURSOS</w:t>
      </w:r>
      <w:r>
        <w:rPr>
          <w:highlight w:val="none"/>
        </w:rPr>
        <w:tab/>
      </w:r>
      <w:r>
        <w:rPr>
          <w:highlight w:val="none"/>
        </w:rPr>
        <w:fldChar w:fldCharType="begin"/>
      </w:r>
      <w:r>
        <w:rPr>
          <w:highlight w:val="none"/>
        </w:rPr>
        <w:instrText xml:space="preserve"> PAGEREF _Toc8497 \h </w:instrText>
      </w:r>
      <w:r>
        <w:rPr>
          <w:highlight w:val="none"/>
        </w:rPr>
        <w:fldChar w:fldCharType="separate"/>
      </w:r>
      <w:r>
        <w:rPr>
          <w:highlight w:val="none"/>
        </w:rPr>
        <w:t>9</w:t>
      </w:r>
      <w:r>
        <w:rPr>
          <w:highlight w:val="none"/>
        </w:rPr>
        <w:fldChar w:fldCharType="end"/>
      </w:r>
      <w:r>
        <w:rPr>
          <w:rFonts w:cs="Arial"/>
          <w:color w:val="auto"/>
          <w:szCs w:val="22"/>
          <w:highlight w:val="none"/>
        </w:rPr>
        <w:fldChar w:fldCharType="end"/>
      </w:r>
    </w:p>
    <w:p>
      <w:pPr>
        <w:pStyle w:val="34"/>
        <w:tabs>
          <w:tab w:val="right" w:leader="dot" w:pos="9497"/>
          <w:tab w:val="clear" w:pos="1418"/>
          <w:tab w:val="clear" w:pos="8789"/>
        </w:tabs>
        <w:rPr>
          <w:highlight w:val="none"/>
        </w:rPr>
      </w:pPr>
      <w:r>
        <w:rPr>
          <w:rFonts w:cs="Arial"/>
          <w:color w:val="auto"/>
          <w:szCs w:val="22"/>
          <w:highlight w:val="none"/>
        </w:rPr>
        <w:fldChar w:fldCharType="begin"/>
      </w:r>
      <w:r>
        <w:rPr>
          <w:rFonts w:cs="Arial"/>
          <w:szCs w:val="22"/>
          <w:highlight w:val="none"/>
        </w:rPr>
        <w:instrText xml:space="preserve"> HYPERLINK \l _Toc9250 </w:instrText>
      </w:r>
      <w:r>
        <w:rPr>
          <w:rFonts w:cs="Arial"/>
          <w:szCs w:val="22"/>
          <w:highlight w:val="none"/>
        </w:rPr>
        <w:fldChar w:fldCharType="separate"/>
      </w:r>
      <w:r>
        <w:rPr>
          <w:rFonts w:hint="default"/>
          <w:szCs w:val="20"/>
          <w:highlight w:val="none"/>
        </w:rPr>
        <w:t xml:space="preserve">10. </w:t>
      </w:r>
      <w:r>
        <w:rPr>
          <w:highlight w:val="none"/>
        </w:rPr>
        <w:t>DA HOMOLOGAÇÃO</w:t>
      </w:r>
      <w:r>
        <w:rPr>
          <w:highlight w:val="none"/>
        </w:rPr>
        <w:tab/>
      </w:r>
      <w:r>
        <w:rPr>
          <w:highlight w:val="none"/>
        </w:rPr>
        <w:fldChar w:fldCharType="begin"/>
      </w:r>
      <w:r>
        <w:rPr>
          <w:highlight w:val="none"/>
        </w:rPr>
        <w:instrText xml:space="preserve"> PAGEREF _Toc9250 \h </w:instrText>
      </w:r>
      <w:r>
        <w:rPr>
          <w:highlight w:val="none"/>
        </w:rPr>
        <w:fldChar w:fldCharType="separate"/>
      </w:r>
      <w:r>
        <w:rPr>
          <w:highlight w:val="none"/>
        </w:rPr>
        <w:t>10</w:t>
      </w:r>
      <w:r>
        <w:rPr>
          <w:highlight w:val="none"/>
        </w:rPr>
        <w:fldChar w:fldCharType="end"/>
      </w:r>
      <w:r>
        <w:rPr>
          <w:rFonts w:cs="Arial"/>
          <w:color w:val="auto"/>
          <w:szCs w:val="22"/>
          <w:highlight w:val="none"/>
        </w:rPr>
        <w:fldChar w:fldCharType="end"/>
      </w:r>
    </w:p>
    <w:p>
      <w:pPr>
        <w:pStyle w:val="34"/>
        <w:tabs>
          <w:tab w:val="right" w:leader="dot" w:pos="9497"/>
          <w:tab w:val="clear" w:pos="1418"/>
          <w:tab w:val="clear" w:pos="8789"/>
        </w:tabs>
        <w:rPr>
          <w:highlight w:val="none"/>
        </w:rPr>
      </w:pPr>
      <w:r>
        <w:rPr>
          <w:rFonts w:cs="Arial"/>
          <w:color w:val="auto"/>
          <w:szCs w:val="22"/>
          <w:highlight w:val="none"/>
        </w:rPr>
        <w:fldChar w:fldCharType="begin"/>
      </w:r>
      <w:r>
        <w:rPr>
          <w:rFonts w:cs="Arial"/>
          <w:szCs w:val="22"/>
          <w:highlight w:val="none"/>
        </w:rPr>
        <w:instrText xml:space="preserve"> HYPERLINK \l _Toc29429 </w:instrText>
      </w:r>
      <w:r>
        <w:rPr>
          <w:rFonts w:cs="Arial"/>
          <w:szCs w:val="22"/>
          <w:highlight w:val="none"/>
        </w:rPr>
        <w:fldChar w:fldCharType="separate"/>
      </w:r>
      <w:r>
        <w:rPr>
          <w:rFonts w:hint="default"/>
          <w:szCs w:val="20"/>
          <w:highlight w:val="none"/>
        </w:rPr>
        <w:t xml:space="preserve">11. </w:t>
      </w:r>
      <w:r>
        <w:rPr>
          <w:highlight w:val="none"/>
        </w:rPr>
        <w:t>DO CONTRATO</w:t>
      </w:r>
      <w:r>
        <w:rPr>
          <w:highlight w:val="none"/>
        </w:rPr>
        <w:tab/>
      </w:r>
      <w:r>
        <w:rPr>
          <w:highlight w:val="none"/>
        </w:rPr>
        <w:fldChar w:fldCharType="begin"/>
      </w:r>
      <w:r>
        <w:rPr>
          <w:highlight w:val="none"/>
        </w:rPr>
        <w:instrText xml:space="preserve"> PAGEREF _Toc29429 \h </w:instrText>
      </w:r>
      <w:r>
        <w:rPr>
          <w:highlight w:val="none"/>
        </w:rPr>
        <w:fldChar w:fldCharType="separate"/>
      </w:r>
      <w:r>
        <w:rPr>
          <w:highlight w:val="none"/>
        </w:rPr>
        <w:t>10</w:t>
      </w:r>
      <w:r>
        <w:rPr>
          <w:highlight w:val="none"/>
        </w:rPr>
        <w:fldChar w:fldCharType="end"/>
      </w:r>
      <w:r>
        <w:rPr>
          <w:rFonts w:cs="Arial"/>
          <w:color w:val="auto"/>
          <w:szCs w:val="22"/>
          <w:highlight w:val="none"/>
        </w:rPr>
        <w:fldChar w:fldCharType="end"/>
      </w:r>
    </w:p>
    <w:p>
      <w:pPr>
        <w:pStyle w:val="34"/>
        <w:tabs>
          <w:tab w:val="right" w:leader="dot" w:pos="9497"/>
          <w:tab w:val="clear" w:pos="1418"/>
          <w:tab w:val="clear" w:pos="8789"/>
        </w:tabs>
        <w:rPr>
          <w:highlight w:val="none"/>
        </w:rPr>
      </w:pPr>
      <w:r>
        <w:rPr>
          <w:rFonts w:cs="Arial"/>
          <w:color w:val="auto"/>
          <w:szCs w:val="22"/>
          <w:highlight w:val="none"/>
        </w:rPr>
        <w:fldChar w:fldCharType="begin"/>
      </w:r>
      <w:r>
        <w:rPr>
          <w:rFonts w:cs="Arial"/>
          <w:szCs w:val="22"/>
          <w:highlight w:val="none"/>
        </w:rPr>
        <w:instrText xml:space="preserve"> HYPERLINK \l _Toc19443 </w:instrText>
      </w:r>
      <w:r>
        <w:rPr>
          <w:rFonts w:cs="Arial"/>
          <w:szCs w:val="22"/>
          <w:highlight w:val="none"/>
        </w:rPr>
        <w:fldChar w:fldCharType="separate"/>
      </w:r>
      <w:r>
        <w:rPr>
          <w:rFonts w:hint="default"/>
          <w:szCs w:val="20"/>
          <w:highlight w:val="none"/>
        </w:rPr>
        <w:t xml:space="preserve">12. </w:t>
      </w:r>
      <w:r>
        <w:rPr>
          <w:highlight w:val="none"/>
        </w:rPr>
        <w:t>DA FORMA DE PAGAMENTO</w:t>
      </w:r>
      <w:r>
        <w:rPr>
          <w:highlight w:val="none"/>
        </w:rPr>
        <w:tab/>
      </w:r>
      <w:r>
        <w:rPr>
          <w:highlight w:val="none"/>
        </w:rPr>
        <w:fldChar w:fldCharType="begin"/>
      </w:r>
      <w:r>
        <w:rPr>
          <w:highlight w:val="none"/>
        </w:rPr>
        <w:instrText xml:space="preserve"> PAGEREF _Toc19443 \h </w:instrText>
      </w:r>
      <w:r>
        <w:rPr>
          <w:highlight w:val="none"/>
        </w:rPr>
        <w:fldChar w:fldCharType="separate"/>
      </w:r>
      <w:r>
        <w:rPr>
          <w:highlight w:val="none"/>
        </w:rPr>
        <w:t>11</w:t>
      </w:r>
      <w:r>
        <w:rPr>
          <w:highlight w:val="none"/>
        </w:rPr>
        <w:fldChar w:fldCharType="end"/>
      </w:r>
      <w:r>
        <w:rPr>
          <w:rFonts w:cs="Arial"/>
          <w:color w:val="auto"/>
          <w:szCs w:val="22"/>
          <w:highlight w:val="none"/>
        </w:rPr>
        <w:fldChar w:fldCharType="end"/>
      </w:r>
    </w:p>
    <w:p>
      <w:pPr>
        <w:pStyle w:val="34"/>
        <w:tabs>
          <w:tab w:val="right" w:leader="dot" w:pos="9497"/>
          <w:tab w:val="clear" w:pos="1418"/>
          <w:tab w:val="clear" w:pos="8789"/>
        </w:tabs>
        <w:rPr>
          <w:highlight w:val="none"/>
        </w:rPr>
      </w:pPr>
      <w:r>
        <w:rPr>
          <w:rFonts w:cs="Arial"/>
          <w:color w:val="auto"/>
          <w:szCs w:val="22"/>
          <w:highlight w:val="none"/>
        </w:rPr>
        <w:fldChar w:fldCharType="begin"/>
      </w:r>
      <w:r>
        <w:rPr>
          <w:rFonts w:cs="Arial"/>
          <w:szCs w:val="22"/>
          <w:highlight w:val="none"/>
        </w:rPr>
        <w:instrText xml:space="preserve"> HYPERLINK \l _Toc19270 </w:instrText>
      </w:r>
      <w:r>
        <w:rPr>
          <w:rFonts w:cs="Arial"/>
          <w:szCs w:val="22"/>
          <w:highlight w:val="none"/>
        </w:rPr>
        <w:fldChar w:fldCharType="separate"/>
      </w:r>
      <w:r>
        <w:rPr>
          <w:rFonts w:hint="default"/>
          <w:szCs w:val="20"/>
          <w:highlight w:val="none"/>
        </w:rPr>
        <w:t xml:space="preserve">13. </w:t>
      </w:r>
      <w:r>
        <w:rPr>
          <w:highlight w:val="none"/>
        </w:rPr>
        <w:t>DOTAÇÃO ORÇAMENTÁRIA</w:t>
      </w:r>
      <w:r>
        <w:rPr>
          <w:highlight w:val="none"/>
        </w:rPr>
        <w:tab/>
      </w:r>
      <w:r>
        <w:rPr>
          <w:highlight w:val="none"/>
        </w:rPr>
        <w:fldChar w:fldCharType="begin"/>
      </w:r>
      <w:r>
        <w:rPr>
          <w:highlight w:val="none"/>
        </w:rPr>
        <w:instrText xml:space="preserve"> PAGEREF _Toc19270 \h </w:instrText>
      </w:r>
      <w:r>
        <w:rPr>
          <w:highlight w:val="none"/>
        </w:rPr>
        <w:fldChar w:fldCharType="separate"/>
      </w:r>
      <w:r>
        <w:rPr>
          <w:highlight w:val="none"/>
        </w:rPr>
        <w:t>12</w:t>
      </w:r>
      <w:r>
        <w:rPr>
          <w:highlight w:val="none"/>
        </w:rPr>
        <w:fldChar w:fldCharType="end"/>
      </w:r>
      <w:r>
        <w:rPr>
          <w:rFonts w:cs="Arial"/>
          <w:color w:val="auto"/>
          <w:szCs w:val="22"/>
          <w:highlight w:val="none"/>
        </w:rPr>
        <w:fldChar w:fldCharType="end"/>
      </w:r>
    </w:p>
    <w:p>
      <w:pPr>
        <w:pStyle w:val="34"/>
        <w:tabs>
          <w:tab w:val="right" w:leader="dot" w:pos="9497"/>
          <w:tab w:val="clear" w:pos="1418"/>
          <w:tab w:val="clear" w:pos="8789"/>
        </w:tabs>
        <w:rPr>
          <w:highlight w:val="none"/>
        </w:rPr>
      </w:pPr>
      <w:r>
        <w:rPr>
          <w:rFonts w:cs="Arial"/>
          <w:color w:val="auto"/>
          <w:szCs w:val="22"/>
          <w:highlight w:val="none"/>
        </w:rPr>
        <w:fldChar w:fldCharType="begin"/>
      </w:r>
      <w:r>
        <w:rPr>
          <w:rFonts w:cs="Arial"/>
          <w:szCs w:val="22"/>
          <w:highlight w:val="none"/>
        </w:rPr>
        <w:instrText xml:space="preserve"> HYPERLINK \l _Toc24154 </w:instrText>
      </w:r>
      <w:r>
        <w:rPr>
          <w:rFonts w:cs="Arial"/>
          <w:szCs w:val="22"/>
          <w:highlight w:val="none"/>
        </w:rPr>
        <w:fldChar w:fldCharType="separate"/>
      </w:r>
      <w:r>
        <w:rPr>
          <w:rFonts w:hint="default"/>
          <w:szCs w:val="20"/>
          <w:highlight w:val="none"/>
        </w:rPr>
        <w:t xml:space="preserve">14. </w:t>
      </w:r>
      <w:r>
        <w:rPr>
          <w:highlight w:val="none"/>
        </w:rPr>
        <w:t>DAS SANÇÕES</w:t>
      </w:r>
      <w:r>
        <w:rPr>
          <w:highlight w:val="none"/>
        </w:rPr>
        <w:tab/>
      </w:r>
      <w:r>
        <w:rPr>
          <w:highlight w:val="none"/>
        </w:rPr>
        <w:fldChar w:fldCharType="begin"/>
      </w:r>
      <w:r>
        <w:rPr>
          <w:highlight w:val="none"/>
        </w:rPr>
        <w:instrText xml:space="preserve"> PAGEREF _Toc24154 \h </w:instrText>
      </w:r>
      <w:r>
        <w:rPr>
          <w:highlight w:val="none"/>
        </w:rPr>
        <w:fldChar w:fldCharType="separate"/>
      </w:r>
      <w:r>
        <w:rPr>
          <w:highlight w:val="none"/>
        </w:rPr>
        <w:t>12</w:t>
      </w:r>
      <w:r>
        <w:rPr>
          <w:highlight w:val="none"/>
        </w:rPr>
        <w:fldChar w:fldCharType="end"/>
      </w:r>
      <w:r>
        <w:rPr>
          <w:rFonts w:cs="Arial"/>
          <w:color w:val="auto"/>
          <w:szCs w:val="22"/>
          <w:highlight w:val="none"/>
        </w:rPr>
        <w:fldChar w:fldCharType="end"/>
      </w:r>
    </w:p>
    <w:p>
      <w:pPr>
        <w:pStyle w:val="34"/>
        <w:tabs>
          <w:tab w:val="right" w:leader="dot" w:pos="9497"/>
          <w:tab w:val="clear" w:pos="1418"/>
          <w:tab w:val="clear" w:pos="8789"/>
        </w:tabs>
        <w:rPr>
          <w:highlight w:val="none"/>
        </w:rPr>
      </w:pPr>
      <w:r>
        <w:rPr>
          <w:rFonts w:cs="Arial"/>
          <w:color w:val="auto"/>
          <w:szCs w:val="22"/>
          <w:highlight w:val="none"/>
        </w:rPr>
        <w:fldChar w:fldCharType="begin"/>
      </w:r>
      <w:r>
        <w:rPr>
          <w:rFonts w:cs="Arial"/>
          <w:szCs w:val="22"/>
          <w:highlight w:val="none"/>
        </w:rPr>
        <w:instrText xml:space="preserve"> HYPERLINK \l _Toc8739 </w:instrText>
      </w:r>
      <w:r>
        <w:rPr>
          <w:rFonts w:cs="Arial"/>
          <w:szCs w:val="22"/>
          <w:highlight w:val="none"/>
        </w:rPr>
        <w:fldChar w:fldCharType="separate"/>
      </w:r>
      <w:r>
        <w:rPr>
          <w:rFonts w:hint="default"/>
          <w:szCs w:val="20"/>
          <w:highlight w:val="none"/>
        </w:rPr>
        <w:t xml:space="preserve">15. </w:t>
      </w:r>
      <w:r>
        <w:rPr>
          <w:highlight w:val="none"/>
        </w:rPr>
        <w:t>DAS DISPOSIÇÕES FINAIS</w:t>
      </w:r>
      <w:r>
        <w:rPr>
          <w:highlight w:val="none"/>
        </w:rPr>
        <w:tab/>
      </w:r>
      <w:r>
        <w:rPr>
          <w:highlight w:val="none"/>
        </w:rPr>
        <w:fldChar w:fldCharType="begin"/>
      </w:r>
      <w:r>
        <w:rPr>
          <w:highlight w:val="none"/>
        </w:rPr>
        <w:instrText xml:space="preserve"> PAGEREF _Toc8739 \h </w:instrText>
      </w:r>
      <w:r>
        <w:rPr>
          <w:highlight w:val="none"/>
        </w:rPr>
        <w:fldChar w:fldCharType="separate"/>
      </w:r>
      <w:r>
        <w:rPr>
          <w:highlight w:val="none"/>
        </w:rPr>
        <w:t>14</w:t>
      </w:r>
      <w:r>
        <w:rPr>
          <w:highlight w:val="none"/>
        </w:rPr>
        <w:fldChar w:fldCharType="end"/>
      </w:r>
      <w:r>
        <w:rPr>
          <w:rFonts w:cs="Arial"/>
          <w:color w:val="auto"/>
          <w:szCs w:val="22"/>
          <w:highlight w:val="none"/>
        </w:rPr>
        <w:fldChar w:fldCharType="end"/>
      </w:r>
    </w:p>
    <w:p>
      <w:pPr>
        <w:tabs>
          <w:tab w:val="left" w:pos="1140"/>
        </w:tabs>
        <w:rPr>
          <w:rFonts w:cs="Arial"/>
          <w:color w:val="auto"/>
          <w:szCs w:val="22"/>
          <w:highlight w:val="none"/>
        </w:rPr>
      </w:pPr>
      <w:r>
        <w:rPr>
          <w:rFonts w:cs="Arial"/>
          <w:color w:val="auto"/>
          <w:szCs w:val="22"/>
          <w:highlight w:val="none"/>
        </w:rPr>
        <w:fldChar w:fldCharType="end"/>
      </w:r>
    </w:p>
    <w:p>
      <w:pPr>
        <w:jc w:val="center"/>
        <w:rPr>
          <w:rFonts w:cs="Arial"/>
          <w:color w:val="auto"/>
          <w:sz w:val="24"/>
          <w:highlight w:val="none"/>
        </w:rPr>
      </w:pPr>
      <w:r>
        <w:rPr>
          <w:rFonts w:cs="Arial"/>
          <w:color w:val="auto"/>
          <w:sz w:val="24"/>
          <w:highlight w:val="none"/>
        </w:rPr>
        <w:t>Anexos</w:t>
      </w:r>
    </w:p>
    <w:p>
      <w:pPr>
        <w:jc w:val="center"/>
        <w:rPr>
          <w:rFonts w:cs="Arial"/>
          <w:color w:val="auto"/>
          <w:sz w:val="24"/>
          <w:highlight w:val="none"/>
        </w:rPr>
      </w:pPr>
    </w:p>
    <w:p>
      <w:pPr>
        <w:pStyle w:val="34"/>
      </w:pPr>
      <w:r>
        <w:rPr>
          <w:rFonts w:cs="Arial"/>
          <w:color w:val="auto"/>
          <w:sz w:val="20"/>
          <w:szCs w:val="20"/>
          <w:highlight w:val="none"/>
        </w:rPr>
        <w:fldChar w:fldCharType="begin"/>
      </w:r>
      <w:r>
        <w:rPr>
          <w:rFonts w:cs="Arial"/>
          <w:color w:val="auto"/>
          <w:sz w:val="20"/>
          <w:szCs w:val="20"/>
          <w:highlight w:val="none"/>
        </w:rPr>
        <w:instrText xml:space="preserve"> TOC \n \p " " \t "Título 4 </w:instrText>
      </w:r>
      <w:r>
        <w:rPr>
          <w:rFonts w:cs="Arial"/>
          <w:color w:val="auto"/>
          <w:sz w:val="20"/>
          <w:szCs w:val="20"/>
          <w:highlight w:val="none"/>
        </w:rPr>
        <w:fldChar w:fldCharType="separate"/>
      </w:r>
      <w:r>
        <w:rPr>
          <w:highlight w:val="none"/>
        </w:rPr>
        <w:t xml:space="preserve">ANEXO I </w:t>
      </w:r>
      <w:r>
        <w:rPr>
          <w:rFonts w:hint="default"/>
          <w:highlight w:val="none"/>
          <w:lang w:val="pt-BR"/>
        </w:rPr>
        <w:t xml:space="preserve"> </w:t>
      </w:r>
      <w:r>
        <w:rPr>
          <w:rFonts w:hint="default"/>
          <w:bCs/>
          <w:highlight w:val="none"/>
          <w:lang w:val="pt-BR"/>
        </w:rPr>
        <w:t>Termo de Referência</w:t>
      </w:r>
    </w:p>
    <w:p>
      <w:pPr>
        <w:pStyle w:val="34"/>
      </w:pPr>
      <w:r>
        <w:rPr>
          <w:highlight w:val="none"/>
        </w:rPr>
        <w:t>ANEXO I</w:t>
      </w:r>
      <w:r>
        <w:rPr>
          <w:rFonts w:hint="default"/>
          <w:highlight w:val="none"/>
          <w:lang w:val="pt-BR"/>
        </w:rPr>
        <w:t>I</w:t>
      </w:r>
      <w:r>
        <w:rPr>
          <w:highlight w:val="none"/>
        </w:rPr>
        <w:t xml:space="preserve"> </w:t>
      </w:r>
      <w:r>
        <w:rPr>
          <w:rFonts w:hint="default"/>
          <w:highlight w:val="none"/>
          <w:lang w:val="pt-BR"/>
        </w:rPr>
        <w:t xml:space="preserve"> </w:t>
      </w:r>
      <w:r>
        <w:rPr>
          <w:rFonts w:hint="default"/>
          <w:bCs/>
          <w:highlight w:val="none"/>
          <w:lang w:val="pt-BR"/>
        </w:rPr>
        <w:t>Composição de Custos</w:t>
      </w:r>
    </w:p>
    <w:p>
      <w:pPr>
        <w:pStyle w:val="34"/>
      </w:pPr>
      <w:r>
        <w:rPr>
          <w:highlight w:val="none"/>
        </w:rPr>
        <w:t>ANEXO II</w:t>
      </w:r>
      <w:r>
        <w:rPr>
          <w:rFonts w:hint="default"/>
          <w:highlight w:val="none"/>
          <w:lang w:val="pt-BR"/>
        </w:rPr>
        <w:t>I</w:t>
      </w:r>
      <w:r>
        <w:rPr>
          <w:highlight w:val="none"/>
        </w:rPr>
        <w:t xml:space="preserve"> </w:t>
      </w:r>
      <w:r>
        <w:rPr>
          <w:rFonts w:hint="default"/>
          <w:highlight w:val="none"/>
          <w:lang w:val="pt-BR"/>
        </w:rPr>
        <w:t xml:space="preserve"> </w:t>
      </w:r>
      <w:r>
        <w:rPr>
          <w:bCs/>
          <w:highlight w:val="none"/>
        </w:rPr>
        <w:t>Modelo de Procuração</w:t>
      </w:r>
    </w:p>
    <w:p>
      <w:pPr>
        <w:pStyle w:val="34"/>
      </w:pPr>
      <w:r>
        <w:rPr>
          <w:highlight w:val="none"/>
        </w:rPr>
        <w:t>ANEXO I</w:t>
      </w:r>
      <w:r>
        <w:rPr>
          <w:rFonts w:hint="default"/>
          <w:highlight w:val="none"/>
          <w:lang w:val="pt-BR"/>
        </w:rPr>
        <w:t xml:space="preserve">V </w:t>
      </w:r>
      <w:r>
        <w:rPr>
          <w:highlight w:val="none"/>
        </w:rPr>
        <w:t xml:space="preserve"> </w:t>
      </w:r>
      <w:r>
        <w:rPr>
          <w:rFonts w:hint="default"/>
          <w:bCs/>
          <w:highlight w:val="none"/>
          <w:lang w:val="pt-BR"/>
        </w:rPr>
        <w:t>Declaração de Microempresa ou Empresa de Pequeno Porte</w:t>
      </w:r>
    </w:p>
    <w:p>
      <w:pPr>
        <w:pStyle w:val="34"/>
      </w:pPr>
      <w:r>
        <w:rPr>
          <w:highlight w:val="none"/>
        </w:rPr>
        <w:t xml:space="preserve">ANEXO </w:t>
      </w:r>
      <w:r>
        <w:rPr>
          <w:rFonts w:hint="default"/>
          <w:highlight w:val="none"/>
          <w:lang w:val="pt-BR"/>
        </w:rPr>
        <w:t>V</w:t>
      </w:r>
      <w:r>
        <w:rPr>
          <w:highlight w:val="none"/>
        </w:rPr>
        <w:t xml:space="preserve"> </w:t>
      </w:r>
      <w:r>
        <w:rPr>
          <w:rFonts w:hint="default"/>
          <w:highlight w:val="none"/>
          <w:lang w:val="pt-BR"/>
        </w:rPr>
        <w:t xml:space="preserve"> </w:t>
      </w:r>
      <w:r>
        <w:rPr>
          <w:rFonts w:hint="default"/>
          <w:bCs/>
          <w:highlight w:val="none"/>
          <w:lang w:val="pt-BR"/>
        </w:rPr>
        <w:t>Declaração do disposto no inciso VI, Art. 68 da Lei 14.133/2021</w:t>
      </w:r>
    </w:p>
    <w:p>
      <w:pPr>
        <w:pStyle w:val="34"/>
      </w:pPr>
      <w:r>
        <w:rPr>
          <w:highlight w:val="none"/>
        </w:rPr>
        <w:t xml:space="preserve">ANEXO </w:t>
      </w:r>
      <w:r>
        <w:rPr>
          <w:rFonts w:hint="default"/>
          <w:highlight w:val="none"/>
          <w:lang w:val="pt-BR"/>
        </w:rPr>
        <w:t>VI</w:t>
      </w:r>
      <w:r>
        <w:rPr>
          <w:highlight w:val="none"/>
        </w:rPr>
        <w:t xml:space="preserve"> </w:t>
      </w:r>
      <w:r>
        <w:rPr>
          <w:rFonts w:hint="default"/>
          <w:highlight w:val="none"/>
          <w:lang w:val="pt-BR"/>
        </w:rPr>
        <w:t xml:space="preserve"> Minuta do Contrato</w:t>
      </w:r>
    </w:p>
    <w:p>
      <w:pPr>
        <w:pStyle w:val="34"/>
      </w:pPr>
      <w:r>
        <w:rPr>
          <w:highlight w:val="none"/>
        </w:rPr>
        <w:t xml:space="preserve">ANEXO </w:t>
      </w:r>
      <w:r>
        <w:rPr>
          <w:rFonts w:hint="default"/>
          <w:highlight w:val="none"/>
          <w:lang w:val="pt-BR"/>
        </w:rPr>
        <w:t>VII</w:t>
      </w:r>
      <w:r>
        <w:rPr>
          <w:highlight w:val="none"/>
        </w:rPr>
        <w:t xml:space="preserve"> </w:t>
      </w:r>
      <w:r>
        <w:rPr>
          <w:rFonts w:hint="default"/>
          <w:highlight w:val="none"/>
          <w:lang w:val="pt-BR"/>
        </w:rPr>
        <w:t xml:space="preserve"> </w:t>
      </w:r>
      <w:r>
        <w:rPr>
          <w:rFonts w:hint="default"/>
          <w:bCs/>
          <w:highlight w:val="none"/>
          <w:lang w:val="pt-BR"/>
        </w:rPr>
        <w:t>Endereços</w:t>
      </w:r>
    </w:p>
    <w:p>
      <w:pPr>
        <w:pStyle w:val="34"/>
      </w:pPr>
      <w:r>
        <w:rPr>
          <w:highlight w:val="none"/>
        </w:rPr>
        <w:t xml:space="preserve">ANEXO </w:t>
      </w:r>
      <w:r>
        <w:rPr>
          <w:rFonts w:hint="default"/>
          <w:highlight w:val="none"/>
          <w:lang w:val="pt-BR"/>
        </w:rPr>
        <w:t>VIII</w:t>
      </w:r>
      <w:r>
        <w:rPr>
          <w:highlight w:val="none"/>
        </w:rPr>
        <w:t xml:space="preserve"> </w:t>
      </w:r>
      <w:r>
        <w:rPr>
          <w:rFonts w:hint="default"/>
          <w:highlight w:val="none"/>
          <w:lang w:val="pt-BR"/>
        </w:rPr>
        <w:t xml:space="preserve"> </w:t>
      </w:r>
      <w:r>
        <w:rPr>
          <w:rFonts w:hint="default"/>
          <w:bCs/>
          <w:highlight w:val="none"/>
          <w:lang w:val="pt-BR"/>
        </w:rPr>
        <w:t>Esquema básico</w:t>
      </w:r>
    </w:p>
    <w:p>
      <w:pPr>
        <w:tabs>
          <w:tab w:val="left" w:pos="709"/>
          <w:tab w:val="left" w:pos="993"/>
          <w:tab w:val="left" w:pos="1140"/>
        </w:tabs>
        <w:spacing w:before="5" w:after="5" w:line="276" w:lineRule="auto"/>
        <w:rPr>
          <w:rFonts w:cs="Arial"/>
          <w:color w:val="auto"/>
          <w:sz w:val="19"/>
          <w:szCs w:val="19"/>
          <w:highlight w:val="none"/>
        </w:rPr>
      </w:pPr>
      <w:r>
        <w:rPr>
          <w:rFonts w:cs="Arial"/>
          <w:color w:val="auto"/>
          <w:szCs w:val="20"/>
          <w:highlight w:val="none"/>
        </w:rPr>
        <w:fldChar w:fldCharType="end"/>
      </w:r>
    </w:p>
    <w:p>
      <w:pPr>
        <w:tabs>
          <w:tab w:val="left" w:pos="709"/>
          <w:tab w:val="left" w:pos="993"/>
          <w:tab w:val="left" w:pos="1140"/>
        </w:tabs>
        <w:spacing w:before="5" w:after="5" w:line="276" w:lineRule="auto"/>
        <w:rPr>
          <w:rFonts w:cs="Arial"/>
          <w:color w:val="auto"/>
          <w:sz w:val="19"/>
          <w:szCs w:val="19"/>
          <w:highlight w:val="none"/>
        </w:rPr>
      </w:pPr>
    </w:p>
    <w:p>
      <w:pPr>
        <w:tabs>
          <w:tab w:val="left" w:pos="709"/>
          <w:tab w:val="left" w:pos="993"/>
          <w:tab w:val="left" w:pos="1140"/>
        </w:tabs>
        <w:spacing w:before="5" w:after="5" w:line="276" w:lineRule="auto"/>
        <w:rPr>
          <w:rFonts w:cs="Arial"/>
          <w:color w:val="auto"/>
          <w:sz w:val="19"/>
          <w:szCs w:val="19"/>
          <w:highlight w:val="none"/>
        </w:rPr>
      </w:pPr>
    </w:p>
    <w:p>
      <w:pPr>
        <w:tabs>
          <w:tab w:val="left" w:pos="709"/>
          <w:tab w:val="left" w:pos="993"/>
          <w:tab w:val="left" w:pos="1140"/>
        </w:tabs>
        <w:spacing w:before="5" w:after="5" w:line="276" w:lineRule="auto"/>
        <w:rPr>
          <w:rFonts w:cs="Arial"/>
          <w:color w:val="auto"/>
          <w:sz w:val="19"/>
          <w:szCs w:val="19"/>
          <w:highlight w:val="none"/>
        </w:rPr>
      </w:pPr>
    </w:p>
    <w:p>
      <w:pPr>
        <w:tabs>
          <w:tab w:val="left" w:pos="709"/>
          <w:tab w:val="left" w:pos="993"/>
          <w:tab w:val="left" w:pos="1140"/>
        </w:tabs>
        <w:spacing w:before="5" w:after="5" w:line="276" w:lineRule="auto"/>
        <w:rPr>
          <w:rFonts w:cs="Arial"/>
          <w:color w:val="auto"/>
          <w:sz w:val="19"/>
          <w:szCs w:val="19"/>
          <w:highlight w:val="none"/>
        </w:rPr>
      </w:pPr>
    </w:p>
    <w:p>
      <w:pPr>
        <w:tabs>
          <w:tab w:val="left" w:pos="9498"/>
        </w:tabs>
        <w:spacing w:before="0" w:after="0" w:line="360" w:lineRule="auto"/>
        <w:ind w:left="709" w:right="-1"/>
        <w:rPr>
          <w:rFonts w:cs="Arial"/>
          <w:b/>
          <w:color w:val="auto"/>
          <w:sz w:val="20"/>
          <w:szCs w:val="20"/>
          <w:highlight w:val="none"/>
        </w:rPr>
      </w:pPr>
    </w:p>
    <w:p>
      <w:pPr>
        <w:tabs>
          <w:tab w:val="left" w:pos="9498"/>
        </w:tabs>
        <w:spacing w:before="0" w:after="0" w:line="360" w:lineRule="auto"/>
        <w:ind w:left="709" w:right="-1"/>
        <w:rPr>
          <w:rFonts w:cs="Arial"/>
          <w:b/>
          <w:color w:val="auto"/>
          <w:sz w:val="20"/>
          <w:szCs w:val="20"/>
          <w:highlight w:val="none"/>
        </w:rPr>
      </w:pPr>
      <w:r>
        <w:rPr>
          <w:rFonts w:cs="Arial"/>
          <w:b/>
          <w:color w:val="auto"/>
          <w:sz w:val="20"/>
          <w:szCs w:val="20"/>
          <w:highlight w:val="none"/>
        </w:rPr>
        <w:t>PREÂMBULO</w:t>
      </w:r>
    </w:p>
    <w:p>
      <w:pPr>
        <w:tabs>
          <w:tab w:val="left" w:pos="9498"/>
        </w:tabs>
        <w:spacing w:before="0" w:after="0" w:line="360" w:lineRule="auto"/>
        <w:ind w:left="709" w:right="-1"/>
        <w:rPr>
          <w:rFonts w:cs="Arial"/>
          <w:color w:val="auto"/>
          <w:sz w:val="20"/>
          <w:szCs w:val="20"/>
          <w:highlight w:val="none"/>
        </w:rPr>
      </w:pPr>
      <w:r>
        <w:rPr>
          <w:rFonts w:cs="Arial"/>
          <w:color w:val="auto"/>
          <w:sz w:val="20"/>
          <w:szCs w:val="20"/>
          <w:highlight w:val="none"/>
        </w:rPr>
        <w:t xml:space="preserve">EDITAL DE PREGÃO ELETRÔNICO Nº </w:t>
      </w:r>
      <w:r>
        <w:rPr>
          <w:rFonts w:hint="default" w:cs="Arial"/>
          <w:color w:val="auto"/>
          <w:sz w:val="20"/>
          <w:szCs w:val="20"/>
          <w:highlight w:val="none"/>
          <w:lang w:val="pt-BR"/>
        </w:rPr>
        <w:t>31</w:t>
      </w:r>
      <w:r>
        <w:rPr>
          <w:rFonts w:cs="Arial"/>
          <w:color w:val="auto"/>
          <w:sz w:val="20"/>
          <w:szCs w:val="20"/>
          <w:highlight w:val="none"/>
        </w:rPr>
        <w:t>/2023</w:t>
      </w:r>
    </w:p>
    <w:p>
      <w:pPr>
        <w:tabs>
          <w:tab w:val="left" w:pos="9498"/>
        </w:tabs>
        <w:spacing w:before="0" w:after="0" w:line="360" w:lineRule="auto"/>
        <w:ind w:left="709" w:right="-1"/>
        <w:rPr>
          <w:rFonts w:cs="Arial"/>
          <w:color w:val="auto"/>
          <w:sz w:val="20"/>
          <w:szCs w:val="20"/>
          <w:highlight w:val="none"/>
        </w:rPr>
      </w:pPr>
      <w:r>
        <w:rPr>
          <w:rFonts w:cs="Arial"/>
          <w:color w:val="auto"/>
          <w:sz w:val="20"/>
          <w:szCs w:val="20"/>
          <w:highlight w:val="none"/>
        </w:rPr>
        <w:t xml:space="preserve">PROCESSO Nº </w:t>
      </w:r>
      <w:r>
        <w:rPr>
          <w:rFonts w:hint="default" w:cs="Arial"/>
          <w:color w:val="auto"/>
          <w:sz w:val="20"/>
          <w:szCs w:val="20"/>
          <w:highlight w:val="none"/>
          <w:lang w:val="pt-BR"/>
        </w:rPr>
        <w:t>2.180</w:t>
      </w:r>
      <w:r>
        <w:rPr>
          <w:rFonts w:cs="Arial"/>
          <w:color w:val="auto"/>
          <w:sz w:val="20"/>
          <w:szCs w:val="20"/>
          <w:highlight w:val="none"/>
        </w:rPr>
        <w:t>/2023</w:t>
      </w:r>
    </w:p>
    <w:p>
      <w:pPr>
        <w:tabs>
          <w:tab w:val="left" w:pos="9498"/>
        </w:tabs>
        <w:spacing w:before="0" w:after="0" w:line="360" w:lineRule="auto"/>
        <w:ind w:left="709" w:right="-1"/>
        <w:rPr>
          <w:rFonts w:cs="Arial"/>
          <w:color w:val="auto"/>
          <w:sz w:val="20"/>
          <w:szCs w:val="20"/>
          <w:highlight w:val="none"/>
        </w:rPr>
      </w:pPr>
      <w:r>
        <w:rPr>
          <w:rFonts w:cs="Arial"/>
          <w:color w:val="auto"/>
          <w:sz w:val="20"/>
          <w:szCs w:val="20"/>
          <w:highlight w:val="none"/>
        </w:rPr>
        <w:t xml:space="preserve">ENDEREÇO ELETRÔNICO: </w:t>
      </w:r>
      <w:r>
        <w:rPr>
          <w:rFonts w:hint="default"/>
          <w:sz w:val="20"/>
          <w:szCs w:val="20"/>
          <w:highlight w:val="none"/>
        </w:rPr>
        <w:fldChar w:fldCharType="begin"/>
      </w:r>
      <w:r>
        <w:rPr>
          <w:rFonts w:hint="default"/>
          <w:sz w:val="20"/>
          <w:szCs w:val="20"/>
          <w:highlight w:val="none"/>
        </w:rPr>
        <w:instrText xml:space="preserve"> HYPERLINK "https://novobbmnet.com.br/" </w:instrText>
      </w:r>
      <w:r>
        <w:rPr>
          <w:rFonts w:hint="default"/>
          <w:sz w:val="20"/>
          <w:szCs w:val="20"/>
          <w:highlight w:val="none"/>
        </w:rPr>
        <w:fldChar w:fldCharType="separate"/>
      </w:r>
      <w:r>
        <w:rPr>
          <w:rStyle w:val="16"/>
          <w:rFonts w:hint="default"/>
          <w:sz w:val="20"/>
          <w:szCs w:val="20"/>
          <w:highlight w:val="none"/>
        </w:rPr>
        <w:t>https://novobbmnet.com.br/</w:t>
      </w:r>
      <w:r>
        <w:rPr>
          <w:rFonts w:hint="default"/>
          <w:sz w:val="20"/>
          <w:szCs w:val="20"/>
          <w:highlight w:val="none"/>
        </w:rPr>
        <w:fldChar w:fldCharType="end"/>
      </w:r>
    </w:p>
    <w:p>
      <w:pPr>
        <w:tabs>
          <w:tab w:val="left" w:pos="9498"/>
        </w:tabs>
        <w:spacing w:before="0" w:after="0"/>
        <w:ind w:left="3969" w:right="-1"/>
        <w:jc w:val="both"/>
        <w:rPr>
          <w:rFonts w:cs="Arial"/>
          <w:color w:val="auto"/>
          <w:sz w:val="20"/>
          <w:szCs w:val="20"/>
          <w:highlight w:val="none"/>
          <w:u w:val="single"/>
        </w:rPr>
      </w:pPr>
    </w:p>
    <w:p>
      <w:pPr>
        <w:tabs>
          <w:tab w:val="left" w:pos="9498"/>
        </w:tabs>
        <w:spacing w:before="0" w:after="0"/>
        <w:ind w:left="3969" w:right="-1"/>
        <w:jc w:val="both"/>
        <w:rPr>
          <w:rFonts w:cs="Arial"/>
          <w:color w:val="auto"/>
          <w:sz w:val="20"/>
          <w:szCs w:val="20"/>
          <w:highlight w:val="none"/>
        </w:rPr>
      </w:pPr>
      <w:r>
        <w:rPr>
          <w:rFonts w:cs="Arial"/>
          <w:color w:val="auto"/>
          <w:sz w:val="20"/>
          <w:szCs w:val="20"/>
          <w:highlight w:val="none"/>
        </w:rPr>
        <w:t xml:space="preserve">O Senhor </w:t>
      </w:r>
      <w:r>
        <w:rPr>
          <w:rFonts w:cs="Arial"/>
          <w:b/>
          <w:bCs/>
          <w:color w:val="auto"/>
          <w:sz w:val="20"/>
          <w:szCs w:val="20"/>
          <w:highlight w:val="none"/>
        </w:rPr>
        <w:t>MÁRIO SÉRGIO TASSINARI</w:t>
      </w:r>
      <w:r>
        <w:rPr>
          <w:rFonts w:cs="Arial"/>
          <w:color w:val="auto"/>
          <w:sz w:val="20"/>
          <w:szCs w:val="20"/>
          <w:highlight w:val="none"/>
        </w:rPr>
        <w:t xml:space="preserve">, Prefeito Municipal de Itapeva, Estado de São Paulo, usando a competência, mediante o Pregoeiro, designado pela Portaria </w:t>
      </w:r>
      <w:r>
        <w:rPr>
          <w:rFonts w:hint="default" w:cs="Arial"/>
          <w:color w:val="auto"/>
          <w:sz w:val="20"/>
          <w:szCs w:val="20"/>
          <w:highlight w:val="none"/>
          <w:lang w:val="pt-BR"/>
        </w:rPr>
        <w:t>9.025</w:t>
      </w:r>
      <w:r>
        <w:rPr>
          <w:rFonts w:cs="Arial"/>
          <w:color w:val="auto"/>
          <w:sz w:val="20"/>
          <w:szCs w:val="20"/>
          <w:highlight w:val="none"/>
        </w:rPr>
        <w:t xml:space="preserve">/2023, torna público que se acha aberta licitação na modalidade </w:t>
      </w:r>
      <w:r>
        <w:rPr>
          <w:rFonts w:cs="Arial"/>
          <w:b/>
          <w:bCs/>
          <w:color w:val="auto"/>
          <w:sz w:val="20"/>
          <w:szCs w:val="20"/>
          <w:highlight w:val="none"/>
        </w:rPr>
        <w:t>PREGÃO ELETRÔNICO</w:t>
      </w:r>
      <w:r>
        <w:rPr>
          <w:rFonts w:cs="Arial"/>
          <w:color w:val="auto"/>
          <w:sz w:val="20"/>
          <w:szCs w:val="20"/>
          <w:highlight w:val="none"/>
        </w:rPr>
        <w:t>, que será regido pela Lei federal nº 14.133/2021,</w:t>
      </w:r>
      <w:r>
        <w:rPr>
          <w:rFonts w:cs="Arial"/>
          <w:color w:val="FF0000"/>
          <w:sz w:val="20"/>
          <w:szCs w:val="20"/>
          <w:highlight w:val="none"/>
        </w:rPr>
        <w:t xml:space="preserve"> </w:t>
      </w:r>
      <w:r>
        <w:rPr>
          <w:rFonts w:cs="Arial"/>
          <w:color w:val="auto"/>
          <w:sz w:val="20"/>
          <w:szCs w:val="20"/>
          <w:highlight w:val="none"/>
        </w:rPr>
        <w:t>Decreto Municipal nº 12.949/2022, Lei Complementar nº 123 de 14 de dezembro de 2006, alterada pela Lei Complementar nº 147, de 7 de agosto de 2014 e demais normas regulamentares aplicáveis à espécie.</w:t>
      </w:r>
    </w:p>
    <w:p>
      <w:pPr>
        <w:spacing w:before="0" w:after="0"/>
        <w:ind w:left="3119" w:right="-1" w:firstLine="851"/>
        <w:jc w:val="both"/>
        <w:rPr>
          <w:rFonts w:cs="Arial"/>
          <w:color w:val="auto"/>
          <w:sz w:val="19"/>
          <w:szCs w:val="19"/>
          <w:highlight w:val="none"/>
        </w:rPr>
      </w:pPr>
    </w:p>
    <w:p>
      <w:pPr>
        <w:spacing w:before="0" w:after="0"/>
        <w:ind w:left="709" w:right="-1"/>
        <w:jc w:val="both"/>
        <w:rPr>
          <w:rFonts w:cs="Arial"/>
          <w:color w:val="auto"/>
          <w:sz w:val="20"/>
          <w:szCs w:val="20"/>
          <w:highlight w:val="none"/>
        </w:rPr>
      </w:pPr>
      <w:r>
        <w:rPr>
          <w:rFonts w:cs="Arial"/>
          <w:b/>
          <w:color w:val="auto"/>
          <w:sz w:val="20"/>
          <w:szCs w:val="20"/>
          <w:highlight w:val="none"/>
        </w:rPr>
        <w:t>Referência de Tempo</w:t>
      </w:r>
      <w:r>
        <w:rPr>
          <w:rFonts w:cs="Arial"/>
          <w:color w:val="auto"/>
          <w:sz w:val="20"/>
          <w:szCs w:val="20"/>
          <w:highlight w:val="none"/>
        </w:rPr>
        <w:t>: Todas as referências de tempo no edital, no aviso e durante a sessão pública observarão obrigatoriamente o horário de Brasília/DF e, dessa forma, serão registradas no sistema eletrônico e na documentação relativa ao certame.</w:t>
      </w:r>
    </w:p>
    <w:p>
      <w:pPr>
        <w:spacing w:before="0" w:after="0"/>
        <w:ind w:left="-142" w:right="-1" w:firstLine="851"/>
        <w:jc w:val="both"/>
        <w:rPr>
          <w:rFonts w:cs="Arial"/>
          <w:color w:val="auto"/>
          <w:sz w:val="19"/>
          <w:szCs w:val="19"/>
          <w:highlight w:val="none"/>
        </w:rPr>
      </w:pPr>
    </w:p>
    <w:p>
      <w:pPr>
        <w:pStyle w:val="22"/>
        <w:rPr>
          <w:highlight w:val="none"/>
        </w:rPr>
      </w:pPr>
      <w:bookmarkStart w:id="0" w:name="_Toc13475"/>
      <w:r>
        <w:rPr>
          <w:highlight w:val="none"/>
        </w:rPr>
        <w:t>DO OBJETO</w:t>
      </w:r>
      <w:bookmarkEnd w:id="0"/>
    </w:p>
    <w:p>
      <w:pPr>
        <w:spacing w:before="0" w:after="0"/>
        <w:ind w:right="-1"/>
        <w:rPr>
          <w:rFonts w:cs="Arial"/>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A presente licitação tem por objeto a</w:t>
      </w:r>
      <w:r>
        <w:rPr>
          <w:rFonts w:hint="default" w:cs="Arial"/>
          <w:color w:val="auto"/>
          <w:sz w:val="20"/>
          <w:szCs w:val="20"/>
          <w:highlight w:val="none"/>
          <w:lang w:val="pt-BR"/>
        </w:rPr>
        <w:t xml:space="preserve"> prestação de</w:t>
      </w:r>
      <w:r>
        <w:rPr>
          <w:rFonts w:cs="Arial"/>
          <w:color w:val="auto"/>
          <w:sz w:val="20"/>
          <w:szCs w:val="20"/>
          <w:highlight w:val="none"/>
        </w:rPr>
        <w:t xml:space="preserve"> </w:t>
      </w:r>
      <w:r>
        <w:rPr>
          <w:rFonts w:hint="default" w:cs="Arial"/>
          <w:b/>
          <w:bCs/>
          <w:color w:val="auto"/>
          <w:sz w:val="20"/>
          <w:szCs w:val="20"/>
          <w:highlight w:val="none"/>
          <w:lang w:val="pt-BR"/>
        </w:rPr>
        <w:t>a</w:t>
      </w:r>
      <w:r>
        <w:rPr>
          <w:rFonts w:cs="Arial"/>
          <w:b/>
          <w:bCs/>
          <w:color w:val="auto"/>
          <w:sz w:val="20"/>
          <w:szCs w:val="20"/>
          <w:highlight w:val="none"/>
          <w:lang w:val="en-US" w:eastAsia="zh-CN"/>
        </w:rPr>
        <w:t xml:space="preserve">quisição e instalação de unidades </w:t>
      </w:r>
      <w:r>
        <w:rPr>
          <w:rFonts w:hint="default" w:cs="Arial"/>
          <w:b/>
          <w:bCs/>
          <w:color w:val="auto"/>
          <w:sz w:val="20"/>
          <w:szCs w:val="20"/>
          <w:highlight w:val="none"/>
          <w:lang w:val="en-US" w:eastAsia="zh-CN"/>
        </w:rPr>
        <w:t>sanitárias individuais (usi's)</w:t>
      </w:r>
      <w:r>
        <w:rPr>
          <w:rFonts w:cs="Arial"/>
          <w:bCs/>
          <w:color w:val="auto"/>
          <w:sz w:val="20"/>
          <w:szCs w:val="20"/>
          <w:highlight w:val="none"/>
        </w:rPr>
        <w:t>,</w:t>
      </w:r>
      <w:r>
        <w:rPr>
          <w:rFonts w:cs="Arial"/>
          <w:color w:val="auto"/>
          <w:sz w:val="20"/>
          <w:szCs w:val="20"/>
          <w:highlight w:val="none"/>
        </w:rPr>
        <w:t xml:space="preserve"> conforme especificações técnicas do </w:t>
      </w:r>
      <w:r>
        <w:rPr>
          <w:rFonts w:cs="Arial"/>
          <w:b/>
          <w:color w:val="auto"/>
          <w:sz w:val="20"/>
          <w:szCs w:val="20"/>
          <w:highlight w:val="none"/>
        </w:rPr>
        <w:t>Termo de Referência - Anexo I</w:t>
      </w:r>
      <w:r>
        <w:rPr>
          <w:rFonts w:cs="Arial"/>
          <w:color w:val="auto"/>
          <w:sz w:val="20"/>
          <w:szCs w:val="20"/>
          <w:highlight w:val="none"/>
        </w:rPr>
        <w:t xml:space="preserve"> deste Edital, para atender a necessidade da Secretaria Municipal d</w:t>
      </w:r>
      <w:r>
        <w:rPr>
          <w:rFonts w:hint="default" w:cs="Arial"/>
          <w:color w:val="auto"/>
          <w:sz w:val="20"/>
          <w:szCs w:val="20"/>
          <w:highlight w:val="none"/>
          <w:lang w:val="pt-BR"/>
        </w:rPr>
        <w:t>e Transportes e Serviços Rurais</w:t>
      </w:r>
    </w:p>
    <w:p>
      <w:pPr>
        <w:pStyle w:val="47"/>
        <w:tabs>
          <w:tab w:val="left" w:pos="709"/>
        </w:tabs>
        <w:spacing w:before="0" w:after="0"/>
        <w:ind w:left="709" w:right="-1"/>
        <w:jc w:val="both"/>
        <w:rPr>
          <w:rFonts w:cs="Arial"/>
          <w:color w:val="auto"/>
          <w:sz w:val="20"/>
          <w:szCs w:val="20"/>
          <w:highlight w:val="none"/>
        </w:rPr>
      </w:pPr>
    </w:p>
    <w:p>
      <w:pPr>
        <w:pStyle w:val="47"/>
        <w:numPr>
          <w:ilvl w:val="1"/>
          <w:numId w:val="2"/>
        </w:numPr>
        <w:tabs>
          <w:tab w:val="left" w:pos="0"/>
          <w:tab w:val="left" w:pos="142"/>
          <w:tab w:val="left" w:pos="709"/>
        </w:tabs>
        <w:spacing w:before="0" w:after="0"/>
        <w:ind w:left="709" w:right="-1" w:hanging="851"/>
        <w:jc w:val="both"/>
        <w:rPr>
          <w:rFonts w:cs="Arial"/>
          <w:color w:val="auto"/>
          <w:sz w:val="20"/>
          <w:szCs w:val="20"/>
          <w:highlight w:val="none"/>
        </w:rPr>
      </w:pPr>
      <w:r>
        <w:rPr>
          <w:color w:val="auto"/>
          <w:sz w:val="20"/>
          <w:szCs w:val="20"/>
          <w:highlight w:val="none"/>
        </w:rPr>
        <w:t xml:space="preserve">A licitação será </w:t>
      </w:r>
      <w:r>
        <w:rPr>
          <w:rFonts w:hint="default"/>
          <w:color w:val="auto"/>
          <w:sz w:val="20"/>
          <w:szCs w:val="20"/>
          <w:highlight w:val="none"/>
          <w:lang w:val="pt-BR"/>
        </w:rPr>
        <w:t>realizada</w:t>
      </w:r>
      <w:r>
        <w:rPr>
          <w:color w:val="auto"/>
          <w:sz w:val="20"/>
          <w:szCs w:val="20"/>
          <w:highlight w:val="none"/>
        </w:rPr>
        <w:t xml:space="preserve"> em ite</w:t>
      </w:r>
      <w:r>
        <w:rPr>
          <w:rFonts w:hint="default"/>
          <w:color w:val="auto"/>
          <w:sz w:val="20"/>
          <w:szCs w:val="20"/>
          <w:highlight w:val="none"/>
          <w:lang w:val="pt-BR"/>
        </w:rPr>
        <w:t>m único</w:t>
      </w:r>
      <w:r>
        <w:rPr>
          <w:color w:val="auto"/>
          <w:sz w:val="20"/>
          <w:szCs w:val="20"/>
          <w:highlight w:val="none"/>
        </w:rPr>
        <w:t>, conforme tabela constante do Termo de Referência.</w:t>
      </w:r>
    </w:p>
    <w:p>
      <w:pPr>
        <w:pStyle w:val="47"/>
        <w:tabs>
          <w:tab w:val="left" w:pos="709"/>
        </w:tabs>
        <w:spacing w:before="0" w:after="0"/>
        <w:ind w:left="709" w:right="-1"/>
        <w:jc w:val="both"/>
        <w:rPr>
          <w:rFonts w:cs="Arial"/>
          <w:color w:val="auto"/>
          <w:sz w:val="20"/>
          <w:szCs w:val="20"/>
          <w:highlight w:val="none"/>
        </w:rPr>
      </w:pPr>
    </w:p>
    <w:p>
      <w:pPr>
        <w:pStyle w:val="22"/>
        <w:rPr>
          <w:highlight w:val="none"/>
        </w:rPr>
      </w:pPr>
      <w:bookmarkStart w:id="1" w:name="_Toc26843"/>
      <w:r>
        <w:rPr>
          <w:highlight w:val="none"/>
        </w:rPr>
        <w:t>A PARTICIPAÇÃO</w:t>
      </w:r>
      <w:bookmarkEnd w:id="1"/>
    </w:p>
    <w:p>
      <w:pPr>
        <w:spacing w:before="0" w:after="0"/>
        <w:ind w:right="-1"/>
        <w:rPr>
          <w:rFonts w:cs="Arial"/>
          <w:sz w:val="20"/>
          <w:szCs w:val="20"/>
          <w:highlight w:val="none"/>
          <w:u w:val="single"/>
        </w:rPr>
      </w:pPr>
    </w:p>
    <w:p>
      <w:pPr>
        <w:pStyle w:val="47"/>
        <w:numPr>
          <w:ilvl w:val="0"/>
          <w:numId w:val="2"/>
        </w:numPr>
        <w:spacing w:before="0" w:after="0"/>
        <w:ind w:left="-142" w:right="-1" w:firstLine="851"/>
        <w:jc w:val="both"/>
        <w:rPr>
          <w:rFonts w:cs="Arial"/>
          <w:vanish/>
          <w:color w:val="auto"/>
          <w:sz w:val="20"/>
          <w:szCs w:val="20"/>
          <w:highlight w:val="none"/>
        </w:rPr>
      </w:pPr>
    </w:p>
    <w:p>
      <w:pPr>
        <w:pStyle w:val="47"/>
        <w:numPr>
          <w:ilvl w:val="1"/>
          <w:numId w:val="2"/>
        </w:numPr>
        <w:tabs>
          <w:tab w:val="left" w:pos="709"/>
          <w:tab w:val="left" w:pos="9498"/>
        </w:tabs>
        <w:spacing w:before="0" w:after="0" w:line="240" w:lineRule="exact"/>
        <w:ind w:left="709" w:right="-1" w:hanging="851"/>
        <w:jc w:val="both"/>
        <w:rPr>
          <w:rFonts w:cs="Arial"/>
          <w:color w:val="auto"/>
          <w:sz w:val="20"/>
          <w:szCs w:val="20"/>
          <w:highlight w:val="none"/>
        </w:rPr>
      </w:pPr>
      <w:r>
        <w:rPr>
          <w:rFonts w:cs="Arial"/>
          <w:color w:val="auto"/>
          <w:sz w:val="20"/>
          <w:szCs w:val="20"/>
          <w:highlight w:val="none"/>
        </w:rPr>
        <w:t>Poderão participar todos os interessados do ramo de atividade compatível com o objeto licitado que preencherem as condições constantes deste Edital e sejam detentoras de senha para participar de procedimentos eletrônicos junto a Bolsa Brasileira de Mercadorias.</w:t>
      </w:r>
    </w:p>
    <w:p>
      <w:pPr>
        <w:pStyle w:val="47"/>
        <w:tabs>
          <w:tab w:val="left" w:pos="709"/>
          <w:tab w:val="left" w:pos="9498"/>
        </w:tabs>
        <w:spacing w:before="0" w:after="0" w:line="240" w:lineRule="exact"/>
        <w:ind w:left="709" w:right="-1"/>
        <w:jc w:val="both"/>
        <w:rPr>
          <w:rFonts w:cs="Arial"/>
          <w:color w:val="auto"/>
          <w:sz w:val="20"/>
          <w:szCs w:val="20"/>
          <w:highlight w:val="none"/>
        </w:rPr>
      </w:pPr>
    </w:p>
    <w:p>
      <w:pPr>
        <w:pStyle w:val="47"/>
        <w:numPr>
          <w:ilvl w:val="1"/>
          <w:numId w:val="2"/>
        </w:numPr>
        <w:tabs>
          <w:tab w:val="left" w:pos="709"/>
          <w:tab w:val="left" w:pos="9498"/>
        </w:tabs>
        <w:spacing w:before="0" w:after="0" w:line="240" w:lineRule="exact"/>
        <w:ind w:left="709" w:right="-1" w:hanging="851"/>
        <w:jc w:val="both"/>
        <w:rPr>
          <w:rFonts w:cs="Arial"/>
          <w:color w:val="auto"/>
          <w:sz w:val="20"/>
          <w:szCs w:val="20"/>
          <w:highlight w:val="none"/>
        </w:rPr>
      </w:pPr>
      <w:bookmarkStart w:id="2" w:name="_Ref117000019"/>
      <w:r>
        <w:rPr>
          <w:sz w:val="20"/>
          <w:szCs w:val="20"/>
          <w:highlight w:val="none"/>
        </w:rPr>
        <w:t xml:space="preserve">O fornecedor enquadrado como microempresa, empresa de pequeno porte ou sociedade cooperativa deverá declarar, ainda, em campo próprio do sistema eletrônico, que cumpre os requisitos estabelecidos no </w:t>
      </w:r>
      <w:r>
        <w:rPr>
          <w:highlight w:val="none"/>
        </w:rPr>
        <w:fldChar w:fldCharType="begin"/>
      </w:r>
      <w:r>
        <w:rPr>
          <w:highlight w:val="none"/>
        </w:rPr>
        <w:instrText xml:space="preserve"> HYPERLINK "https://www.planalto.gov.br/ccivil_03/leis/lcp/lcp123.htm" \l "art3" </w:instrText>
      </w:r>
      <w:r>
        <w:rPr>
          <w:highlight w:val="none"/>
        </w:rPr>
        <w:fldChar w:fldCharType="separate"/>
      </w:r>
      <w:r>
        <w:rPr>
          <w:rStyle w:val="16"/>
          <w:sz w:val="20"/>
          <w:szCs w:val="20"/>
          <w:highlight w:val="none"/>
        </w:rPr>
        <w:t>artigo 3° da Lei Complementar nº 123, de 2006</w:t>
      </w:r>
      <w:r>
        <w:rPr>
          <w:rStyle w:val="16"/>
          <w:sz w:val="20"/>
          <w:szCs w:val="20"/>
          <w:highlight w:val="none"/>
        </w:rPr>
        <w:fldChar w:fldCharType="end"/>
      </w:r>
      <w:r>
        <w:rPr>
          <w:sz w:val="20"/>
          <w:szCs w:val="20"/>
          <w:highlight w:val="none"/>
        </w:rPr>
        <w:t xml:space="preserve">, estando apto a usufruir do tratamento favorecido estabelecido em seus </w:t>
      </w:r>
      <w:r>
        <w:rPr>
          <w:highlight w:val="none"/>
        </w:rPr>
        <w:fldChar w:fldCharType="begin"/>
      </w:r>
      <w:r>
        <w:rPr>
          <w:highlight w:val="none"/>
        </w:rPr>
        <w:instrText xml:space="preserve"> HYPERLINK "https://www.planalto.gov.br/ccivil_03/leis/lcp/lcp123.htm" \l "art42" </w:instrText>
      </w:r>
      <w:r>
        <w:rPr>
          <w:highlight w:val="none"/>
        </w:rPr>
        <w:fldChar w:fldCharType="separate"/>
      </w:r>
      <w:r>
        <w:rPr>
          <w:rStyle w:val="16"/>
          <w:sz w:val="20"/>
          <w:szCs w:val="20"/>
          <w:highlight w:val="none"/>
        </w:rPr>
        <w:t>arts. 42 a 49</w:t>
      </w:r>
      <w:r>
        <w:rPr>
          <w:rStyle w:val="16"/>
          <w:sz w:val="20"/>
          <w:szCs w:val="20"/>
          <w:highlight w:val="none"/>
        </w:rPr>
        <w:fldChar w:fldCharType="end"/>
      </w:r>
      <w:r>
        <w:rPr>
          <w:sz w:val="20"/>
          <w:szCs w:val="20"/>
          <w:highlight w:val="none"/>
        </w:rPr>
        <w:t xml:space="preserve">, observado o disposto nos </w:t>
      </w:r>
      <w:r>
        <w:rPr>
          <w:highlight w:val="none"/>
        </w:rPr>
        <w:fldChar w:fldCharType="begin"/>
      </w:r>
      <w:r>
        <w:rPr>
          <w:highlight w:val="none"/>
        </w:rPr>
        <w:instrText xml:space="preserve"> HYPERLINK "http://www.planalto.gov.br/ccivil_03/_ato2019-2022/2021/lei/L14133.htm" \l "art4§1" </w:instrText>
      </w:r>
      <w:r>
        <w:rPr>
          <w:highlight w:val="none"/>
        </w:rPr>
        <w:fldChar w:fldCharType="separate"/>
      </w:r>
      <w:r>
        <w:rPr>
          <w:rStyle w:val="16"/>
          <w:sz w:val="20"/>
          <w:szCs w:val="20"/>
          <w:highlight w:val="none"/>
        </w:rPr>
        <w:t>§§ 1º ao 3º do art. 4º, da Lei n.º 14.133, de 2021.</w:t>
      </w:r>
      <w:bookmarkEnd w:id="2"/>
      <w:r>
        <w:rPr>
          <w:rStyle w:val="16"/>
          <w:sz w:val="20"/>
          <w:szCs w:val="20"/>
          <w:highlight w:val="none"/>
        </w:rPr>
        <w:fldChar w:fldCharType="end"/>
      </w:r>
    </w:p>
    <w:p>
      <w:pPr>
        <w:tabs>
          <w:tab w:val="left" w:pos="709"/>
          <w:tab w:val="left" w:pos="9498"/>
        </w:tabs>
        <w:spacing w:before="0" w:after="0" w:line="240" w:lineRule="exact"/>
        <w:ind w:right="-1"/>
        <w:jc w:val="both"/>
        <w:rPr>
          <w:rFonts w:cs="Arial"/>
          <w:color w:val="auto"/>
          <w:sz w:val="20"/>
          <w:szCs w:val="20"/>
          <w:highlight w:val="none"/>
        </w:rPr>
      </w:pPr>
    </w:p>
    <w:p>
      <w:pPr>
        <w:pStyle w:val="47"/>
        <w:numPr>
          <w:ilvl w:val="1"/>
          <w:numId w:val="2"/>
        </w:numPr>
        <w:tabs>
          <w:tab w:val="left" w:pos="709"/>
          <w:tab w:val="left" w:pos="9498"/>
        </w:tabs>
        <w:spacing w:before="0" w:after="0" w:line="240" w:lineRule="exact"/>
        <w:ind w:left="709" w:right="-1" w:hanging="851"/>
        <w:jc w:val="both"/>
        <w:rPr>
          <w:rFonts w:cs="Arial"/>
          <w:color w:val="auto"/>
          <w:sz w:val="20"/>
          <w:szCs w:val="20"/>
          <w:highlight w:val="none"/>
        </w:rPr>
      </w:pPr>
      <w:r>
        <w:rPr>
          <w:rFonts w:cs="Arial"/>
          <w:color w:val="auto"/>
          <w:sz w:val="20"/>
          <w:szCs w:val="20"/>
          <w:highlight w:val="none"/>
        </w:rPr>
        <w:t xml:space="preserve">O licitante deverá promover a sua inscrição e credenciamento para participar do pregão,  diretamente no site da Bolsa Brasileira de Mercadorias, </w:t>
      </w:r>
      <w:r>
        <w:rPr>
          <w:rFonts w:hint="default"/>
          <w:sz w:val="20"/>
          <w:szCs w:val="20"/>
          <w:highlight w:val="none"/>
        </w:rPr>
        <w:fldChar w:fldCharType="begin"/>
      </w:r>
      <w:r>
        <w:rPr>
          <w:rFonts w:hint="default"/>
          <w:sz w:val="20"/>
          <w:szCs w:val="20"/>
          <w:highlight w:val="none"/>
        </w:rPr>
        <w:instrText xml:space="preserve"> HYPERLINK "https://novobbmnet.com.br/" </w:instrText>
      </w:r>
      <w:r>
        <w:rPr>
          <w:rFonts w:hint="default"/>
          <w:sz w:val="20"/>
          <w:szCs w:val="20"/>
          <w:highlight w:val="none"/>
        </w:rPr>
        <w:fldChar w:fldCharType="separate"/>
      </w:r>
      <w:r>
        <w:rPr>
          <w:rStyle w:val="16"/>
          <w:rFonts w:hint="default"/>
          <w:sz w:val="20"/>
          <w:szCs w:val="20"/>
          <w:highlight w:val="none"/>
        </w:rPr>
        <w:t>https://novobbmnet.com.br/</w:t>
      </w:r>
      <w:r>
        <w:rPr>
          <w:rFonts w:hint="default"/>
          <w:sz w:val="20"/>
          <w:szCs w:val="20"/>
          <w:highlight w:val="none"/>
        </w:rPr>
        <w:fldChar w:fldCharType="end"/>
      </w:r>
      <w:r>
        <w:rPr>
          <w:rFonts w:cs="Arial"/>
          <w:color w:val="auto"/>
          <w:sz w:val="20"/>
          <w:szCs w:val="20"/>
          <w:highlight w:val="none"/>
        </w:rPr>
        <w:t>, até o horário fixado no edital para inscrição e cadastramento.</w:t>
      </w:r>
    </w:p>
    <w:p>
      <w:pPr>
        <w:pStyle w:val="47"/>
        <w:tabs>
          <w:tab w:val="left" w:pos="709"/>
          <w:tab w:val="left" w:pos="9498"/>
        </w:tabs>
        <w:spacing w:before="0" w:after="0" w:line="240" w:lineRule="exact"/>
        <w:ind w:left="709" w:right="-1"/>
        <w:jc w:val="both"/>
        <w:rPr>
          <w:rFonts w:cs="Arial"/>
          <w:color w:val="auto"/>
          <w:sz w:val="20"/>
          <w:szCs w:val="20"/>
          <w:highlight w:val="none"/>
        </w:rPr>
      </w:pPr>
    </w:p>
    <w:p>
      <w:pPr>
        <w:pStyle w:val="47"/>
        <w:numPr>
          <w:ilvl w:val="1"/>
          <w:numId w:val="2"/>
        </w:numPr>
        <w:tabs>
          <w:tab w:val="left" w:pos="709"/>
          <w:tab w:val="left" w:pos="9498"/>
        </w:tabs>
        <w:spacing w:before="0" w:after="0" w:line="240" w:lineRule="exact"/>
        <w:ind w:left="709" w:right="-1" w:hanging="851"/>
        <w:jc w:val="both"/>
        <w:rPr>
          <w:rFonts w:cs="Arial"/>
          <w:color w:val="auto"/>
          <w:sz w:val="20"/>
          <w:szCs w:val="20"/>
          <w:highlight w:val="none"/>
        </w:rPr>
      </w:pPr>
      <w:r>
        <w:rPr>
          <w:rFonts w:cs="Arial"/>
          <w:color w:val="auto"/>
          <w:sz w:val="20"/>
          <w:szCs w:val="20"/>
          <w:highlight w:val="none"/>
        </w:rPr>
        <w:t>A participação no pregão está condicionada obrigatoriamente a inscrição e credenciamento do licitante, até o limite de horário previsto no Edital.</w:t>
      </w:r>
    </w:p>
    <w:p>
      <w:pPr>
        <w:pStyle w:val="47"/>
        <w:spacing w:before="0" w:after="0"/>
        <w:ind w:left="709"/>
        <w:rPr>
          <w:rFonts w:cs="Arial"/>
          <w:color w:val="auto"/>
          <w:sz w:val="20"/>
          <w:szCs w:val="20"/>
          <w:highlight w:val="none"/>
        </w:rPr>
      </w:pPr>
    </w:p>
    <w:p>
      <w:pPr>
        <w:pStyle w:val="47"/>
        <w:numPr>
          <w:ilvl w:val="1"/>
          <w:numId w:val="2"/>
        </w:numPr>
        <w:tabs>
          <w:tab w:val="left" w:pos="709"/>
          <w:tab w:val="left" w:pos="9498"/>
        </w:tabs>
        <w:spacing w:before="0" w:after="0" w:line="240" w:lineRule="exact"/>
        <w:ind w:left="709" w:right="-1" w:hanging="851"/>
        <w:jc w:val="both"/>
        <w:rPr>
          <w:rFonts w:cs="Arial"/>
          <w:color w:val="auto"/>
          <w:sz w:val="20"/>
          <w:szCs w:val="20"/>
          <w:highlight w:val="none"/>
        </w:rPr>
      </w:pPr>
      <w:r>
        <w:rPr>
          <w:sz w:val="20"/>
          <w:szCs w:val="20"/>
          <w:highlight w: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47"/>
        <w:spacing w:before="0" w:after="0"/>
        <w:ind w:left="709"/>
        <w:rPr>
          <w:rFonts w:cs="Arial"/>
          <w:color w:val="auto"/>
          <w:sz w:val="20"/>
          <w:szCs w:val="20"/>
          <w:highlight w:val="none"/>
        </w:rPr>
      </w:pPr>
    </w:p>
    <w:p>
      <w:pPr>
        <w:pStyle w:val="47"/>
        <w:numPr>
          <w:ilvl w:val="1"/>
          <w:numId w:val="2"/>
        </w:numPr>
        <w:tabs>
          <w:tab w:val="left" w:pos="709"/>
          <w:tab w:val="left" w:pos="9498"/>
        </w:tabs>
        <w:spacing w:before="0" w:after="0" w:line="240" w:lineRule="exact"/>
        <w:ind w:left="709" w:right="-1" w:hanging="851"/>
        <w:jc w:val="both"/>
        <w:rPr>
          <w:rFonts w:cs="Arial"/>
          <w:color w:val="auto"/>
          <w:sz w:val="20"/>
          <w:szCs w:val="20"/>
          <w:highlight w:val="none"/>
        </w:rPr>
      </w:pPr>
      <w:r>
        <w:rPr>
          <w:sz w:val="20"/>
          <w:szCs w:val="20"/>
          <w:highlight w: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pPr>
        <w:pStyle w:val="47"/>
        <w:spacing w:before="0" w:after="0"/>
        <w:ind w:left="709"/>
        <w:rPr>
          <w:rFonts w:cs="Arial"/>
          <w:color w:val="auto"/>
          <w:sz w:val="20"/>
          <w:szCs w:val="20"/>
          <w:highlight w:val="none"/>
        </w:rPr>
      </w:pPr>
    </w:p>
    <w:p>
      <w:pPr>
        <w:pStyle w:val="47"/>
        <w:numPr>
          <w:ilvl w:val="1"/>
          <w:numId w:val="2"/>
        </w:numPr>
        <w:tabs>
          <w:tab w:val="left" w:pos="709"/>
          <w:tab w:val="left" w:pos="9498"/>
        </w:tabs>
        <w:spacing w:before="0" w:after="0" w:line="240" w:lineRule="exact"/>
        <w:ind w:left="709" w:right="-1" w:hanging="851"/>
        <w:jc w:val="both"/>
        <w:rPr>
          <w:rFonts w:cs="Arial"/>
          <w:color w:val="auto"/>
          <w:sz w:val="20"/>
          <w:szCs w:val="20"/>
          <w:highlight w:val="none"/>
        </w:rPr>
      </w:pPr>
      <w:r>
        <w:rPr>
          <w:sz w:val="20"/>
          <w:szCs w:val="20"/>
          <w:highlight w:val="none"/>
        </w:rPr>
        <w:t>A não observância do disposto no item anterior poderá ensejar desclassificação no momento da habilitação.</w:t>
      </w:r>
    </w:p>
    <w:p>
      <w:pPr>
        <w:autoSpaceDE w:val="0"/>
        <w:autoSpaceDN w:val="0"/>
        <w:adjustRightInd w:val="0"/>
        <w:spacing w:before="0" w:after="0"/>
        <w:rPr>
          <w:rFonts w:ascii="CIDFont+F5" w:hAnsi="CIDFont+F5" w:cs="CIDFont+F5"/>
          <w:sz w:val="10"/>
          <w:szCs w:val="10"/>
          <w:highlight w:val="none"/>
        </w:rPr>
      </w:pPr>
    </w:p>
    <w:p>
      <w:pPr>
        <w:pStyle w:val="47"/>
        <w:numPr>
          <w:ilvl w:val="1"/>
          <w:numId w:val="2"/>
        </w:numPr>
        <w:tabs>
          <w:tab w:val="left" w:pos="709"/>
          <w:tab w:val="left" w:pos="9498"/>
        </w:tabs>
        <w:spacing w:before="0" w:after="0" w:line="240" w:lineRule="exact"/>
        <w:ind w:left="709" w:right="-1" w:hanging="851"/>
        <w:jc w:val="both"/>
        <w:rPr>
          <w:rFonts w:cs="Arial"/>
          <w:color w:val="auto"/>
          <w:sz w:val="20"/>
          <w:szCs w:val="20"/>
          <w:highlight w:val="none"/>
        </w:rPr>
      </w:pPr>
      <w:r>
        <w:rPr>
          <w:rFonts w:cs="Arial"/>
          <w:color w:val="auto"/>
          <w:sz w:val="20"/>
          <w:szCs w:val="20"/>
          <w:highlight w:val="none"/>
        </w:rPr>
        <w:t>O custo de operacionalização e uso do sistema, ficará a cargo do licitante que pagará a Bolsa Brasileira de Mercadorias, provedora do sistema eletrônico, o equivalente aos custos pela utilização dos recursos de tecnologia da informação, consoante tabela fornecida/emitida pela entidade, nos termos do Artigo 7º, § 2 º da Instrução Normativa SEGES/ME 73/2022.</w:t>
      </w:r>
    </w:p>
    <w:p>
      <w:pPr>
        <w:pStyle w:val="47"/>
        <w:tabs>
          <w:tab w:val="left" w:pos="709"/>
          <w:tab w:val="left" w:pos="9498"/>
        </w:tabs>
        <w:spacing w:before="0" w:after="0" w:line="240" w:lineRule="exact"/>
        <w:ind w:left="709" w:right="-1"/>
        <w:jc w:val="both"/>
        <w:rPr>
          <w:rFonts w:cs="Arial"/>
          <w:color w:val="auto"/>
          <w:sz w:val="20"/>
          <w:szCs w:val="20"/>
          <w:highlight w:val="none"/>
        </w:rPr>
      </w:pPr>
    </w:p>
    <w:p>
      <w:pPr>
        <w:pStyle w:val="47"/>
        <w:numPr>
          <w:ilvl w:val="1"/>
          <w:numId w:val="2"/>
        </w:numPr>
        <w:tabs>
          <w:tab w:val="left" w:pos="709"/>
        </w:tabs>
        <w:spacing w:before="0" w:after="0" w:line="240" w:lineRule="exact"/>
        <w:ind w:left="709" w:right="-1" w:hanging="851"/>
        <w:jc w:val="both"/>
        <w:rPr>
          <w:rFonts w:cs="Arial"/>
          <w:b/>
          <w:color w:val="auto"/>
          <w:sz w:val="20"/>
          <w:szCs w:val="20"/>
          <w:highlight w:val="none"/>
        </w:rPr>
      </w:pPr>
      <w:r>
        <w:rPr>
          <w:rFonts w:cs="Arial"/>
          <w:b/>
          <w:color w:val="auto"/>
          <w:sz w:val="20"/>
          <w:szCs w:val="20"/>
          <w:highlight w:val="none"/>
        </w:rPr>
        <w:t>Não poderão participar nesta licitação as empresas:</w:t>
      </w:r>
    </w:p>
    <w:p>
      <w:pPr>
        <w:pStyle w:val="47"/>
        <w:tabs>
          <w:tab w:val="left" w:pos="142"/>
        </w:tabs>
        <w:spacing w:before="0" w:after="0" w:line="240" w:lineRule="exact"/>
        <w:ind w:left="709" w:right="-1"/>
        <w:jc w:val="both"/>
        <w:rPr>
          <w:rFonts w:cs="Arial"/>
          <w:color w:val="auto"/>
          <w:sz w:val="20"/>
          <w:szCs w:val="20"/>
          <w:highlight w:val="none"/>
        </w:rPr>
      </w:pPr>
    </w:p>
    <w:p>
      <w:pPr>
        <w:pStyle w:val="47"/>
        <w:numPr>
          <w:ilvl w:val="2"/>
          <w:numId w:val="2"/>
        </w:numPr>
        <w:tabs>
          <w:tab w:val="left" w:pos="-142"/>
          <w:tab w:val="left" w:pos="709"/>
        </w:tabs>
        <w:spacing w:before="0" w:after="0" w:line="240" w:lineRule="exact"/>
        <w:ind w:left="709" w:right="-1" w:hanging="851"/>
        <w:jc w:val="both"/>
        <w:rPr>
          <w:rFonts w:cs="Arial"/>
          <w:color w:val="auto"/>
          <w:sz w:val="20"/>
          <w:szCs w:val="20"/>
          <w:highlight w:val="none"/>
        </w:rPr>
      </w:pPr>
      <w:bookmarkStart w:id="3" w:name="_Ref114659912"/>
      <w:r>
        <w:rPr>
          <w:sz w:val="20"/>
          <w:szCs w:val="20"/>
          <w:highlight w:val="none"/>
        </w:rPr>
        <w:t>autor do anteprojeto, do projeto básico ou do projeto executivo, pessoa física ou jurídica, quando a licitação versar sobre serviços ou fornecimento de bens a ele relacionados;</w:t>
      </w:r>
      <w:bookmarkEnd w:id="3"/>
    </w:p>
    <w:p>
      <w:pPr>
        <w:pStyle w:val="47"/>
        <w:tabs>
          <w:tab w:val="left" w:pos="-142"/>
          <w:tab w:val="left" w:pos="709"/>
        </w:tabs>
        <w:spacing w:before="0" w:after="0" w:line="240" w:lineRule="exact"/>
        <w:ind w:left="709" w:right="-1"/>
        <w:jc w:val="both"/>
        <w:rPr>
          <w:rFonts w:cs="Arial"/>
          <w:color w:val="auto"/>
          <w:sz w:val="20"/>
          <w:szCs w:val="20"/>
          <w:highlight w:val="none"/>
        </w:rPr>
      </w:pPr>
    </w:p>
    <w:p>
      <w:pPr>
        <w:pStyle w:val="47"/>
        <w:numPr>
          <w:ilvl w:val="2"/>
          <w:numId w:val="2"/>
        </w:numPr>
        <w:tabs>
          <w:tab w:val="left" w:pos="-142"/>
          <w:tab w:val="left" w:pos="709"/>
        </w:tabs>
        <w:spacing w:before="0" w:after="0" w:line="240" w:lineRule="exact"/>
        <w:ind w:left="709" w:right="-1" w:hanging="851"/>
        <w:jc w:val="both"/>
        <w:rPr>
          <w:rFonts w:cs="Arial"/>
          <w:color w:val="auto"/>
          <w:sz w:val="20"/>
          <w:szCs w:val="20"/>
          <w:highlight w:val="none"/>
        </w:rPr>
      </w:pPr>
      <w:bookmarkStart w:id="4" w:name="_Ref114659913"/>
      <w:r>
        <w:rPr>
          <w:sz w:val="20"/>
          <w:szCs w:val="20"/>
          <w:highlight w:val="none"/>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p>
    <w:p>
      <w:pPr>
        <w:tabs>
          <w:tab w:val="left" w:pos="-142"/>
          <w:tab w:val="left" w:pos="709"/>
        </w:tabs>
        <w:spacing w:before="0" w:after="0" w:line="240" w:lineRule="exact"/>
        <w:ind w:left="-142" w:right="-1"/>
        <w:jc w:val="both"/>
        <w:rPr>
          <w:rFonts w:cs="Arial"/>
          <w:color w:val="auto"/>
          <w:sz w:val="20"/>
          <w:szCs w:val="20"/>
          <w:highlight w:val="none"/>
        </w:rPr>
      </w:pPr>
    </w:p>
    <w:p>
      <w:pPr>
        <w:pStyle w:val="47"/>
        <w:numPr>
          <w:ilvl w:val="2"/>
          <w:numId w:val="2"/>
        </w:numPr>
        <w:tabs>
          <w:tab w:val="left" w:pos="-142"/>
          <w:tab w:val="left" w:pos="709"/>
        </w:tabs>
        <w:spacing w:before="0" w:after="0" w:line="240" w:lineRule="exact"/>
        <w:ind w:left="709" w:right="-1" w:hanging="851"/>
        <w:jc w:val="both"/>
        <w:rPr>
          <w:rFonts w:cs="Arial"/>
          <w:color w:val="auto"/>
          <w:sz w:val="20"/>
          <w:szCs w:val="20"/>
          <w:highlight w:val="none"/>
        </w:rPr>
      </w:pPr>
      <w:bookmarkStart w:id="5" w:name="_Ref113883003"/>
      <w:r>
        <w:rPr>
          <w:sz w:val="20"/>
          <w:szCs w:val="20"/>
          <w:highlight w:val="none"/>
        </w:rPr>
        <w:t>pessoa física ou jurídica que se encontre, ao tempo da licitação, impossibilitada de participar da licitação em decorrência de sanção que lhe foi imposta;</w:t>
      </w:r>
      <w:bookmarkEnd w:id="5"/>
    </w:p>
    <w:p>
      <w:pPr>
        <w:pStyle w:val="47"/>
        <w:spacing w:before="0" w:after="0"/>
        <w:rPr>
          <w:rFonts w:cs="Arial"/>
          <w:color w:val="auto"/>
          <w:sz w:val="20"/>
          <w:szCs w:val="20"/>
          <w:highlight w:val="none"/>
        </w:rPr>
      </w:pPr>
    </w:p>
    <w:p>
      <w:pPr>
        <w:pStyle w:val="47"/>
        <w:numPr>
          <w:ilvl w:val="2"/>
          <w:numId w:val="2"/>
        </w:numPr>
        <w:tabs>
          <w:tab w:val="left" w:pos="-142"/>
          <w:tab w:val="left" w:pos="709"/>
        </w:tabs>
        <w:spacing w:before="0" w:after="0" w:line="240" w:lineRule="exact"/>
        <w:ind w:left="709" w:right="-1" w:hanging="851"/>
        <w:jc w:val="both"/>
        <w:rPr>
          <w:rFonts w:cs="Arial"/>
          <w:color w:val="auto"/>
          <w:sz w:val="20"/>
          <w:szCs w:val="20"/>
          <w:highlight w:val="none"/>
        </w:rPr>
      </w:pPr>
      <w:r>
        <w:rPr>
          <w:sz w:val="20"/>
          <w:szCs w:val="20"/>
          <w:highlight w:val="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47"/>
        <w:spacing w:before="0" w:after="0"/>
        <w:rPr>
          <w:rFonts w:cs="Arial"/>
          <w:color w:val="auto"/>
          <w:sz w:val="20"/>
          <w:szCs w:val="20"/>
          <w:highlight w:val="none"/>
        </w:rPr>
      </w:pPr>
    </w:p>
    <w:p>
      <w:pPr>
        <w:pStyle w:val="47"/>
        <w:numPr>
          <w:ilvl w:val="2"/>
          <w:numId w:val="2"/>
        </w:numPr>
        <w:tabs>
          <w:tab w:val="left" w:pos="-142"/>
          <w:tab w:val="left" w:pos="709"/>
        </w:tabs>
        <w:spacing w:before="0" w:after="0" w:line="240" w:lineRule="exact"/>
        <w:ind w:left="709" w:right="-1" w:hanging="851"/>
        <w:jc w:val="both"/>
        <w:rPr>
          <w:rFonts w:cs="Arial"/>
          <w:color w:val="auto"/>
          <w:sz w:val="20"/>
          <w:szCs w:val="20"/>
          <w:highlight w:val="none"/>
        </w:rPr>
      </w:pPr>
      <w:bookmarkStart w:id="6" w:name="_Ref113962336"/>
      <w:r>
        <w:rPr>
          <w:sz w:val="20"/>
          <w:szCs w:val="20"/>
          <w:highlight w:val="none"/>
        </w:rPr>
        <w:t>agente público do órgão ou entidade licitante;</w:t>
      </w:r>
      <w:bookmarkEnd w:id="6"/>
    </w:p>
    <w:p>
      <w:pPr>
        <w:pStyle w:val="47"/>
        <w:spacing w:before="0" w:after="0"/>
        <w:rPr>
          <w:rFonts w:cs="Arial"/>
          <w:color w:val="auto"/>
          <w:sz w:val="20"/>
          <w:szCs w:val="20"/>
          <w:highlight w:val="none"/>
        </w:rPr>
      </w:pPr>
    </w:p>
    <w:p>
      <w:pPr>
        <w:pStyle w:val="47"/>
        <w:numPr>
          <w:ilvl w:val="2"/>
          <w:numId w:val="2"/>
        </w:numPr>
        <w:tabs>
          <w:tab w:val="left" w:pos="-142"/>
          <w:tab w:val="left" w:pos="709"/>
        </w:tabs>
        <w:spacing w:before="0" w:after="0" w:line="240" w:lineRule="exact"/>
        <w:ind w:left="709" w:right="-1" w:hanging="851"/>
        <w:jc w:val="both"/>
        <w:rPr>
          <w:rFonts w:cs="Arial"/>
          <w:color w:val="auto"/>
          <w:sz w:val="20"/>
          <w:szCs w:val="20"/>
          <w:highlight w:val="none"/>
        </w:rPr>
      </w:pPr>
      <w:r>
        <w:rPr>
          <w:rFonts w:cs="Arial"/>
          <w:color w:val="000000"/>
          <w:sz w:val="20"/>
          <w:szCs w:val="20"/>
          <w:highlight w:val="none"/>
        </w:rPr>
        <w:t>Organizações da Sociedade Civil de Interesse Público - OSCIP, atuando nessa condição;</w:t>
      </w:r>
    </w:p>
    <w:p>
      <w:pPr>
        <w:tabs>
          <w:tab w:val="left" w:pos="-142"/>
          <w:tab w:val="left" w:pos="709"/>
        </w:tabs>
        <w:spacing w:before="0" w:after="0" w:line="240" w:lineRule="exact"/>
        <w:ind w:right="-1"/>
        <w:jc w:val="both"/>
        <w:rPr>
          <w:rFonts w:cs="Arial"/>
          <w:color w:val="auto"/>
          <w:sz w:val="20"/>
          <w:szCs w:val="20"/>
          <w:highlight w:val="none"/>
        </w:rPr>
      </w:pPr>
    </w:p>
    <w:p>
      <w:pPr>
        <w:pStyle w:val="47"/>
        <w:numPr>
          <w:ilvl w:val="1"/>
          <w:numId w:val="2"/>
        </w:numPr>
        <w:tabs>
          <w:tab w:val="left" w:pos="709"/>
        </w:tabs>
        <w:spacing w:before="0" w:after="0" w:line="240" w:lineRule="exact"/>
        <w:ind w:left="709" w:right="-1" w:hanging="851"/>
        <w:jc w:val="both"/>
        <w:rPr>
          <w:rFonts w:cs="Arial"/>
          <w:b/>
          <w:color w:val="auto"/>
          <w:sz w:val="20"/>
          <w:szCs w:val="20"/>
          <w:highlight w:val="none"/>
        </w:rPr>
      </w:pPr>
      <w:r>
        <w:rPr>
          <w:sz w:val="20"/>
          <w:szCs w:val="20"/>
          <w:highlight w:val="none"/>
        </w:rPr>
        <w:t xml:space="preserve">O impedimento de que trata o item </w:t>
      </w:r>
      <w:r>
        <w:rPr>
          <w:sz w:val="20"/>
          <w:szCs w:val="20"/>
          <w:highlight w:val="none"/>
        </w:rPr>
        <w:fldChar w:fldCharType="begin"/>
      </w:r>
      <w:r>
        <w:rPr>
          <w:sz w:val="20"/>
          <w:szCs w:val="20"/>
          <w:highlight w:val="none"/>
        </w:rPr>
        <w:instrText xml:space="preserve"> REF _Ref113883003 \r \h  \* MERGEFORMAT </w:instrText>
      </w:r>
      <w:r>
        <w:rPr>
          <w:sz w:val="20"/>
          <w:szCs w:val="20"/>
          <w:highlight w:val="none"/>
        </w:rPr>
        <w:fldChar w:fldCharType="separate"/>
      </w:r>
      <w:r>
        <w:rPr>
          <w:sz w:val="20"/>
          <w:szCs w:val="20"/>
          <w:highlight w:val="none"/>
        </w:rPr>
        <w:t>2.</w:t>
      </w:r>
      <w:r>
        <w:rPr>
          <w:rFonts w:hint="default"/>
          <w:sz w:val="20"/>
          <w:szCs w:val="20"/>
          <w:highlight w:val="none"/>
          <w:lang w:val="pt-BR"/>
        </w:rPr>
        <w:t>9</w:t>
      </w:r>
      <w:r>
        <w:rPr>
          <w:sz w:val="20"/>
          <w:szCs w:val="20"/>
          <w:highlight w:val="none"/>
        </w:rPr>
        <w:t>.3</w:t>
      </w:r>
      <w:r>
        <w:rPr>
          <w:sz w:val="20"/>
          <w:szCs w:val="20"/>
          <w:highlight w:val="none"/>
        </w:rPr>
        <w:fldChar w:fldCharType="end"/>
      </w:r>
      <w:r>
        <w:rPr>
          <w:sz w:val="20"/>
          <w:szCs w:val="20"/>
          <w:highlight w:val="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47"/>
        <w:tabs>
          <w:tab w:val="left" w:pos="709"/>
        </w:tabs>
        <w:spacing w:before="0" w:after="0" w:line="240" w:lineRule="exact"/>
        <w:ind w:left="709" w:right="-1"/>
        <w:jc w:val="both"/>
        <w:rPr>
          <w:rFonts w:cs="Arial"/>
          <w:b/>
          <w:color w:val="auto"/>
          <w:sz w:val="20"/>
          <w:szCs w:val="20"/>
          <w:highlight w:val="none"/>
        </w:rPr>
      </w:pPr>
    </w:p>
    <w:p>
      <w:pPr>
        <w:pStyle w:val="47"/>
        <w:numPr>
          <w:ilvl w:val="1"/>
          <w:numId w:val="2"/>
        </w:numPr>
        <w:tabs>
          <w:tab w:val="left" w:pos="709"/>
        </w:tabs>
        <w:spacing w:before="0" w:after="0" w:line="240" w:lineRule="exact"/>
        <w:ind w:left="709" w:right="-1" w:hanging="851"/>
        <w:jc w:val="both"/>
        <w:rPr>
          <w:rFonts w:cs="Arial"/>
          <w:b/>
          <w:color w:val="auto"/>
          <w:sz w:val="20"/>
          <w:szCs w:val="20"/>
          <w:highlight w:val="none"/>
        </w:rPr>
      </w:pPr>
      <w:r>
        <w:rPr>
          <w:sz w:val="20"/>
          <w:szCs w:val="20"/>
          <w:highlight w:val="none"/>
        </w:rPr>
        <w:t xml:space="preserve">A critério da Administração e exclusivamente a seu serviço, o autor dos projetos e a empresa a que se referem os itens </w:t>
      </w:r>
      <w:r>
        <w:rPr>
          <w:sz w:val="20"/>
          <w:szCs w:val="20"/>
          <w:highlight w:val="none"/>
        </w:rPr>
        <w:fldChar w:fldCharType="begin"/>
      </w:r>
      <w:r>
        <w:rPr>
          <w:sz w:val="20"/>
          <w:szCs w:val="20"/>
          <w:highlight w:val="none"/>
        </w:rPr>
        <w:instrText xml:space="preserve"> REF _Ref114659912 \r \h  \* MERGEFORMAT </w:instrText>
      </w:r>
      <w:r>
        <w:rPr>
          <w:sz w:val="20"/>
          <w:szCs w:val="20"/>
          <w:highlight w:val="none"/>
        </w:rPr>
        <w:fldChar w:fldCharType="separate"/>
      </w:r>
      <w:r>
        <w:rPr>
          <w:sz w:val="20"/>
          <w:szCs w:val="20"/>
          <w:highlight w:val="none"/>
        </w:rPr>
        <w:t>2.</w:t>
      </w:r>
      <w:r>
        <w:rPr>
          <w:rFonts w:hint="default"/>
          <w:sz w:val="20"/>
          <w:szCs w:val="20"/>
          <w:highlight w:val="none"/>
          <w:lang w:val="pt-BR"/>
        </w:rPr>
        <w:t>9</w:t>
      </w:r>
      <w:r>
        <w:rPr>
          <w:sz w:val="20"/>
          <w:szCs w:val="20"/>
          <w:highlight w:val="none"/>
        </w:rPr>
        <w:t>.1</w:t>
      </w:r>
      <w:r>
        <w:rPr>
          <w:sz w:val="20"/>
          <w:szCs w:val="20"/>
          <w:highlight w:val="none"/>
        </w:rPr>
        <w:fldChar w:fldCharType="end"/>
      </w:r>
      <w:r>
        <w:rPr>
          <w:sz w:val="20"/>
          <w:szCs w:val="20"/>
          <w:highlight w:val="none"/>
        </w:rPr>
        <w:t xml:space="preserve"> e </w:t>
      </w:r>
      <w:r>
        <w:rPr>
          <w:sz w:val="20"/>
          <w:szCs w:val="20"/>
          <w:highlight w:val="none"/>
        </w:rPr>
        <w:fldChar w:fldCharType="begin"/>
      </w:r>
      <w:r>
        <w:rPr>
          <w:sz w:val="20"/>
          <w:szCs w:val="20"/>
          <w:highlight w:val="none"/>
        </w:rPr>
        <w:instrText xml:space="preserve"> REF _Ref114659913 \r \h  \* MERGEFORMAT </w:instrText>
      </w:r>
      <w:r>
        <w:rPr>
          <w:sz w:val="20"/>
          <w:szCs w:val="20"/>
          <w:highlight w:val="none"/>
        </w:rPr>
        <w:fldChar w:fldCharType="separate"/>
      </w:r>
      <w:r>
        <w:rPr>
          <w:sz w:val="20"/>
          <w:szCs w:val="20"/>
          <w:highlight w:val="none"/>
        </w:rPr>
        <w:t>2.</w:t>
      </w:r>
      <w:r>
        <w:rPr>
          <w:rFonts w:hint="default"/>
          <w:sz w:val="20"/>
          <w:szCs w:val="20"/>
          <w:highlight w:val="none"/>
          <w:lang w:val="pt-BR"/>
        </w:rPr>
        <w:t>9</w:t>
      </w:r>
      <w:r>
        <w:rPr>
          <w:sz w:val="20"/>
          <w:szCs w:val="20"/>
          <w:highlight w:val="none"/>
        </w:rPr>
        <w:t>.2</w:t>
      </w:r>
      <w:r>
        <w:rPr>
          <w:sz w:val="20"/>
          <w:szCs w:val="20"/>
          <w:highlight w:val="none"/>
        </w:rPr>
        <w:fldChar w:fldCharType="end"/>
      </w:r>
      <w:r>
        <w:rPr>
          <w:sz w:val="20"/>
          <w:szCs w:val="20"/>
          <w:highlight w:val="none"/>
        </w:rPr>
        <w:t xml:space="preserve"> poderão participar no apoio das atividades de planejamento da contratação, de execução da licitação ou de gestão do contrato, desde que sob supervisão exclusiva de agentes públicos do órgão ou entidade.</w:t>
      </w:r>
    </w:p>
    <w:p>
      <w:pPr>
        <w:pStyle w:val="47"/>
        <w:spacing w:before="0" w:after="0"/>
        <w:rPr>
          <w:rFonts w:cs="Arial"/>
          <w:b/>
          <w:color w:val="auto"/>
          <w:sz w:val="20"/>
          <w:szCs w:val="20"/>
          <w:highlight w:val="none"/>
        </w:rPr>
      </w:pPr>
    </w:p>
    <w:p>
      <w:pPr>
        <w:pStyle w:val="47"/>
        <w:numPr>
          <w:ilvl w:val="1"/>
          <w:numId w:val="2"/>
        </w:numPr>
        <w:tabs>
          <w:tab w:val="left" w:pos="709"/>
        </w:tabs>
        <w:spacing w:before="0" w:after="0" w:line="240" w:lineRule="exact"/>
        <w:ind w:left="709" w:right="-1" w:hanging="851"/>
        <w:jc w:val="both"/>
        <w:rPr>
          <w:rFonts w:cs="Arial"/>
          <w:b/>
          <w:color w:val="auto"/>
          <w:sz w:val="20"/>
          <w:szCs w:val="20"/>
          <w:highlight w:val="none"/>
        </w:rPr>
      </w:pPr>
      <w:r>
        <w:rPr>
          <w:sz w:val="20"/>
          <w:szCs w:val="20"/>
          <w:highlight w:val="none"/>
        </w:rPr>
        <w:t>Equiparam-se aos autores do projeto as empresas integrantes do mesmo grupo econômico.</w:t>
      </w:r>
    </w:p>
    <w:p>
      <w:pPr>
        <w:pStyle w:val="47"/>
        <w:spacing w:before="0" w:after="0"/>
        <w:rPr>
          <w:rFonts w:cs="Arial"/>
          <w:b/>
          <w:color w:val="auto"/>
          <w:sz w:val="20"/>
          <w:szCs w:val="20"/>
          <w:highlight w:val="none"/>
        </w:rPr>
      </w:pPr>
    </w:p>
    <w:p>
      <w:pPr>
        <w:pStyle w:val="47"/>
        <w:numPr>
          <w:ilvl w:val="1"/>
          <w:numId w:val="2"/>
        </w:numPr>
        <w:tabs>
          <w:tab w:val="left" w:pos="709"/>
        </w:tabs>
        <w:spacing w:before="0" w:after="0" w:line="240" w:lineRule="exact"/>
        <w:ind w:left="709" w:right="-1" w:hanging="851"/>
        <w:jc w:val="both"/>
        <w:rPr>
          <w:rFonts w:cs="Arial"/>
          <w:b/>
          <w:color w:val="auto"/>
          <w:sz w:val="20"/>
          <w:szCs w:val="20"/>
          <w:highlight w:val="none"/>
        </w:rPr>
      </w:pPr>
      <w:r>
        <w:rPr>
          <w:sz w:val="20"/>
          <w:szCs w:val="20"/>
          <w:highlight w:val="none"/>
        </w:rPr>
        <w:t xml:space="preserve">O disposto nos itens </w:t>
      </w:r>
      <w:r>
        <w:rPr>
          <w:sz w:val="20"/>
          <w:szCs w:val="20"/>
          <w:highlight w:val="none"/>
        </w:rPr>
        <w:fldChar w:fldCharType="begin"/>
      </w:r>
      <w:r>
        <w:rPr>
          <w:sz w:val="20"/>
          <w:szCs w:val="20"/>
          <w:highlight w:val="none"/>
        </w:rPr>
        <w:instrText xml:space="preserve"> REF _Ref114659912 \r \h  \* MERGEFORMAT </w:instrText>
      </w:r>
      <w:r>
        <w:rPr>
          <w:sz w:val="20"/>
          <w:szCs w:val="20"/>
          <w:highlight w:val="none"/>
        </w:rPr>
        <w:fldChar w:fldCharType="separate"/>
      </w:r>
      <w:r>
        <w:rPr>
          <w:sz w:val="20"/>
          <w:szCs w:val="20"/>
          <w:highlight w:val="none"/>
        </w:rPr>
        <w:t>2.</w:t>
      </w:r>
      <w:r>
        <w:rPr>
          <w:rFonts w:hint="default"/>
          <w:sz w:val="20"/>
          <w:szCs w:val="20"/>
          <w:highlight w:val="none"/>
          <w:lang w:val="pt-BR"/>
        </w:rPr>
        <w:t>9</w:t>
      </w:r>
      <w:r>
        <w:rPr>
          <w:sz w:val="20"/>
          <w:szCs w:val="20"/>
          <w:highlight w:val="none"/>
        </w:rPr>
        <w:t>.1</w:t>
      </w:r>
      <w:r>
        <w:rPr>
          <w:sz w:val="20"/>
          <w:szCs w:val="20"/>
          <w:highlight w:val="none"/>
        </w:rPr>
        <w:fldChar w:fldCharType="end"/>
      </w:r>
      <w:r>
        <w:rPr>
          <w:sz w:val="20"/>
          <w:szCs w:val="20"/>
          <w:highlight w:val="none"/>
        </w:rPr>
        <w:t xml:space="preserve"> e </w:t>
      </w:r>
      <w:r>
        <w:rPr>
          <w:sz w:val="20"/>
          <w:szCs w:val="20"/>
          <w:highlight w:val="none"/>
        </w:rPr>
        <w:fldChar w:fldCharType="begin"/>
      </w:r>
      <w:r>
        <w:rPr>
          <w:sz w:val="20"/>
          <w:szCs w:val="20"/>
          <w:highlight w:val="none"/>
        </w:rPr>
        <w:instrText xml:space="preserve"> REF _Ref114659913 \r \h  \* MERGEFORMAT </w:instrText>
      </w:r>
      <w:r>
        <w:rPr>
          <w:sz w:val="20"/>
          <w:szCs w:val="20"/>
          <w:highlight w:val="none"/>
        </w:rPr>
        <w:fldChar w:fldCharType="separate"/>
      </w:r>
      <w:r>
        <w:rPr>
          <w:sz w:val="20"/>
          <w:szCs w:val="20"/>
          <w:highlight w:val="none"/>
        </w:rPr>
        <w:t>2.</w:t>
      </w:r>
      <w:r>
        <w:rPr>
          <w:rFonts w:hint="default"/>
          <w:sz w:val="20"/>
          <w:szCs w:val="20"/>
          <w:highlight w:val="none"/>
          <w:lang w:val="pt-BR"/>
        </w:rPr>
        <w:t>9</w:t>
      </w:r>
      <w:r>
        <w:rPr>
          <w:sz w:val="20"/>
          <w:szCs w:val="20"/>
          <w:highlight w:val="none"/>
        </w:rPr>
        <w:t>.2</w:t>
      </w:r>
      <w:r>
        <w:rPr>
          <w:sz w:val="20"/>
          <w:szCs w:val="20"/>
          <w:highlight w:val="none"/>
        </w:rPr>
        <w:fldChar w:fldCharType="end"/>
      </w:r>
      <w:r>
        <w:rPr>
          <w:sz w:val="20"/>
          <w:szCs w:val="20"/>
          <w:highlight w:val="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pPr>
        <w:pStyle w:val="47"/>
        <w:spacing w:before="0" w:after="0"/>
        <w:rPr>
          <w:rFonts w:cs="Arial"/>
          <w:color w:val="auto"/>
          <w:sz w:val="20"/>
          <w:szCs w:val="20"/>
          <w:highlight w:val="none"/>
        </w:rPr>
      </w:pPr>
    </w:p>
    <w:p>
      <w:pPr>
        <w:pStyle w:val="22"/>
        <w:rPr>
          <w:highlight w:val="none"/>
        </w:rPr>
      </w:pPr>
      <w:bookmarkStart w:id="7" w:name="_Toc25879"/>
      <w:r>
        <w:rPr>
          <w:highlight w:val="none"/>
        </w:rPr>
        <w:t>DO PROCEDIMENTO</w:t>
      </w:r>
      <w:bookmarkEnd w:id="7"/>
    </w:p>
    <w:p>
      <w:pPr>
        <w:spacing w:before="0" w:after="0"/>
        <w:ind w:right="-1"/>
        <w:rPr>
          <w:rFonts w:cs="Arial"/>
          <w:sz w:val="20"/>
          <w:szCs w:val="20"/>
          <w:highlight w:val="none"/>
        </w:rPr>
      </w:pPr>
    </w:p>
    <w:p>
      <w:pPr>
        <w:pStyle w:val="47"/>
        <w:numPr>
          <w:ilvl w:val="0"/>
          <w:numId w:val="2"/>
        </w:numPr>
        <w:spacing w:before="0" w:after="0"/>
        <w:ind w:left="-142" w:right="-1" w:firstLine="851"/>
        <w:jc w:val="both"/>
        <w:rPr>
          <w:rFonts w:cs="Arial"/>
          <w:vanish/>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O Pregão Eletrônico será realizado em sessão pública, por meio da INTERNET, mediante condições de segurança – criptografia e autenticação – em todas as suas fases através do Sistema de Pregão Eletrônico (licitações) da Bolsa Brasileira de Mercadorias.</w:t>
      </w:r>
    </w:p>
    <w:p>
      <w:pPr>
        <w:pStyle w:val="47"/>
        <w:tabs>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Os trabalhos serão conduzidos por funcionário da Secretaria Municipal da Administração, denominado “Pregoeiro”, com o suporte de sua Equipe de Apoio, os quais, juntamente com a autoridade competente do órgão promotor da licitação, formam o conjunto de operadores do sistema do Pregão Eletrônico.</w:t>
      </w:r>
    </w:p>
    <w:p>
      <w:pPr>
        <w:pStyle w:val="47"/>
        <w:tabs>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 xml:space="preserve">Os procedimentos para credenciamento e obtenção da chave e senha de acesso poderão ser iniciados diretamente no site de licitações no endereço eletrônico </w:t>
      </w:r>
      <w:r>
        <w:rPr>
          <w:rFonts w:hint="default"/>
          <w:sz w:val="20"/>
          <w:szCs w:val="20"/>
          <w:highlight w:val="none"/>
        </w:rPr>
        <w:fldChar w:fldCharType="begin"/>
      </w:r>
      <w:r>
        <w:rPr>
          <w:rFonts w:hint="default"/>
          <w:sz w:val="20"/>
          <w:szCs w:val="20"/>
          <w:highlight w:val="none"/>
        </w:rPr>
        <w:instrText xml:space="preserve"> HYPERLINK "https://novobbmnet.com.br/" </w:instrText>
      </w:r>
      <w:r>
        <w:rPr>
          <w:rFonts w:hint="default"/>
          <w:sz w:val="20"/>
          <w:szCs w:val="20"/>
          <w:highlight w:val="none"/>
        </w:rPr>
        <w:fldChar w:fldCharType="separate"/>
      </w:r>
      <w:r>
        <w:rPr>
          <w:rStyle w:val="16"/>
          <w:rFonts w:hint="default"/>
          <w:sz w:val="20"/>
          <w:szCs w:val="20"/>
          <w:highlight w:val="none"/>
        </w:rPr>
        <w:t>https://novobbmnet.com.br/</w:t>
      </w:r>
      <w:r>
        <w:rPr>
          <w:rFonts w:hint="default"/>
          <w:sz w:val="20"/>
          <w:szCs w:val="20"/>
          <w:highlight w:val="none"/>
        </w:rPr>
        <w:fldChar w:fldCharType="end"/>
      </w:r>
      <w:r>
        <w:rPr>
          <w:rFonts w:cs="Arial"/>
          <w:color w:val="auto"/>
          <w:sz w:val="20"/>
          <w:szCs w:val="20"/>
          <w:highlight w:val="none"/>
        </w:rPr>
        <w:t>, acesso “credenciamento – licitantes (fornecedores)”.</w:t>
      </w:r>
    </w:p>
    <w:p>
      <w:pPr>
        <w:pStyle w:val="47"/>
        <w:tabs>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 xml:space="preserve">As dúvidas e esclarecimentos sobre credenciamento no sistema eletrônico poderão ser dirimidas através da central de atendimento aos licitantes, por telefone, WhatsApp, Chat ou e-mail, disponíveis no endereço eletrônico </w:t>
      </w:r>
      <w:r>
        <w:rPr>
          <w:rFonts w:hint="default"/>
          <w:sz w:val="20"/>
          <w:szCs w:val="20"/>
          <w:highlight w:val="none"/>
        </w:rPr>
        <w:fldChar w:fldCharType="begin"/>
      </w:r>
      <w:r>
        <w:rPr>
          <w:rFonts w:hint="default"/>
          <w:sz w:val="20"/>
          <w:szCs w:val="20"/>
          <w:highlight w:val="none"/>
        </w:rPr>
        <w:instrText xml:space="preserve"> HYPERLINK "https://novobbmnet.com.br/" </w:instrText>
      </w:r>
      <w:r>
        <w:rPr>
          <w:rFonts w:hint="default"/>
          <w:sz w:val="20"/>
          <w:szCs w:val="20"/>
          <w:highlight w:val="none"/>
        </w:rPr>
        <w:fldChar w:fldCharType="separate"/>
      </w:r>
      <w:r>
        <w:rPr>
          <w:rStyle w:val="16"/>
          <w:rFonts w:hint="default"/>
          <w:sz w:val="20"/>
          <w:szCs w:val="20"/>
          <w:highlight w:val="none"/>
        </w:rPr>
        <w:t>https://novobbmnet.com.br/</w:t>
      </w:r>
      <w:r>
        <w:rPr>
          <w:rFonts w:hint="default"/>
          <w:sz w:val="20"/>
          <w:szCs w:val="20"/>
          <w:highlight w:val="none"/>
        </w:rPr>
        <w:fldChar w:fldCharType="end"/>
      </w:r>
      <w:r>
        <w:rPr>
          <w:rFonts w:cs="Arial"/>
          <w:color w:val="auto"/>
          <w:sz w:val="20"/>
          <w:szCs w:val="20"/>
          <w:highlight w:val="none"/>
        </w:rPr>
        <w:t>.</w:t>
      </w:r>
    </w:p>
    <w:p>
      <w:pPr>
        <w:pStyle w:val="47"/>
        <w:tabs>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 xml:space="preserve">Qualquer dúvida dos interessados em relação ao acesso no sistema BBMNET Licitações poderá ser esclarecida através dos canais de atendimento disponíveis da Bolsa Brasileira de Mercadorias no site </w:t>
      </w:r>
      <w:r>
        <w:rPr>
          <w:rFonts w:hint="default"/>
          <w:sz w:val="20"/>
          <w:szCs w:val="20"/>
          <w:highlight w:val="none"/>
        </w:rPr>
        <w:fldChar w:fldCharType="begin"/>
      </w:r>
      <w:r>
        <w:rPr>
          <w:rFonts w:hint="default"/>
          <w:sz w:val="20"/>
          <w:szCs w:val="20"/>
          <w:highlight w:val="none"/>
        </w:rPr>
        <w:instrText xml:space="preserve"> HYPERLINK "https://novobbmnet.com.br/" </w:instrText>
      </w:r>
      <w:r>
        <w:rPr>
          <w:rFonts w:hint="default"/>
          <w:sz w:val="20"/>
          <w:szCs w:val="20"/>
          <w:highlight w:val="none"/>
        </w:rPr>
        <w:fldChar w:fldCharType="separate"/>
      </w:r>
      <w:r>
        <w:rPr>
          <w:rStyle w:val="16"/>
          <w:rFonts w:hint="default"/>
          <w:sz w:val="20"/>
          <w:szCs w:val="20"/>
          <w:highlight w:val="none"/>
        </w:rPr>
        <w:t>https://novobbmnet.com.br/</w:t>
      </w:r>
      <w:r>
        <w:rPr>
          <w:rFonts w:hint="default"/>
          <w:sz w:val="20"/>
          <w:szCs w:val="20"/>
          <w:highlight w:val="none"/>
        </w:rPr>
        <w:fldChar w:fldCharType="end"/>
      </w:r>
      <w:r>
        <w:rPr>
          <w:rFonts w:cs="Arial"/>
          <w:color w:val="auto"/>
          <w:sz w:val="20"/>
          <w:szCs w:val="20"/>
          <w:highlight w:val="none"/>
        </w:rPr>
        <w:t>, de segunda a sexta-feira, das 8 às 18 horas (horário de Brasília).</w:t>
      </w:r>
    </w:p>
    <w:p>
      <w:pPr>
        <w:pStyle w:val="47"/>
        <w:tabs>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 xml:space="preserve">A participação no certame dar-se-á por meio da digitação da senha pessoal e intransferível do representante credenciado e subsequente encaminhamento da proposta de preços, por meio do sistema eletrônico no sítio </w:t>
      </w:r>
      <w:r>
        <w:rPr>
          <w:rFonts w:hint="default"/>
          <w:sz w:val="20"/>
          <w:szCs w:val="20"/>
          <w:highlight w:val="none"/>
        </w:rPr>
        <w:fldChar w:fldCharType="begin"/>
      </w:r>
      <w:r>
        <w:rPr>
          <w:rFonts w:hint="default"/>
          <w:sz w:val="20"/>
          <w:szCs w:val="20"/>
          <w:highlight w:val="none"/>
        </w:rPr>
        <w:instrText xml:space="preserve"> HYPERLINK "https://novobbmnet.com.br/" </w:instrText>
      </w:r>
      <w:r>
        <w:rPr>
          <w:rFonts w:hint="default"/>
          <w:sz w:val="20"/>
          <w:szCs w:val="20"/>
          <w:highlight w:val="none"/>
        </w:rPr>
        <w:fldChar w:fldCharType="separate"/>
      </w:r>
      <w:r>
        <w:rPr>
          <w:rStyle w:val="16"/>
          <w:rFonts w:hint="default"/>
          <w:sz w:val="20"/>
          <w:szCs w:val="20"/>
          <w:highlight w:val="none"/>
        </w:rPr>
        <w:t>https://novobbmnet.com.br/</w:t>
      </w:r>
      <w:r>
        <w:rPr>
          <w:rFonts w:hint="default"/>
          <w:sz w:val="20"/>
          <w:szCs w:val="20"/>
          <w:highlight w:val="none"/>
        </w:rPr>
        <w:fldChar w:fldCharType="end"/>
      </w:r>
      <w:r>
        <w:rPr>
          <w:rFonts w:cs="Arial"/>
          <w:color w:val="auto"/>
          <w:sz w:val="20"/>
          <w:szCs w:val="20"/>
          <w:highlight w:val="none"/>
        </w:rPr>
        <w:t>, opção “</w:t>
      </w:r>
      <w:r>
        <w:rPr>
          <w:rFonts w:hint="default" w:cs="Arial"/>
          <w:color w:val="auto"/>
          <w:sz w:val="20"/>
          <w:szCs w:val="20"/>
          <w:highlight w:val="none"/>
          <w:lang w:val="pt-BR"/>
        </w:rPr>
        <w:t>Entrar</w:t>
      </w:r>
      <w:r>
        <w:rPr>
          <w:rFonts w:cs="Arial"/>
          <w:color w:val="auto"/>
          <w:sz w:val="20"/>
          <w:szCs w:val="20"/>
          <w:highlight w:val="none"/>
        </w:rPr>
        <w:t>”</w:t>
      </w:r>
      <w:r>
        <w:rPr>
          <w:rFonts w:hint="default" w:cs="Arial"/>
          <w:color w:val="auto"/>
          <w:sz w:val="20"/>
          <w:szCs w:val="20"/>
          <w:highlight w:val="none"/>
          <w:lang w:val="pt-BR"/>
        </w:rPr>
        <w:t>,</w:t>
      </w:r>
      <w:r>
        <w:rPr>
          <w:rFonts w:cs="Arial"/>
          <w:color w:val="auto"/>
          <w:sz w:val="20"/>
          <w:szCs w:val="20"/>
          <w:highlight w:val="none"/>
        </w:rPr>
        <w:t xml:space="preserve"> opção </w:t>
      </w:r>
      <w:r>
        <w:rPr>
          <w:rFonts w:hint="default" w:cs="Arial"/>
          <w:color w:val="auto"/>
          <w:sz w:val="20"/>
          <w:szCs w:val="20"/>
          <w:highlight w:val="none"/>
          <w:lang w:val="pt-BR"/>
        </w:rPr>
        <w:t>“S</w:t>
      </w:r>
      <w:r>
        <w:rPr>
          <w:rFonts w:cs="Arial"/>
          <w:color w:val="auto"/>
          <w:sz w:val="20"/>
          <w:szCs w:val="20"/>
          <w:highlight w:val="none"/>
        </w:rPr>
        <w:t xml:space="preserve">ala de </w:t>
      </w:r>
      <w:r>
        <w:rPr>
          <w:rFonts w:hint="default" w:cs="Arial"/>
          <w:color w:val="auto"/>
          <w:sz w:val="20"/>
          <w:szCs w:val="20"/>
          <w:highlight w:val="none"/>
          <w:lang w:val="pt-BR"/>
        </w:rPr>
        <w:t>Disputa</w:t>
      </w:r>
      <w:r>
        <w:rPr>
          <w:rFonts w:cs="Arial"/>
          <w:color w:val="auto"/>
          <w:sz w:val="20"/>
          <w:szCs w:val="20"/>
          <w:highlight w:val="none"/>
        </w:rPr>
        <w:t>”.</w:t>
      </w:r>
    </w:p>
    <w:p>
      <w:pPr>
        <w:pStyle w:val="47"/>
        <w:tabs>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As propostas de preço deverão ser encaminhadas eletronicamente até data e horário definidos, conforme indicação no preâmbulo deste edital.</w:t>
      </w:r>
    </w:p>
    <w:p>
      <w:pPr>
        <w:pStyle w:val="47"/>
        <w:tabs>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Caberá ao fornecedor acompanhar as operações no sistema eletrônico durante a sessão pública do pregão, ficando responsável pelo ônus decorrente da perda de negócios diante da inobservância de quaisquer mensagens emitidas pelo sistema ou de sua desconexão.</w:t>
      </w:r>
    </w:p>
    <w:p>
      <w:pPr>
        <w:pStyle w:val="47"/>
        <w:tabs>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Caso haja desconexão com o Pregoeiro no decorrer da etapa competitiva do pregão, o sistema eletrônico poderá permanecer acessível aos licitantes para a recepção dos lances, retornando o Pregoeiro, quando possível, sua atuação no certame, sem prejuízo dos atos realizados.</w:t>
      </w:r>
    </w:p>
    <w:p>
      <w:pPr>
        <w:pStyle w:val="47"/>
        <w:tabs>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Quando a desconexão persistir por tempo superior a 10 (dez) minutos, a sessão do pregão será suspensa e terá reinício somente após reagendamento/comunicação expressa aos participantes via “chat” do sistema eletrônico, no qual será designado dia e hora para a continuidade da sessão.</w:t>
      </w:r>
    </w:p>
    <w:p>
      <w:pPr>
        <w:pStyle w:val="47"/>
        <w:tabs>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Caso exista a necessidade de ser suspenso o pregão, tendo em vista a quantidade de itens/lotes, o pregoeiro designará novo dia e horário para a continuidade do certame.</w:t>
      </w:r>
    </w:p>
    <w:p>
      <w:pPr>
        <w:tabs>
          <w:tab w:val="left" w:pos="709"/>
        </w:tabs>
        <w:spacing w:before="0" w:after="0"/>
        <w:ind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O andamento do procedimento de licitação entre a data de abertura das propostas e a adjudicação do objeto deve ser acompanhado pelos participantes por meio do portal “</w:t>
      </w:r>
      <w:r>
        <w:rPr>
          <w:rFonts w:hint="default"/>
          <w:sz w:val="20"/>
          <w:szCs w:val="20"/>
          <w:highlight w:val="none"/>
        </w:rPr>
        <w:fldChar w:fldCharType="begin"/>
      </w:r>
      <w:r>
        <w:rPr>
          <w:rFonts w:hint="default"/>
          <w:sz w:val="20"/>
          <w:szCs w:val="20"/>
          <w:highlight w:val="none"/>
        </w:rPr>
        <w:instrText xml:space="preserve"> HYPERLINK "https://novobbmnet.com.br/" </w:instrText>
      </w:r>
      <w:r>
        <w:rPr>
          <w:rFonts w:hint="default"/>
          <w:sz w:val="20"/>
          <w:szCs w:val="20"/>
          <w:highlight w:val="none"/>
        </w:rPr>
        <w:fldChar w:fldCharType="separate"/>
      </w:r>
      <w:r>
        <w:rPr>
          <w:rStyle w:val="16"/>
          <w:rFonts w:hint="default"/>
          <w:sz w:val="20"/>
          <w:szCs w:val="20"/>
          <w:highlight w:val="none"/>
        </w:rPr>
        <w:t>https://novobbmnet.com.br/</w:t>
      </w:r>
      <w:r>
        <w:rPr>
          <w:rFonts w:hint="default"/>
          <w:sz w:val="20"/>
          <w:szCs w:val="20"/>
          <w:highlight w:val="none"/>
        </w:rPr>
        <w:fldChar w:fldCharType="end"/>
      </w:r>
      <w:r>
        <w:rPr>
          <w:rFonts w:cs="Arial"/>
          <w:color w:val="auto"/>
          <w:sz w:val="20"/>
          <w:szCs w:val="20"/>
          <w:highlight w:val="none"/>
        </w:rPr>
        <w:t>”, que veiculará avisos, convocações, desclassificações de licitantes, justificativas e outras decisões referentes ao procedimento.</w:t>
      </w:r>
    </w:p>
    <w:p>
      <w:pPr>
        <w:pStyle w:val="47"/>
        <w:tabs>
          <w:tab w:val="left" w:pos="709"/>
        </w:tabs>
        <w:spacing w:before="0" w:after="0"/>
        <w:ind w:left="709" w:right="-1"/>
        <w:jc w:val="both"/>
        <w:rPr>
          <w:rFonts w:cs="Arial"/>
          <w:color w:val="auto"/>
          <w:sz w:val="20"/>
          <w:szCs w:val="20"/>
          <w:highlight w:val="none"/>
        </w:rPr>
      </w:pPr>
    </w:p>
    <w:p>
      <w:pPr>
        <w:pStyle w:val="22"/>
        <w:rPr>
          <w:highlight w:val="none"/>
        </w:rPr>
      </w:pPr>
      <w:bookmarkStart w:id="8" w:name="_Toc31787"/>
      <w:r>
        <w:rPr>
          <w:highlight w:val="none"/>
        </w:rPr>
        <w:t>DA PROPOSTA NO SISTEMA ELETRÔNICO</w:t>
      </w:r>
      <w:bookmarkEnd w:id="8"/>
    </w:p>
    <w:p>
      <w:pPr>
        <w:pStyle w:val="47"/>
        <w:numPr>
          <w:ilvl w:val="0"/>
          <w:numId w:val="2"/>
        </w:numPr>
        <w:tabs>
          <w:tab w:val="left" w:pos="709"/>
        </w:tabs>
        <w:spacing w:before="0" w:after="0"/>
        <w:ind w:right="-1"/>
        <w:jc w:val="both"/>
        <w:rPr>
          <w:rFonts w:cs="Arial"/>
          <w:vanish/>
          <w:color w:val="auto"/>
          <w:sz w:val="20"/>
          <w:szCs w:val="20"/>
          <w:highlight w:val="none"/>
        </w:rPr>
      </w:pPr>
    </w:p>
    <w:p>
      <w:pPr>
        <w:pStyle w:val="47"/>
        <w:tabs>
          <w:tab w:val="left" w:pos="0"/>
          <w:tab w:val="left" w:pos="142"/>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A partir do horário de encerramento de recebimento das propostas previsto no Edital e no sistema, o Pregoeiro avaliará sua aceitabilidade, observado os seguintes procedimentos:</w:t>
      </w:r>
    </w:p>
    <w:p>
      <w:pPr>
        <w:pStyle w:val="47"/>
        <w:tabs>
          <w:tab w:val="left" w:pos="709"/>
        </w:tabs>
        <w:spacing w:before="0" w:after="0"/>
        <w:ind w:left="709" w:right="-1"/>
        <w:jc w:val="both"/>
        <w:rPr>
          <w:rFonts w:cs="Arial"/>
          <w:color w:val="auto"/>
          <w:sz w:val="20"/>
          <w:szCs w:val="20"/>
          <w:highlight w:val="none"/>
        </w:rPr>
      </w:pPr>
    </w:p>
    <w:p>
      <w:pPr>
        <w:pStyle w:val="47"/>
        <w:numPr>
          <w:ilvl w:val="2"/>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Os preços deverão ser cotados em moeda corrente nacional, devendo o valor unitário proposto corresponder à unidade solicitada.</w:t>
      </w:r>
    </w:p>
    <w:p>
      <w:pPr>
        <w:pStyle w:val="47"/>
        <w:tabs>
          <w:tab w:val="left" w:pos="709"/>
        </w:tabs>
        <w:spacing w:before="0" w:after="0"/>
        <w:ind w:left="709" w:right="-1"/>
        <w:jc w:val="both"/>
        <w:rPr>
          <w:rFonts w:cs="Arial"/>
          <w:color w:val="auto"/>
          <w:sz w:val="20"/>
          <w:szCs w:val="20"/>
          <w:highlight w:val="none"/>
        </w:rPr>
      </w:pPr>
    </w:p>
    <w:p>
      <w:pPr>
        <w:pStyle w:val="47"/>
        <w:numPr>
          <w:ilvl w:val="2"/>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 xml:space="preserve">Para cadastramento da proposta no sítio do Pregão Eletrônico, o licitante deverá constar o </w:t>
      </w:r>
      <w:r>
        <w:rPr>
          <w:rFonts w:cs="Arial"/>
          <w:b/>
          <w:color w:val="auto"/>
          <w:sz w:val="20"/>
          <w:szCs w:val="20"/>
          <w:highlight w:val="none"/>
          <w:u w:val="single"/>
        </w:rPr>
        <w:t xml:space="preserve">VALOR UNITÁRIO </w:t>
      </w:r>
      <w:r>
        <w:rPr>
          <w:rFonts w:hint="default" w:cs="Arial"/>
          <w:b/>
          <w:color w:val="auto"/>
          <w:sz w:val="20"/>
          <w:szCs w:val="20"/>
          <w:highlight w:val="none"/>
          <w:u w:val="single"/>
          <w:lang w:val="pt-BR"/>
        </w:rPr>
        <w:t>DO ITEM</w:t>
      </w:r>
      <w:r>
        <w:rPr>
          <w:rFonts w:cs="Arial"/>
          <w:b/>
          <w:color w:val="auto"/>
          <w:sz w:val="20"/>
          <w:szCs w:val="20"/>
          <w:highlight w:val="none"/>
        </w:rPr>
        <w:t xml:space="preserve"> </w:t>
      </w:r>
      <w:r>
        <w:rPr>
          <w:rFonts w:cs="Arial"/>
          <w:color w:val="auto"/>
          <w:sz w:val="20"/>
          <w:szCs w:val="20"/>
          <w:highlight w:val="none"/>
        </w:rPr>
        <w:t>para início dos lances, em campo próprio, sem identificar-se, sob a pena de desclassificação da proposta.</w:t>
      </w:r>
    </w:p>
    <w:p>
      <w:pPr>
        <w:pStyle w:val="47"/>
        <w:tabs>
          <w:tab w:val="left" w:pos="0"/>
          <w:tab w:val="left" w:pos="142"/>
          <w:tab w:val="left" w:pos="709"/>
        </w:tabs>
        <w:spacing w:before="0" w:after="0"/>
        <w:ind w:left="709" w:right="-1"/>
        <w:jc w:val="both"/>
        <w:rPr>
          <w:rFonts w:cs="Arial"/>
          <w:color w:val="auto"/>
          <w:sz w:val="20"/>
          <w:szCs w:val="20"/>
          <w:highlight w:val="none"/>
        </w:rPr>
      </w:pPr>
    </w:p>
    <w:p>
      <w:pPr>
        <w:pStyle w:val="47"/>
        <w:numPr>
          <w:ilvl w:val="2"/>
          <w:numId w:val="2"/>
        </w:numPr>
        <w:tabs>
          <w:tab w:val="left" w:pos="0"/>
          <w:tab w:val="left" w:pos="142"/>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O valor total que porventura encerrar na disputa com mais de duas casas decimais, terão que ser ajustados para tal, não ultrapassando o valor final arrematado.</w:t>
      </w:r>
    </w:p>
    <w:p>
      <w:pPr>
        <w:pStyle w:val="47"/>
        <w:tabs>
          <w:tab w:val="left" w:pos="709"/>
        </w:tabs>
        <w:spacing w:before="0" w:after="0"/>
        <w:ind w:left="709" w:right="-1"/>
        <w:jc w:val="both"/>
        <w:rPr>
          <w:rFonts w:cs="Arial"/>
          <w:color w:val="auto"/>
          <w:sz w:val="20"/>
          <w:szCs w:val="20"/>
          <w:highlight w:val="none"/>
        </w:rPr>
      </w:pPr>
    </w:p>
    <w:p>
      <w:pPr>
        <w:pStyle w:val="47"/>
        <w:numPr>
          <w:ilvl w:val="2"/>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O prazo de validade da proposta é de, no mínimo, 60 (sessenta) dias, a contar da data de sua apresentação.</w:t>
      </w:r>
    </w:p>
    <w:p>
      <w:pPr>
        <w:pStyle w:val="47"/>
        <w:tabs>
          <w:tab w:val="left" w:pos="709"/>
        </w:tabs>
        <w:spacing w:before="0" w:after="0"/>
        <w:ind w:left="709" w:right="-1"/>
        <w:jc w:val="both"/>
        <w:rPr>
          <w:rFonts w:cs="Arial"/>
          <w:color w:val="auto"/>
          <w:sz w:val="20"/>
          <w:szCs w:val="20"/>
          <w:highlight w:val="none"/>
        </w:rPr>
      </w:pPr>
    </w:p>
    <w:p>
      <w:pPr>
        <w:pStyle w:val="47"/>
        <w:numPr>
          <w:ilvl w:val="2"/>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Os preços propostos serão considerados completos e abrangem todos os tributos (impostos, taxas, emolumentos, contribuições fiscais e parafiscais), frete e qualquer despesa, acessória e/ou necessária, não especificada neste Edital.</w:t>
      </w:r>
    </w:p>
    <w:p>
      <w:pPr>
        <w:pStyle w:val="47"/>
        <w:tabs>
          <w:tab w:val="left" w:pos="709"/>
        </w:tabs>
        <w:spacing w:before="0" w:after="0"/>
        <w:ind w:left="709" w:right="-1"/>
        <w:jc w:val="both"/>
        <w:rPr>
          <w:rFonts w:cs="Arial"/>
          <w:color w:val="auto"/>
          <w:sz w:val="20"/>
          <w:szCs w:val="20"/>
          <w:highlight w:val="none"/>
        </w:rPr>
      </w:pPr>
    </w:p>
    <w:p>
      <w:pPr>
        <w:pStyle w:val="47"/>
        <w:numPr>
          <w:ilvl w:val="2"/>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Serão desclassificadas as propostas que conflitem com as normas deste Edital ou da legislação em vigor e que:</w:t>
      </w:r>
    </w:p>
    <w:p>
      <w:pPr>
        <w:pStyle w:val="47"/>
        <w:numPr>
          <w:ilvl w:val="0"/>
          <w:numId w:val="0"/>
        </w:numPr>
        <w:tabs>
          <w:tab w:val="left" w:pos="709"/>
        </w:tabs>
        <w:spacing w:before="0" w:after="0"/>
        <w:ind w:left="-142" w:leftChars="0" w:right="-1" w:rightChars="0"/>
        <w:jc w:val="both"/>
        <w:rPr>
          <w:rFonts w:cs="Arial"/>
          <w:color w:val="auto"/>
          <w:sz w:val="20"/>
          <w:szCs w:val="20"/>
          <w:highlight w:val="none"/>
        </w:rPr>
      </w:pPr>
    </w:p>
    <w:p>
      <w:pPr>
        <w:pStyle w:val="47"/>
        <w:numPr>
          <w:ilvl w:val="3"/>
          <w:numId w:val="2"/>
        </w:numPr>
        <w:tabs>
          <w:tab w:val="left" w:pos="-142"/>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Estejam incompletas, isto é, não contenham informações suficientes que permitam a perfeita identificação do objeto licitado;</w:t>
      </w:r>
    </w:p>
    <w:p>
      <w:pPr>
        <w:pStyle w:val="47"/>
        <w:numPr>
          <w:ilvl w:val="0"/>
          <w:numId w:val="0"/>
        </w:numPr>
        <w:tabs>
          <w:tab w:val="left" w:pos="-142"/>
          <w:tab w:val="left" w:pos="709"/>
        </w:tabs>
        <w:spacing w:before="0" w:after="0"/>
        <w:ind w:left="-142" w:leftChars="0" w:right="-1" w:rightChars="0"/>
        <w:jc w:val="both"/>
        <w:rPr>
          <w:rFonts w:cs="Arial"/>
          <w:color w:val="auto"/>
          <w:sz w:val="20"/>
          <w:szCs w:val="20"/>
          <w:highlight w:val="none"/>
        </w:rPr>
      </w:pPr>
    </w:p>
    <w:p>
      <w:pPr>
        <w:pStyle w:val="47"/>
        <w:numPr>
          <w:ilvl w:val="3"/>
          <w:numId w:val="2"/>
        </w:numPr>
        <w:tabs>
          <w:tab w:val="left" w:pos="-142"/>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Contiverem qualquer limitação ou condição substancialmente contrastante com o presente Edital, ou manifestadamente inexequíveis, por decisão do Pregoeiro;</w:t>
      </w:r>
    </w:p>
    <w:p>
      <w:pPr>
        <w:pStyle w:val="47"/>
        <w:tabs>
          <w:tab w:val="left" w:pos="709"/>
        </w:tabs>
        <w:spacing w:before="0" w:after="0"/>
        <w:ind w:left="709" w:right="-1"/>
        <w:jc w:val="both"/>
        <w:rPr>
          <w:rFonts w:cs="Arial"/>
          <w:color w:val="auto"/>
          <w:sz w:val="20"/>
          <w:szCs w:val="20"/>
          <w:highlight w:val="none"/>
        </w:rPr>
      </w:pPr>
    </w:p>
    <w:p>
      <w:pPr>
        <w:pStyle w:val="47"/>
        <w:numPr>
          <w:ilvl w:val="2"/>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As propostas deverão obedecer às especificações deste instrumento convocatório e anexos, que dele fazem parte integrante.</w:t>
      </w:r>
    </w:p>
    <w:p>
      <w:pPr>
        <w:pStyle w:val="47"/>
        <w:tabs>
          <w:tab w:val="left" w:pos="709"/>
        </w:tabs>
        <w:spacing w:before="0" w:after="0"/>
        <w:ind w:left="709" w:right="-1"/>
        <w:jc w:val="both"/>
        <w:rPr>
          <w:rFonts w:cs="Arial"/>
          <w:color w:val="auto"/>
          <w:sz w:val="20"/>
          <w:szCs w:val="20"/>
          <w:highlight w:val="none"/>
        </w:rPr>
      </w:pPr>
    </w:p>
    <w:p>
      <w:pPr>
        <w:pStyle w:val="47"/>
        <w:numPr>
          <w:ilvl w:val="2"/>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O encaminhamento de proposta pressupõe o pleno conhecimento e atendimento às exigências de habilitação previstas no Edital.</w:t>
      </w:r>
    </w:p>
    <w:p>
      <w:pPr>
        <w:pStyle w:val="47"/>
        <w:tabs>
          <w:tab w:val="left" w:pos="709"/>
        </w:tabs>
        <w:spacing w:before="0" w:after="0"/>
        <w:ind w:left="709" w:right="-1"/>
        <w:jc w:val="both"/>
        <w:rPr>
          <w:rFonts w:cs="Arial"/>
          <w:color w:val="auto"/>
          <w:sz w:val="20"/>
          <w:szCs w:val="20"/>
          <w:highlight w:val="none"/>
        </w:rPr>
      </w:pPr>
    </w:p>
    <w:p>
      <w:pPr>
        <w:pStyle w:val="47"/>
        <w:numPr>
          <w:ilvl w:val="2"/>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Até a abertura das propostas, os licitantes poderão retirar ou substituir as propostas apresentadas.</w:t>
      </w:r>
    </w:p>
    <w:p>
      <w:pPr>
        <w:pStyle w:val="47"/>
        <w:tabs>
          <w:tab w:val="left" w:pos="709"/>
        </w:tabs>
        <w:spacing w:before="0" w:after="0"/>
        <w:ind w:left="0" w:leftChars="0" w:right="-1" w:firstLine="0" w:firstLineChars="0"/>
        <w:jc w:val="both"/>
        <w:rPr>
          <w:rFonts w:cs="Arial"/>
          <w:color w:val="FF0000"/>
          <w:sz w:val="20"/>
          <w:szCs w:val="20"/>
          <w:highlight w:val="none"/>
        </w:rPr>
      </w:pPr>
    </w:p>
    <w:p>
      <w:pPr>
        <w:pStyle w:val="22"/>
        <w:rPr>
          <w:highlight w:val="none"/>
        </w:rPr>
      </w:pPr>
      <w:bookmarkStart w:id="9" w:name="_Toc20551"/>
      <w:r>
        <w:rPr>
          <w:highlight w:val="none"/>
        </w:rPr>
        <w:t>DA ETAPA DE FORMULAÇÃO DOS LANCES</w:t>
      </w:r>
      <w:bookmarkEnd w:id="9"/>
    </w:p>
    <w:p>
      <w:pPr>
        <w:spacing w:before="0" w:after="0"/>
        <w:ind w:right="-1"/>
        <w:rPr>
          <w:rFonts w:cs="Arial"/>
          <w:sz w:val="20"/>
          <w:szCs w:val="20"/>
          <w:highlight w:val="none"/>
        </w:rPr>
      </w:pPr>
    </w:p>
    <w:p>
      <w:pPr>
        <w:pStyle w:val="47"/>
        <w:numPr>
          <w:ilvl w:val="0"/>
          <w:numId w:val="2"/>
        </w:numPr>
        <w:spacing w:before="0" w:after="0"/>
        <w:ind w:left="-142" w:right="-1" w:firstLine="851"/>
        <w:jc w:val="both"/>
        <w:rPr>
          <w:rFonts w:cs="Arial"/>
          <w:vanish/>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A partir do horário previsto no Edital para início da sessão pública do pregão eletrônico, será iniciada a etapa de lances.</w:t>
      </w:r>
    </w:p>
    <w:p>
      <w:pPr>
        <w:pStyle w:val="47"/>
        <w:tabs>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Aberta a etapa competitiva, os representantes dos fornecedores deverão estar conectados ao sistema para participar da sessão de lances. A cada lance ofertado o participante será imediatamente informado de seu recebimento e respectivo horário de registro e valor.</w:t>
      </w:r>
    </w:p>
    <w:p>
      <w:pPr>
        <w:pStyle w:val="47"/>
        <w:tabs>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O intervalo mínimo entre cada lance será de 0,5% (meio por cento), incidindo sobre o valor do menor lance ofertado.</w:t>
      </w:r>
    </w:p>
    <w:p>
      <w:pPr>
        <w:pStyle w:val="47"/>
        <w:tabs>
          <w:tab w:val="left" w:pos="709"/>
        </w:tabs>
        <w:spacing w:before="0" w:after="0"/>
        <w:ind w:left="0" w:leftChars="0" w:right="-1" w:firstLine="0" w:firstLineChars="0"/>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O fornecedor poderá encaminhar lance com valor superior ao menor lance registrado, desde que seja inferior ao seu último lance ofertado e diferente de qualquer lance válido para o item.</w:t>
      </w:r>
    </w:p>
    <w:p>
      <w:pPr>
        <w:pStyle w:val="47"/>
        <w:tabs>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Não serão aceitos dois ou mais lances de mesmo valor, prevalecendo aquele que for recebido e registrado em primeiro lugar.</w:t>
      </w:r>
    </w:p>
    <w:p>
      <w:pPr>
        <w:pStyle w:val="47"/>
        <w:tabs>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Fica a critério do pregoeiro a autorização da correção de lances com valores digitados errados ou situação semelhante, mesmo que antes do início da disputa de lances.</w:t>
      </w:r>
    </w:p>
    <w:p>
      <w:pPr>
        <w:pStyle w:val="47"/>
        <w:tabs>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Durante o transcurso da sessão pública os participantes serão informados, em tempo real, do valor do menor lance registrado.</w:t>
      </w:r>
    </w:p>
    <w:p>
      <w:pPr>
        <w:pStyle w:val="47"/>
        <w:numPr>
          <w:ilvl w:val="0"/>
          <w:numId w:val="0"/>
        </w:numPr>
        <w:tabs>
          <w:tab w:val="left" w:pos="709"/>
        </w:tabs>
        <w:spacing w:before="0" w:after="0"/>
        <w:ind w:left="-142" w:leftChars="0" w:right="-1" w:rightChars="0"/>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O sistema não identificará o autor dos lances aos demais participantes.</w:t>
      </w:r>
    </w:p>
    <w:p>
      <w:pPr>
        <w:pStyle w:val="47"/>
        <w:tabs>
          <w:tab w:val="left" w:pos="709"/>
        </w:tabs>
        <w:spacing w:before="0" w:after="0"/>
        <w:ind w:left="505"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A etapa de envio de lances na sessão pública durará dez minutos e, após isso, será</w:t>
      </w:r>
      <w:r>
        <w:rPr>
          <w:rFonts w:cs="Arial"/>
          <w:color w:val="auto"/>
          <w:sz w:val="20"/>
          <w:szCs w:val="20"/>
          <w:highlight w:val="none"/>
        </w:rPr>
        <w:br w:type="textWrapping"/>
      </w:r>
      <w:r>
        <w:rPr>
          <w:rFonts w:cs="Arial"/>
          <w:color w:val="auto"/>
          <w:sz w:val="20"/>
          <w:szCs w:val="20"/>
          <w:highlight w:val="none"/>
        </w:rPr>
        <w:t>prorrogada automaticamente pelo sistema quando houver lance ofertado nos últimos dois minutos</w:t>
      </w:r>
      <w:r>
        <w:rPr>
          <w:rFonts w:cs="Arial"/>
          <w:color w:val="auto"/>
          <w:sz w:val="20"/>
          <w:szCs w:val="20"/>
          <w:highlight w:val="none"/>
        </w:rPr>
        <w:br w:type="textWrapping"/>
      </w:r>
      <w:r>
        <w:rPr>
          <w:rFonts w:cs="Arial"/>
          <w:color w:val="auto"/>
          <w:sz w:val="20"/>
          <w:szCs w:val="20"/>
          <w:highlight w:val="none"/>
        </w:rPr>
        <w:t>do período de duração da sessão pública.</w:t>
      </w:r>
    </w:p>
    <w:p>
      <w:pPr>
        <w:pStyle w:val="47"/>
        <w:tabs>
          <w:tab w:val="left" w:pos="709"/>
        </w:tabs>
        <w:spacing w:before="0" w:after="0"/>
        <w:ind w:left="505"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b/>
          <w:color w:val="auto"/>
          <w:sz w:val="20"/>
          <w:szCs w:val="20"/>
          <w:highlight w:val="none"/>
        </w:rPr>
        <w:t>A etapa de lances da sessão pública será encerrada por prorrogação automática (disputa aberta)</w:t>
      </w:r>
      <w:r>
        <w:rPr>
          <w:rFonts w:cs="Arial"/>
          <w:color w:val="auto"/>
          <w:sz w:val="20"/>
          <w:szCs w:val="20"/>
          <w:highlight w:val="none"/>
        </w:rPr>
        <w:t>, ou seja, se um participante oferecer lances nos minutos finais (2'), o sistema prorrogará automaticamente o fechamento por mais alguns minutos (2’), informando o “Dou-lhe uma”. Se ninguém der outro lance, o sistema informa “Dou-lhe duas”, em seguida a negociação é fechada. Entretanto, se algum licitante der um lance após o “Dou-lhe uma” ou “Dou-lhe duas”, o sistema é novamente reiniciado, assim como sua contagem. A etapa de lance só é encerrada quando ninguém mais oferecer lances nos minutos finais.</w:t>
      </w:r>
    </w:p>
    <w:p>
      <w:pPr>
        <w:pStyle w:val="47"/>
        <w:tabs>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O sistema informará a proposta de menor preço (ou melhor proposta) imediatamente após o encerramento da etapa de lances ou, quando for o caso, após negociação e decisão pelo pregoeiro acerca da aceitação do lance de menor valor.</w:t>
      </w:r>
    </w:p>
    <w:p>
      <w:pPr>
        <w:pStyle w:val="47"/>
        <w:tabs>
          <w:tab w:val="left" w:pos="709"/>
        </w:tabs>
        <w:spacing w:before="0" w:after="0"/>
        <w:ind w:left="-142"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pPr>
        <w:autoSpaceDE w:val="0"/>
        <w:autoSpaceDN w:val="0"/>
        <w:adjustRightInd w:val="0"/>
        <w:spacing w:before="0" w:after="0"/>
        <w:rPr>
          <w:rFonts w:ascii="CIDFont+F5" w:hAnsi="CIDFont+F5" w:cs="CIDFont+F5"/>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Caso não sejam apresentados lances, será verificada a conformidade entre a proposta de menor preço e valor estimado para a contratação.</w:t>
      </w:r>
    </w:p>
    <w:p>
      <w:pPr>
        <w:pStyle w:val="47"/>
        <w:tabs>
          <w:tab w:val="left" w:pos="709"/>
        </w:tabs>
        <w:spacing w:before="0" w:after="0"/>
        <w:ind w:left="0" w:leftChars="0" w:right="-1" w:firstLine="0" w:firstLineChars="0"/>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Em atendimento ao disposto no Capítulo V da Lei Complementar Nº 123 de 14/12/2006 e alterações na Lei Nº 147 de 07/08/2014, serão observados os seguintes procedimentos:</w:t>
      </w:r>
    </w:p>
    <w:p>
      <w:pPr>
        <w:autoSpaceDE w:val="0"/>
        <w:autoSpaceDN w:val="0"/>
        <w:adjustRightInd w:val="0"/>
        <w:spacing w:before="0" w:after="0"/>
        <w:rPr>
          <w:rFonts w:ascii="CIDFont+F4" w:hAnsi="CIDFont+F4" w:cs="CIDFont+F4"/>
          <w:sz w:val="20"/>
          <w:szCs w:val="20"/>
          <w:highlight w:val="none"/>
        </w:rPr>
      </w:pPr>
    </w:p>
    <w:p>
      <w:pPr>
        <w:pStyle w:val="47"/>
        <w:numPr>
          <w:ilvl w:val="2"/>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Encerrada a fase de lances, se a proposta de menor lance não tiver sido ofertado por Microempresa, Empresa de Pequeno Porte ou Microempreendedor Individual e o sistema eletrônico identificar que houve proposta apresentada por Microempresa, Empresa de Pequeno Porte ou Microempreendedor Individual igual ou até 5% (cinco por cento) superior à proposta de menor lance, será procedido o seguinte:</w:t>
      </w:r>
    </w:p>
    <w:p>
      <w:pPr>
        <w:autoSpaceDE w:val="0"/>
        <w:autoSpaceDN w:val="0"/>
        <w:adjustRightInd w:val="0"/>
        <w:spacing w:before="0" w:after="0"/>
        <w:rPr>
          <w:rFonts w:ascii="CIDFont+F4" w:hAnsi="CIDFont+F4" w:cs="CIDFont+F4"/>
          <w:sz w:val="20"/>
          <w:szCs w:val="20"/>
          <w:highlight w:val="none"/>
        </w:rPr>
      </w:pPr>
    </w:p>
    <w:p>
      <w:pPr>
        <w:pStyle w:val="47"/>
        <w:numPr>
          <w:ilvl w:val="3"/>
          <w:numId w:val="2"/>
        </w:numPr>
        <w:tabs>
          <w:tab w:val="left" w:pos="-142"/>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A Microempresa, Empresa de Pequeno Porte ou Microempreendedor Individual mais bem classificada, será convocada pelo sistema eletrônico, via “chat” de comunicação do pregão eletrônico para, no prazo de 5 (cinco) minutos após a convocação, apresentar nova proposta.</w:t>
      </w:r>
    </w:p>
    <w:p>
      <w:pPr>
        <w:pStyle w:val="47"/>
        <w:numPr>
          <w:ilvl w:val="0"/>
          <w:numId w:val="0"/>
        </w:numPr>
        <w:tabs>
          <w:tab w:val="left" w:pos="-142"/>
          <w:tab w:val="left" w:pos="709"/>
        </w:tabs>
        <w:spacing w:before="0" w:after="0"/>
        <w:ind w:left="-142" w:leftChars="0" w:right="-1" w:rightChars="0"/>
        <w:jc w:val="both"/>
        <w:rPr>
          <w:rFonts w:cs="Arial"/>
          <w:color w:val="auto"/>
          <w:sz w:val="20"/>
          <w:szCs w:val="20"/>
          <w:highlight w:val="none"/>
        </w:rPr>
      </w:pPr>
    </w:p>
    <w:p>
      <w:pPr>
        <w:pStyle w:val="47"/>
        <w:numPr>
          <w:ilvl w:val="3"/>
          <w:numId w:val="2"/>
        </w:numPr>
        <w:tabs>
          <w:tab w:val="left" w:pos="-142"/>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No caso de empate de propostas apresentadas por Microempresas, Empresas de Pequeno Porte ou Microempreendedores Individuais que se enquadrem no limite estabelecido no subitem 5.14.1., o sistema realizará um sorteio eletrônico entre elas para que se identifique aquela que primeiro será convocada para apresentar melhor oferta, na forma do disposto na alínea “a”. Serão convocadas as remanescentes, quando houver, na ordem classificatória, para o exercício do mesmo direito.</w:t>
      </w:r>
    </w:p>
    <w:p>
      <w:pPr>
        <w:autoSpaceDE w:val="0"/>
        <w:autoSpaceDN w:val="0"/>
        <w:adjustRightInd w:val="0"/>
        <w:spacing w:before="0" w:after="0"/>
        <w:rPr>
          <w:rFonts w:ascii="CIDFont+F4" w:hAnsi="CIDFont+F4" w:cs="CIDFont+F4"/>
          <w:sz w:val="20"/>
          <w:szCs w:val="20"/>
          <w:highlight w:val="none"/>
        </w:rPr>
      </w:pPr>
    </w:p>
    <w:p>
      <w:pPr>
        <w:pStyle w:val="47"/>
        <w:numPr>
          <w:ilvl w:val="2"/>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Na hipótese da não contratação nos termos previstos no subitem 5.1</w:t>
      </w:r>
      <w:r>
        <w:rPr>
          <w:rFonts w:hint="default" w:cs="Arial"/>
          <w:color w:val="auto"/>
          <w:sz w:val="20"/>
          <w:szCs w:val="20"/>
          <w:highlight w:val="none"/>
          <w:lang w:val="pt-BR"/>
        </w:rPr>
        <w:t>4</w:t>
      </w:r>
      <w:r>
        <w:rPr>
          <w:rFonts w:cs="Arial"/>
          <w:color w:val="auto"/>
          <w:sz w:val="20"/>
          <w:szCs w:val="20"/>
          <w:highlight w:val="none"/>
        </w:rPr>
        <w:t>.1., o objeto licitado será adjudicado em favor da proposta originalmente vencedora do certame, desde que atenda aos requisitos de habilitação.</w:t>
      </w:r>
    </w:p>
    <w:p>
      <w:pPr>
        <w:pStyle w:val="47"/>
        <w:tabs>
          <w:tab w:val="left" w:pos="709"/>
        </w:tabs>
        <w:spacing w:before="0" w:after="0"/>
        <w:ind w:left="709" w:right="-1"/>
        <w:jc w:val="both"/>
        <w:rPr>
          <w:rFonts w:cs="Arial"/>
          <w:color w:val="auto"/>
          <w:sz w:val="10"/>
          <w:szCs w:val="1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Constatando o atendimento das exigências fixadas no Edital, o objeto será adjudicado ao autor da proposta ou lance de menor preço.</w:t>
      </w:r>
    </w:p>
    <w:p>
      <w:pPr>
        <w:autoSpaceDE w:val="0"/>
        <w:autoSpaceDN w:val="0"/>
        <w:adjustRightInd w:val="0"/>
        <w:spacing w:before="0" w:after="0"/>
        <w:rPr>
          <w:rFonts w:ascii="CIDFont+F4" w:hAnsi="CIDFont+F4" w:cs="CIDFont+F4"/>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Ocorrendo a situação a que se referem os subitens 5.1</w:t>
      </w:r>
      <w:r>
        <w:rPr>
          <w:rFonts w:hint="default" w:cs="Arial"/>
          <w:color w:val="auto"/>
          <w:sz w:val="20"/>
          <w:szCs w:val="20"/>
          <w:highlight w:val="none"/>
          <w:lang w:val="pt-BR"/>
        </w:rPr>
        <w:t>4</w:t>
      </w:r>
      <w:r>
        <w:rPr>
          <w:rFonts w:cs="Arial"/>
          <w:color w:val="auto"/>
          <w:sz w:val="20"/>
          <w:szCs w:val="20"/>
          <w:highlight w:val="none"/>
        </w:rPr>
        <w:t>. e 5.1</w:t>
      </w:r>
      <w:r>
        <w:rPr>
          <w:rFonts w:hint="default" w:cs="Arial"/>
          <w:color w:val="auto"/>
          <w:sz w:val="20"/>
          <w:szCs w:val="20"/>
          <w:highlight w:val="none"/>
          <w:lang w:val="pt-BR"/>
        </w:rPr>
        <w:t>4</w:t>
      </w:r>
      <w:r>
        <w:rPr>
          <w:rFonts w:cs="Arial"/>
          <w:color w:val="auto"/>
          <w:sz w:val="20"/>
          <w:szCs w:val="20"/>
          <w:highlight w:val="none"/>
        </w:rPr>
        <w:t>.2. deste Edital, o Pregoeiro poderá negociar com a licitante para que seja obtido melhor preço.</w:t>
      </w:r>
    </w:p>
    <w:p>
      <w:pPr>
        <w:pStyle w:val="47"/>
        <w:tabs>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Da sessão, o sistema gerará ata circunstanciada, na qual estarão registrados todos os atos do procedimento e as ocorrências relevantes.</w:t>
      </w:r>
    </w:p>
    <w:p>
      <w:pPr>
        <w:pStyle w:val="47"/>
        <w:tabs>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A licitante detentora da melhor oferta deverá apresentar planilha da proposta, com valor unitário e total, de acordo com o último lance, em algarismo e por extenso.</w:t>
      </w:r>
    </w:p>
    <w:p>
      <w:pPr>
        <w:pStyle w:val="47"/>
        <w:tabs>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O fornecedor será responsável por todas as transações que forem efetuadas em seu nome no sistema eletrônico, assumindo como firmes e verdadeiras suas propostas e lances.</w:t>
      </w:r>
    </w:p>
    <w:p>
      <w:pPr>
        <w:tabs>
          <w:tab w:val="left" w:pos="709"/>
        </w:tabs>
        <w:spacing w:before="0" w:after="0"/>
        <w:ind w:right="-1"/>
        <w:jc w:val="both"/>
        <w:rPr>
          <w:rFonts w:cs="Arial"/>
          <w:b/>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Considerando a disponibilidade do sistema de pregão eletrônico, poderá ser iniciada a disputa de lances de mais de um item/lote, simultaneamente, para agilidade na condução do processo, a critério do Pregoeiro.</w:t>
      </w:r>
    </w:p>
    <w:p>
      <w:pPr>
        <w:pStyle w:val="47"/>
        <w:tabs>
          <w:tab w:val="left" w:pos="709"/>
        </w:tabs>
        <w:spacing w:before="0" w:after="0"/>
        <w:ind w:left="709" w:right="-1"/>
        <w:jc w:val="both"/>
        <w:rPr>
          <w:rFonts w:cs="Arial"/>
          <w:color w:val="auto"/>
          <w:sz w:val="20"/>
          <w:szCs w:val="20"/>
          <w:highlight w:val="none"/>
        </w:rPr>
      </w:pPr>
    </w:p>
    <w:p>
      <w:pPr>
        <w:pStyle w:val="22"/>
        <w:rPr>
          <w:highlight w:val="none"/>
        </w:rPr>
      </w:pPr>
      <w:bookmarkStart w:id="10" w:name="_Toc4567"/>
      <w:r>
        <w:rPr>
          <w:highlight w:val="none"/>
        </w:rPr>
        <w:t>DO CRITÉRIO DE JULGAMENTO</w:t>
      </w:r>
      <w:bookmarkEnd w:id="10"/>
    </w:p>
    <w:p>
      <w:pPr>
        <w:tabs>
          <w:tab w:val="left" w:pos="709"/>
        </w:tabs>
        <w:spacing w:before="0" w:after="0"/>
        <w:ind w:right="-1"/>
        <w:jc w:val="both"/>
        <w:rPr>
          <w:rFonts w:cs="Arial"/>
          <w:color w:val="auto"/>
          <w:sz w:val="20"/>
          <w:szCs w:val="20"/>
          <w:highlight w:val="none"/>
        </w:rPr>
      </w:pPr>
    </w:p>
    <w:p>
      <w:pPr>
        <w:pStyle w:val="47"/>
        <w:numPr>
          <w:ilvl w:val="0"/>
          <w:numId w:val="2"/>
        </w:numPr>
        <w:tabs>
          <w:tab w:val="left" w:pos="709"/>
        </w:tabs>
        <w:spacing w:before="0" w:after="0"/>
        <w:ind w:right="-1"/>
        <w:jc w:val="both"/>
        <w:rPr>
          <w:rFonts w:cs="Arial"/>
          <w:vanish/>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 xml:space="preserve">Para julgamento, será adotado o critério de </w:t>
      </w:r>
      <w:r>
        <w:rPr>
          <w:rFonts w:cs="Arial"/>
          <w:b/>
          <w:color w:val="auto"/>
          <w:sz w:val="20"/>
          <w:szCs w:val="20"/>
          <w:highlight w:val="none"/>
        </w:rPr>
        <w:t xml:space="preserve">MENOR </w:t>
      </w:r>
      <w:r>
        <w:rPr>
          <w:rFonts w:hint="default" w:cs="Arial"/>
          <w:b/>
          <w:color w:val="auto"/>
          <w:sz w:val="20"/>
          <w:szCs w:val="20"/>
          <w:highlight w:val="none"/>
          <w:lang w:val="pt-BR"/>
        </w:rPr>
        <w:t>VALOR</w:t>
      </w:r>
      <w:r>
        <w:rPr>
          <w:rFonts w:cs="Arial"/>
          <w:b/>
          <w:color w:val="auto"/>
          <w:sz w:val="20"/>
          <w:szCs w:val="20"/>
          <w:highlight w:val="none"/>
        </w:rPr>
        <w:t xml:space="preserve"> UNITÁRIO DO ITEM</w:t>
      </w:r>
      <w:r>
        <w:rPr>
          <w:rFonts w:cs="Arial"/>
          <w:color w:val="auto"/>
          <w:sz w:val="20"/>
          <w:szCs w:val="20"/>
          <w:highlight w:val="none"/>
        </w:rPr>
        <w:t>, observado os prazos para fornecimento, as especificações técnicas, parâmetros mínimos de desempenho e qualidade e demais condições definidas neste Edital.</w:t>
      </w:r>
    </w:p>
    <w:p>
      <w:pPr>
        <w:pStyle w:val="47"/>
        <w:tabs>
          <w:tab w:val="left" w:pos="709"/>
        </w:tabs>
        <w:spacing w:before="0" w:after="0"/>
        <w:ind w:left="505" w:right="-1"/>
        <w:jc w:val="both"/>
        <w:rPr>
          <w:rFonts w:cs="Arial"/>
          <w:color w:val="auto"/>
          <w:sz w:val="20"/>
          <w:szCs w:val="20"/>
          <w:highlight w:val="none"/>
        </w:rPr>
      </w:pPr>
    </w:p>
    <w:p>
      <w:pPr>
        <w:pStyle w:val="47"/>
        <w:numPr>
          <w:ilvl w:val="2"/>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Constatado o atendimento das exigências previstas no Edital, o licitante será declarado vencedor, sendo adjudicado o objeto da licitação e homologado o procedimento pela autoridade competente.</w:t>
      </w:r>
    </w:p>
    <w:p>
      <w:pPr>
        <w:pStyle w:val="47"/>
        <w:tabs>
          <w:tab w:val="left" w:pos="709"/>
        </w:tabs>
        <w:spacing w:before="0" w:after="0"/>
        <w:ind w:left="709" w:right="-1"/>
        <w:jc w:val="both"/>
        <w:rPr>
          <w:rFonts w:cs="Arial"/>
          <w:color w:val="auto"/>
          <w:sz w:val="20"/>
          <w:szCs w:val="20"/>
          <w:highlight w:val="none"/>
          <w:u w:val="single"/>
        </w:rPr>
      </w:pPr>
    </w:p>
    <w:p>
      <w:pPr>
        <w:pStyle w:val="47"/>
        <w:numPr>
          <w:ilvl w:val="2"/>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Havendo recurso, o pregoeiro apreciará os mesmos e, caso não reconsidere sua posição, caberá à autoridade competente a decisão em grau final.</w:t>
      </w:r>
    </w:p>
    <w:p>
      <w:pPr>
        <w:pStyle w:val="47"/>
        <w:tabs>
          <w:tab w:val="left" w:pos="709"/>
        </w:tabs>
        <w:spacing w:before="0" w:after="0"/>
        <w:ind w:left="709" w:right="-1"/>
        <w:jc w:val="both"/>
        <w:rPr>
          <w:rFonts w:cs="Arial"/>
          <w:color w:val="auto"/>
          <w:sz w:val="20"/>
          <w:szCs w:val="20"/>
          <w:highlight w:val="none"/>
        </w:rPr>
      </w:pPr>
    </w:p>
    <w:p>
      <w:pPr>
        <w:pStyle w:val="47"/>
        <w:numPr>
          <w:ilvl w:val="2"/>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Após a habilitação, poderá a licitante ser inabilitada por motivo relacionado com a capacidade jurídica, regularidade fiscal, qualificação econômico-financeira, qualificação técnica e/ou inidoneidade, em razão de fatos supervenientes ou somente conhecidos após o julgamento.</w:t>
      </w:r>
    </w:p>
    <w:p>
      <w:pPr>
        <w:pStyle w:val="47"/>
        <w:tabs>
          <w:tab w:val="left" w:pos="709"/>
        </w:tabs>
        <w:spacing w:before="0" w:after="0"/>
        <w:ind w:left="709" w:right="-1"/>
        <w:jc w:val="both"/>
        <w:rPr>
          <w:rFonts w:cs="Arial"/>
          <w:color w:val="auto"/>
          <w:sz w:val="20"/>
          <w:szCs w:val="20"/>
          <w:highlight w:val="none"/>
        </w:rPr>
      </w:pPr>
    </w:p>
    <w:p>
      <w:pPr>
        <w:pStyle w:val="47"/>
        <w:numPr>
          <w:ilvl w:val="2"/>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 xml:space="preserve">Os documentos originais ou cópias autenticadas deverão ser encaminhados à </w:t>
      </w:r>
      <w:r>
        <w:rPr>
          <w:rFonts w:cs="Arial"/>
          <w:b/>
          <w:color w:val="auto"/>
          <w:sz w:val="20"/>
          <w:szCs w:val="20"/>
          <w:highlight w:val="none"/>
        </w:rPr>
        <w:t xml:space="preserve">Prefeitura Municipal de Itapeva, </w:t>
      </w:r>
      <w:r>
        <w:rPr>
          <w:rFonts w:cs="Arial"/>
          <w:color w:val="auto"/>
          <w:sz w:val="20"/>
          <w:szCs w:val="20"/>
          <w:highlight w:val="none"/>
        </w:rPr>
        <w:t>localizada na</w:t>
      </w:r>
      <w:r>
        <w:rPr>
          <w:rFonts w:cs="Arial"/>
          <w:b/>
          <w:color w:val="auto"/>
          <w:sz w:val="20"/>
          <w:szCs w:val="20"/>
          <w:highlight w:val="none"/>
        </w:rPr>
        <w:t xml:space="preserve"> Praça Duque de Caxias, nº 22, Centro,  Itapeva-SP, CEP 18400-900</w:t>
      </w:r>
      <w:r>
        <w:rPr>
          <w:rFonts w:cs="Arial"/>
          <w:color w:val="auto"/>
          <w:sz w:val="20"/>
          <w:szCs w:val="20"/>
          <w:highlight w:val="none"/>
        </w:rPr>
        <w:t>, aos cuidados do Departamento de Licitações, em até 3 (três) dias úteis, contados da solicitação do Pregoeiro.</w:t>
      </w:r>
    </w:p>
    <w:p>
      <w:pPr>
        <w:tabs>
          <w:tab w:val="left" w:pos="709"/>
        </w:tabs>
        <w:spacing w:before="0" w:after="0"/>
        <w:ind w:right="281"/>
        <w:jc w:val="both"/>
        <w:rPr>
          <w:rFonts w:cs="Arial"/>
          <w:color w:val="auto"/>
          <w:sz w:val="20"/>
          <w:szCs w:val="20"/>
          <w:highlight w:val="none"/>
        </w:rPr>
      </w:pPr>
      <w:r>
        <w:rPr>
          <w:rFonts w:cs="Arial"/>
          <w:color w:val="auto"/>
          <w:sz w:val="20"/>
          <w:szCs w:val="20"/>
          <w:highlight w:val="none"/>
        </w:rPr>
        <w:t xml:space="preserve"> </w:t>
      </w:r>
    </w:p>
    <w:p>
      <w:pPr>
        <w:pStyle w:val="47"/>
        <w:numPr>
          <w:ilvl w:val="3"/>
          <w:numId w:val="3"/>
        </w:numPr>
        <w:tabs>
          <w:tab w:val="left" w:pos="709"/>
        </w:tabs>
        <w:spacing w:before="0" w:after="0"/>
        <w:ind w:right="-1"/>
        <w:jc w:val="both"/>
        <w:rPr>
          <w:rFonts w:cs="Arial"/>
          <w:color w:val="auto"/>
          <w:sz w:val="20"/>
          <w:szCs w:val="20"/>
          <w:highlight w:val="none"/>
        </w:rPr>
      </w:pPr>
      <w:r>
        <w:rPr>
          <w:rFonts w:cs="Arial"/>
          <w:color w:val="auto"/>
          <w:sz w:val="20"/>
          <w:szCs w:val="20"/>
          <w:highlight w:val="none"/>
        </w:rPr>
        <w:t xml:space="preserve">Estarão dispensadas de encaminhamento nos moldes do item </w:t>
      </w:r>
      <w:r>
        <w:rPr>
          <w:rFonts w:hint="default" w:cs="Arial"/>
          <w:color w:val="auto"/>
          <w:sz w:val="20"/>
          <w:szCs w:val="20"/>
          <w:highlight w:val="none"/>
          <w:lang w:val="pt-BR"/>
        </w:rPr>
        <w:t>6.1.4</w:t>
      </w:r>
      <w:r>
        <w:rPr>
          <w:rFonts w:cs="Arial"/>
          <w:color w:val="auto"/>
          <w:sz w:val="20"/>
          <w:szCs w:val="20"/>
          <w:highlight w:val="none"/>
        </w:rPr>
        <w:t xml:space="preserve"> a documentação passível de verificação de autenticidade por meio eletrônico e declarações assinadas digitalmente.</w:t>
      </w:r>
    </w:p>
    <w:p>
      <w:pPr>
        <w:pStyle w:val="47"/>
        <w:tabs>
          <w:tab w:val="left" w:pos="709"/>
        </w:tabs>
        <w:spacing w:before="0" w:after="0"/>
        <w:ind w:left="720" w:right="-1"/>
        <w:jc w:val="both"/>
        <w:rPr>
          <w:rFonts w:cs="Arial"/>
          <w:color w:val="auto"/>
          <w:sz w:val="20"/>
          <w:szCs w:val="20"/>
          <w:highlight w:val="none"/>
        </w:rPr>
      </w:pPr>
    </w:p>
    <w:p>
      <w:pPr>
        <w:pStyle w:val="47"/>
        <w:numPr>
          <w:ilvl w:val="3"/>
          <w:numId w:val="3"/>
        </w:numPr>
        <w:tabs>
          <w:tab w:val="left" w:pos="709"/>
        </w:tabs>
        <w:spacing w:before="0" w:after="0"/>
        <w:ind w:right="-1"/>
        <w:jc w:val="both"/>
        <w:rPr>
          <w:rFonts w:cs="Arial"/>
          <w:color w:val="auto"/>
          <w:sz w:val="20"/>
          <w:szCs w:val="20"/>
          <w:highlight w:val="none"/>
        </w:rPr>
      </w:pPr>
      <w:r>
        <w:rPr>
          <w:rFonts w:cs="Arial"/>
          <w:sz w:val="20"/>
          <w:szCs w:val="20"/>
          <w:highlight w:val="none"/>
        </w:rPr>
        <w:t xml:space="preserve">Caso a entrega seja feita pelos Correios, </w:t>
      </w:r>
      <w:r>
        <w:rPr>
          <w:rFonts w:hint="default" w:cs="Arial"/>
          <w:sz w:val="20"/>
          <w:szCs w:val="20"/>
          <w:highlight w:val="none"/>
          <w:lang w:val="pt-BR"/>
        </w:rPr>
        <w:t xml:space="preserve">fica a licitante obrigada a informar, </w:t>
      </w:r>
      <w:r>
        <w:rPr>
          <w:rFonts w:cs="Arial"/>
          <w:sz w:val="20"/>
          <w:szCs w:val="20"/>
          <w:highlight w:val="none"/>
        </w:rPr>
        <w:t xml:space="preserve">via e-mail </w:t>
      </w:r>
      <w:r>
        <w:rPr>
          <w:highlight w:val="none"/>
        </w:rPr>
        <w:fldChar w:fldCharType="begin"/>
      </w:r>
      <w:r>
        <w:rPr>
          <w:highlight w:val="none"/>
        </w:rPr>
        <w:instrText xml:space="preserve"> HYPERLINK "mailto:pregao@itapeva.sp.gov.br" </w:instrText>
      </w:r>
      <w:r>
        <w:rPr>
          <w:highlight w:val="none"/>
        </w:rPr>
        <w:fldChar w:fldCharType="separate"/>
      </w:r>
      <w:r>
        <w:rPr>
          <w:rStyle w:val="16"/>
          <w:rFonts w:cs="Arial"/>
          <w:sz w:val="20"/>
          <w:szCs w:val="20"/>
          <w:highlight w:val="none"/>
        </w:rPr>
        <w:t>pregao@itapeva.sp.gov.br</w:t>
      </w:r>
      <w:r>
        <w:rPr>
          <w:rStyle w:val="16"/>
          <w:rFonts w:cs="Arial"/>
          <w:sz w:val="20"/>
          <w:szCs w:val="20"/>
          <w:highlight w:val="none"/>
        </w:rPr>
        <w:fldChar w:fldCharType="end"/>
      </w:r>
      <w:r>
        <w:rPr>
          <w:rFonts w:cs="Arial"/>
          <w:sz w:val="20"/>
          <w:szCs w:val="20"/>
          <w:highlight w:val="none"/>
        </w:rPr>
        <w:t xml:space="preserve"> </w:t>
      </w:r>
      <w:r>
        <w:rPr>
          <w:rFonts w:hint="default" w:cs="Arial"/>
          <w:sz w:val="20"/>
          <w:szCs w:val="20"/>
          <w:highlight w:val="none"/>
          <w:lang w:val="pt-BR"/>
        </w:rPr>
        <w:t xml:space="preserve">, </w:t>
      </w:r>
      <w:r>
        <w:rPr>
          <w:rFonts w:cs="Arial"/>
          <w:sz w:val="20"/>
          <w:szCs w:val="20"/>
          <w:highlight w:val="none"/>
        </w:rPr>
        <w:t>o código de rastreio, dentro do prazo estabelecido</w:t>
      </w:r>
      <w:r>
        <w:rPr>
          <w:rFonts w:hint="default" w:cs="Arial"/>
          <w:sz w:val="20"/>
          <w:szCs w:val="20"/>
          <w:highlight w:val="none"/>
          <w:lang w:val="pt-BR"/>
        </w:rPr>
        <w:t xml:space="preserve"> </w:t>
      </w:r>
      <w:r>
        <w:rPr>
          <w:rFonts w:cs="Arial"/>
          <w:sz w:val="20"/>
          <w:szCs w:val="20"/>
          <w:highlight w:val="none"/>
        </w:rPr>
        <w:t>no item 6.1.4 .</w:t>
      </w:r>
    </w:p>
    <w:p>
      <w:pPr>
        <w:tabs>
          <w:tab w:val="left" w:pos="709"/>
        </w:tabs>
        <w:spacing w:before="0" w:after="0"/>
        <w:ind w:right="281"/>
        <w:jc w:val="both"/>
        <w:rPr>
          <w:rFonts w:cs="Arial"/>
          <w:color w:val="auto"/>
          <w:sz w:val="20"/>
          <w:szCs w:val="20"/>
          <w:highlight w:val="none"/>
        </w:rPr>
      </w:pPr>
    </w:p>
    <w:p>
      <w:pPr>
        <w:tabs>
          <w:tab w:val="left" w:pos="709"/>
        </w:tabs>
        <w:spacing w:before="0" w:after="0"/>
        <w:ind w:right="281"/>
        <w:jc w:val="both"/>
        <w:rPr>
          <w:rFonts w:cs="Arial"/>
          <w:color w:val="auto"/>
          <w:sz w:val="20"/>
          <w:szCs w:val="20"/>
          <w:highlight w:val="none"/>
        </w:rPr>
      </w:pPr>
    </w:p>
    <w:p>
      <w:pPr>
        <w:tabs>
          <w:tab w:val="left" w:pos="709"/>
        </w:tabs>
        <w:spacing w:before="0" w:after="0"/>
        <w:ind w:right="281"/>
        <w:jc w:val="both"/>
        <w:rPr>
          <w:rFonts w:cs="Arial"/>
          <w:color w:val="auto"/>
          <w:sz w:val="20"/>
          <w:szCs w:val="20"/>
          <w:highlight w:val="none"/>
        </w:rPr>
      </w:pPr>
    </w:p>
    <w:p>
      <w:pPr>
        <w:tabs>
          <w:tab w:val="left" w:pos="709"/>
        </w:tabs>
        <w:spacing w:before="0" w:after="0"/>
        <w:ind w:right="281"/>
        <w:jc w:val="both"/>
        <w:rPr>
          <w:rFonts w:cs="Arial"/>
          <w:color w:val="auto"/>
          <w:sz w:val="20"/>
          <w:szCs w:val="20"/>
          <w:highlight w:val="none"/>
        </w:rPr>
      </w:pPr>
    </w:p>
    <w:p>
      <w:pPr>
        <w:pStyle w:val="22"/>
        <w:rPr>
          <w:highlight w:val="none"/>
        </w:rPr>
      </w:pPr>
      <w:bookmarkStart w:id="11" w:name="_Toc13743"/>
      <w:r>
        <w:rPr>
          <w:highlight w:val="none"/>
        </w:rPr>
        <w:t>DA APRESENTAÇÃO DOS DOCUMENTOS DE HABILITAÇÃO</w:t>
      </w:r>
      <w:bookmarkEnd w:id="11"/>
    </w:p>
    <w:p>
      <w:pPr>
        <w:tabs>
          <w:tab w:val="left" w:pos="709"/>
        </w:tabs>
        <w:spacing w:before="0" w:after="0"/>
        <w:ind w:right="281"/>
        <w:jc w:val="both"/>
        <w:rPr>
          <w:rFonts w:cs="Arial"/>
          <w:color w:val="auto"/>
          <w:sz w:val="20"/>
          <w:szCs w:val="20"/>
          <w:highlight w:val="none"/>
        </w:rPr>
      </w:pPr>
    </w:p>
    <w:p>
      <w:pPr>
        <w:pStyle w:val="47"/>
        <w:numPr>
          <w:ilvl w:val="0"/>
          <w:numId w:val="2"/>
        </w:numPr>
        <w:tabs>
          <w:tab w:val="left" w:pos="709"/>
        </w:tabs>
        <w:spacing w:before="0" w:after="0"/>
        <w:ind w:right="-1"/>
        <w:jc w:val="both"/>
        <w:rPr>
          <w:rFonts w:cs="Arial"/>
          <w:vanish/>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Os licitantes deverão encaminhar, exclusivamente por meio do sistema (</w:t>
      </w:r>
      <w:r>
        <w:rPr>
          <w:rFonts w:hint="default"/>
          <w:sz w:val="20"/>
          <w:szCs w:val="20"/>
          <w:highlight w:val="none"/>
        </w:rPr>
        <w:fldChar w:fldCharType="begin"/>
      </w:r>
      <w:r>
        <w:rPr>
          <w:rFonts w:hint="default"/>
          <w:sz w:val="20"/>
          <w:szCs w:val="20"/>
          <w:highlight w:val="none"/>
        </w:rPr>
        <w:instrText xml:space="preserve"> HYPERLINK "https://novobbmnet.com.br/" </w:instrText>
      </w:r>
      <w:r>
        <w:rPr>
          <w:rFonts w:hint="default"/>
          <w:sz w:val="20"/>
          <w:szCs w:val="20"/>
          <w:highlight w:val="none"/>
        </w:rPr>
        <w:fldChar w:fldCharType="separate"/>
      </w:r>
      <w:r>
        <w:rPr>
          <w:rStyle w:val="16"/>
          <w:rFonts w:hint="default"/>
          <w:sz w:val="20"/>
          <w:szCs w:val="20"/>
          <w:highlight w:val="none"/>
        </w:rPr>
        <w:t>https://novobbmnet.com.br/</w:t>
      </w:r>
      <w:r>
        <w:rPr>
          <w:rFonts w:hint="default"/>
          <w:sz w:val="20"/>
          <w:szCs w:val="20"/>
          <w:highlight w:val="none"/>
        </w:rPr>
        <w:fldChar w:fldCharType="end"/>
      </w:r>
      <w:r>
        <w:rPr>
          <w:rFonts w:cs="Arial"/>
          <w:color w:val="auto"/>
          <w:sz w:val="20"/>
          <w:szCs w:val="20"/>
          <w:highlight w:val="none"/>
        </w:rPr>
        <w:t xml:space="preserve">), concomitantemente com a proposta, os documentos de habilitação em conformidade com o item 8 deste Edital, até a data e o horário estabelecidos no preâmbulo. </w:t>
      </w:r>
    </w:p>
    <w:p>
      <w:pPr>
        <w:pStyle w:val="47"/>
        <w:tabs>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 xml:space="preserve">Os licitantes poderão retirar ou substituir os documentos de habilitação anteriormente inseridos no sistema, até a data de abertura das propostas estipulada no preâmbulo deste Edital. </w:t>
      </w:r>
    </w:p>
    <w:p>
      <w:pPr>
        <w:pStyle w:val="47"/>
        <w:tabs>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Os documentos que compõem a habilitação do licitante MELHOR CLASSIFICADO serão disponibilizados aos interessados imediatamente após o encerramento da Sessão de Lances.</w:t>
      </w:r>
    </w:p>
    <w:p>
      <w:pPr>
        <w:pStyle w:val="47"/>
        <w:tabs>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O não cumprimento das condições de habilitação, dentro dos prazos estabelecidos, acarretará na inabilitação da licitante, bem como as sanções previstas neste Edital, podendo o Pregoeiro convocar a licitante remanescente.</w:t>
      </w:r>
    </w:p>
    <w:p>
      <w:pPr>
        <w:pStyle w:val="47"/>
        <w:tabs>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Verificado a conformidade dos documentos apresentados o licitante será declarado VENCEDOR.</w:t>
      </w:r>
    </w:p>
    <w:p>
      <w:pPr>
        <w:pStyle w:val="47"/>
        <w:tabs>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A empresa participante e seu representante legal são responsáveis pela autenticidade e veracidade dos documentos enviados eletronicamente.</w:t>
      </w:r>
    </w:p>
    <w:p>
      <w:pPr>
        <w:pStyle w:val="47"/>
        <w:tabs>
          <w:tab w:val="left" w:pos="-142"/>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Os documentos apresentados deverão ser, obrigatoriamente da mesma sede, ou seja, se da matriz, todos da matriz, se de alguma filial, todos da mesma filial, com exceção dos documentos  que são válidos para a matriz e todas as filiais.</w:t>
      </w:r>
    </w:p>
    <w:p>
      <w:pPr>
        <w:pStyle w:val="47"/>
        <w:tabs>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Na hipótese de não constar prazo de validade nas certidões apresentadas, esta Prefeitura aceitará como válidas as expedidas até 180 (cento e oitenta) dias imediatamente anteriores à data de apresentação das propostas.</w:t>
      </w:r>
    </w:p>
    <w:p>
      <w:pPr>
        <w:pStyle w:val="47"/>
        <w:tabs>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Os documentos emitidos via INTERNET, serão considerados como originais e poderão ter sua autenticidade aferida pelo Pregoeiro ou Equipe de Apoio, através dos endereços eletrônicos dos órgãos emissores.</w:t>
      </w:r>
    </w:p>
    <w:p>
      <w:pPr>
        <w:pStyle w:val="47"/>
        <w:spacing w:before="0" w:after="0"/>
        <w:rPr>
          <w:rFonts w:cs="Arial"/>
          <w:color w:val="auto"/>
          <w:sz w:val="20"/>
          <w:szCs w:val="20"/>
          <w:highlight w:val="none"/>
        </w:rPr>
      </w:pPr>
    </w:p>
    <w:p>
      <w:pPr>
        <w:pStyle w:val="47"/>
        <w:numPr>
          <w:ilvl w:val="2"/>
          <w:numId w:val="2"/>
        </w:numPr>
        <w:tabs>
          <w:tab w:val="left" w:pos="-142"/>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Para efeito de regularidade, constatando-se divergência entre o documento apresentado e o disponível no endereço eletrônico do órgão emissor, prevalecerá o constante deste último, ainda que emitido posteriormente ao primeiro.</w:t>
      </w:r>
    </w:p>
    <w:p>
      <w:pPr>
        <w:pStyle w:val="47"/>
        <w:spacing w:before="0" w:after="0"/>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Não será aceito nenhuma forma de protocolo de documentação em substituição aos documentos de habilitação solicitados no presente edital e seus anexos.</w:t>
      </w:r>
    </w:p>
    <w:p>
      <w:pPr>
        <w:pStyle w:val="47"/>
        <w:tabs>
          <w:tab w:val="left" w:pos="-142"/>
          <w:tab w:val="left" w:pos="709"/>
        </w:tabs>
        <w:spacing w:before="0" w:after="0"/>
        <w:ind w:left="709" w:right="-1"/>
        <w:jc w:val="both"/>
        <w:rPr>
          <w:rFonts w:cs="Arial"/>
          <w:color w:val="auto"/>
          <w:sz w:val="20"/>
          <w:szCs w:val="20"/>
          <w:highlight w:val="none"/>
        </w:rPr>
      </w:pPr>
    </w:p>
    <w:p>
      <w:pPr>
        <w:pStyle w:val="22"/>
        <w:rPr>
          <w:highlight w:val="none"/>
        </w:rPr>
      </w:pPr>
      <w:bookmarkStart w:id="12" w:name="_Toc27136"/>
      <w:r>
        <w:rPr>
          <w:highlight w:val="none"/>
        </w:rPr>
        <w:t>DA HABILITAÇÃO</w:t>
      </w:r>
      <w:bookmarkEnd w:id="12"/>
    </w:p>
    <w:p>
      <w:pPr>
        <w:spacing w:before="0" w:after="0"/>
        <w:ind w:right="-1"/>
        <w:rPr>
          <w:rFonts w:cs="Arial"/>
          <w:sz w:val="20"/>
          <w:szCs w:val="20"/>
          <w:highlight w:val="none"/>
        </w:rPr>
      </w:pPr>
    </w:p>
    <w:p>
      <w:pPr>
        <w:pStyle w:val="47"/>
        <w:numPr>
          <w:ilvl w:val="0"/>
          <w:numId w:val="2"/>
        </w:numPr>
        <w:tabs>
          <w:tab w:val="left" w:pos="709"/>
        </w:tabs>
        <w:spacing w:before="0" w:after="0"/>
        <w:ind w:right="-1"/>
        <w:jc w:val="both"/>
        <w:rPr>
          <w:rFonts w:cs="Arial"/>
          <w:b/>
          <w:vanish/>
          <w:color w:val="auto"/>
          <w:sz w:val="20"/>
          <w:szCs w:val="20"/>
          <w:highlight w:val="none"/>
        </w:rPr>
      </w:pPr>
    </w:p>
    <w:p>
      <w:pPr>
        <w:pStyle w:val="47"/>
        <w:numPr>
          <w:ilvl w:val="1"/>
          <w:numId w:val="2"/>
        </w:numPr>
        <w:tabs>
          <w:tab w:val="left" w:pos="709"/>
        </w:tabs>
        <w:spacing w:before="0" w:after="0"/>
        <w:ind w:left="709" w:right="-1" w:hanging="851"/>
        <w:jc w:val="both"/>
        <w:rPr>
          <w:rFonts w:cs="Arial"/>
          <w:b/>
          <w:color w:val="auto"/>
          <w:sz w:val="20"/>
          <w:szCs w:val="20"/>
          <w:highlight w:val="none"/>
        </w:rPr>
      </w:pPr>
      <w:r>
        <w:rPr>
          <w:sz w:val="20"/>
          <w:szCs w:val="20"/>
          <w:highlight w:val="none"/>
        </w:rPr>
        <w:t>Para fins de habilitação, deverá o licitante comprovar os seguintes requisitos:</w:t>
      </w:r>
    </w:p>
    <w:p>
      <w:pPr>
        <w:tabs>
          <w:tab w:val="left" w:pos="709"/>
        </w:tabs>
        <w:spacing w:before="0" w:after="0"/>
        <w:ind w:right="-1"/>
        <w:jc w:val="both"/>
        <w:rPr>
          <w:rFonts w:cs="Arial"/>
          <w:color w:val="auto"/>
          <w:sz w:val="20"/>
          <w:szCs w:val="20"/>
          <w:highlight w:val="none"/>
        </w:rPr>
      </w:pPr>
    </w:p>
    <w:p>
      <w:pPr>
        <w:pStyle w:val="47"/>
        <w:numPr>
          <w:ilvl w:val="2"/>
          <w:numId w:val="2"/>
        </w:numPr>
        <w:tabs>
          <w:tab w:val="left" w:pos="709"/>
        </w:tabs>
        <w:spacing w:before="0" w:after="0"/>
        <w:ind w:left="709" w:right="-1" w:hanging="851"/>
        <w:jc w:val="both"/>
        <w:rPr>
          <w:rFonts w:cs="Arial"/>
          <w:color w:val="auto"/>
          <w:sz w:val="20"/>
          <w:szCs w:val="20"/>
          <w:highlight w:val="none"/>
        </w:rPr>
      </w:pPr>
      <w:r>
        <w:rPr>
          <w:b/>
          <w:bCs/>
          <w:sz w:val="20"/>
          <w:szCs w:val="20"/>
          <w:highlight w:val="none"/>
        </w:rPr>
        <w:t>Pessoa física:</w:t>
      </w:r>
      <w:r>
        <w:rPr>
          <w:sz w:val="20"/>
          <w:szCs w:val="20"/>
          <w:highlight w:val="none"/>
        </w:rPr>
        <w:t xml:space="preserve"> cédula de identidade (RG) ou documento equivalente que, por força de lei, tenha validade para fins de identificação em todo o território nacional</w:t>
      </w:r>
    </w:p>
    <w:p>
      <w:pPr>
        <w:pStyle w:val="47"/>
        <w:tabs>
          <w:tab w:val="left" w:pos="142"/>
          <w:tab w:val="left" w:pos="709"/>
        </w:tabs>
        <w:spacing w:before="0" w:after="0"/>
        <w:ind w:left="-142" w:right="-1"/>
        <w:jc w:val="both"/>
        <w:rPr>
          <w:rFonts w:cs="Arial"/>
          <w:color w:val="auto"/>
          <w:sz w:val="20"/>
          <w:szCs w:val="20"/>
          <w:highlight w:val="none"/>
        </w:rPr>
      </w:pPr>
    </w:p>
    <w:p>
      <w:pPr>
        <w:pStyle w:val="47"/>
        <w:numPr>
          <w:ilvl w:val="2"/>
          <w:numId w:val="2"/>
        </w:numPr>
        <w:tabs>
          <w:tab w:val="left" w:pos="-142"/>
          <w:tab w:val="left" w:pos="709"/>
        </w:tabs>
        <w:spacing w:before="0" w:after="0"/>
        <w:ind w:left="709" w:right="-1" w:hanging="851"/>
        <w:jc w:val="both"/>
        <w:rPr>
          <w:rFonts w:cs="Arial"/>
          <w:color w:val="auto"/>
          <w:sz w:val="20"/>
          <w:szCs w:val="20"/>
          <w:highlight w:val="none"/>
        </w:rPr>
      </w:pPr>
      <w:r>
        <w:rPr>
          <w:b/>
          <w:bCs/>
          <w:sz w:val="20"/>
          <w:szCs w:val="20"/>
          <w:highlight w:val="none"/>
        </w:rPr>
        <w:t>Empresário individual:</w:t>
      </w:r>
      <w:r>
        <w:rPr>
          <w:sz w:val="20"/>
          <w:szCs w:val="20"/>
          <w:highlight w:val="none"/>
        </w:rPr>
        <w:t xml:space="preserve"> inscrição no Registro Público de Empresas Mercantis, a cargo da Junta Comercial da respectiva sede;</w:t>
      </w:r>
    </w:p>
    <w:p>
      <w:pPr>
        <w:spacing w:before="0" w:after="0"/>
        <w:ind w:right="-1"/>
        <w:jc w:val="both"/>
        <w:rPr>
          <w:rFonts w:cs="Arial"/>
          <w:color w:val="auto"/>
          <w:sz w:val="20"/>
          <w:szCs w:val="20"/>
          <w:highlight w:val="none"/>
        </w:rPr>
      </w:pPr>
    </w:p>
    <w:p>
      <w:pPr>
        <w:pStyle w:val="47"/>
        <w:numPr>
          <w:ilvl w:val="2"/>
          <w:numId w:val="2"/>
        </w:numPr>
        <w:tabs>
          <w:tab w:val="left" w:pos="-142"/>
          <w:tab w:val="left" w:pos="709"/>
        </w:tabs>
        <w:spacing w:before="0" w:after="0"/>
        <w:ind w:left="709" w:right="-1" w:hanging="851"/>
        <w:jc w:val="both"/>
        <w:rPr>
          <w:rFonts w:cs="Arial"/>
          <w:color w:val="auto"/>
          <w:sz w:val="20"/>
          <w:szCs w:val="20"/>
          <w:highlight w:val="none"/>
        </w:rPr>
      </w:pPr>
      <w:r>
        <w:rPr>
          <w:b/>
          <w:bCs/>
          <w:sz w:val="20"/>
          <w:szCs w:val="20"/>
          <w:highlight w:val="none"/>
        </w:rPr>
        <w:t>Microempreendedor Individual - MEI:</w:t>
      </w:r>
      <w:r>
        <w:rPr>
          <w:sz w:val="20"/>
          <w:szCs w:val="20"/>
          <w:highlight w:val="none"/>
        </w:rPr>
        <w:t xml:space="preserve"> Certificado da Condição de Microempreendedor Individual - CCMEI, cuja aceitação ficará condicionada à verificação da autenticidade no sítio </w:t>
      </w:r>
      <w:r>
        <w:rPr>
          <w:color w:val="auto"/>
          <w:highlight w:val="none"/>
        </w:rPr>
        <w:fldChar w:fldCharType="begin"/>
      </w:r>
      <w:r>
        <w:rPr>
          <w:color w:val="auto"/>
          <w:highlight w:val="none"/>
        </w:rPr>
        <w:instrText xml:space="preserve"> HYPERLINK "https://www.gov.br/empresas-e-negocios/pt-br/empreendedor" </w:instrText>
      </w:r>
      <w:r>
        <w:rPr>
          <w:color w:val="auto"/>
          <w:highlight w:val="none"/>
        </w:rPr>
        <w:fldChar w:fldCharType="separate"/>
      </w:r>
      <w:r>
        <w:rPr>
          <w:rStyle w:val="16"/>
          <w:color w:val="auto"/>
          <w:sz w:val="20"/>
          <w:szCs w:val="20"/>
          <w:highlight w:val="none"/>
        </w:rPr>
        <w:t>https://www.gov.br/empresas-e-negocios/pt-br/empreendedor</w:t>
      </w:r>
      <w:r>
        <w:rPr>
          <w:rStyle w:val="16"/>
          <w:color w:val="auto"/>
          <w:sz w:val="20"/>
          <w:szCs w:val="20"/>
          <w:highlight w:val="none"/>
        </w:rPr>
        <w:fldChar w:fldCharType="end"/>
      </w:r>
    </w:p>
    <w:p>
      <w:pPr>
        <w:pStyle w:val="47"/>
        <w:spacing w:before="0" w:after="0"/>
        <w:rPr>
          <w:rFonts w:cs="Arial"/>
          <w:color w:val="auto"/>
          <w:sz w:val="20"/>
          <w:szCs w:val="20"/>
          <w:highlight w:val="none"/>
        </w:rPr>
      </w:pPr>
    </w:p>
    <w:p>
      <w:pPr>
        <w:pStyle w:val="47"/>
        <w:numPr>
          <w:ilvl w:val="2"/>
          <w:numId w:val="2"/>
        </w:numPr>
        <w:tabs>
          <w:tab w:val="left" w:pos="-142"/>
          <w:tab w:val="left" w:pos="709"/>
        </w:tabs>
        <w:spacing w:before="0" w:after="0"/>
        <w:ind w:left="709" w:right="-1" w:hanging="851"/>
        <w:jc w:val="both"/>
        <w:rPr>
          <w:rFonts w:cs="Arial"/>
          <w:color w:val="auto"/>
          <w:sz w:val="20"/>
          <w:szCs w:val="20"/>
          <w:highlight w:val="none"/>
        </w:rPr>
      </w:pPr>
      <w:r>
        <w:rPr>
          <w:b/>
          <w:bCs/>
          <w:sz w:val="20"/>
          <w:szCs w:val="20"/>
          <w:highlight w:val="none"/>
        </w:rPr>
        <w:t>Sociedade empresária, sociedade limitada unipessoal – SLU ou sociedade identificada como empresa individual de responsabilidade limitada - EIRELI:</w:t>
      </w:r>
      <w:r>
        <w:rPr>
          <w:sz w:val="20"/>
          <w:szCs w:val="20"/>
          <w:highlight w:val="none"/>
        </w:rPr>
        <w:t xml:space="preserve"> inscrição do ato constitutivo, estatuto ou contrato social no Registro Público de Empresas Mercantis, a cargo da Junta Comercial da respectiva sede, acompanhada de documento comprobatório de seus administradores.</w:t>
      </w:r>
    </w:p>
    <w:p>
      <w:pPr>
        <w:pStyle w:val="47"/>
        <w:spacing w:before="0" w:after="0"/>
        <w:rPr>
          <w:rFonts w:cs="Arial"/>
          <w:color w:val="auto"/>
          <w:sz w:val="20"/>
          <w:szCs w:val="20"/>
          <w:highlight w:val="none"/>
        </w:rPr>
      </w:pPr>
    </w:p>
    <w:p>
      <w:pPr>
        <w:pStyle w:val="47"/>
        <w:numPr>
          <w:ilvl w:val="2"/>
          <w:numId w:val="2"/>
        </w:numPr>
        <w:tabs>
          <w:tab w:val="left" w:pos="-142"/>
          <w:tab w:val="left" w:pos="709"/>
        </w:tabs>
        <w:spacing w:before="0" w:after="0"/>
        <w:ind w:left="709" w:right="-1" w:hanging="851"/>
        <w:jc w:val="both"/>
        <w:rPr>
          <w:rFonts w:cs="Arial"/>
          <w:color w:val="auto"/>
          <w:sz w:val="20"/>
          <w:szCs w:val="20"/>
          <w:highlight w:val="none"/>
        </w:rPr>
      </w:pPr>
      <w:r>
        <w:rPr>
          <w:b/>
          <w:bCs/>
          <w:sz w:val="20"/>
          <w:szCs w:val="20"/>
          <w:highlight w:val="none"/>
        </w:rPr>
        <w:t>Sociedade empresária estrangeira:</w:t>
      </w:r>
      <w:r>
        <w:rPr>
          <w:sz w:val="20"/>
          <w:szCs w:val="20"/>
          <w:highlight w:val="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rPr>
          <w:color w:val="auto"/>
          <w:highlight w:val="none"/>
        </w:rPr>
        <w:fldChar w:fldCharType="begin"/>
      </w:r>
      <w:r>
        <w:rPr>
          <w:color w:val="auto"/>
          <w:highlight w:val="none"/>
        </w:rPr>
        <w:instrText xml:space="preserve"> HYPERLINK "https://www.gov.br/economia/pt-br/assuntos/drei/legislacao/arquivos/legislacoes-federais/indrei772020.pdf" </w:instrText>
      </w:r>
      <w:r>
        <w:rPr>
          <w:color w:val="auto"/>
          <w:highlight w:val="none"/>
        </w:rPr>
        <w:fldChar w:fldCharType="separate"/>
      </w:r>
      <w:r>
        <w:rPr>
          <w:rStyle w:val="16"/>
          <w:color w:val="auto"/>
          <w:sz w:val="20"/>
          <w:szCs w:val="20"/>
          <w:highlight w:val="none"/>
        </w:rPr>
        <w:t>Normativa DREI/ME n.º 77, de 18 de março de 2020</w:t>
      </w:r>
      <w:r>
        <w:rPr>
          <w:rStyle w:val="16"/>
          <w:color w:val="auto"/>
          <w:sz w:val="20"/>
          <w:szCs w:val="20"/>
          <w:highlight w:val="none"/>
        </w:rPr>
        <w:fldChar w:fldCharType="end"/>
      </w:r>
      <w:r>
        <w:rPr>
          <w:color w:val="auto"/>
          <w:sz w:val="20"/>
          <w:szCs w:val="20"/>
          <w:highlight w:val="none"/>
        </w:rPr>
        <w:t>.</w:t>
      </w:r>
    </w:p>
    <w:p>
      <w:pPr>
        <w:pStyle w:val="47"/>
        <w:spacing w:before="0" w:after="0"/>
        <w:rPr>
          <w:rFonts w:cs="Arial"/>
          <w:color w:val="auto"/>
          <w:sz w:val="20"/>
          <w:szCs w:val="20"/>
          <w:highlight w:val="none"/>
        </w:rPr>
      </w:pPr>
    </w:p>
    <w:p>
      <w:pPr>
        <w:pStyle w:val="47"/>
        <w:numPr>
          <w:ilvl w:val="2"/>
          <w:numId w:val="2"/>
        </w:numPr>
        <w:tabs>
          <w:tab w:val="left" w:pos="-142"/>
          <w:tab w:val="left" w:pos="709"/>
        </w:tabs>
        <w:spacing w:before="0" w:after="0"/>
        <w:ind w:left="709" w:right="-1" w:hanging="851"/>
        <w:jc w:val="both"/>
        <w:rPr>
          <w:rFonts w:cs="Arial"/>
          <w:color w:val="auto"/>
          <w:sz w:val="20"/>
          <w:szCs w:val="20"/>
          <w:highlight w:val="none"/>
        </w:rPr>
      </w:pPr>
      <w:r>
        <w:rPr>
          <w:b/>
          <w:bCs/>
          <w:sz w:val="20"/>
          <w:szCs w:val="20"/>
          <w:highlight w:val="none"/>
        </w:rPr>
        <w:t xml:space="preserve">Sociedade simples: </w:t>
      </w:r>
      <w:r>
        <w:rPr>
          <w:sz w:val="20"/>
          <w:szCs w:val="20"/>
          <w:highlight w:val="none"/>
        </w:rPr>
        <w:t>inscrição do ato constitutivo no Registro Civil de Pessoas Jurídicas do local de sua sede, acompanhada de documento comprobatório de seus administradores.</w:t>
      </w:r>
    </w:p>
    <w:p>
      <w:pPr>
        <w:pStyle w:val="47"/>
        <w:spacing w:before="0" w:after="0"/>
        <w:rPr>
          <w:rFonts w:cs="Arial"/>
          <w:color w:val="auto"/>
          <w:sz w:val="20"/>
          <w:szCs w:val="20"/>
          <w:highlight w:val="none"/>
        </w:rPr>
      </w:pPr>
    </w:p>
    <w:p>
      <w:pPr>
        <w:pStyle w:val="47"/>
        <w:numPr>
          <w:ilvl w:val="2"/>
          <w:numId w:val="2"/>
        </w:numPr>
        <w:tabs>
          <w:tab w:val="left" w:pos="-142"/>
          <w:tab w:val="left" w:pos="709"/>
        </w:tabs>
        <w:spacing w:before="0" w:after="0"/>
        <w:ind w:left="709" w:right="-1" w:hanging="851"/>
        <w:jc w:val="both"/>
        <w:rPr>
          <w:rFonts w:cs="Arial"/>
          <w:color w:val="auto"/>
          <w:sz w:val="20"/>
          <w:szCs w:val="20"/>
          <w:highlight w:val="none"/>
        </w:rPr>
      </w:pPr>
      <w:r>
        <w:rPr>
          <w:b/>
          <w:bCs/>
          <w:sz w:val="20"/>
          <w:szCs w:val="20"/>
          <w:highlight w:val="none"/>
        </w:rPr>
        <w:t>Filial, sucursal ou agência de sociedade simples ou empresária:</w:t>
      </w:r>
      <w:r>
        <w:rPr>
          <w:sz w:val="20"/>
          <w:szCs w:val="20"/>
          <w:highlight w:val="none"/>
        </w:rPr>
        <w:t xml:space="preserve"> inscrição do ato constitutivo da filial, sucursal ou agência da sociedade simples ou empresária, respectivamente, no Registro Civil das Pessoas Jurídicas ou no Registro Público de Empresas </w:t>
      </w:r>
      <w:bookmarkStart w:id="13" w:name="_Int_ySfCXwr4"/>
      <w:r>
        <w:rPr>
          <w:sz w:val="20"/>
          <w:szCs w:val="20"/>
          <w:highlight w:val="none"/>
        </w:rPr>
        <w:t>Mercantis onde</w:t>
      </w:r>
      <w:bookmarkEnd w:id="13"/>
      <w:r>
        <w:rPr>
          <w:sz w:val="20"/>
          <w:szCs w:val="20"/>
          <w:highlight w:val="none"/>
        </w:rPr>
        <w:t xml:space="preserve"> opera, com averbação no Registro onde tem sede a matriz.</w:t>
      </w:r>
    </w:p>
    <w:p>
      <w:pPr>
        <w:pStyle w:val="47"/>
        <w:spacing w:before="0" w:after="0"/>
        <w:rPr>
          <w:rFonts w:cs="Arial"/>
          <w:color w:val="auto"/>
          <w:sz w:val="20"/>
          <w:szCs w:val="20"/>
          <w:highlight w:val="none"/>
        </w:rPr>
      </w:pPr>
    </w:p>
    <w:p>
      <w:pPr>
        <w:pStyle w:val="47"/>
        <w:numPr>
          <w:ilvl w:val="2"/>
          <w:numId w:val="2"/>
        </w:numPr>
        <w:tabs>
          <w:tab w:val="left" w:pos="-142"/>
          <w:tab w:val="left" w:pos="709"/>
        </w:tabs>
        <w:spacing w:before="0" w:after="0"/>
        <w:ind w:left="709" w:right="-1" w:hanging="851"/>
        <w:jc w:val="both"/>
        <w:rPr>
          <w:rFonts w:cs="Arial"/>
          <w:color w:val="auto"/>
          <w:sz w:val="20"/>
          <w:szCs w:val="20"/>
          <w:highlight w:val="none"/>
        </w:rPr>
      </w:pPr>
      <w:r>
        <w:rPr>
          <w:b/>
          <w:bCs/>
          <w:sz w:val="20"/>
          <w:szCs w:val="20"/>
          <w:highlight w:val="none"/>
        </w:rPr>
        <w:t>Sociedade cooperativa:</w:t>
      </w:r>
      <w:r>
        <w:rPr>
          <w:sz w:val="20"/>
          <w:szCs w:val="20"/>
          <w:highlight w:val="none"/>
        </w:rPr>
        <w:t xml:space="preserve"> ata de fundação e estatuto social, com a ata da assembleia que o aprovou, devidamente arquivado na Junta Comercial ou inscrito no Registro Civil das Pessoas Jurídicas da respectiva sede, além do registro de que trata o </w:t>
      </w:r>
      <w:r>
        <w:rPr>
          <w:color w:val="auto"/>
          <w:highlight w:val="none"/>
        </w:rPr>
        <w:fldChar w:fldCharType="begin"/>
      </w:r>
      <w:r>
        <w:rPr>
          <w:color w:val="auto"/>
          <w:highlight w:val="none"/>
        </w:rPr>
        <w:instrText xml:space="preserve"> HYPERLINK "https://www.planalto.gov.br/ccivil_03/leis/l5764.htm" \l "art107" </w:instrText>
      </w:r>
      <w:r>
        <w:rPr>
          <w:color w:val="auto"/>
          <w:highlight w:val="none"/>
        </w:rPr>
        <w:fldChar w:fldCharType="separate"/>
      </w:r>
      <w:r>
        <w:rPr>
          <w:rStyle w:val="16"/>
          <w:color w:val="auto"/>
          <w:sz w:val="20"/>
          <w:szCs w:val="20"/>
          <w:highlight w:val="none"/>
        </w:rPr>
        <w:t>art. 107 da Lei nº 5.764, de 16 de dezembro 1971</w:t>
      </w:r>
      <w:r>
        <w:rPr>
          <w:rStyle w:val="16"/>
          <w:color w:val="auto"/>
          <w:sz w:val="20"/>
          <w:szCs w:val="20"/>
          <w:highlight w:val="none"/>
        </w:rPr>
        <w:fldChar w:fldCharType="end"/>
      </w:r>
      <w:r>
        <w:rPr>
          <w:color w:val="auto"/>
          <w:sz w:val="20"/>
          <w:szCs w:val="20"/>
          <w:highlight w:val="none"/>
        </w:rPr>
        <w:t>.</w:t>
      </w:r>
    </w:p>
    <w:p>
      <w:pPr>
        <w:pStyle w:val="47"/>
        <w:spacing w:before="0" w:after="0"/>
        <w:rPr>
          <w:rFonts w:cs="Arial"/>
          <w:color w:val="auto"/>
          <w:sz w:val="20"/>
          <w:szCs w:val="20"/>
          <w:highlight w:val="none"/>
        </w:rPr>
      </w:pPr>
    </w:p>
    <w:p>
      <w:pPr>
        <w:pStyle w:val="47"/>
        <w:numPr>
          <w:ilvl w:val="2"/>
          <w:numId w:val="2"/>
        </w:numPr>
        <w:tabs>
          <w:tab w:val="left" w:pos="-142"/>
          <w:tab w:val="left" w:pos="709"/>
        </w:tabs>
        <w:spacing w:before="0" w:after="0"/>
        <w:ind w:left="709" w:right="-1" w:hanging="851"/>
        <w:jc w:val="both"/>
        <w:rPr>
          <w:rFonts w:cs="Arial"/>
          <w:color w:val="auto"/>
          <w:sz w:val="20"/>
          <w:szCs w:val="20"/>
          <w:highlight w:val="none"/>
        </w:rPr>
      </w:pPr>
      <w:r>
        <w:rPr>
          <w:b/>
          <w:bCs/>
          <w:color w:val="auto"/>
          <w:sz w:val="20"/>
          <w:szCs w:val="20"/>
          <w:highlight w:val="none"/>
        </w:rPr>
        <w:t>Agricultor familiar:</w:t>
      </w:r>
      <w:r>
        <w:rPr>
          <w:color w:val="auto"/>
          <w:sz w:val="20"/>
          <w:szCs w:val="20"/>
          <w:highlight w:val="none"/>
        </w:rPr>
        <w:t xml:space="preserve"> Declaração de Aptidão ao Pronaf – DAP ou DAP-P válida, ou, ainda, outros documentos definidos pela Secretaria Especial de Agricultura Familiar e do Desenvolvimento Agrário, nos termos do</w:t>
      </w:r>
      <w:r>
        <w:rPr>
          <w:color w:val="auto"/>
          <w:highlight w:val="none"/>
        </w:rPr>
        <w:fldChar w:fldCharType="begin"/>
      </w:r>
      <w:r>
        <w:rPr>
          <w:color w:val="auto"/>
          <w:highlight w:val="none"/>
        </w:rPr>
        <w:instrText xml:space="preserve"> HYPERLINK "https://www.planalto.gov.br/ccivil_03/_ato2019-2022/2021/decreto/d10880.htm" \l "art4§2" </w:instrText>
      </w:r>
      <w:r>
        <w:rPr>
          <w:color w:val="auto"/>
          <w:highlight w:val="none"/>
        </w:rPr>
        <w:fldChar w:fldCharType="separate"/>
      </w:r>
      <w:r>
        <w:rPr>
          <w:rStyle w:val="16"/>
          <w:color w:val="auto"/>
          <w:sz w:val="20"/>
          <w:szCs w:val="20"/>
          <w:highlight w:val="none"/>
        </w:rPr>
        <w:t xml:space="preserve"> art. 4º, §2º do Decreto nº 10.880, de 2 de dezembro de 2021</w:t>
      </w:r>
      <w:r>
        <w:rPr>
          <w:rStyle w:val="16"/>
          <w:color w:val="auto"/>
          <w:sz w:val="20"/>
          <w:szCs w:val="20"/>
          <w:highlight w:val="none"/>
        </w:rPr>
        <w:fldChar w:fldCharType="end"/>
      </w:r>
      <w:r>
        <w:rPr>
          <w:color w:val="auto"/>
          <w:sz w:val="20"/>
          <w:szCs w:val="20"/>
          <w:highlight w:val="none"/>
        </w:rPr>
        <w:t>.</w:t>
      </w:r>
    </w:p>
    <w:p>
      <w:pPr>
        <w:pStyle w:val="47"/>
        <w:spacing w:before="0" w:after="0"/>
        <w:rPr>
          <w:rFonts w:cs="Arial"/>
          <w:color w:val="auto"/>
          <w:sz w:val="20"/>
          <w:szCs w:val="20"/>
          <w:highlight w:val="none"/>
        </w:rPr>
      </w:pPr>
    </w:p>
    <w:p>
      <w:pPr>
        <w:pStyle w:val="47"/>
        <w:numPr>
          <w:ilvl w:val="2"/>
          <w:numId w:val="2"/>
        </w:numPr>
        <w:tabs>
          <w:tab w:val="left" w:pos="-142"/>
          <w:tab w:val="left" w:pos="709"/>
        </w:tabs>
        <w:spacing w:before="0" w:after="0"/>
        <w:ind w:left="709" w:right="-1" w:hanging="851"/>
        <w:jc w:val="both"/>
        <w:rPr>
          <w:rFonts w:cs="Arial"/>
          <w:color w:val="auto"/>
          <w:sz w:val="20"/>
          <w:szCs w:val="20"/>
          <w:highlight w:val="none"/>
        </w:rPr>
      </w:pPr>
      <w:r>
        <w:rPr>
          <w:b/>
          <w:bCs/>
          <w:color w:val="auto"/>
          <w:sz w:val="20"/>
          <w:szCs w:val="20"/>
          <w:highlight w:val="none"/>
        </w:rPr>
        <w:t>Produtor Rural:</w:t>
      </w:r>
      <w:r>
        <w:rPr>
          <w:color w:val="auto"/>
          <w:sz w:val="20"/>
          <w:szCs w:val="20"/>
          <w:highlight w:val="none"/>
        </w:rPr>
        <w:t xml:space="preserve"> matrícula no Cadastro Específico do INSS – CEI, que comprove a qualificação como produtor rural pessoa física, nos termos da </w:t>
      </w:r>
      <w:r>
        <w:rPr>
          <w:color w:val="auto"/>
          <w:highlight w:val="none"/>
        </w:rPr>
        <w:fldChar w:fldCharType="begin"/>
      </w:r>
      <w:r>
        <w:rPr>
          <w:color w:val="auto"/>
          <w:highlight w:val="none"/>
        </w:rPr>
        <w:instrText xml:space="preserve"> HYPERLINK "https://www.gov.br/trabalho-e-previdencia/pt-br/servicos/empregador/programa-de-alimentacao-do-trabalhador-pat/arquivos-legislacao/instrucoes-normativas/pat_in_971_2009.pdf" </w:instrText>
      </w:r>
      <w:r>
        <w:rPr>
          <w:color w:val="auto"/>
          <w:highlight w:val="none"/>
        </w:rPr>
        <w:fldChar w:fldCharType="separate"/>
      </w:r>
      <w:r>
        <w:rPr>
          <w:rStyle w:val="16"/>
          <w:color w:val="auto"/>
          <w:sz w:val="20"/>
          <w:szCs w:val="20"/>
          <w:highlight w:val="none"/>
        </w:rPr>
        <w:t>Instrução Normativa RFB n. 971, de 13 de novembro de 2009</w:t>
      </w:r>
      <w:r>
        <w:rPr>
          <w:rStyle w:val="16"/>
          <w:color w:val="auto"/>
          <w:sz w:val="20"/>
          <w:szCs w:val="20"/>
          <w:highlight w:val="none"/>
        </w:rPr>
        <w:fldChar w:fldCharType="end"/>
      </w:r>
      <w:r>
        <w:rPr>
          <w:color w:val="auto"/>
          <w:sz w:val="20"/>
          <w:szCs w:val="20"/>
          <w:highlight w:val="none"/>
        </w:rPr>
        <w:t xml:space="preserve"> (arts. 17 a 19 e 165).</w:t>
      </w:r>
    </w:p>
    <w:p>
      <w:pPr>
        <w:pStyle w:val="47"/>
        <w:numPr>
          <w:ilvl w:val="0"/>
          <w:numId w:val="0"/>
        </w:numPr>
        <w:tabs>
          <w:tab w:val="left" w:pos="-142"/>
          <w:tab w:val="left" w:pos="709"/>
        </w:tabs>
        <w:spacing w:before="0" w:after="0"/>
        <w:ind w:left="-142" w:leftChars="0" w:right="-1" w:rightChars="0"/>
        <w:jc w:val="both"/>
        <w:rPr>
          <w:rFonts w:cs="Arial"/>
          <w:color w:val="auto"/>
          <w:sz w:val="20"/>
          <w:szCs w:val="20"/>
          <w:highlight w:val="none"/>
        </w:rPr>
      </w:pPr>
    </w:p>
    <w:p>
      <w:pPr>
        <w:pStyle w:val="47"/>
        <w:numPr>
          <w:ilvl w:val="2"/>
          <w:numId w:val="2"/>
        </w:numPr>
        <w:tabs>
          <w:tab w:val="left" w:pos="-142"/>
          <w:tab w:val="left" w:pos="709"/>
        </w:tabs>
        <w:spacing w:before="0" w:after="0"/>
        <w:ind w:left="709" w:right="-1" w:hanging="851"/>
        <w:jc w:val="both"/>
        <w:rPr>
          <w:rFonts w:cs="Arial"/>
          <w:color w:val="auto"/>
          <w:sz w:val="20"/>
          <w:szCs w:val="20"/>
          <w:highlight w:val="none"/>
        </w:rPr>
      </w:pPr>
      <w:r>
        <w:rPr>
          <w:sz w:val="20"/>
          <w:szCs w:val="20"/>
          <w:highlight w:val="none"/>
        </w:rPr>
        <w:t>Os documentos apresentados deverão estar acompanhados de todas as alterações ou da consolidação respectiva.</w:t>
      </w:r>
    </w:p>
    <w:p>
      <w:pPr>
        <w:spacing w:before="0" w:after="0"/>
        <w:ind w:right="-1"/>
        <w:jc w:val="both"/>
        <w:rPr>
          <w:rFonts w:cs="Arial"/>
          <w:color w:val="auto"/>
          <w:sz w:val="20"/>
          <w:szCs w:val="20"/>
          <w:highlight w:val="none"/>
        </w:rPr>
      </w:pPr>
    </w:p>
    <w:p>
      <w:pPr>
        <w:pStyle w:val="47"/>
        <w:numPr>
          <w:ilvl w:val="1"/>
          <w:numId w:val="2"/>
        </w:numPr>
        <w:tabs>
          <w:tab w:val="left" w:pos="709"/>
        </w:tabs>
        <w:spacing w:before="0" w:after="0"/>
        <w:ind w:left="-142" w:right="-1" w:firstLine="0"/>
        <w:jc w:val="both"/>
        <w:rPr>
          <w:rFonts w:cs="Arial"/>
          <w:b/>
          <w:color w:val="auto"/>
          <w:sz w:val="20"/>
          <w:szCs w:val="20"/>
          <w:highlight w:val="none"/>
        </w:rPr>
      </w:pPr>
      <w:r>
        <w:rPr>
          <w:rFonts w:cs="Arial"/>
          <w:b/>
          <w:color w:val="auto"/>
          <w:sz w:val="20"/>
          <w:szCs w:val="20"/>
          <w:highlight w:val="none"/>
        </w:rPr>
        <w:t>REGULARIDADE FISCAL</w:t>
      </w:r>
    </w:p>
    <w:p>
      <w:pPr>
        <w:pStyle w:val="47"/>
        <w:spacing w:before="0" w:after="0"/>
        <w:ind w:left="709" w:right="-1"/>
        <w:jc w:val="both"/>
        <w:rPr>
          <w:rFonts w:cs="Arial"/>
          <w:color w:val="auto"/>
          <w:sz w:val="20"/>
          <w:szCs w:val="20"/>
          <w:highlight w:val="none"/>
        </w:rPr>
      </w:pPr>
    </w:p>
    <w:p>
      <w:pPr>
        <w:pStyle w:val="47"/>
        <w:numPr>
          <w:ilvl w:val="2"/>
          <w:numId w:val="2"/>
        </w:numPr>
        <w:tabs>
          <w:tab w:val="left" w:pos="142"/>
          <w:tab w:val="left" w:pos="709"/>
        </w:tabs>
        <w:spacing w:before="0" w:after="0"/>
        <w:ind w:left="-142" w:right="-1" w:firstLine="0"/>
        <w:jc w:val="both"/>
        <w:rPr>
          <w:rFonts w:cs="Arial"/>
          <w:color w:val="auto"/>
          <w:sz w:val="20"/>
          <w:szCs w:val="20"/>
          <w:highlight w:val="none"/>
        </w:rPr>
      </w:pPr>
      <w:r>
        <w:rPr>
          <w:rFonts w:cs="Arial"/>
          <w:color w:val="auto"/>
          <w:sz w:val="20"/>
          <w:szCs w:val="20"/>
          <w:highlight w:val="none"/>
        </w:rPr>
        <w:t>Prova de inscrição no Cadastro Nacional de Pessoas Jurídicas do Ministério da Fazenda (</w:t>
      </w:r>
      <w:r>
        <w:rPr>
          <w:rFonts w:cs="Arial"/>
          <w:b/>
          <w:color w:val="auto"/>
          <w:sz w:val="20"/>
          <w:szCs w:val="20"/>
          <w:highlight w:val="none"/>
        </w:rPr>
        <w:t>CNPJ</w:t>
      </w:r>
      <w:r>
        <w:rPr>
          <w:rFonts w:cs="Arial"/>
          <w:color w:val="auto"/>
          <w:sz w:val="20"/>
          <w:szCs w:val="20"/>
          <w:highlight w:val="none"/>
        </w:rPr>
        <w:t>).</w:t>
      </w:r>
    </w:p>
    <w:p>
      <w:pPr>
        <w:pStyle w:val="47"/>
        <w:spacing w:before="0" w:after="0"/>
        <w:ind w:left="709" w:right="-1"/>
        <w:jc w:val="both"/>
        <w:rPr>
          <w:rFonts w:cs="Arial"/>
          <w:color w:val="auto"/>
          <w:sz w:val="20"/>
          <w:szCs w:val="20"/>
          <w:highlight w:val="none"/>
        </w:rPr>
      </w:pPr>
    </w:p>
    <w:p>
      <w:pPr>
        <w:pStyle w:val="47"/>
        <w:numPr>
          <w:ilvl w:val="2"/>
          <w:numId w:val="2"/>
        </w:numPr>
        <w:tabs>
          <w:tab w:val="left" w:pos="-142"/>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Certidão Conjunta Negativa de Débitos (</w:t>
      </w:r>
      <w:r>
        <w:rPr>
          <w:rFonts w:cs="Arial"/>
          <w:b/>
          <w:color w:val="auto"/>
          <w:sz w:val="20"/>
          <w:szCs w:val="20"/>
          <w:highlight w:val="none"/>
        </w:rPr>
        <w:t>CND</w:t>
      </w:r>
      <w:r>
        <w:rPr>
          <w:rFonts w:cs="Arial"/>
          <w:color w:val="auto"/>
          <w:sz w:val="20"/>
          <w:szCs w:val="20"/>
          <w:highlight w:val="none"/>
        </w:rPr>
        <w:t>) ou Certidão Conjunta Positiva com Efeitos de Negativa (</w:t>
      </w:r>
      <w:r>
        <w:rPr>
          <w:rFonts w:cs="Arial"/>
          <w:b/>
          <w:color w:val="auto"/>
          <w:sz w:val="20"/>
          <w:szCs w:val="20"/>
          <w:highlight w:val="none"/>
        </w:rPr>
        <w:t>CPEND</w:t>
      </w:r>
      <w:r>
        <w:rPr>
          <w:rFonts w:cs="Arial"/>
          <w:color w:val="auto"/>
          <w:sz w:val="20"/>
          <w:szCs w:val="20"/>
          <w:highlight w:val="none"/>
        </w:rPr>
        <w:t xml:space="preserve">), relativos a Tributos Federais e à Dívida Ativa da União </w:t>
      </w:r>
      <w:r>
        <w:rPr>
          <w:rFonts w:cs="Arial"/>
          <w:b/>
          <w:color w:val="auto"/>
          <w:sz w:val="20"/>
          <w:szCs w:val="20"/>
          <w:highlight w:val="none"/>
        </w:rPr>
        <w:t>inclusive</w:t>
      </w:r>
      <w:r>
        <w:rPr>
          <w:rFonts w:cs="Arial"/>
          <w:color w:val="auto"/>
          <w:sz w:val="20"/>
          <w:szCs w:val="20"/>
          <w:highlight w:val="none"/>
        </w:rPr>
        <w:t xml:space="preserve"> créditos tributários relativos às </w:t>
      </w:r>
      <w:r>
        <w:rPr>
          <w:rFonts w:cs="Arial"/>
          <w:b/>
          <w:color w:val="auto"/>
          <w:sz w:val="20"/>
          <w:szCs w:val="20"/>
          <w:highlight w:val="none"/>
        </w:rPr>
        <w:t>contribuições sociais</w:t>
      </w:r>
      <w:r>
        <w:rPr>
          <w:rFonts w:cs="Arial"/>
          <w:color w:val="auto"/>
          <w:sz w:val="20"/>
          <w:szCs w:val="20"/>
          <w:highlight w:val="none"/>
        </w:rPr>
        <w:t xml:space="preserve"> previstas nas alíneas ‘a’ a ‘d’ do parágrafo único do art. 11 da Lei nº 8.212, de 24 de julho de 1991, expedida pela Secretaria da Receita Federal (RFB) e pela Procuradoria-Geral da Fazenda Nacional (PGFN).</w:t>
      </w:r>
    </w:p>
    <w:p>
      <w:pPr>
        <w:spacing w:before="0" w:after="0"/>
        <w:ind w:right="-1"/>
        <w:jc w:val="both"/>
        <w:rPr>
          <w:rFonts w:cs="Arial"/>
          <w:color w:val="auto"/>
          <w:sz w:val="20"/>
          <w:szCs w:val="20"/>
          <w:highlight w:val="none"/>
        </w:rPr>
      </w:pPr>
    </w:p>
    <w:p>
      <w:pPr>
        <w:pStyle w:val="47"/>
        <w:numPr>
          <w:ilvl w:val="2"/>
          <w:numId w:val="2"/>
        </w:numPr>
        <w:tabs>
          <w:tab w:val="left" w:pos="-142"/>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 xml:space="preserve">Certidão Negativa - ou Positiva com efeitos de Negativa - de </w:t>
      </w:r>
      <w:r>
        <w:rPr>
          <w:rFonts w:cs="Arial"/>
          <w:b/>
          <w:color w:val="auto"/>
          <w:sz w:val="20"/>
          <w:szCs w:val="20"/>
          <w:highlight w:val="none"/>
        </w:rPr>
        <w:t>Débitos inscritos na Dívida Ativa</w:t>
      </w:r>
      <w:r>
        <w:rPr>
          <w:rFonts w:cs="Arial"/>
          <w:color w:val="auto"/>
          <w:sz w:val="20"/>
          <w:szCs w:val="20"/>
          <w:highlight w:val="none"/>
        </w:rPr>
        <w:t>, emitido pela Secretaria da Fazenda ou Procuradoria Geral do Estado sede da licitante.</w:t>
      </w:r>
    </w:p>
    <w:p>
      <w:pPr>
        <w:spacing w:before="0" w:after="0"/>
        <w:ind w:right="-1"/>
        <w:jc w:val="both"/>
        <w:rPr>
          <w:rFonts w:cs="Arial"/>
          <w:color w:val="auto"/>
          <w:sz w:val="20"/>
          <w:szCs w:val="20"/>
          <w:highlight w:val="none"/>
        </w:rPr>
      </w:pPr>
    </w:p>
    <w:p>
      <w:pPr>
        <w:pStyle w:val="47"/>
        <w:numPr>
          <w:ilvl w:val="2"/>
          <w:numId w:val="2"/>
        </w:numPr>
        <w:tabs>
          <w:tab w:val="left" w:pos="-142"/>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Prova de regularidade perante o Fundo de Garantia por Tempo de Serviço (</w:t>
      </w:r>
      <w:r>
        <w:rPr>
          <w:rFonts w:cs="Arial"/>
          <w:b/>
          <w:color w:val="auto"/>
          <w:sz w:val="20"/>
          <w:szCs w:val="20"/>
          <w:highlight w:val="none"/>
        </w:rPr>
        <w:t>FGTS</w:t>
      </w:r>
      <w:r>
        <w:rPr>
          <w:rFonts w:cs="Arial"/>
          <w:color w:val="auto"/>
          <w:sz w:val="20"/>
          <w:szCs w:val="20"/>
          <w:highlight w:val="none"/>
        </w:rPr>
        <w:t>), por meio da apresentação da CRF – Certificado de Regularidade do FGTS.</w:t>
      </w:r>
    </w:p>
    <w:p>
      <w:pPr>
        <w:spacing w:before="0" w:after="0"/>
        <w:ind w:right="-1"/>
        <w:jc w:val="both"/>
        <w:rPr>
          <w:rFonts w:cs="Arial"/>
          <w:color w:val="auto"/>
          <w:sz w:val="20"/>
          <w:szCs w:val="20"/>
          <w:highlight w:val="none"/>
        </w:rPr>
      </w:pPr>
    </w:p>
    <w:p>
      <w:pPr>
        <w:pStyle w:val="47"/>
        <w:numPr>
          <w:ilvl w:val="2"/>
          <w:numId w:val="2"/>
        </w:numPr>
        <w:tabs>
          <w:tab w:val="left" w:pos="-142"/>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 xml:space="preserve">Prova de Regularidade Municipal – </w:t>
      </w:r>
      <w:r>
        <w:rPr>
          <w:rFonts w:cs="Arial"/>
          <w:b/>
          <w:color w:val="auto"/>
          <w:sz w:val="20"/>
          <w:szCs w:val="20"/>
          <w:highlight w:val="none"/>
        </w:rPr>
        <w:t xml:space="preserve">Certidão Negativa de Tributos Mobiliários </w:t>
      </w:r>
      <w:r>
        <w:rPr>
          <w:rFonts w:cs="Arial"/>
          <w:color w:val="auto"/>
          <w:sz w:val="20"/>
          <w:szCs w:val="20"/>
          <w:highlight w:val="none"/>
        </w:rPr>
        <w:t>do domicílio ou sede da licitante, na forma da lei, com prazo de validade em vigor</w:t>
      </w:r>
      <w:r>
        <w:rPr>
          <w:rFonts w:hint="default" w:cs="Arial"/>
          <w:color w:val="auto"/>
          <w:sz w:val="20"/>
          <w:szCs w:val="20"/>
          <w:highlight w:val="none"/>
          <w:lang w:val="pt-BR"/>
        </w:rPr>
        <w:t>,</w:t>
      </w:r>
      <w:r>
        <w:rPr>
          <w:rFonts w:cs="Arial"/>
          <w:color w:val="auto"/>
          <w:sz w:val="20"/>
          <w:szCs w:val="20"/>
          <w:highlight w:val="none"/>
        </w:rPr>
        <w:t xml:space="preserve"> ou </w:t>
      </w:r>
      <w:r>
        <w:rPr>
          <w:rFonts w:cs="Arial"/>
          <w:b/>
          <w:color w:val="auto"/>
          <w:sz w:val="20"/>
          <w:szCs w:val="20"/>
          <w:highlight w:val="none"/>
        </w:rPr>
        <w:t>Certidão Positiva de Débitos com efeitos de Negativa referente aos Tributos Mobiliários</w:t>
      </w:r>
      <w:r>
        <w:rPr>
          <w:rFonts w:cs="Arial"/>
          <w:color w:val="auto"/>
          <w:sz w:val="20"/>
          <w:szCs w:val="20"/>
          <w:highlight w:val="none"/>
        </w:rPr>
        <w:t>.</w:t>
      </w:r>
    </w:p>
    <w:p>
      <w:pPr>
        <w:spacing w:before="0" w:after="0"/>
        <w:ind w:right="-1"/>
        <w:jc w:val="both"/>
        <w:rPr>
          <w:rFonts w:cs="Arial"/>
          <w:color w:val="auto"/>
          <w:sz w:val="20"/>
          <w:szCs w:val="20"/>
          <w:highlight w:val="none"/>
        </w:rPr>
      </w:pPr>
    </w:p>
    <w:p>
      <w:pPr>
        <w:pStyle w:val="47"/>
        <w:numPr>
          <w:ilvl w:val="2"/>
          <w:numId w:val="2"/>
        </w:numPr>
        <w:tabs>
          <w:tab w:val="left" w:pos="-142"/>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Certidão Negativa de Débitos Trabalhistas (</w:t>
      </w:r>
      <w:r>
        <w:rPr>
          <w:rFonts w:cs="Arial"/>
          <w:b/>
          <w:color w:val="auto"/>
          <w:sz w:val="20"/>
          <w:szCs w:val="20"/>
          <w:highlight w:val="none"/>
        </w:rPr>
        <w:t>CNDT</w:t>
      </w:r>
      <w:r>
        <w:rPr>
          <w:rFonts w:cs="Arial"/>
          <w:color w:val="auto"/>
          <w:sz w:val="20"/>
          <w:szCs w:val="20"/>
          <w:highlight w:val="none"/>
        </w:rPr>
        <w:t>)</w:t>
      </w:r>
      <w:r>
        <w:rPr>
          <w:rFonts w:cs="Arial"/>
          <w:b/>
          <w:color w:val="auto"/>
          <w:sz w:val="20"/>
          <w:szCs w:val="20"/>
          <w:highlight w:val="none"/>
        </w:rPr>
        <w:t>,</w:t>
      </w:r>
      <w:r>
        <w:rPr>
          <w:rFonts w:cs="Arial"/>
          <w:color w:val="auto"/>
          <w:sz w:val="20"/>
          <w:szCs w:val="20"/>
          <w:highlight w:val="none"/>
        </w:rPr>
        <w:t xml:space="preserve"> ou Certidão Positiva de Débitos Trabalhistas com Efeitos de Negativa expedida pela Justiça do Trabalho.</w:t>
      </w:r>
    </w:p>
    <w:p>
      <w:pPr>
        <w:pStyle w:val="47"/>
        <w:tabs>
          <w:tab w:val="left" w:pos="-142"/>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142" w:right="-1" w:firstLine="0"/>
        <w:jc w:val="both"/>
        <w:rPr>
          <w:rFonts w:cs="Arial"/>
          <w:b/>
          <w:color w:val="auto"/>
          <w:sz w:val="20"/>
          <w:szCs w:val="20"/>
          <w:highlight w:val="none"/>
        </w:rPr>
      </w:pPr>
      <w:r>
        <w:rPr>
          <w:rFonts w:cs="Arial"/>
          <w:b/>
          <w:color w:val="auto"/>
          <w:sz w:val="20"/>
          <w:szCs w:val="20"/>
          <w:highlight w:val="none"/>
        </w:rPr>
        <w:t>Das considerações para Microempresas e Empresas de Pequeno Porte:</w:t>
      </w:r>
    </w:p>
    <w:p>
      <w:pPr>
        <w:pStyle w:val="47"/>
        <w:tabs>
          <w:tab w:val="left" w:pos="-142"/>
          <w:tab w:val="left" w:pos="709"/>
        </w:tabs>
        <w:spacing w:before="0" w:after="0"/>
        <w:ind w:left="709" w:right="-1"/>
        <w:jc w:val="both"/>
        <w:rPr>
          <w:rFonts w:cs="Arial"/>
          <w:color w:val="auto"/>
          <w:sz w:val="20"/>
          <w:szCs w:val="20"/>
          <w:highlight w:val="none"/>
        </w:rPr>
      </w:pPr>
    </w:p>
    <w:p>
      <w:pPr>
        <w:pStyle w:val="47"/>
        <w:numPr>
          <w:ilvl w:val="2"/>
          <w:numId w:val="2"/>
        </w:numPr>
        <w:tabs>
          <w:tab w:val="left" w:pos="-142"/>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A comprovação de regularidade fiscal das microempresas e empresas de pequeno porte somente será exigida para efeito de assinatura do contrato.</w:t>
      </w:r>
    </w:p>
    <w:p>
      <w:pPr>
        <w:pStyle w:val="47"/>
        <w:tabs>
          <w:tab w:val="left" w:pos="-142"/>
          <w:tab w:val="left" w:pos="709"/>
        </w:tabs>
        <w:spacing w:before="0" w:after="0"/>
        <w:ind w:left="709" w:right="-1"/>
        <w:jc w:val="both"/>
        <w:rPr>
          <w:rFonts w:cs="Arial"/>
          <w:color w:val="auto"/>
          <w:sz w:val="20"/>
          <w:szCs w:val="20"/>
          <w:highlight w:val="none"/>
        </w:rPr>
      </w:pPr>
    </w:p>
    <w:p>
      <w:pPr>
        <w:pStyle w:val="47"/>
        <w:numPr>
          <w:ilvl w:val="3"/>
          <w:numId w:val="2"/>
        </w:numPr>
        <w:tabs>
          <w:tab w:val="left" w:pos="-142"/>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As microempresas e empresas de pequeno porte, por ocasião da participação neste certame, deverão apresentar toda a documentação exigida para fins de comprovação da regularidade fiscal, mesmo que esta apresente alguma restrição.</w:t>
      </w:r>
    </w:p>
    <w:p>
      <w:pPr>
        <w:pStyle w:val="47"/>
        <w:tabs>
          <w:tab w:val="left" w:pos="-142"/>
          <w:tab w:val="left" w:pos="709"/>
        </w:tabs>
        <w:spacing w:before="0" w:after="0"/>
        <w:ind w:left="709" w:right="-1"/>
        <w:jc w:val="both"/>
        <w:rPr>
          <w:rFonts w:cs="Arial"/>
          <w:color w:val="auto"/>
          <w:sz w:val="20"/>
          <w:szCs w:val="20"/>
          <w:highlight w:val="none"/>
        </w:rPr>
      </w:pPr>
    </w:p>
    <w:p>
      <w:pPr>
        <w:pStyle w:val="47"/>
        <w:numPr>
          <w:ilvl w:val="3"/>
          <w:numId w:val="2"/>
        </w:numPr>
        <w:tabs>
          <w:tab w:val="left" w:pos="-142"/>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 xml:space="preserve">Havendo alguma restrição da comprovação de regularidade fiscal, será assegurado o prazo de </w:t>
      </w:r>
      <w:r>
        <w:rPr>
          <w:rFonts w:cs="Arial"/>
          <w:b/>
          <w:color w:val="auto"/>
          <w:sz w:val="20"/>
          <w:szCs w:val="20"/>
          <w:highlight w:val="none"/>
        </w:rPr>
        <w:t xml:space="preserve">5 </w:t>
      </w:r>
      <w:r>
        <w:rPr>
          <w:rFonts w:cs="Arial"/>
          <w:color w:val="auto"/>
          <w:sz w:val="20"/>
          <w:szCs w:val="20"/>
          <w:highlight w:val="none"/>
        </w:rPr>
        <w:t>(</w:t>
      </w:r>
      <w:r>
        <w:rPr>
          <w:rFonts w:cs="Arial"/>
          <w:b/>
          <w:color w:val="auto"/>
          <w:sz w:val="20"/>
          <w:szCs w:val="20"/>
          <w:highlight w:val="none"/>
        </w:rPr>
        <w:t>cinco</w:t>
      </w:r>
      <w:r>
        <w:rPr>
          <w:rFonts w:cs="Arial"/>
          <w:color w:val="auto"/>
          <w:sz w:val="20"/>
          <w:szCs w:val="20"/>
          <w:highlight w:val="none"/>
        </w:rPr>
        <w:t>)</w:t>
      </w:r>
      <w:r>
        <w:rPr>
          <w:rFonts w:cs="Arial"/>
          <w:b/>
          <w:color w:val="auto"/>
          <w:sz w:val="20"/>
          <w:szCs w:val="20"/>
          <w:highlight w:val="none"/>
        </w:rPr>
        <w:t xml:space="preserve"> dias úteis </w:t>
      </w:r>
      <w:r>
        <w:rPr>
          <w:rFonts w:cs="Arial"/>
          <w:color w:val="auto"/>
          <w:sz w:val="20"/>
          <w:szCs w:val="20"/>
          <w:highlight w:val="none"/>
        </w:rPr>
        <w:t>para as Microempresas e Empresas de Pequeno Porte, contado a partir do momento em que a licitante for declarada vencedora do certame, prorrogável por igual período, a critério desta Prefeitura, para a regularização da documentação, pagamento ou parcelamento do débito, e emissão de eventuais certidões negativas ou positivas, com efeito de certidão negativa.</w:t>
      </w:r>
    </w:p>
    <w:p>
      <w:pPr>
        <w:pStyle w:val="47"/>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142" w:right="-1" w:firstLine="0"/>
        <w:jc w:val="both"/>
        <w:rPr>
          <w:rFonts w:cs="Arial"/>
          <w:b/>
          <w:color w:val="auto"/>
          <w:sz w:val="20"/>
          <w:szCs w:val="20"/>
          <w:highlight w:val="none"/>
        </w:rPr>
      </w:pPr>
      <w:r>
        <w:rPr>
          <w:rFonts w:cs="Arial"/>
          <w:b/>
          <w:color w:val="auto"/>
          <w:sz w:val="20"/>
          <w:szCs w:val="20"/>
          <w:highlight w:val="none"/>
        </w:rPr>
        <w:t>QUALIFICAÇÃO ECONÔMICO-FINANCEIRA</w:t>
      </w:r>
    </w:p>
    <w:p>
      <w:pPr>
        <w:pStyle w:val="47"/>
        <w:tabs>
          <w:tab w:val="left" w:pos="709"/>
        </w:tabs>
        <w:spacing w:before="0" w:after="0"/>
        <w:ind w:left="-142" w:right="-1"/>
        <w:jc w:val="both"/>
        <w:rPr>
          <w:rFonts w:cs="Arial"/>
          <w:b/>
          <w:color w:val="auto"/>
          <w:sz w:val="20"/>
          <w:szCs w:val="20"/>
          <w:highlight w:val="none"/>
        </w:rPr>
      </w:pPr>
    </w:p>
    <w:p>
      <w:pPr>
        <w:pStyle w:val="47"/>
        <w:numPr>
          <w:ilvl w:val="2"/>
          <w:numId w:val="2"/>
        </w:numPr>
        <w:tabs>
          <w:tab w:val="left" w:pos="-142"/>
          <w:tab w:val="left" w:pos="709"/>
        </w:tabs>
        <w:spacing w:before="0" w:after="0"/>
        <w:ind w:left="709" w:right="-1" w:hanging="851"/>
        <w:jc w:val="both"/>
        <w:rPr>
          <w:rFonts w:cs="Arial"/>
          <w:color w:val="auto"/>
          <w:sz w:val="20"/>
          <w:szCs w:val="20"/>
          <w:highlight w:val="none"/>
        </w:rPr>
      </w:pPr>
      <w:r>
        <w:rPr>
          <w:sz w:val="20"/>
          <w:szCs w:val="20"/>
          <w:highlight w:val="none"/>
        </w:rPr>
        <w:t>Certidão negativa de insolvência civil expedida pelo distribuidor do domicílio ou sede do licitante, caso se trate de pessoa física, desde que admitida a sua participação na licitação (</w:t>
      </w:r>
      <w:r>
        <w:rPr>
          <w:highlight w:val="none"/>
        </w:rPr>
        <w:fldChar w:fldCharType="begin"/>
      </w:r>
      <w:r>
        <w:rPr>
          <w:highlight w:val="none"/>
        </w:rPr>
        <w:instrText xml:space="preserve"> HYPERLINK "https://www.gov.br/compras/pt-br/acesso-a-informacao/legislacao/instrucoes-normativas/instrucao-normativa-seges-me-no-116-de-21-de-dezembro-de-2021" \l "art5" </w:instrText>
      </w:r>
      <w:r>
        <w:rPr>
          <w:highlight w:val="none"/>
        </w:rPr>
        <w:fldChar w:fldCharType="separate"/>
      </w:r>
      <w:r>
        <w:rPr>
          <w:rStyle w:val="16"/>
          <w:sz w:val="20"/>
          <w:szCs w:val="20"/>
          <w:highlight w:val="none"/>
        </w:rPr>
        <w:t>art. 5º, inciso II, alínea “c”, da Instrução Normativa Seges/ME nº 116, de 2021</w:t>
      </w:r>
      <w:r>
        <w:rPr>
          <w:rStyle w:val="16"/>
          <w:sz w:val="20"/>
          <w:szCs w:val="20"/>
          <w:highlight w:val="none"/>
        </w:rPr>
        <w:fldChar w:fldCharType="end"/>
      </w:r>
      <w:r>
        <w:rPr>
          <w:sz w:val="20"/>
          <w:szCs w:val="20"/>
          <w:highlight w:val="none"/>
        </w:rPr>
        <w:t>), ou de sociedade simples;</w:t>
      </w:r>
    </w:p>
    <w:p>
      <w:pPr>
        <w:pStyle w:val="47"/>
        <w:tabs>
          <w:tab w:val="left" w:pos="-142"/>
          <w:tab w:val="left" w:pos="709"/>
        </w:tabs>
        <w:spacing w:before="0" w:after="0"/>
        <w:ind w:left="709" w:right="-1"/>
        <w:jc w:val="both"/>
        <w:rPr>
          <w:rFonts w:cs="Arial"/>
          <w:color w:val="auto"/>
          <w:sz w:val="20"/>
          <w:szCs w:val="20"/>
          <w:highlight w:val="none"/>
        </w:rPr>
      </w:pPr>
    </w:p>
    <w:p>
      <w:pPr>
        <w:pStyle w:val="47"/>
        <w:numPr>
          <w:ilvl w:val="2"/>
          <w:numId w:val="2"/>
        </w:numPr>
        <w:tabs>
          <w:tab w:val="left" w:pos="-142"/>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Certidão negativa de falência, recuperação judicial ou extrajudicial expedida pelo distribuidor da sede da pessoa jurídica ou do domicílio do empresário individual.</w:t>
      </w:r>
    </w:p>
    <w:p>
      <w:pPr>
        <w:pStyle w:val="47"/>
        <w:tabs>
          <w:tab w:val="left" w:pos="-142"/>
          <w:tab w:val="left" w:pos="709"/>
        </w:tabs>
        <w:spacing w:before="0" w:after="0"/>
        <w:ind w:left="709" w:right="-1"/>
        <w:jc w:val="both"/>
        <w:rPr>
          <w:rFonts w:cs="Arial"/>
          <w:color w:val="auto"/>
          <w:sz w:val="20"/>
          <w:szCs w:val="20"/>
          <w:highlight w:val="none"/>
        </w:rPr>
      </w:pPr>
    </w:p>
    <w:p>
      <w:pPr>
        <w:pStyle w:val="47"/>
        <w:numPr>
          <w:ilvl w:val="2"/>
          <w:numId w:val="2"/>
        </w:numPr>
        <w:tabs>
          <w:tab w:val="left" w:pos="-142"/>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Caso o licitante esteja em recuperação judicial ou extrajudicial, deverá ser comprovado o acolhimento do plano de recuperação judicial ou a homologação do plano de recuperação extrajudicial, conforme o caso.</w:t>
      </w:r>
    </w:p>
    <w:p>
      <w:pPr>
        <w:pStyle w:val="47"/>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142" w:right="-1" w:firstLine="0"/>
        <w:jc w:val="both"/>
        <w:rPr>
          <w:rFonts w:cs="Arial"/>
          <w:b/>
          <w:color w:val="auto"/>
          <w:sz w:val="20"/>
          <w:szCs w:val="20"/>
          <w:highlight w:val="none"/>
        </w:rPr>
      </w:pPr>
      <w:r>
        <w:rPr>
          <w:rFonts w:cs="Arial"/>
          <w:b/>
          <w:color w:val="auto"/>
          <w:sz w:val="20"/>
          <w:szCs w:val="20"/>
          <w:highlight w:val="none"/>
        </w:rPr>
        <w:t>DOCUMENTAÇÃO COMPLEMENTAR</w:t>
      </w:r>
    </w:p>
    <w:p>
      <w:pPr>
        <w:spacing w:before="0" w:after="0"/>
        <w:ind w:right="-1"/>
        <w:jc w:val="both"/>
        <w:rPr>
          <w:rFonts w:cs="Arial"/>
          <w:color w:val="auto"/>
          <w:sz w:val="20"/>
          <w:szCs w:val="20"/>
          <w:highlight w:val="none"/>
        </w:rPr>
      </w:pPr>
    </w:p>
    <w:p>
      <w:pPr>
        <w:pStyle w:val="47"/>
        <w:numPr>
          <w:ilvl w:val="2"/>
          <w:numId w:val="2"/>
        </w:numPr>
        <w:tabs>
          <w:tab w:val="left" w:pos="-142"/>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 xml:space="preserve">Declaração da empresa de que não possui, em seu quadro de pessoal, empregado menor de 18 (dezoito) anos em trabalho noturno, perigoso ou insalubre e, de qualquer trabalho a menores de 16 (dezesseis) anos, salvo na condição de aprendiz, a partir de 14 (quatorze) anos, nos termos do art. 7º, inciso XXXIII da Constituição Federal e art. </w:t>
      </w:r>
      <w:r>
        <w:rPr>
          <w:rFonts w:hint="default" w:cs="Arial"/>
          <w:color w:val="auto"/>
          <w:sz w:val="20"/>
          <w:szCs w:val="20"/>
          <w:highlight w:val="none"/>
          <w:lang w:val="pt-BR"/>
        </w:rPr>
        <w:t>68</w:t>
      </w:r>
      <w:r>
        <w:rPr>
          <w:rFonts w:cs="Arial"/>
          <w:color w:val="auto"/>
          <w:sz w:val="20"/>
          <w:szCs w:val="20"/>
          <w:highlight w:val="none"/>
        </w:rPr>
        <w:t>, inciso V</w:t>
      </w:r>
      <w:r>
        <w:rPr>
          <w:rFonts w:hint="default" w:cs="Arial"/>
          <w:color w:val="auto"/>
          <w:sz w:val="20"/>
          <w:szCs w:val="20"/>
          <w:highlight w:val="none"/>
          <w:lang w:val="pt-BR"/>
        </w:rPr>
        <w:t>I</w:t>
      </w:r>
      <w:r>
        <w:rPr>
          <w:rFonts w:cs="Arial"/>
          <w:color w:val="auto"/>
          <w:sz w:val="20"/>
          <w:szCs w:val="20"/>
          <w:highlight w:val="none"/>
        </w:rPr>
        <w:t xml:space="preserve"> da Lei</w:t>
      </w:r>
      <w:r>
        <w:rPr>
          <w:rFonts w:hint="default" w:cs="Arial"/>
          <w:color w:val="auto"/>
          <w:sz w:val="20"/>
          <w:szCs w:val="20"/>
          <w:highlight w:val="none"/>
          <w:lang w:val="pt-BR"/>
        </w:rPr>
        <w:t xml:space="preserve"> Federal</w:t>
      </w:r>
      <w:r>
        <w:rPr>
          <w:rFonts w:cs="Arial"/>
          <w:color w:val="auto"/>
          <w:sz w:val="20"/>
          <w:szCs w:val="20"/>
          <w:highlight w:val="none"/>
        </w:rPr>
        <w:t xml:space="preserve"> nº </w:t>
      </w:r>
      <w:r>
        <w:rPr>
          <w:rFonts w:hint="default" w:cs="Arial"/>
          <w:color w:val="auto"/>
          <w:sz w:val="20"/>
          <w:szCs w:val="20"/>
          <w:highlight w:val="none"/>
          <w:lang w:val="pt-BR"/>
        </w:rPr>
        <w:t>14.133/2021</w:t>
      </w:r>
      <w:r>
        <w:rPr>
          <w:rFonts w:cs="Arial"/>
          <w:color w:val="auto"/>
          <w:sz w:val="20"/>
          <w:szCs w:val="20"/>
          <w:highlight w:val="none"/>
        </w:rPr>
        <w:t xml:space="preserve">, conforme modelo </w:t>
      </w:r>
      <w:r>
        <w:rPr>
          <w:rFonts w:cs="Arial"/>
          <w:b/>
          <w:color w:val="auto"/>
          <w:sz w:val="20"/>
          <w:szCs w:val="20"/>
          <w:highlight w:val="none"/>
        </w:rPr>
        <w:t>Anexo IV</w:t>
      </w:r>
      <w:r>
        <w:rPr>
          <w:rFonts w:cs="Arial"/>
          <w:color w:val="auto"/>
          <w:sz w:val="20"/>
          <w:szCs w:val="20"/>
          <w:highlight w:val="none"/>
        </w:rPr>
        <w:t xml:space="preserve"> deste Edital.</w:t>
      </w:r>
    </w:p>
    <w:p>
      <w:pPr>
        <w:pStyle w:val="47"/>
        <w:tabs>
          <w:tab w:val="left" w:pos="-142"/>
          <w:tab w:val="left" w:pos="709"/>
        </w:tabs>
        <w:spacing w:before="0" w:after="0"/>
        <w:ind w:left="709" w:right="-1"/>
        <w:jc w:val="both"/>
        <w:rPr>
          <w:rFonts w:cs="Arial"/>
          <w:color w:val="auto"/>
          <w:sz w:val="20"/>
          <w:szCs w:val="20"/>
          <w:highlight w:val="none"/>
        </w:rPr>
      </w:pPr>
    </w:p>
    <w:p>
      <w:pPr>
        <w:pStyle w:val="47"/>
        <w:numPr>
          <w:ilvl w:val="2"/>
          <w:numId w:val="2"/>
        </w:numPr>
        <w:tabs>
          <w:tab w:val="left" w:pos="-142"/>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 xml:space="preserve">Declaração de Microempresa ou Empresa de Pequeno Porte visando ao exercício da preferência prevista na Lei Complementar nº 123/2006, alterada pela Lei Complementar 147/2014, que deverá ser feita de acordo com o modelo estabelecido no </w:t>
      </w:r>
      <w:r>
        <w:rPr>
          <w:rFonts w:cs="Arial"/>
          <w:b/>
          <w:color w:val="auto"/>
          <w:sz w:val="20"/>
          <w:szCs w:val="20"/>
          <w:highlight w:val="none"/>
        </w:rPr>
        <w:t>Anexo III</w:t>
      </w:r>
      <w:r>
        <w:rPr>
          <w:rFonts w:cs="Arial"/>
          <w:color w:val="auto"/>
          <w:sz w:val="20"/>
          <w:szCs w:val="20"/>
          <w:highlight w:val="none"/>
        </w:rPr>
        <w:t xml:space="preserve"> deste Edital.</w:t>
      </w:r>
    </w:p>
    <w:p>
      <w:pPr>
        <w:tabs>
          <w:tab w:val="left" w:pos="-142"/>
          <w:tab w:val="left" w:pos="709"/>
        </w:tabs>
        <w:spacing w:before="0" w:after="0"/>
        <w:ind w:right="-1"/>
        <w:jc w:val="both"/>
        <w:rPr>
          <w:rFonts w:cs="Arial"/>
          <w:color w:val="auto"/>
          <w:sz w:val="20"/>
          <w:szCs w:val="20"/>
          <w:highlight w:val="none"/>
        </w:rPr>
      </w:pPr>
    </w:p>
    <w:p>
      <w:pPr>
        <w:pStyle w:val="47"/>
        <w:numPr>
          <w:ilvl w:val="2"/>
          <w:numId w:val="2"/>
        </w:numPr>
        <w:tabs>
          <w:tab w:val="left" w:pos="-142"/>
          <w:tab w:val="left" w:pos="709"/>
        </w:tabs>
        <w:spacing w:before="0" w:after="0"/>
        <w:ind w:left="709" w:right="-1" w:hanging="851"/>
        <w:jc w:val="both"/>
        <w:rPr>
          <w:rFonts w:cs="Arial"/>
          <w:b/>
          <w:color w:val="auto"/>
          <w:sz w:val="20"/>
          <w:szCs w:val="20"/>
          <w:highlight w:val="none"/>
        </w:rPr>
      </w:pPr>
      <w:r>
        <w:rPr>
          <w:rFonts w:cs="Arial"/>
          <w:b/>
          <w:color w:val="auto"/>
          <w:sz w:val="20"/>
          <w:szCs w:val="20"/>
          <w:highlight w:val="none"/>
        </w:rPr>
        <w:t>No caso de representantes não constantes do quadro societário:</w:t>
      </w:r>
    </w:p>
    <w:p>
      <w:pPr>
        <w:pStyle w:val="47"/>
        <w:tabs>
          <w:tab w:val="left" w:pos="-142"/>
          <w:tab w:val="left" w:pos="709"/>
        </w:tabs>
        <w:spacing w:before="0" w:after="0"/>
        <w:ind w:left="709" w:right="-1"/>
        <w:jc w:val="both"/>
        <w:rPr>
          <w:rFonts w:cs="Arial"/>
          <w:color w:val="auto"/>
          <w:sz w:val="20"/>
          <w:szCs w:val="20"/>
          <w:highlight w:val="none"/>
        </w:rPr>
      </w:pPr>
    </w:p>
    <w:p>
      <w:pPr>
        <w:pStyle w:val="47"/>
        <w:numPr>
          <w:ilvl w:val="3"/>
          <w:numId w:val="2"/>
        </w:numPr>
        <w:tabs>
          <w:tab w:val="left" w:pos="-142"/>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Instrumento Público de Procuração com poderes para praticar todos os atos pertinentes ao certame, em nome da empresa proponente, com prazo de validade em vigor, acompanhado de Cópia de seu Contrato Social ou estatuto em vigor, no caso de Sociedade Anônima, devidamente acompanhado de documentos de eleição de seus administradores, ou, Prova de Registro Comercial no caso de Empresa Individual.</w:t>
      </w:r>
    </w:p>
    <w:p>
      <w:pPr>
        <w:pStyle w:val="47"/>
        <w:tabs>
          <w:tab w:val="left" w:pos="-142"/>
          <w:tab w:val="left" w:pos="709"/>
        </w:tabs>
        <w:spacing w:before="0" w:after="0"/>
        <w:ind w:left="709" w:right="-1"/>
        <w:jc w:val="both"/>
        <w:rPr>
          <w:rFonts w:cs="Arial"/>
          <w:color w:val="auto"/>
          <w:sz w:val="20"/>
          <w:szCs w:val="20"/>
          <w:highlight w:val="none"/>
        </w:rPr>
      </w:pPr>
    </w:p>
    <w:p>
      <w:pPr>
        <w:pStyle w:val="47"/>
        <w:numPr>
          <w:ilvl w:val="3"/>
          <w:numId w:val="2"/>
        </w:numPr>
        <w:tabs>
          <w:tab w:val="left" w:pos="-142"/>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 xml:space="preserve">Instrumento Particular de Procuração, no modelo do </w:t>
      </w:r>
      <w:r>
        <w:rPr>
          <w:rFonts w:cs="Arial"/>
          <w:b/>
          <w:color w:val="auto"/>
          <w:sz w:val="20"/>
          <w:szCs w:val="20"/>
          <w:highlight w:val="none"/>
        </w:rPr>
        <w:t>Anexo II</w:t>
      </w:r>
      <w:r>
        <w:rPr>
          <w:rFonts w:cs="Arial"/>
          <w:color w:val="auto"/>
          <w:sz w:val="20"/>
          <w:szCs w:val="20"/>
          <w:highlight w:val="none"/>
        </w:rPr>
        <w:t>, com poderes para praticar todos os atos pertinentes ao certame, em nome da empresa proponente, acompanhado de Cópia de seu Contrato Social ou estatuto em vigor, no caso de Sociedade Anônima, devidamente acompanhado de documentos de eleição de seus administradores, ou, Prova de Registro Comercial no caso de Empresa Individual.</w:t>
      </w:r>
    </w:p>
    <w:p>
      <w:pPr>
        <w:tabs>
          <w:tab w:val="left" w:pos="-142"/>
          <w:tab w:val="left" w:pos="709"/>
        </w:tabs>
        <w:spacing w:before="0" w:after="0"/>
        <w:ind w:left="-142" w:right="-1"/>
        <w:jc w:val="both"/>
        <w:rPr>
          <w:rFonts w:cs="Arial"/>
          <w:color w:val="auto"/>
          <w:sz w:val="20"/>
          <w:szCs w:val="20"/>
          <w:highlight w:val="none"/>
        </w:rPr>
      </w:pPr>
    </w:p>
    <w:p>
      <w:pPr>
        <w:pStyle w:val="22"/>
        <w:rPr>
          <w:highlight w:val="none"/>
        </w:rPr>
      </w:pPr>
      <w:bookmarkStart w:id="14" w:name="_Toc8497"/>
      <w:r>
        <w:rPr>
          <w:highlight w:val="none"/>
        </w:rPr>
        <w:t>DA IMPUGNAÇÃO DO EDITAL E RECURSOS</w:t>
      </w:r>
      <w:bookmarkEnd w:id="14"/>
    </w:p>
    <w:p>
      <w:pPr>
        <w:spacing w:before="0" w:after="0"/>
        <w:ind w:right="-1"/>
        <w:rPr>
          <w:rFonts w:cs="Arial"/>
          <w:sz w:val="20"/>
          <w:szCs w:val="20"/>
          <w:highlight w:val="none"/>
        </w:rPr>
      </w:pPr>
    </w:p>
    <w:p>
      <w:pPr>
        <w:pStyle w:val="47"/>
        <w:numPr>
          <w:ilvl w:val="0"/>
          <w:numId w:val="2"/>
        </w:numPr>
        <w:spacing w:before="0" w:after="0"/>
        <w:ind w:left="-142" w:right="-1" w:firstLine="851"/>
        <w:jc w:val="both"/>
        <w:rPr>
          <w:rFonts w:cs="Arial"/>
          <w:vanish/>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 xml:space="preserve">Com antecedência mínima de </w:t>
      </w:r>
      <w:r>
        <w:rPr>
          <w:rFonts w:cs="Arial"/>
          <w:b/>
          <w:color w:val="auto"/>
          <w:sz w:val="20"/>
          <w:szCs w:val="20"/>
          <w:highlight w:val="none"/>
        </w:rPr>
        <w:t>3 (três)</w:t>
      </w:r>
      <w:r>
        <w:rPr>
          <w:rFonts w:cs="Arial"/>
          <w:color w:val="auto"/>
          <w:sz w:val="20"/>
          <w:szCs w:val="20"/>
          <w:highlight w:val="none"/>
        </w:rPr>
        <w:t xml:space="preserve"> </w:t>
      </w:r>
      <w:r>
        <w:rPr>
          <w:rFonts w:cs="Arial"/>
          <w:b/>
          <w:color w:val="auto"/>
          <w:sz w:val="20"/>
          <w:szCs w:val="20"/>
          <w:highlight w:val="none"/>
        </w:rPr>
        <w:t>dias úteis</w:t>
      </w:r>
      <w:r>
        <w:rPr>
          <w:rFonts w:cs="Arial"/>
          <w:color w:val="auto"/>
          <w:sz w:val="20"/>
          <w:szCs w:val="20"/>
          <w:highlight w:val="none"/>
        </w:rPr>
        <w:t xml:space="preserve"> anteriores à data fixada para abertura das propostas, qualquer pessoa poderá solicitar esclarecimentos, providências ou impugnar o ato convocatório do Pregão.</w:t>
      </w:r>
    </w:p>
    <w:p>
      <w:pPr>
        <w:pStyle w:val="47"/>
        <w:tabs>
          <w:tab w:val="left" w:pos="709"/>
        </w:tabs>
        <w:spacing w:before="0" w:after="0"/>
        <w:ind w:left="709" w:right="-1"/>
        <w:jc w:val="both"/>
        <w:rPr>
          <w:rFonts w:cs="Arial"/>
          <w:b/>
          <w:color w:val="auto"/>
          <w:sz w:val="20"/>
          <w:szCs w:val="20"/>
          <w:highlight w:val="none"/>
        </w:rPr>
      </w:pPr>
    </w:p>
    <w:p>
      <w:pPr>
        <w:pStyle w:val="47"/>
        <w:numPr>
          <w:ilvl w:val="2"/>
          <w:numId w:val="2"/>
        </w:numPr>
        <w:tabs>
          <w:tab w:val="left" w:pos="709"/>
        </w:tabs>
        <w:spacing w:before="0" w:after="0"/>
        <w:ind w:left="709" w:right="-1" w:hanging="851"/>
        <w:jc w:val="both"/>
        <w:rPr>
          <w:rFonts w:cs="Arial"/>
          <w:color w:val="auto"/>
          <w:sz w:val="20"/>
          <w:szCs w:val="20"/>
          <w:highlight w:val="none"/>
        </w:rPr>
      </w:pPr>
      <w:r>
        <w:rPr>
          <w:sz w:val="20"/>
          <w:szCs w:val="20"/>
          <w:highlight w:val="none"/>
        </w:rPr>
        <w:t xml:space="preserve">As impugnações e os pedidos de esclarecimentos serão formulados exclusivamente por meio </w:t>
      </w:r>
      <w:r>
        <w:rPr>
          <w:color w:val="auto"/>
          <w:sz w:val="20"/>
          <w:szCs w:val="20"/>
          <w:highlight w:val="none"/>
        </w:rPr>
        <w:t xml:space="preserve">eletrônico, no sítio </w:t>
      </w:r>
      <w:r>
        <w:rPr>
          <w:rFonts w:hint="default"/>
          <w:sz w:val="20"/>
          <w:szCs w:val="20"/>
          <w:highlight w:val="none"/>
        </w:rPr>
        <w:fldChar w:fldCharType="begin"/>
      </w:r>
      <w:r>
        <w:rPr>
          <w:rFonts w:hint="default"/>
          <w:sz w:val="20"/>
          <w:szCs w:val="20"/>
          <w:highlight w:val="none"/>
        </w:rPr>
        <w:instrText xml:space="preserve"> HYPERLINK "https://novobbmnet.com.br/" </w:instrText>
      </w:r>
      <w:r>
        <w:rPr>
          <w:rFonts w:hint="default"/>
          <w:sz w:val="20"/>
          <w:szCs w:val="20"/>
          <w:highlight w:val="none"/>
        </w:rPr>
        <w:fldChar w:fldCharType="separate"/>
      </w:r>
      <w:r>
        <w:rPr>
          <w:rStyle w:val="16"/>
          <w:rFonts w:hint="default"/>
          <w:sz w:val="20"/>
          <w:szCs w:val="20"/>
          <w:highlight w:val="none"/>
        </w:rPr>
        <w:t>https://novobbmnet.com.br/</w:t>
      </w:r>
      <w:r>
        <w:rPr>
          <w:rFonts w:hint="default"/>
          <w:sz w:val="20"/>
          <w:szCs w:val="20"/>
          <w:highlight w:val="none"/>
        </w:rPr>
        <w:fldChar w:fldCharType="end"/>
      </w:r>
      <w:r>
        <w:rPr>
          <w:color w:val="auto"/>
          <w:sz w:val="20"/>
          <w:szCs w:val="20"/>
          <w:highlight w:val="none"/>
        </w:rPr>
        <w:t xml:space="preserve">. As </w:t>
      </w:r>
      <w:r>
        <w:rPr>
          <w:sz w:val="20"/>
          <w:szCs w:val="20"/>
          <w:highlight w:val="none"/>
        </w:rPr>
        <w:t>impugnações e os pedidos de esclarecimentos não suspendem os prazos previstos no certame</w:t>
      </w:r>
      <w:r>
        <w:rPr>
          <w:rFonts w:cs="Arial"/>
          <w:color w:val="auto"/>
          <w:sz w:val="20"/>
          <w:szCs w:val="20"/>
          <w:highlight w:val="none"/>
        </w:rPr>
        <w:t>.</w:t>
      </w:r>
    </w:p>
    <w:p>
      <w:pPr>
        <w:pStyle w:val="47"/>
        <w:tabs>
          <w:tab w:val="left" w:pos="709"/>
        </w:tabs>
        <w:spacing w:before="0" w:after="0"/>
        <w:ind w:left="709" w:right="-1"/>
        <w:jc w:val="both"/>
        <w:rPr>
          <w:rFonts w:cs="Arial"/>
          <w:color w:val="auto"/>
          <w:sz w:val="20"/>
          <w:szCs w:val="20"/>
          <w:highlight w:val="none"/>
        </w:rPr>
      </w:pPr>
    </w:p>
    <w:p>
      <w:pPr>
        <w:pStyle w:val="47"/>
        <w:numPr>
          <w:ilvl w:val="2"/>
          <w:numId w:val="2"/>
        </w:numPr>
        <w:tabs>
          <w:tab w:val="left" w:pos="709"/>
        </w:tabs>
        <w:spacing w:before="0" w:after="0"/>
        <w:ind w:left="709" w:right="-1" w:hanging="851"/>
        <w:jc w:val="both"/>
        <w:rPr>
          <w:rFonts w:cs="Arial"/>
          <w:color w:val="auto"/>
          <w:sz w:val="20"/>
          <w:szCs w:val="20"/>
          <w:highlight w:val="none"/>
        </w:rPr>
      </w:pPr>
      <w:r>
        <w:rPr>
          <w:sz w:val="20"/>
          <w:szCs w:val="20"/>
          <w:highlight w:val="none"/>
        </w:rPr>
        <w:t>As impugnações serão decididas pelo subscritor do Edital e os pedidos de esclarecimentos respondidos pelo Pregoeiro até o dia útil anterior à data fixada para a abertura da sessão pública.</w:t>
      </w:r>
    </w:p>
    <w:p>
      <w:pPr>
        <w:pStyle w:val="47"/>
        <w:tabs>
          <w:tab w:val="left" w:pos="709"/>
        </w:tabs>
        <w:spacing w:before="0" w:after="0"/>
        <w:ind w:left="709" w:right="-1"/>
        <w:jc w:val="both"/>
        <w:rPr>
          <w:rFonts w:cs="Arial"/>
          <w:color w:val="auto"/>
          <w:sz w:val="20"/>
          <w:szCs w:val="20"/>
          <w:highlight w:val="none"/>
        </w:rPr>
      </w:pPr>
    </w:p>
    <w:p>
      <w:pPr>
        <w:pStyle w:val="47"/>
        <w:numPr>
          <w:ilvl w:val="2"/>
          <w:numId w:val="2"/>
        </w:numPr>
        <w:tabs>
          <w:tab w:val="left" w:pos="709"/>
        </w:tabs>
        <w:spacing w:before="0" w:after="0"/>
        <w:ind w:left="709" w:right="-1" w:hanging="851"/>
        <w:jc w:val="both"/>
        <w:rPr>
          <w:rFonts w:cs="Arial"/>
          <w:color w:val="auto"/>
          <w:sz w:val="20"/>
          <w:szCs w:val="20"/>
          <w:highlight w:val="none"/>
        </w:rPr>
      </w:pPr>
      <w:r>
        <w:rPr>
          <w:sz w:val="20"/>
          <w:szCs w:val="20"/>
          <w:highlight w:val="none"/>
        </w:rPr>
        <w:t>Acolhida a impugnação contra o ato convocatório, será designada nova data para realização da sessão pública, se for o caso.</w:t>
      </w:r>
    </w:p>
    <w:p>
      <w:pPr>
        <w:pStyle w:val="47"/>
        <w:tabs>
          <w:tab w:val="left" w:pos="709"/>
        </w:tabs>
        <w:spacing w:before="0" w:after="0"/>
        <w:ind w:left="709" w:right="-1"/>
        <w:jc w:val="both"/>
        <w:rPr>
          <w:rFonts w:cs="Arial"/>
          <w:color w:val="auto"/>
          <w:sz w:val="20"/>
          <w:szCs w:val="20"/>
          <w:highlight w:val="none"/>
        </w:rPr>
      </w:pPr>
    </w:p>
    <w:p>
      <w:pPr>
        <w:pStyle w:val="47"/>
        <w:numPr>
          <w:ilvl w:val="2"/>
          <w:numId w:val="2"/>
        </w:numPr>
        <w:tabs>
          <w:tab w:val="left" w:pos="709"/>
        </w:tabs>
        <w:spacing w:before="0" w:after="0"/>
        <w:ind w:left="709" w:right="-1" w:hanging="851"/>
        <w:jc w:val="both"/>
        <w:rPr>
          <w:rFonts w:cs="Arial"/>
          <w:color w:val="auto"/>
          <w:sz w:val="20"/>
          <w:szCs w:val="20"/>
          <w:highlight w:val="none"/>
        </w:rPr>
      </w:pPr>
      <w:r>
        <w:rPr>
          <w:sz w:val="20"/>
          <w:szCs w:val="20"/>
          <w:highlight w:val="none"/>
        </w:rPr>
        <w:t>As decisões das impugnações e as respostas aos pedidos de esclarecimentos serão juntadas aos autos do processo licitatório e estarão disponíveis para consulta por qualquer interessado.</w:t>
      </w:r>
    </w:p>
    <w:p>
      <w:pPr>
        <w:pStyle w:val="47"/>
        <w:tabs>
          <w:tab w:val="left" w:pos="709"/>
        </w:tabs>
        <w:spacing w:before="0" w:after="0"/>
        <w:ind w:left="709" w:right="-1"/>
        <w:jc w:val="both"/>
        <w:rPr>
          <w:rFonts w:cs="Arial"/>
          <w:color w:val="auto"/>
          <w:sz w:val="20"/>
          <w:szCs w:val="20"/>
          <w:highlight w:val="none"/>
        </w:rPr>
      </w:pPr>
    </w:p>
    <w:p>
      <w:pPr>
        <w:pStyle w:val="47"/>
        <w:numPr>
          <w:ilvl w:val="2"/>
          <w:numId w:val="2"/>
        </w:numPr>
        <w:tabs>
          <w:tab w:val="left" w:pos="709"/>
        </w:tabs>
        <w:spacing w:before="0" w:after="0"/>
        <w:ind w:left="709" w:right="-1" w:hanging="851"/>
        <w:jc w:val="both"/>
        <w:rPr>
          <w:rFonts w:cs="Arial"/>
          <w:color w:val="auto"/>
          <w:sz w:val="20"/>
          <w:szCs w:val="20"/>
          <w:highlight w:val="none"/>
        </w:rPr>
      </w:pPr>
      <w:r>
        <w:rPr>
          <w:sz w:val="20"/>
          <w:szCs w:val="20"/>
          <w:highlight w:val="none"/>
        </w:rPr>
        <w:t>A ausência de impugnação implicará na aceitação tácita, pelo licitante, das condições previstas neste Edital e em seus anexos, em especial no Termo de Referência e na minuta do contrato ou Ata de Registro de Preço</w:t>
      </w:r>
    </w:p>
    <w:p>
      <w:pPr>
        <w:pStyle w:val="47"/>
        <w:tabs>
          <w:tab w:val="left" w:pos="709"/>
        </w:tabs>
        <w:spacing w:before="0" w:after="0"/>
        <w:ind w:left="709" w:right="-1"/>
        <w:jc w:val="both"/>
        <w:rPr>
          <w:rFonts w:cs="Arial"/>
          <w:color w:val="auto"/>
          <w:sz w:val="20"/>
          <w:szCs w:val="20"/>
          <w:highlight w:val="none"/>
        </w:rPr>
      </w:pPr>
    </w:p>
    <w:p>
      <w:pPr>
        <w:pStyle w:val="47"/>
        <w:numPr>
          <w:ilvl w:val="2"/>
          <w:numId w:val="2"/>
        </w:numPr>
        <w:tabs>
          <w:tab w:val="left" w:pos="709"/>
          <w:tab w:val="left" w:pos="9498"/>
        </w:tabs>
        <w:spacing w:before="0" w:after="0"/>
        <w:ind w:left="709" w:right="-1" w:hanging="851"/>
        <w:jc w:val="both"/>
        <w:rPr>
          <w:rFonts w:cs="Arial"/>
          <w:color w:val="auto"/>
          <w:sz w:val="20"/>
          <w:szCs w:val="20"/>
          <w:highlight w:val="none"/>
        </w:rPr>
      </w:pPr>
      <w:r>
        <w:rPr>
          <w:rFonts w:cs="Arial"/>
          <w:color w:val="auto"/>
          <w:sz w:val="20"/>
          <w:szCs w:val="20"/>
          <w:highlight w:val="none"/>
        </w:rPr>
        <w:t>A impugnação feita tempestivamente pela licitante, não a impedirá de participar deste Pregão, até o trânsito em julgado da presente decisão.</w:t>
      </w:r>
    </w:p>
    <w:p>
      <w:pPr>
        <w:pStyle w:val="47"/>
        <w:tabs>
          <w:tab w:val="left" w:pos="709"/>
          <w:tab w:val="left" w:pos="9498"/>
        </w:tabs>
        <w:spacing w:before="0" w:after="0"/>
        <w:ind w:left="709" w:right="-1" w:hanging="851"/>
        <w:jc w:val="both"/>
        <w:rPr>
          <w:rFonts w:cs="Arial"/>
          <w:color w:val="auto"/>
          <w:sz w:val="20"/>
          <w:szCs w:val="20"/>
          <w:highlight w:val="none"/>
        </w:rPr>
      </w:pPr>
    </w:p>
    <w:p>
      <w:pPr>
        <w:pStyle w:val="47"/>
        <w:numPr>
          <w:ilvl w:val="2"/>
          <w:numId w:val="2"/>
        </w:numPr>
        <w:tabs>
          <w:tab w:val="left" w:pos="0"/>
          <w:tab w:val="left" w:pos="142"/>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Acolhida a petição contra o ato convocatório, será designada nova data para a realização do certame.</w:t>
      </w:r>
    </w:p>
    <w:p>
      <w:pPr>
        <w:pStyle w:val="47"/>
        <w:tabs>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Ao final da sessão, o proponente que desejar recorrer poderá fazê-lo, manifestando sua intenção com registro da síntese das suas razões, em campo próprio disponibilizado pelo sistema, em até 30 (trinta) minutos, após o arrematante ser declarado vencedor.</w:t>
      </w:r>
    </w:p>
    <w:p>
      <w:pPr>
        <w:pStyle w:val="47"/>
        <w:tabs>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A licitante que tiver a intenção de interpor recurso aceita, deverá apresentar memoriais no prazo de 3 (três) dias úteis, ficando os demais interessados, desde logo, intimados a apresentar contra-razões em igual prazo, que começará a correr do término do prazo do recorrente, sendo-lhes assegurado vista imediata dos autos.</w:t>
      </w:r>
    </w:p>
    <w:p>
      <w:pPr>
        <w:pStyle w:val="47"/>
        <w:tabs>
          <w:tab w:val="left" w:pos="709"/>
        </w:tabs>
        <w:spacing w:before="0" w:after="0"/>
        <w:ind w:left="709" w:right="-1"/>
        <w:jc w:val="both"/>
        <w:rPr>
          <w:rFonts w:cs="Arial"/>
          <w:color w:val="auto"/>
          <w:sz w:val="20"/>
          <w:szCs w:val="20"/>
          <w:highlight w:val="none"/>
        </w:rPr>
      </w:pPr>
    </w:p>
    <w:p>
      <w:pPr>
        <w:pStyle w:val="47"/>
        <w:numPr>
          <w:ilvl w:val="2"/>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 xml:space="preserve">As razões e contrarrazões dos recursos deverão ser dirigidas ao Pregoeiro, sendo enviadas exclusivamente por meio de formulário eletrônico, disponível no site </w:t>
      </w:r>
      <w:r>
        <w:rPr>
          <w:rFonts w:hint="default"/>
          <w:sz w:val="20"/>
          <w:szCs w:val="20"/>
          <w:highlight w:val="none"/>
        </w:rPr>
        <w:fldChar w:fldCharType="begin"/>
      </w:r>
      <w:r>
        <w:rPr>
          <w:rFonts w:hint="default"/>
          <w:sz w:val="20"/>
          <w:szCs w:val="20"/>
          <w:highlight w:val="none"/>
        </w:rPr>
        <w:instrText xml:space="preserve"> HYPERLINK "https://novobbmnet.com.br/" </w:instrText>
      </w:r>
      <w:r>
        <w:rPr>
          <w:rFonts w:hint="default"/>
          <w:sz w:val="20"/>
          <w:szCs w:val="20"/>
          <w:highlight w:val="none"/>
        </w:rPr>
        <w:fldChar w:fldCharType="separate"/>
      </w:r>
      <w:r>
        <w:rPr>
          <w:rStyle w:val="16"/>
          <w:rFonts w:hint="default"/>
          <w:sz w:val="20"/>
          <w:szCs w:val="20"/>
          <w:highlight w:val="none"/>
        </w:rPr>
        <w:t>https://novobbmnet.com.br/</w:t>
      </w:r>
      <w:r>
        <w:rPr>
          <w:rFonts w:hint="default"/>
          <w:sz w:val="20"/>
          <w:szCs w:val="20"/>
          <w:highlight w:val="none"/>
        </w:rPr>
        <w:fldChar w:fldCharType="end"/>
      </w:r>
      <w:r>
        <w:rPr>
          <w:rFonts w:cs="Arial"/>
          <w:color w:val="auto"/>
          <w:sz w:val="20"/>
          <w:szCs w:val="20"/>
          <w:highlight w:val="none"/>
        </w:rPr>
        <w:t>.</w:t>
      </w:r>
    </w:p>
    <w:p>
      <w:pPr>
        <w:pStyle w:val="47"/>
        <w:tabs>
          <w:tab w:val="left" w:pos="709"/>
        </w:tabs>
        <w:spacing w:before="0" w:after="0"/>
        <w:ind w:left="709" w:right="-1"/>
        <w:jc w:val="both"/>
        <w:rPr>
          <w:rFonts w:cs="Arial"/>
          <w:color w:val="auto"/>
          <w:sz w:val="20"/>
          <w:szCs w:val="20"/>
          <w:highlight w:val="none"/>
        </w:rPr>
      </w:pPr>
    </w:p>
    <w:p>
      <w:pPr>
        <w:pStyle w:val="47"/>
        <w:numPr>
          <w:ilvl w:val="1"/>
          <w:numId w:val="2"/>
        </w:numPr>
        <w:tabs>
          <w:tab w:val="left" w:pos="709"/>
          <w:tab w:val="left" w:pos="8931"/>
        </w:tabs>
        <w:spacing w:before="0" w:after="0"/>
        <w:ind w:left="709" w:right="-1" w:hanging="851"/>
        <w:jc w:val="both"/>
        <w:rPr>
          <w:rFonts w:cs="Arial"/>
          <w:color w:val="auto"/>
          <w:sz w:val="20"/>
          <w:szCs w:val="20"/>
          <w:highlight w:val="none"/>
        </w:rPr>
      </w:pPr>
      <w:r>
        <w:rPr>
          <w:rFonts w:cs="Arial"/>
          <w:color w:val="auto"/>
          <w:sz w:val="20"/>
          <w:szCs w:val="20"/>
          <w:highlight w:val="none"/>
        </w:rPr>
        <w:t>Não serão aceitas as impugnações e recursos apresentados fora do prazo legal, subscrito por representante não habilitado legalmente, ou não identificado no processo para responder pelo proponente.</w:t>
      </w:r>
    </w:p>
    <w:p>
      <w:pPr>
        <w:tabs>
          <w:tab w:val="left" w:pos="709"/>
        </w:tabs>
        <w:spacing w:before="0" w:after="0"/>
        <w:ind w:right="-1"/>
        <w:jc w:val="both"/>
        <w:rPr>
          <w:rFonts w:cs="Arial"/>
          <w:color w:val="auto"/>
          <w:sz w:val="20"/>
          <w:szCs w:val="20"/>
          <w:highlight w:val="none"/>
        </w:rPr>
      </w:pPr>
    </w:p>
    <w:p>
      <w:pPr>
        <w:pStyle w:val="47"/>
        <w:numPr>
          <w:ilvl w:val="1"/>
          <w:numId w:val="2"/>
        </w:numPr>
        <w:tabs>
          <w:tab w:val="left" w:pos="709"/>
          <w:tab w:val="left" w:pos="8931"/>
        </w:tabs>
        <w:spacing w:before="0" w:after="0"/>
        <w:ind w:left="709" w:right="-1" w:hanging="851"/>
        <w:jc w:val="both"/>
        <w:rPr>
          <w:rFonts w:cs="Arial"/>
          <w:color w:val="auto"/>
          <w:sz w:val="20"/>
          <w:szCs w:val="20"/>
          <w:highlight w:val="none"/>
        </w:rPr>
      </w:pPr>
      <w:r>
        <w:rPr>
          <w:rFonts w:cs="Arial"/>
          <w:color w:val="auto"/>
          <w:sz w:val="20"/>
          <w:szCs w:val="20"/>
          <w:highlight w:val="none"/>
        </w:rPr>
        <w:t>A ausência de manifestação imediata e motivada da licitante importará a decadência do direito de recurso e o encaminhamento do processo à autoridade competente para a homologação.</w:t>
      </w:r>
    </w:p>
    <w:p>
      <w:pPr>
        <w:tabs>
          <w:tab w:val="left" w:pos="709"/>
        </w:tabs>
        <w:spacing w:before="0" w:after="0"/>
        <w:ind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Os recursos contra decisões do Pregoeiro terão efeito suspensivo e seu acolhimento importará a invalidação apenas dos atos insuscetíveis de aproveitamento.</w:t>
      </w:r>
    </w:p>
    <w:p>
      <w:pPr>
        <w:pStyle w:val="47"/>
        <w:tabs>
          <w:tab w:val="left" w:pos="709"/>
        </w:tabs>
        <w:spacing w:before="0" w:after="0"/>
        <w:ind w:left="709"/>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Interposto o recurso, o Pregoeiro poderá reconsiderar a sua decisão ou encaminhá-lo devidamente informado à autoridade competente.</w:t>
      </w:r>
    </w:p>
    <w:p>
      <w:pPr>
        <w:pStyle w:val="47"/>
        <w:tabs>
          <w:tab w:val="left" w:pos="709"/>
        </w:tabs>
        <w:spacing w:before="0" w:after="0"/>
        <w:ind w:left="709" w:right="-1"/>
        <w:jc w:val="both"/>
        <w:rPr>
          <w:rFonts w:cs="Arial"/>
          <w:color w:val="auto"/>
          <w:sz w:val="20"/>
          <w:szCs w:val="20"/>
          <w:highlight w:val="none"/>
        </w:rPr>
      </w:pPr>
    </w:p>
    <w:p>
      <w:pPr>
        <w:pStyle w:val="22"/>
        <w:rPr>
          <w:highlight w:val="none"/>
        </w:rPr>
      </w:pPr>
      <w:bookmarkStart w:id="15" w:name="_Toc9250"/>
      <w:r>
        <w:rPr>
          <w:highlight w:val="none"/>
        </w:rPr>
        <w:t>DA HOMOLOGAÇÃO</w:t>
      </w:r>
      <w:bookmarkEnd w:id="15"/>
    </w:p>
    <w:p>
      <w:pPr>
        <w:spacing w:before="0" w:after="0"/>
        <w:ind w:right="-1"/>
        <w:rPr>
          <w:rFonts w:cs="Arial"/>
          <w:sz w:val="20"/>
          <w:szCs w:val="20"/>
          <w:highlight w:val="none"/>
        </w:rPr>
      </w:pPr>
    </w:p>
    <w:p>
      <w:pPr>
        <w:pStyle w:val="47"/>
        <w:numPr>
          <w:ilvl w:val="0"/>
          <w:numId w:val="2"/>
        </w:numPr>
        <w:spacing w:before="0" w:after="0"/>
        <w:ind w:left="-142" w:right="-1" w:firstLine="851"/>
        <w:jc w:val="both"/>
        <w:rPr>
          <w:rFonts w:cs="Arial"/>
          <w:vanish/>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 xml:space="preserve">O objeto deste Pregão será adjudicado </w:t>
      </w:r>
      <w:r>
        <w:rPr>
          <w:rFonts w:hint="default" w:cs="Arial"/>
          <w:color w:val="auto"/>
          <w:sz w:val="20"/>
          <w:szCs w:val="20"/>
          <w:highlight w:val="none"/>
          <w:lang w:val="pt-BR"/>
        </w:rPr>
        <w:t>e homologado pela autoridade competente.</w:t>
      </w:r>
    </w:p>
    <w:p>
      <w:pPr>
        <w:pStyle w:val="47"/>
        <w:tabs>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Como condição para a sua contratação o licitante vencedor deverá manter as mesmas condições de habilitação, prestar as informações solicitadas pela contratante, dentro dos prazos estipulados, bem como não transferir a outrem as obrigações decorrentes deste contrato.</w:t>
      </w:r>
    </w:p>
    <w:p>
      <w:pPr>
        <w:pStyle w:val="47"/>
        <w:tabs>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Homologada a licitação, o adjudicatório será convocado para assinar o contrato ou retirar o instrumento equivalente com obrigação de fornecimento, respeitando o prazo de validade de sua propostas, observando as condições estabelecidas neste Edital.</w:t>
      </w:r>
    </w:p>
    <w:p>
      <w:pPr>
        <w:pStyle w:val="47"/>
        <w:tabs>
          <w:tab w:val="left" w:pos="709"/>
        </w:tabs>
        <w:spacing w:before="0" w:after="0"/>
        <w:ind w:left="709" w:right="-1"/>
        <w:jc w:val="both"/>
        <w:rPr>
          <w:rFonts w:cs="Arial"/>
          <w:color w:val="auto"/>
          <w:sz w:val="20"/>
          <w:szCs w:val="20"/>
          <w:highlight w:val="none"/>
        </w:rPr>
      </w:pPr>
    </w:p>
    <w:p>
      <w:pPr>
        <w:pStyle w:val="22"/>
        <w:rPr>
          <w:highlight w:val="none"/>
        </w:rPr>
      </w:pPr>
      <w:bookmarkStart w:id="16" w:name="_Toc29429"/>
      <w:r>
        <w:rPr>
          <w:highlight w:val="none"/>
        </w:rPr>
        <w:t>DO CONTRATO</w:t>
      </w:r>
      <w:bookmarkEnd w:id="16"/>
    </w:p>
    <w:p>
      <w:pPr>
        <w:spacing w:before="0" w:after="0"/>
        <w:ind w:right="-1"/>
        <w:rPr>
          <w:rFonts w:cs="Arial"/>
          <w:sz w:val="20"/>
          <w:szCs w:val="20"/>
          <w:highlight w:val="none"/>
        </w:rPr>
      </w:pPr>
    </w:p>
    <w:p>
      <w:pPr>
        <w:pStyle w:val="47"/>
        <w:numPr>
          <w:ilvl w:val="0"/>
          <w:numId w:val="2"/>
        </w:numPr>
        <w:spacing w:before="0" w:after="0"/>
        <w:ind w:left="-142" w:right="-1" w:firstLine="851"/>
        <w:jc w:val="both"/>
        <w:rPr>
          <w:rFonts w:cs="Arial"/>
          <w:vanish/>
          <w:color w:val="auto"/>
          <w:sz w:val="20"/>
          <w:szCs w:val="20"/>
          <w:highlight w:val="none"/>
        </w:rPr>
      </w:pPr>
      <w:bookmarkStart w:id="17" w:name="_Toc313609535"/>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O Contrato do objeto desta licitação obedecerá às condições previstas neste Edital e seus anexos.</w:t>
      </w:r>
    </w:p>
    <w:p>
      <w:pPr>
        <w:pStyle w:val="47"/>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 xml:space="preserve">Após a regular convocação por parte da Contratante, a empresa vencedora terá o prazo máximo de </w:t>
      </w:r>
      <w:r>
        <w:rPr>
          <w:rFonts w:cs="Arial"/>
          <w:b/>
          <w:color w:val="auto"/>
          <w:sz w:val="20"/>
          <w:szCs w:val="20"/>
          <w:highlight w:val="none"/>
        </w:rPr>
        <w:t xml:space="preserve">5 </w:t>
      </w:r>
      <w:r>
        <w:rPr>
          <w:rFonts w:cs="Arial"/>
          <w:b/>
          <w:bCs/>
          <w:color w:val="auto"/>
          <w:sz w:val="20"/>
          <w:szCs w:val="20"/>
          <w:highlight w:val="none"/>
        </w:rPr>
        <w:t xml:space="preserve">(cinco) </w:t>
      </w:r>
      <w:r>
        <w:rPr>
          <w:rFonts w:cs="Arial"/>
          <w:b/>
          <w:color w:val="auto"/>
          <w:sz w:val="20"/>
          <w:szCs w:val="20"/>
          <w:highlight w:val="none"/>
        </w:rPr>
        <w:t>dias úteis</w:t>
      </w:r>
      <w:r>
        <w:rPr>
          <w:rFonts w:cs="Arial"/>
          <w:color w:val="auto"/>
          <w:sz w:val="20"/>
          <w:szCs w:val="20"/>
          <w:highlight w:val="none"/>
        </w:rPr>
        <w:t xml:space="preserve"> para assinar o Contrato, sob pena de, não o fazendo, decair o direito à contratação e sujeitar-se às penalidades previstas no Edital.</w:t>
      </w:r>
    </w:p>
    <w:p>
      <w:pPr>
        <w:pStyle w:val="47"/>
        <w:tabs>
          <w:tab w:val="left" w:pos="709"/>
        </w:tabs>
        <w:spacing w:before="0" w:after="0"/>
        <w:ind w:left="709" w:right="-1"/>
        <w:jc w:val="both"/>
        <w:rPr>
          <w:rFonts w:cs="Arial"/>
          <w:color w:val="auto"/>
          <w:sz w:val="20"/>
          <w:szCs w:val="20"/>
          <w:highlight w:val="none"/>
        </w:rPr>
      </w:pPr>
    </w:p>
    <w:p>
      <w:pPr>
        <w:pStyle w:val="47"/>
        <w:numPr>
          <w:ilvl w:val="2"/>
          <w:numId w:val="2"/>
        </w:numPr>
        <w:tabs>
          <w:tab w:val="left" w:pos="0"/>
          <w:tab w:val="left" w:pos="142"/>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O prazo de convocação poderá ser prorrogado uma vez, por igual período, quando solicitado pela parte, desde que ocorra motivo justificado.</w:t>
      </w:r>
    </w:p>
    <w:p>
      <w:pPr>
        <w:pStyle w:val="47"/>
        <w:tabs>
          <w:tab w:val="left" w:pos="0"/>
          <w:tab w:val="left" w:pos="142"/>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É facultado à Administração, quando a Detentora não assinar o Contrato, no prazo e nas condições estabelecidas, convocar outra licitante, obedecida a ordem de classificação, para assiná-la, após comprovados os requisitos de habilitação, feita a negociação e aceita a proposta.</w:t>
      </w:r>
    </w:p>
    <w:p>
      <w:pPr>
        <w:tabs>
          <w:tab w:val="left" w:pos="709"/>
        </w:tabs>
        <w:spacing w:before="0" w:after="0"/>
        <w:ind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Quando o convocado não assinar, aceitar ou retirar o instrumento Contratual, no prazo e condições estabelecidos, serão convocados os demais proponentes remanescentes a faze-lo, na ordem de classificação, independentemente da cominação prevista no item DAS SANÇÕES.</w:t>
      </w:r>
    </w:p>
    <w:p>
      <w:pPr>
        <w:pStyle w:val="47"/>
        <w:tabs>
          <w:tab w:val="left" w:pos="709"/>
        </w:tabs>
        <w:spacing w:before="0" w:after="0"/>
        <w:ind w:left="284"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Fica a Contratada obrigada a aceitar, nas mesmas condições contratuais, acréscimos ou supressões do objeto deste instrumento, observados os termos e limites previstos no Art. 125 da Lei Federal nº 14.133/2021.</w:t>
      </w:r>
    </w:p>
    <w:p>
      <w:pPr>
        <w:pStyle w:val="47"/>
        <w:spacing w:before="0" w:after="0"/>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Os ajustes, alterações e a rescisão, quando houverem, obedecerão ao disposto na Lei Federal nº 14.133/2021 e alterações posteriores.</w:t>
      </w:r>
    </w:p>
    <w:p>
      <w:pPr>
        <w:pStyle w:val="47"/>
        <w:numPr>
          <w:ilvl w:val="0"/>
          <w:numId w:val="0"/>
        </w:numPr>
        <w:tabs>
          <w:tab w:val="left" w:pos="709"/>
        </w:tabs>
        <w:spacing w:before="0" w:after="0"/>
        <w:ind w:left="-142" w:leftChars="0" w:right="-1" w:rightChars="0"/>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hint="default" w:cs="Arial"/>
          <w:sz w:val="20"/>
          <w:szCs w:val="20"/>
          <w:highlight w:val="none"/>
          <w:lang w:val="pt-BR"/>
        </w:rPr>
        <w:t>D</w:t>
      </w:r>
      <w:r>
        <w:rPr>
          <w:rFonts w:hint="default" w:ascii="Arial" w:hAnsi="Arial" w:cs="Arial"/>
          <w:sz w:val="20"/>
          <w:szCs w:val="20"/>
          <w:highlight w:val="none"/>
        </w:rPr>
        <w:t>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r>
        <w:rPr>
          <w:rFonts w:hint="default" w:cs="Arial"/>
          <w:sz w:val="20"/>
          <w:szCs w:val="20"/>
          <w:highlight w:val="none"/>
          <w:lang w:val="pt-BR"/>
        </w:rPr>
        <w:t>.</w:t>
      </w:r>
    </w:p>
    <w:p>
      <w:pPr>
        <w:pStyle w:val="47"/>
        <w:tabs>
          <w:tab w:val="left" w:pos="709"/>
        </w:tabs>
        <w:spacing w:before="0" w:after="0"/>
        <w:ind w:left="284"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b/>
          <w:color w:val="auto"/>
          <w:sz w:val="20"/>
          <w:szCs w:val="20"/>
          <w:highlight w:val="none"/>
        </w:rPr>
        <w:t>Para o caso de empresas em recuperação judicial</w:t>
      </w:r>
      <w:r>
        <w:rPr>
          <w:rFonts w:cs="Arial"/>
          <w:color w:val="auto"/>
          <w:sz w:val="20"/>
          <w:szCs w:val="20"/>
          <w:highlight w:val="none"/>
        </w:rPr>
        <w:t>: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no ato da assinatura do Contrato.</w:t>
      </w:r>
    </w:p>
    <w:p>
      <w:pPr>
        <w:pStyle w:val="47"/>
        <w:tabs>
          <w:tab w:val="left" w:pos="709"/>
        </w:tabs>
        <w:spacing w:before="0" w:after="0"/>
        <w:ind w:left="284"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b/>
          <w:color w:val="auto"/>
          <w:sz w:val="20"/>
          <w:szCs w:val="20"/>
          <w:highlight w:val="none"/>
        </w:rPr>
        <w:t>Para o caso de empresas em recuperação extrajudicial</w:t>
      </w:r>
      <w:r>
        <w:rPr>
          <w:rFonts w:cs="Arial"/>
          <w:color w:val="auto"/>
          <w:sz w:val="20"/>
          <w:szCs w:val="20"/>
          <w:highlight w:val="none"/>
        </w:rPr>
        <w:t>: Deverá apresentar comprovação documental de que as obrigações do plano de recuperação extrajudicial estão sendo cumpridas, no ato da assinatura do Contrato</w:t>
      </w:r>
    </w:p>
    <w:p>
      <w:pPr>
        <w:pStyle w:val="47"/>
        <w:tabs>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 xml:space="preserve">A Administração poderá dispensar o termo de contrato e optar por substituí-lo por outros instrumentos equivalentes, nos casos de </w:t>
      </w:r>
      <w:r>
        <w:rPr>
          <w:rFonts w:hint="default" w:cs="Arial"/>
          <w:color w:val="auto"/>
          <w:sz w:val="20"/>
          <w:szCs w:val="20"/>
          <w:highlight w:val="none"/>
          <w:lang w:val="pt-BR"/>
        </w:rPr>
        <w:t>solicitação de execução</w:t>
      </w:r>
      <w:r>
        <w:rPr>
          <w:rFonts w:cs="Arial"/>
          <w:color w:val="auto"/>
          <w:sz w:val="20"/>
          <w:szCs w:val="20"/>
          <w:highlight w:val="none"/>
        </w:rPr>
        <w:t xml:space="preserve"> imediata e integral do </w:t>
      </w:r>
      <w:r>
        <w:rPr>
          <w:rFonts w:hint="default" w:cs="Arial"/>
          <w:color w:val="auto"/>
          <w:sz w:val="20"/>
          <w:szCs w:val="20"/>
          <w:highlight w:val="none"/>
          <w:lang w:val="pt-BR"/>
        </w:rPr>
        <w:t>serviço</w:t>
      </w:r>
      <w:r>
        <w:rPr>
          <w:rFonts w:cs="Arial"/>
          <w:color w:val="auto"/>
          <w:sz w:val="20"/>
          <w:szCs w:val="20"/>
          <w:highlight w:val="none"/>
        </w:rPr>
        <w:t>, dos quais não resultem obrigações futuras, nos termos do artigo 90 da Lei Federal 14.133/2021.</w:t>
      </w:r>
    </w:p>
    <w:bookmarkEnd w:id="17"/>
    <w:p>
      <w:pPr>
        <w:pStyle w:val="47"/>
        <w:numPr>
          <w:ilvl w:val="0"/>
          <w:numId w:val="2"/>
        </w:numPr>
        <w:spacing w:before="0" w:after="0"/>
        <w:ind w:left="-142" w:right="-1" w:firstLine="851"/>
        <w:jc w:val="both"/>
        <w:rPr>
          <w:rFonts w:cs="Arial"/>
          <w:vanish/>
          <w:color w:val="auto"/>
          <w:sz w:val="20"/>
          <w:szCs w:val="20"/>
          <w:highlight w:val="none"/>
        </w:rPr>
      </w:pPr>
    </w:p>
    <w:p>
      <w:pPr>
        <w:pStyle w:val="47"/>
        <w:tabs>
          <w:tab w:val="left" w:pos="709"/>
        </w:tabs>
        <w:spacing w:before="0" w:after="0"/>
        <w:ind w:left="709" w:right="-1"/>
        <w:jc w:val="both"/>
        <w:rPr>
          <w:rFonts w:cs="Arial"/>
          <w:color w:val="auto"/>
          <w:sz w:val="20"/>
          <w:szCs w:val="20"/>
          <w:highlight w:val="none"/>
        </w:rPr>
      </w:pPr>
    </w:p>
    <w:p>
      <w:pPr>
        <w:pStyle w:val="22"/>
        <w:rPr>
          <w:highlight w:val="none"/>
        </w:rPr>
      </w:pPr>
      <w:bookmarkStart w:id="18" w:name="_Toc19443"/>
      <w:r>
        <w:rPr>
          <w:highlight w:val="none"/>
        </w:rPr>
        <w:t>DA FORMA DE PAGAMENTO</w:t>
      </w:r>
      <w:bookmarkEnd w:id="18"/>
    </w:p>
    <w:p>
      <w:pPr>
        <w:spacing w:before="0" w:after="0"/>
        <w:ind w:right="-1"/>
        <w:rPr>
          <w:rFonts w:cs="Arial"/>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sz w:val="20"/>
          <w:szCs w:val="20"/>
          <w:highlight w:val="none"/>
        </w:rPr>
        <w:t>Recebida a Nota Fiscal ou documento de cobrança equivalente, correrá o prazo de dez dias úteis para fins de liquidação, prorrogáveis po</w:t>
      </w:r>
      <w:r>
        <w:rPr>
          <w:color w:val="auto"/>
          <w:sz w:val="20"/>
          <w:szCs w:val="20"/>
          <w:highlight w:val="none"/>
        </w:rPr>
        <w:t xml:space="preserve">r igual período, nos termos do </w:t>
      </w:r>
      <w:r>
        <w:rPr>
          <w:color w:val="auto"/>
          <w:highlight w:val="none"/>
        </w:rPr>
        <w:fldChar w:fldCharType="begin"/>
      </w:r>
      <w:r>
        <w:rPr>
          <w:color w:val="auto"/>
          <w:highlight w:val="none"/>
        </w:rPr>
        <w:instrText xml:space="preserve"> HYPERLINK "https://in.gov.br/en/web/dou/-/instrucao-normativa-seges/me-n-77-de-4-de-novembro-de-2022-441681061" \l "art7§2" </w:instrText>
      </w:r>
      <w:r>
        <w:rPr>
          <w:color w:val="auto"/>
          <w:highlight w:val="none"/>
        </w:rPr>
        <w:fldChar w:fldCharType="separate"/>
      </w:r>
      <w:r>
        <w:rPr>
          <w:rStyle w:val="16"/>
          <w:color w:val="auto"/>
          <w:sz w:val="20"/>
          <w:szCs w:val="20"/>
          <w:highlight w:val="none"/>
        </w:rPr>
        <w:t>art. 7º, §2º da Instrução Normativa SEGES/ME nº 77/2022</w:t>
      </w:r>
      <w:r>
        <w:rPr>
          <w:rStyle w:val="16"/>
          <w:color w:val="auto"/>
          <w:sz w:val="20"/>
          <w:szCs w:val="20"/>
          <w:highlight w:val="none"/>
        </w:rPr>
        <w:fldChar w:fldCharType="end"/>
      </w:r>
      <w:r>
        <w:rPr>
          <w:color w:val="auto"/>
          <w:sz w:val="20"/>
          <w:szCs w:val="20"/>
          <w:highlight w:val="none"/>
        </w:rPr>
        <w:t>.</w:t>
      </w:r>
    </w:p>
    <w:p>
      <w:pPr>
        <w:pStyle w:val="47"/>
        <w:tabs>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color w:val="auto"/>
          <w:sz w:val="20"/>
          <w:szCs w:val="20"/>
          <w:highlight w:val="none"/>
        </w:rPr>
        <w:t xml:space="preserve">O prazo de que trata o item anterior será reduzido à metade, mantendo-se a possibilidade de prorrogação, no caso de contratações decorrentes de despesas cujos valores não ultrapassem o limite de que trata o </w:t>
      </w:r>
      <w:r>
        <w:rPr>
          <w:color w:val="auto"/>
          <w:highlight w:val="none"/>
        </w:rPr>
        <w:fldChar w:fldCharType="begin"/>
      </w:r>
      <w:r>
        <w:rPr>
          <w:color w:val="auto"/>
          <w:highlight w:val="none"/>
        </w:rPr>
        <w:instrText xml:space="preserve"> HYPERLINK "http://www.planalto.gov.br/ccivil_03/_ato2019-2022/2021/lei/L14133.htm" \l "art75" </w:instrText>
      </w:r>
      <w:r>
        <w:rPr>
          <w:color w:val="auto"/>
          <w:highlight w:val="none"/>
        </w:rPr>
        <w:fldChar w:fldCharType="separate"/>
      </w:r>
      <w:r>
        <w:rPr>
          <w:rStyle w:val="16"/>
          <w:color w:val="auto"/>
          <w:sz w:val="20"/>
          <w:szCs w:val="20"/>
          <w:highlight w:val="none"/>
        </w:rPr>
        <w:t>inciso II do art. 75 da Lei nº 14.133, de 2021</w:t>
      </w:r>
      <w:r>
        <w:rPr>
          <w:rStyle w:val="16"/>
          <w:color w:val="auto"/>
          <w:sz w:val="20"/>
          <w:szCs w:val="20"/>
          <w:highlight w:val="none"/>
        </w:rPr>
        <w:fldChar w:fldCharType="end"/>
      </w:r>
      <w:r>
        <w:rPr>
          <w:color w:val="auto"/>
          <w:highlight w:val="none"/>
        </w:rPr>
        <w:t>.</w:t>
      </w:r>
    </w:p>
    <w:p>
      <w:pPr>
        <w:pStyle w:val="47"/>
        <w:tabs>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O pagamento será feito mediante crédito em conta corrente da Contratada, devidamente cadastrada na Secretaria de Finanças, valendo como recibo o comprovante de depósito.</w:t>
      </w:r>
    </w:p>
    <w:p>
      <w:pPr>
        <w:tabs>
          <w:tab w:val="left" w:pos="709"/>
        </w:tabs>
        <w:spacing w:before="0" w:after="0"/>
        <w:ind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O vencimento do Documento fiscal dar-se-á somente após o recebimento do Agente Fiscal na Nota Fiscal, e não da emissão do mesmo.</w:t>
      </w:r>
    </w:p>
    <w:p>
      <w:pPr>
        <w:tabs>
          <w:tab w:val="left" w:pos="709"/>
        </w:tabs>
        <w:spacing w:before="0" w:after="0"/>
        <w:ind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 xml:space="preserve">Deverá constar no documento fiscal o nº da licitação - </w:t>
      </w:r>
      <w:r>
        <w:rPr>
          <w:rFonts w:cs="Arial"/>
          <w:b/>
          <w:color w:val="auto"/>
          <w:sz w:val="20"/>
          <w:szCs w:val="20"/>
          <w:highlight w:val="none"/>
        </w:rPr>
        <w:t xml:space="preserve">Pregão nº </w:t>
      </w:r>
      <w:r>
        <w:rPr>
          <w:rFonts w:hint="default" w:cs="Arial"/>
          <w:b/>
          <w:color w:val="auto"/>
          <w:sz w:val="20"/>
          <w:szCs w:val="20"/>
          <w:highlight w:val="none"/>
          <w:lang w:val="pt-BR"/>
        </w:rPr>
        <w:t>31</w:t>
      </w:r>
      <w:r>
        <w:rPr>
          <w:rFonts w:cs="Arial"/>
          <w:b/>
          <w:color w:val="auto"/>
          <w:sz w:val="20"/>
          <w:szCs w:val="20"/>
          <w:highlight w:val="none"/>
        </w:rPr>
        <w:t>/2023</w:t>
      </w:r>
      <w:r>
        <w:rPr>
          <w:rFonts w:cs="Arial"/>
          <w:color w:val="auto"/>
          <w:sz w:val="20"/>
          <w:szCs w:val="20"/>
          <w:highlight w:val="none"/>
        </w:rPr>
        <w:t>, nº d</w:t>
      </w:r>
      <w:r>
        <w:rPr>
          <w:rFonts w:hint="default" w:cs="Arial"/>
          <w:color w:val="auto"/>
          <w:sz w:val="20"/>
          <w:szCs w:val="20"/>
          <w:highlight w:val="none"/>
          <w:lang w:val="pt-BR"/>
        </w:rPr>
        <w:t>a</w:t>
      </w:r>
      <w:r>
        <w:rPr>
          <w:rFonts w:cs="Arial"/>
          <w:color w:val="auto"/>
          <w:sz w:val="20"/>
          <w:szCs w:val="20"/>
          <w:highlight w:val="none"/>
        </w:rPr>
        <w:t xml:space="preserve"> Autorização de Fornecimento/Serviços, nº do Empenho, </w:t>
      </w:r>
      <w:r>
        <w:rPr>
          <w:rFonts w:hint="default" w:cs="Arial"/>
          <w:color w:val="auto"/>
          <w:sz w:val="20"/>
          <w:szCs w:val="20"/>
          <w:highlight w:val="none"/>
          <w:lang w:val="pt-BR"/>
        </w:rPr>
        <w:t>local de execução</w:t>
      </w:r>
      <w:r>
        <w:rPr>
          <w:rFonts w:cs="Arial"/>
          <w:color w:val="auto"/>
          <w:sz w:val="20"/>
          <w:szCs w:val="20"/>
          <w:highlight w:val="none"/>
        </w:rPr>
        <w:t xml:space="preserve">, bem como nome do Banco, nº da Conta Corrente e </w:t>
      </w:r>
      <w:r>
        <w:rPr>
          <w:rFonts w:cs="Arial"/>
          <w:color w:val="auto"/>
          <w:sz w:val="20"/>
          <w:szCs w:val="20"/>
          <w:highlight w:val="none"/>
          <w:lang w:val="pt-BR"/>
        </w:rPr>
        <w:t>Agência</w:t>
      </w:r>
      <w:r>
        <w:rPr>
          <w:rFonts w:cs="Arial"/>
          <w:color w:val="auto"/>
          <w:sz w:val="20"/>
          <w:szCs w:val="20"/>
          <w:highlight w:val="none"/>
        </w:rPr>
        <w:t xml:space="preserve"> bancária da empresa, sem os quais o pagamento ficará retido por falta de informações.</w:t>
      </w:r>
    </w:p>
    <w:p>
      <w:pPr>
        <w:tabs>
          <w:tab w:val="left" w:pos="709"/>
        </w:tabs>
        <w:spacing w:before="0" w:after="0"/>
        <w:ind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sz w:val="20"/>
          <w:szCs w:val="20"/>
          <w:highlight w:val="none"/>
        </w:rPr>
        <w:t>Para fins de liquidação, o setor competente deverá verificar se a nota fiscal ou instrumento de cobrança equivalente apresentado expressa os elementos necessários e essenciais do documento, tais como:</w:t>
      </w:r>
    </w:p>
    <w:p>
      <w:pPr>
        <w:tabs>
          <w:tab w:val="left" w:pos="709"/>
        </w:tabs>
        <w:spacing w:before="0" w:after="0"/>
        <w:ind w:right="-1"/>
        <w:jc w:val="both"/>
        <w:rPr>
          <w:rFonts w:cs="Arial"/>
          <w:color w:val="auto"/>
          <w:sz w:val="20"/>
          <w:szCs w:val="20"/>
          <w:highlight w:val="none"/>
        </w:rPr>
      </w:pPr>
    </w:p>
    <w:p>
      <w:pPr>
        <w:pStyle w:val="47"/>
        <w:numPr>
          <w:ilvl w:val="2"/>
          <w:numId w:val="4"/>
        </w:numPr>
        <w:tabs>
          <w:tab w:val="left" w:pos="709"/>
        </w:tabs>
        <w:spacing w:before="0" w:after="0"/>
        <w:ind w:right="-1" w:hanging="862"/>
        <w:jc w:val="both"/>
        <w:rPr>
          <w:rFonts w:cs="Arial"/>
          <w:color w:val="auto"/>
          <w:sz w:val="20"/>
          <w:szCs w:val="20"/>
          <w:highlight w:val="none"/>
        </w:rPr>
      </w:pPr>
      <w:r>
        <w:rPr>
          <w:rFonts w:eastAsia="Calibri" w:cs="Arial"/>
          <w:color w:val="000000"/>
          <w:sz w:val="20"/>
          <w:szCs w:val="20"/>
          <w:highlight w:val="none"/>
        </w:rPr>
        <w:t>o prazo de validade;</w:t>
      </w:r>
    </w:p>
    <w:p>
      <w:pPr>
        <w:pStyle w:val="47"/>
        <w:tabs>
          <w:tab w:val="left" w:pos="709"/>
        </w:tabs>
        <w:spacing w:before="0" w:after="0"/>
        <w:ind w:left="720" w:right="-1"/>
        <w:jc w:val="both"/>
        <w:rPr>
          <w:rFonts w:cs="Arial"/>
          <w:color w:val="auto"/>
          <w:sz w:val="20"/>
          <w:szCs w:val="20"/>
          <w:highlight w:val="none"/>
        </w:rPr>
      </w:pPr>
    </w:p>
    <w:p>
      <w:pPr>
        <w:pStyle w:val="47"/>
        <w:numPr>
          <w:ilvl w:val="2"/>
          <w:numId w:val="4"/>
        </w:numPr>
        <w:tabs>
          <w:tab w:val="left" w:pos="709"/>
        </w:tabs>
        <w:spacing w:before="0" w:after="0"/>
        <w:ind w:right="-1" w:hanging="862"/>
        <w:jc w:val="both"/>
        <w:rPr>
          <w:rFonts w:cs="Arial"/>
          <w:color w:val="auto"/>
          <w:sz w:val="20"/>
          <w:szCs w:val="20"/>
          <w:highlight w:val="none"/>
        </w:rPr>
      </w:pPr>
      <w:r>
        <w:rPr>
          <w:rFonts w:eastAsia="Calibri" w:cs="Arial"/>
          <w:color w:val="000000"/>
          <w:sz w:val="20"/>
          <w:szCs w:val="20"/>
          <w:highlight w:val="none"/>
        </w:rPr>
        <w:t>a data da emissão;</w:t>
      </w:r>
    </w:p>
    <w:p>
      <w:pPr>
        <w:pStyle w:val="47"/>
        <w:tabs>
          <w:tab w:val="left" w:pos="709"/>
        </w:tabs>
        <w:spacing w:before="0" w:after="0"/>
        <w:ind w:left="720" w:right="-1"/>
        <w:jc w:val="both"/>
        <w:rPr>
          <w:rFonts w:cs="Arial"/>
          <w:color w:val="auto"/>
          <w:sz w:val="20"/>
          <w:szCs w:val="20"/>
          <w:highlight w:val="none"/>
        </w:rPr>
      </w:pPr>
    </w:p>
    <w:p>
      <w:pPr>
        <w:pStyle w:val="47"/>
        <w:numPr>
          <w:ilvl w:val="2"/>
          <w:numId w:val="4"/>
        </w:numPr>
        <w:tabs>
          <w:tab w:val="left" w:pos="709"/>
        </w:tabs>
        <w:spacing w:before="0" w:after="0"/>
        <w:ind w:right="-1" w:hanging="862"/>
        <w:jc w:val="both"/>
        <w:rPr>
          <w:rFonts w:cs="Arial"/>
          <w:color w:val="auto"/>
          <w:sz w:val="20"/>
          <w:szCs w:val="20"/>
          <w:highlight w:val="none"/>
        </w:rPr>
      </w:pPr>
      <w:r>
        <w:rPr>
          <w:rFonts w:eastAsia="Calibri" w:cs="Arial"/>
          <w:color w:val="000000"/>
          <w:sz w:val="20"/>
          <w:szCs w:val="20"/>
          <w:highlight w:val="none"/>
        </w:rPr>
        <w:t>os dados do contrato e do órgão contratante;</w:t>
      </w:r>
    </w:p>
    <w:p>
      <w:pPr>
        <w:pStyle w:val="47"/>
        <w:tabs>
          <w:tab w:val="left" w:pos="709"/>
        </w:tabs>
        <w:spacing w:before="0" w:after="0"/>
        <w:ind w:left="720" w:right="-1"/>
        <w:jc w:val="both"/>
        <w:rPr>
          <w:rFonts w:cs="Arial"/>
          <w:color w:val="auto"/>
          <w:sz w:val="20"/>
          <w:szCs w:val="20"/>
          <w:highlight w:val="none"/>
        </w:rPr>
      </w:pPr>
    </w:p>
    <w:p>
      <w:pPr>
        <w:pStyle w:val="47"/>
        <w:numPr>
          <w:ilvl w:val="2"/>
          <w:numId w:val="4"/>
        </w:numPr>
        <w:tabs>
          <w:tab w:val="left" w:pos="709"/>
        </w:tabs>
        <w:spacing w:before="0" w:after="0"/>
        <w:ind w:right="-1" w:hanging="862"/>
        <w:jc w:val="both"/>
        <w:rPr>
          <w:rFonts w:cs="Arial"/>
          <w:color w:val="auto"/>
          <w:sz w:val="20"/>
          <w:szCs w:val="20"/>
          <w:highlight w:val="none"/>
        </w:rPr>
      </w:pPr>
      <w:r>
        <w:rPr>
          <w:rFonts w:eastAsia="Calibri" w:cs="Arial"/>
          <w:color w:val="000000"/>
          <w:sz w:val="20"/>
          <w:szCs w:val="20"/>
          <w:highlight w:val="none"/>
        </w:rPr>
        <w:t>o período respectivo de execução do contrato</w:t>
      </w:r>
      <w:r>
        <w:rPr>
          <w:rFonts w:hint="default" w:eastAsia="Calibri" w:cs="Arial"/>
          <w:color w:val="000000"/>
          <w:sz w:val="20"/>
          <w:szCs w:val="20"/>
          <w:highlight w:val="none"/>
          <w:lang w:val="pt-BR"/>
        </w:rPr>
        <w:t>;</w:t>
      </w:r>
    </w:p>
    <w:p>
      <w:pPr>
        <w:pStyle w:val="47"/>
        <w:tabs>
          <w:tab w:val="left" w:pos="709"/>
        </w:tabs>
        <w:spacing w:before="0" w:after="0"/>
        <w:ind w:left="720" w:right="-1"/>
        <w:jc w:val="both"/>
        <w:rPr>
          <w:rFonts w:cs="Arial"/>
          <w:color w:val="auto"/>
          <w:sz w:val="20"/>
          <w:szCs w:val="20"/>
          <w:highlight w:val="none"/>
        </w:rPr>
      </w:pPr>
    </w:p>
    <w:p>
      <w:pPr>
        <w:pStyle w:val="47"/>
        <w:numPr>
          <w:ilvl w:val="2"/>
          <w:numId w:val="4"/>
        </w:numPr>
        <w:tabs>
          <w:tab w:val="left" w:pos="709"/>
        </w:tabs>
        <w:spacing w:before="0" w:after="0"/>
        <w:ind w:right="-1" w:hanging="862"/>
        <w:jc w:val="both"/>
        <w:rPr>
          <w:rFonts w:cs="Arial"/>
          <w:color w:val="auto"/>
          <w:sz w:val="20"/>
          <w:szCs w:val="20"/>
          <w:highlight w:val="none"/>
        </w:rPr>
      </w:pPr>
      <w:r>
        <w:rPr>
          <w:rFonts w:eastAsia="Calibri" w:cs="Arial"/>
          <w:color w:val="000000"/>
          <w:sz w:val="20"/>
          <w:szCs w:val="20"/>
          <w:highlight w:val="none"/>
        </w:rPr>
        <w:t>o valor a pagar; e</w:t>
      </w:r>
    </w:p>
    <w:p>
      <w:pPr>
        <w:pStyle w:val="47"/>
        <w:tabs>
          <w:tab w:val="left" w:pos="709"/>
        </w:tabs>
        <w:spacing w:before="0" w:after="0"/>
        <w:ind w:left="720" w:right="-1"/>
        <w:jc w:val="both"/>
        <w:rPr>
          <w:rFonts w:cs="Arial"/>
          <w:color w:val="auto"/>
          <w:sz w:val="20"/>
          <w:szCs w:val="20"/>
          <w:highlight w:val="none"/>
        </w:rPr>
      </w:pPr>
    </w:p>
    <w:p>
      <w:pPr>
        <w:pStyle w:val="47"/>
        <w:numPr>
          <w:ilvl w:val="2"/>
          <w:numId w:val="4"/>
        </w:numPr>
        <w:tabs>
          <w:tab w:val="left" w:pos="709"/>
        </w:tabs>
        <w:spacing w:before="0" w:after="0"/>
        <w:ind w:right="-1" w:hanging="862"/>
        <w:jc w:val="both"/>
        <w:rPr>
          <w:rFonts w:cs="Arial"/>
          <w:color w:val="auto"/>
          <w:sz w:val="20"/>
          <w:szCs w:val="20"/>
          <w:highlight w:val="none"/>
        </w:rPr>
      </w:pPr>
      <w:r>
        <w:rPr>
          <w:rFonts w:eastAsia="Calibri" w:cs="Arial"/>
          <w:color w:val="000000"/>
          <w:sz w:val="20"/>
          <w:szCs w:val="20"/>
          <w:highlight w:val="none"/>
        </w:rPr>
        <w:t>eventual destaque do valor de retenções tributárias cabíveis.</w:t>
      </w:r>
    </w:p>
    <w:p>
      <w:pPr>
        <w:tabs>
          <w:tab w:val="left" w:pos="709"/>
        </w:tabs>
        <w:spacing w:before="0" w:after="0"/>
        <w:ind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eastAsia="Calibri"/>
          <w:sz w:val="20"/>
          <w:szCs w:val="20"/>
          <w:highlight w:val="none"/>
        </w:rPr>
        <w:t xml:space="preserve">Havendo erro na apresentação da nota fiscal ou instrumento de cobrança equivalente, ou circunstância que impeça a </w:t>
      </w:r>
      <w:r>
        <w:rPr>
          <w:sz w:val="20"/>
          <w:szCs w:val="20"/>
          <w:highlight w:val="none"/>
        </w:rPr>
        <w:t>liquidação da despesa, esta ficará sobrestada até que o contratado providencie as medidas saneadoras, reiniciando-se o prazo após a comprovação da regularização da situação, sem ônus ao contratante;</w:t>
      </w:r>
    </w:p>
    <w:p>
      <w:pPr>
        <w:pStyle w:val="47"/>
        <w:tabs>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A PREFEITURA MUNICIPAL DE ITAPEVA reserva-se o direito de descontar do pagamento devido à Licitante vencedora, os valores correspondentes às multas que eventualmente forem aplicadas por descumprimento de cláusulas constantes neste Edital.</w:t>
      </w:r>
    </w:p>
    <w:p>
      <w:pPr>
        <w:tabs>
          <w:tab w:val="left" w:pos="709"/>
        </w:tabs>
        <w:spacing w:before="0" w:after="0"/>
        <w:ind w:right="-1"/>
        <w:jc w:val="both"/>
        <w:rPr>
          <w:rFonts w:cs="Arial"/>
          <w:color w:val="auto"/>
          <w:sz w:val="20"/>
          <w:szCs w:val="20"/>
          <w:highlight w:val="none"/>
        </w:rPr>
      </w:pPr>
    </w:p>
    <w:p>
      <w:pPr>
        <w:pStyle w:val="22"/>
        <w:rPr>
          <w:highlight w:val="none"/>
        </w:rPr>
      </w:pPr>
      <w:bookmarkStart w:id="19" w:name="_Toc19270"/>
      <w:r>
        <w:rPr>
          <w:highlight w:val="none"/>
        </w:rPr>
        <w:t>DOTAÇÃO ORÇAMENTÁRIA</w:t>
      </w:r>
      <w:bookmarkEnd w:id="19"/>
    </w:p>
    <w:p>
      <w:pPr>
        <w:spacing w:before="0" w:after="0"/>
        <w:ind w:right="-1"/>
        <w:rPr>
          <w:rFonts w:cs="Arial"/>
          <w:sz w:val="20"/>
          <w:szCs w:val="20"/>
          <w:highlight w:val="none"/>
        </w:rPr>
      </w:pPr>
    </w:p>
    <w:p>
      <w:pPr>
        <w:pStyle w:val="47"/>
        <w:numPr>
          <w:ilvl w:val="0"/>
          <w:numId w:val="2"/>
        </w:numPr>
        <w:spacing w:before="0" w:after="0"/>
        <w:ind w:left="-142" w:right="-1" w:firstLine="851"/>
        <w:jc w:val="both"/>
        <w:rPr>
          <w:rFonts w:cs="Arial"/>
          <w:vanish/>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As despesas decorrentes com a realização deste processo licitatório correrão por conta das dotações orçamentárias, abaixo especificadas, do presente exercício e vindouro. (art. 150 da Lei Federal nº 14.133/2021).</w:t>
      </w:r>
    </w:p>
    <w:p>
      <w:pPr>
        <w:tabs>
          <w:tab w:val="left" w:pos="709"/>
        </w:tabs>
        <w:spacing w:before="0" w:after="0"/>
        <w:ind w:right="-1"/>
        <w:jc w:val="both"/>
        <w:rPr>
          <w:rFonts w:cs="Arial"/>
          <w:color w:val="auto"/>
          <w:sz w:val="20"/>
          <w:szCs w:val="20"/>
          <w:highlight w:val="none"/>
        </w:rPr>
      </w:pPr>
    </w:p>
    <w:tbl>
      <w:tblPr>
        <w:tblStyle w:val="35"/>
        <w:tblW w:w="8789" w:type="dxa"/>
        <w:tblInd w:w="817" w:type="dxa"/>
        <w:tblBorders>
          <w:top w:val="none" w:color="auto" w:sz="0" w:space="0"/>
          <w:left w:val="none" w:color="auto" w:sz="0" w:space="0"/>
          <w:bottom w:val="none" w:color="auto" w:sz="0" w:space="0"/>
          <w:right w:val="none" w:color="auto" w:sz="0" w:space="0"/>
          <w:insideH w:val="none" w:color="auto" w:sz="0" w:space="0"/>
          <w:insideV w:val="single" w:color="auto" w:sz="4" w:space="0"/>
        </w:tblBorders>
        <w:tblLayout w:type="autofit"/>
        <w:tblCellMar>
          <w:top w:w="0" w:type="dxa"/>
          <w:left w:w="108" w:type="dxa"/>
          <w:bottom w:w="0" w:type="dxa"/>
          <w:right w:w="108" w:type="dxa"/>
        </w:tblCellMar>
      </w:tblPr>
      <w:tblGrid>
        <w:gridCol w:w="1276"/>
        <w:gridCol w:w="7513"/>
      </w:tblGrid>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c>
          <w:tcPr>
            <w:tcW w:w="1276" w:type="dxa"/>
            <w:tcBorders>
              <w:top w:val="nil"/>
              <w:left w:val="nil"/>
              <w:bottom w:val="single" w:color="auto" w:sz="4" w:space="0"/>
              <w:right w:val="single" w:color="auto" w:sz="4" w:space="0"/>
            </w:tcBorders>
            <w:vAlign w:val="center"/>
          </w:tcPr>
          <w:p>
            <w:pPr>
              <w:tabs>
                <w:tab w:val="left" w:pos="709"/>
              </w:tabs>
              <w:spacing w:before="0" w:after="0"/>
              <w:ind w:right="-1" w:rightChars="0"/>
              <w:jc w:val="center"/>
              <w:rPr>
                <w:rFonts w:cs="Arial"/>
                <w:color w:val="auto"/>
                <w:sz w:val="20"/>
                <w:szCs w:val="20"/>
                <w:highlight w:val="none"/>
              </w:rPr>
            </w:pPr>
            <w:r>
              <w:rPr>
                <w:rFonts w:hint="default" w:cs="Arial"/>
                <w:color w:val="auto"/>
                <w:sz w:val="20"/>
                <w:szCs w:val="20"/>
                <w:highlight w:val="none"/>
                <w:lang w:val="pt-BR"/>
              </w:rPr>
              <w:t>5374</w:t>
            </w:r>
          </w:p>
        </w:tc>
        <w:tc>
          <w:tcPr>
            <w:tcW w:w="7513" w:type="dxa"/>
            <w:tcBorders>
              <w:top w:val="nil"/>
              <w:left w:val="single" w:color="auto" w:sz="4" w:space="0"/>
              <w:bottom w:val="single" w:color="auto" w:sz="4" w:space="0"/>
              <w:right w:val="nil"/>
            </w:tcBorders>
            <w:vAlign w:val="center"/>
          </w:tcPr>
          <w:p>
            <w:pPr>
              <w:tabs>
                <w:tab w:val="left" w:pos="709"/>
              </w:tabs>
              <w:spacing w:before="0" w:after="0"/>
              <w:ind w:right="-1" w:rightChars="0"/>
              <w:jc w:val="both"/>
              <w:rPr>
                <w:rFonts w:cs="Arial"/>
                <w:color w:val="auto"/>
                <w:sz w:val="20"/>
                <w:szCs w:val="20"/>
                <w:highlight w:val="none"/>
              </w:rPr>
            </w:pPr>
            <w:r>
              <w:rPr>
                <w:rFonts w:hint="default"/>
                <w:color w:val="auto"/>
                <w:sz w:val="20"/>
                <w:szCs w:val="20"/>
                <w:highlight w:val="none"/>
                <w:lang w:val="pt-BR"/>
              </w:rPr>
              <w:t>13</w:t>
            </w:r>
            <w:r>
              <w:rPr>
                <w:color w:val="auto"/>
                <w:sz w:val="20"/>
                <w:szCs w:val="20"/>
                <w:highlight w:val="none"/>
              </w:rPr>
              <w:t xml:space="preserve">.01.00 - </w:t>
            </w:r>
            <w:r>
              <w:rPr>
                <w:rFonts w:hint="default"/>
                <w:color w:val="auto"/>
                <w:sz w:val="20"/>
                <w:szCs w:val="20"/>
                <w:highlight w:val="none"/>
                <w:lang w:val="pt-BR"/>
              </w:rPr>
              <w:t>4.4.90.51</w:t>
            </w:r>
            <w:r>
              <w:rPr>
                <w:color w:val="auto"/>
                <w:sz w:val="20"/>
                <w:szCs w:val="20"/>
                <w:highlight w:val="none"/>
              </w:rPr>
              <w:t xml:space="preserve">.00 </w:t>
            </w:r>
            <w:r>
              <w:rPr>
                <w:rFonts w:hint="default"/>
                <w:color w:val="auto"/>
                <w:sz w:val="20"/>
                <w:szCs w:val="20"/>
                <w:highlight w:val="none"/>
                <w:lang w:val="pt-BR"/>
              </w:rPr>
              <w:t>17 511 5010</w:t>
            </w:r>
            <w:r>
              <w:rPr>
                <w:color w:val="auto"/>
                <w:sz w:val="20"/>
                <w:szCs w:val="20"/>
                <w:highlight w:val="none"/>
              </w:rPr>
              <w:t xml:space="preserve"> 2</w:t>
            </w:r>
            <w:r>
              <w:rPr>
                <w:rFonts w:hint="default"/>
                <w:color w:val="auto"/>
                <w:sz w:val="20"/>
                <w:szCs w:val="20"/>
                <w:highlight w:val="none"/>
                <w:lang w:val="pt-BR"/>
              </w:rPr>
              <w:t>383</w:t>
            </w:r>
            <w:r>
              <w:rPr>
                <w:color w:val="auto"/>
                <w:sz w:val="20"/>
                <w:szCs w:val="20"/>
                <w:highlight w:val="none"/>
              </w:rPr>
              <w:t xml:space="preserve"> 0</w:t>
            </w:r>
            <w:r>
              <w:rPr>
                <w:rFonts w:hint="default"/>
                <w:color w:val="auto"/>
                <w:sz w:val="20"/>
                <w:szCs w:val="20"/>
                <w:highlight w:val="none"/>
                <w:lang w:val="pt-BR"/>
              </w:rPr>
              <w:t>2</w:t>
            </w:r>
            <w:r>
              <w:rPr>
                <w:color w:val="auto"/>
                <w:sz w:val="20"/>
                <w:szCs w:val="20"/>
                <w:highlight w:val="none"/>
              </w:rPr>
              <w:t xml:space="preserve"> </w:t>
            </w:r>
            <w:r>
              <w:rPr>
                <w:rFonts w:hint="default"/>
                <w:color w:val="auto"/>
                <w:sz w:val="20"/>
                <w:szCs w:val="20"/>
                <w:highlight w:val="none"/>
                <w:lang w:val="pt-BR"/>
              </w:rPr>
              <w:t>1000237</w:t>
            </w:r>
            <w:r>
              <w:rPr>
                <w:color w:val="auto"/>
                <w:sz w:val="20"/>
                <w:szCs w:val="20"/>
                <w:highlight w:val="none"/>
              </w:rPr>
              <w:t xml:space="preserve"> - Recurso </w:t>
            </w:r>
            <w:r>
              <w:rPr>
                <w:rFonts w:hint="default"/>
                <w:color w:val="auto"/>
                <w:sz w:val="20"/>
                <w:szCs w:val="20"/>
                <w:highlight w:val="none"/>
                <w:lang w:val="pt-BR"/>
              </w:rPr>
              <w:t>Estadual</w:t>
            </w:r>
          </w:p>
        </w:tc>
      </w:tr>
    </w:tbl>
    <w:p>
      <w:pPr>
        <w:tabs>
          <w:tab w:val="left" w:pos="709"/>
        </w:tabs>
        <w:spacing w:before="0" w:after="0"/>
        <w:ind w:right="-1"/>
        <w:jc w:val="both"/>
        <w:rPr>
          <w:rFonts w:cs="Arial"/>
          <w:color w:val="auto"/>
          <w:sz w:val="20"/>
          <w:szCs w:val="20"/>
          <w:highlight w:val="none"/>
        </w:rPr>
      </w:pPr>
    </w:p>
    <w:p>
      <w:pPr>
        <w:pStyle w:val="22"/>
        <w:rPr>
          <w:highlight w:val="none"/>
        </w:rPr>
      </w:pPr>
      <w:bookmarkStart w:id="20" w:name="_Toc24154"/>
      <w:r>
        <w:rPr>
          <w:highlight w:val="none"/>
        </w:rPr>
        <w:t>DAS SANÇÕES</w:t>
      </w:r>
      <w:bookmarkEnd w:id="20"/>
    </w:p>
    <w:p>
      <w:pPr>
        <w:spacing w:before="0" w:after="0"/>
        <w:ind w:right="-1"/>
        <w:rPr>
          <w:rFonts w:cs="Arial"/>
          <w:sz w:val="20"/>
          <w:szCs w:val="20"/>
          <w:highlight w:val="none"/>
        </w:rPr>
      </w:pPr>
    </w:p>
    <w:p>
      <w:pPr>
        <w:pStyle w:val="47"/>
        <w:numPr>
          <w:ilvl w:val="0"/>
          <w:numId w:val="2"/>
        </w:numPr>
        <w:spacing w:before="0" w:after="0"/>
        <w:ind w:left="-142" w:right="-1" w:firstLine="851"/>
        <w:jc w:val="both"/>
        <w:rPr>
          <w:rFonts w:cs="Arial"/>
          <w:vanish/>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sz w:val="20"/>
          <w:szCs w:val="20"/>
          <w:highlight w:val="none"/>
        </w:rPr>
        <w:t>Comete infração administrativa, nos termos da lei, o licitante que, com dolo ou culpa:</w:t>
      </w:r>
    </w:p>
    <w:p>
      <w:pPr>
        <w:pStyle w:val="47"/>
        <w:tabs>
          <w:tab w:val="left" w:pos="709"/>
        </w:tabs>
        <w:spacing w:before="0" w:after="0"/>
        <w:ind w:left="709" w:right="-1"/>
        <w:jc w:val="both"/>
        <w:rPr>
          <w:rFonts w:cs="Arial"/>
          <w:color w:val="auto"/>
          <w:sz w:val="20"/>
          <w:szCs w:val="20"/>
          <w:highlight w:val="none"/>
        </w:rPr>
      </w:pPr>
    </w:p>
    <w:p>
      <w:pPr>
        <w:pStyle w:val="47"/>
        <w:numPr>
          <w:ilvl w:val="2"/>
          <w:numId w:val="5"/>
        </w:numPr>
        <w:tabs>
          <w:tab w:val="left" w:pos="709"/>
        </w:tabs>
        <w:spacing w:before="0" w:after="0"/>
        <w:ind w:right="-1" w:hanging="862"/>
        <w:jc w:val="both"/>
        <w:rPr>
          <w:rFonts w:cs="Arial"/>
          <w:color w:val="auto"/>
          <w:sz w:val="20"/>
          <w:szCs w:val="20"/>
          <w:highlight w:val="none"/>
        </w:rPr>
      </w:pPr>
      <w:bookmarkStart w:id="21" w:name="_Ref114668085"/>
      <w:r>
        <w:rPr>
          <w:rFonts w:cs="Arial"/>
          <w:sz w:val="20"/>
          <w:szCs w:val="20"/>
          <w:highlight w:val="none"/>
        </w:rPr>
        <w:t>deixar de entregar a documentação exigida para o certame ou não entregar qualquer documento que tenha sido solicitado pelo/a pregoeiro/a durante o certame;</w:t>
      </w:r>
      <w:bookmarkEnd w:id="21"/>
    </w:p>
    <w:p>
      <w:pPr>
        <w:pStyle w:val="47"/>
        <w:tabs>
          <w:tab w:val="left" w:pos="709"/>
        </w:tabs>
        <w:spacing w:before="0" w:after="0"/>
        <w:ind w:left="720" w:right="-1"/>
        <w:jc w:val="both"/>
        <w:rPr>
          <w:rFonts w:cs="Arial"/>
          <w:color w:val="auto"/>
          <w:sz w:val="20"/>
          <w:szCs w:val="20"/>
          <w:highlight w:val="none"/>
        </w:rPr>
      </w:pPr>
    </w:p>
    <w:p>
      <w:pPr>
        <w:pStyle w:val="47"/>
        <w:numPr>
          <w:ilvl w:val="2"/>
          <w:numId w:val="5"/>
        </w:numPr>
        <w:tabs>
          <w:tab w:val="left" w:pos="709"/>
        </w:tabs>
        <w:spacing w:before="0" w:after="0"/>
        <w:ind w:right="-1" w:hanging="862"/>
        <w:jc w:val="both"/>
        <w:rPr>
          <w:rFonts w:cs="Arial"/>
          <w:color w:val="auto"/>
          <w:sz w:val="20"/>
          <w:szCs w:val="20"/>
          <w:highlight w:val="none"/>
        </w:rPr>
      </w:pPr>
      <w:bookmarkStart w:id="22" w:name="_Ref114668108"/>
      <w:r>
        <w:rPr>
          <w:rFonts w:cs="Arial"/>
          <w:sz w:val="20"/>
          <w:szCs w:val="20"/>
          <w:highlight w:val="none"/>
        </w:rPr>
        <w:t>Salvo em decorrência de fato superveniente devidamente justificado, não mantiver a proposta em especial quando:</w:t>
      </w:r>
      <w:bookmarkEnd w:id="22"/>
    </w:p>
    <w:p>
      <w:pPr>
        <w:pStyle w:val="47"/>
        <w:tabs>
          <w:tab w:val="left" w:pos="709"/>
        </w:tabs>
        <w:spacing w:before="0" w:after="0"/>
        <w:ind w:left="720" w:right="-1"/>
        <w:jc w:val="both"/>
        <w:rPr>
          <w:rFonts w:cs="Arial"/>
          <w:color w:val="auto"/>
          <w:sz w:val="20"/>
          <w:szCs w:val="20"/>
          <w:highlight w:val="none"/>
        </w:rPr>
      </w:pPr>
    </w:p>
    <w:p>
      <w:pPr>
        <w:pStyle w:val="47"/>
        <w:numPr>
          <w:ilvl w:val="3"/>
          <w:numId w:val="5"/>
        </w:numPr>
        <w:tabs>
          <w:tab w:val="left" w:pos="709"/>
        </w:tabs>
        <w:spacing w:before="0" w:after="0"/>
        <w:ind w:right="-1" w:hanging="862"/>
        <w:jc w:val="both"/>
        <w:rPr>
          <w:rFonts w:cs="Arial"/>
          <w:color w:val="auto"/>
          <w:sz w:val="20"/>
          <w:szCs w:val="20"/>
          <w:highlight w:val="none"/>
        </w:rPr>
      </w:pPr>
      <w:r>
        <w:rPr>
          <w:rFonts w:cs="Arial"/>
          <w:sz w:val="20"/>
          <w:szCs w:val="20"/>
          <w:highlight w:val="none"/>
        </w:rPr>
        <w:t>recusar-se a enviar o detalhamento da proposta quando exigível;</w:t>
      </w:r>
    </w:p>
    <w:p>
      <w:pPr>
        <w:pStyle w:val="47"/>
        <w:tabs>
          <w:tab w:val="left" w:pos="709"/>
        </w:tabs>
        <w:spacing w:before="0" w:after="0"/>
        <w:ind w:left="720" w:right="-1"/>
        <w:jc w:val="both"/>
        <w:rPr>
          <w:rFonts w:cs="Arial"/>
          <w:color w:val="auto"/>
          <w:sz w:val="20"/>
          <w:szCs w:val="20"/>
          <w:highlight w:val="none"/>
        </w:rPr>
      </w:pPr>
    </w:p>
    <w:p>
      <w:pPr>
        <w:pStyle w:val="47"/>
        <w:numPr>
          <w:ilvl w:val="3"/>
          <w:numId w:val="5"/>
        </w:numPr>
        <w:tabs>
          <w:tab w:val="left" w:pos="709"/>
        </w:tabs>
        <w:spacing w:before="0" w:after="0"/>
        <w:ind w:right="-1" w:hanging="862"/>
        <w:jc w:val="both"/>
        <w:rPr>
          <w:rFonts w:cs="Arial"/>
          <w:color w:val="auto"/>
          <w:sz w:val="20"/>
          <w:szCs w:val="20"/>
          <w:highlight w:val="none"/>
        </w:rPr>
      </w:pPr>
      <w:r>
        <w:rPr>
          <w:rFonts w:cs="Arial"/>
          <w:sz w:val="20"/>
          <w:szCs w:val="20"/>
          <w:highlight w:val="none"/>
        </w:rPr>
        <w:t>pedir para ser desclassificado quando encerrada a etapa competitiva; ou</w:t>
      </w:r>
    </w:p>
    <w:p>
      <w:pPr>
        <w:pStyle w:val="47"/>
        <w:tabs>
          <w:tab w:val="left" w:pos="709"/>
        </w:tabs>
        <w:spacing w:before="0" w:after="0"/>
        <w:ind w:left="720" w:right="-1"/>
        <w:jc w:val="both"/>
        <w:rPr>
          <w:rFonts w:cs="Arial"/>
          <w:color w:val="auto"/>
          <w:sz w:val="20"/>
          <w:szCs w:val="20"/>
          <w:highlight w:val="none"/>
        </w:rPr>
      </w:pPr>
    </w:p>
    <w:p>
      <w:pPr>
        <w:pStyle w:val="47"/>
        <w:numPr>
          <w:ilvl w:val="3"/>
          <w:numId w:val="5"/>
        </w:numPr>
        <w:tabs>
          <w:tab w:val="left" w:pos="709"/>
        </w:tabs>
        <w:spacing w:before="0" w:after="0"/>
        <w:ind w:right="-1" w:hanging="862"/>
        <w:jc w:val="both"/>
        <w:rPr>
          <w:rFonts w:cs="Arial"/>
          <w:color w:val="auto"/>
          <w:sz w:val="20"/>
          <w:szCs w:val="20"/>
          <w:highlight w:val="none"/>
        </w:rPr>
      </w:pPr>
      <w:r>
        <w:rPr>
          <w:rFonts w:cs="Arial"/>
          <w:sz w:val="20"/>
          <w:szCs w:val="20"/>
          <w:highlight w:val="none"/>
        </w:rPr>
        <w:t>deixar de apresentar amostra;</w:t>
      </w:r>
    </w:p>
    <w:p>
      <w:pPr>
        <w:pStyle w:val="47"/>
        <w:tabs>
          <w:tab w:val="left" w:pos="709"/>
        </w:tabs>
        <w:spacing w:before="0" w:after="0"/>
        <w:ind w:left="720" w:right="-1"/>
        <w:jc w:val="both"/>
        <w:rPr>
          <w:rFonts w:cs="Arial"/>
          <w:color w:val="auto"/>
          <w:sz w:val="20"/>
          <w:szCs w:val="20"/>
          <w:highlight w:val="none"/>
        </w:rPr>
      </w:pPr>
    </w:p>
    <w:p>
      <w:pPr>
        <w:pStyle w:val="47"/>
        <w:numPr>
          <w:ilvl w:val="3"/>
          <w:numId w:val="5"/>
        </w:numPr>
        <w:tabs>
          <w:tab w:val="left" w:pos="709"/>
        </w:tabs>
        <w:spacing w:before="0" w:after="0"/>
        <w:ind w:right="-1" w:hanging="862"/>
        <w:jc w:val="both"/>
        <w:rPr>
          <w:rFonts w:cs="Arial"/>
          <w:color w:val="auto"/>
          <w:sz w:val="20"/>
          <w:szCs w:val="20"/>
          <w:highlight w:val="none"/>
        </w:rPr>
      </w:pPr>
      <w:r>
        <w:rPr>
          <w:rFonts w:cs="Arial"/>
          <w:sz w:val="20"/>
          <w:szCs w:val="20"/>
          <w:highlight w:val="none"/>
        </w:rPr>
        <w:t>apresentar proposta ou amostra em desacordo com as especificações do edital;</w:t>
      </w:r>
    </w:p>
    <w:p>
      <w:pPr>
        <w:pStyle w:val="47"/>
        <w:tabs>
          <w:tab w:val="left" w:pos="709"/>
        </w:tabs>
        <w:spacing w:before="0" w:after="0"/>
        <w:ind w:left="720" w:right="-1"/>
        <w:jc w:val="both"/>
        <w:rPr>
          <w:rFonts w:cs="Arial"/>
          <w:color w:val="auto"/>
          <w:sz w:val="20"/>
          <w:szCs w:val="20"/>
          <w:highlight w:val="none"/>
        </w:rPr>
      </w:pPr>
    </w:p>
    <w:p>
      <w:pPr>
        <w:pStyle w:val="47"/>
        <w:numPr>
          <w:ilvl w:val="2"/>
          <w:numId w:val="5"/>
        </w:numPr>
        <w:tabs>
          <w:tab w:val="left" w:pos="709"/>
        </w:tabs>
        <w:spacing w:before="0" w:after="0"/>
        <w:ind w:right="-1" w:hanging="862"/>
        <w:jc w:val="both"/>
        <w:rPr>
          <w:rFonts w:cs="Arial"/>
          <w:color w:val="auto"/>
          <w:sz w:val="20"/>
          <w:szCs w:val="20"/>
          <w:highlight w:val="none"/>
        </w:rPr>
      </w:pPr>
      <w:bookmarkStart w:id="23" w:name="_Ref114668139"/>
      <w:r>
        <w:rPr>
          <w:rFonts w:cs="Arial"/>
          <w:sz w:val="20"/>
          <w:szCs w:val="20"/>
          <w:highlight w:val="none"/>
        </w:rPr>
        <w:t>não celebrar o contrato ou não entregar a documentação exigida para a contratação, quando convocado dentro do prazo de validade de sua proposta;</w:t>
      </w:r>
      <w:bookmarkEnd w:id="23"/>
    </w:p>
    <w:p>
      <w:pPr>
        <w:pStyle w:val="47"/>
        <w:numPr>
          <w:ilvl w:val="0"/>
          <w:numId w:val="0"/>
        </w:numPr>
        <w:tabs>
          <w:tab w:val="left" w:pos="709"/>
        </w:tabs>
        <w:spacing w:before="0" w:after="0"/>
        <w:ind w:left="-142" w:leftChars="0" w:right="-1" w:rightChars="0"/>
        <w:jc w:val="both"/>
        <w:rPr>
          <w:rFonts w:cs="Arial"/>
          <w:color w:val="auto"/>
          <w:sz w:val="20"/>
          <w:szCs w:val="20"/>
          <w:highlight w:val="none"/>
        </w:rPr>
      </w:pPr>
    </w:p>
    <w:p>
      <w:pPr>
        <w:pStyle w:val="47"/>
        <w:numPr>
          <w:ilvl w:val="2"/>
          <w:numId w:val="5"/>
        </w:numPr>
        <w:tabs>
          <w:tab w:val="left" w:pos="709"/>
        </w:tabs>
        <w:spacing w:before="0" w:after="0"/>
        <w:ind w:right="-1" w:hanging="862"/>
        <w:jc w:val="both"/>
        <w:rPr>
          <w:rFonts w:cs="Arial"/>
          <w:color w:val="auto"/>
          <w:sz w:val="20"/>
          <w:szCs w:val="20"/>
          <w:highlight w:val="none"/>
        </w:rPr>
      </w:pPr>
      <w:r>
        <w:rPr>
          <w:rFonts w:cs="Arial"/>
          <w:sz w:val="20"/>
          <w:szCs w:val="20"/>
          <w:highlight w:val="none"/>
        </w:rPr>
        <w:t>recusar-se, sem justificativa, a assinar o contrato ou a ata de registro de preço, ou a aceitar ou retirar o instrumento equivalente no prazo estabelecido pela Administração;</w:t>
      </w:r>
    </w:p>
    <w:p>
      <w:pPr>
        <w:pStyle w:val="47"/>
        <w:tabs>
          <w:tab w:val="left" w:pos="709"/>
        </w:tabs>
        <w:spacing w:before="0" w:after="0"/>
        <w:ind w:left="720" w:right="-1"/>
        <w:jc w:val="both"/>
        <w:rPr>
          <w:rFonts w:cs="Arial"/>
          <w:color w:val="auto"/>
          <w:sz w:val="20"/>
          <w:szCs w:val="20"/>
          <w:highlight w:val="none"/>
        </w:rPr>
      </w:pPr>
    </w:p>
    <w:p>
      <w:pPr>
        <w:pStyle w:val="47"/>
        <w:numPr>
          <w:ilvl w:val="2"/>
          <w:numId w:val="5"/>
        </w:numPr>
        <w:tabs>
          <w:tab w:val="left" w:pos="709"/>
        </w:tabs>
        <w:spacing w:before="0" w:after="0"/>
        <w:ind w:right="-1" w:hanging="862"/>
        <w:jc w:val="both"/>
        <w:rPr>
          <w:rFonts w:cs="Arial"/>
          <w:color w:val="auto"/>
          <w:sz w:val="20"/>
          <w:szCs w:val="20"/>
          <w:highlight w:val="none"/>
        </w:rPr>
      </w:pPr>
      <w:bookmarkStart w:id="24" w:name="_Ref114668249"/>
      <w:r>
        <w:rPr>
          <w:rFonts w:cs="Arial"/>
          <w:sz w:val="20"/>
          <w:szCs w:val="20"/>
          <w:highlight w:val="none"/>
        </w:rPr>
        <w:t>apresentar declaração ou documentação falsa exigida para o certame ou prestar declaração falsa durante a licitação</w:t>
      </w:r>
      <w:bookmarkEnd w:id="24"/>
      <w:r>
        <w:rPr>
          <w:rFonts w:hint="default" w:cs="Arial"/>
          <w:sz w:val="20"/>
          <w:szCs w:val="20"/>
          <w:highlight w:val="none"/>
          <w:lang w:val="pt-BR"/>
        </w:rPr>
        <w:t>.</w:t>
      </w:r>
    </w:p>
    <w:p>
      <w:pPr>
        <w:pStyle w:val="47"/>
        <w:tabs>
          <w:tab w:val="left" w:pos="709"/>
        </w:tabs>
        <w:spacing w:before="0" w:after="0"/>
        <w:ind w:left="720" w:right="-1"/>
        <w:jc w:val="both"/>
        <w:rPr>
          <w:rFonts w:cs="Arial"/>
          <w:color w:val="auto"/>
          <w:sz w:val="20"/>
          <w:szCs w:val="20"/>
          <w:highlight w:val="none"/>
        </w:rPr>
      </w:pPr>
    </w:p>
    <w:p>
      <w:pPr>
        <w:pStyle w:val="47"/>
        <w:numPr>
          <w:ilvl w:val="2"/>
          <w:numId w:val="5"/>
        </w:numPr>
        <w:tabs>
          <w:tab w:val="left" w:pos="709"/>
        </w:tabs>
        <w:spacing w:before="0" w:after="0"/>
        <w:ind w:right="-1" w:hanging="862"/>
        <w:jc w:val="both"/>
        <w:rPr>
          <w:rFonts w:cs="Arial"/>
          <w:color w:val="auto"/>
          <w:sz w:val="20"/>
          <w:szCs w:val="20"/>
          <w:highlight w:val="none"/>
        </w:rPr>
      </w:pPr>
      <w:bookmarkStart w:id="25" w:name="_Ref114668245"/>
      <w:r>
        <w:rPr>
          <w:rFonts w:cs="Arial"/>
          <w:sz w:val="20"/>
          <w:szCs w:val="20"/>
          <w:highlight w:val="none"/>
        </w:rPr>
        <w:t>fraudar a licitação</w:t>
      </w:r>
      <w:bookmarkEnd w:id="25"/>
      <w:r>
        <w:rPr>
          <w:rFonts w:hint="default" w:cs="Arial"/>
          <w:sz w:val="20"/>
          <w:szCs w:val="20"/>
          <w:highlight w:val="none"/>
          <w:lang w:val="pt-BR"/>
        </w:rPr>
        <w:t>.</w:t>
      </w:r>
    </w:p>
    <w:p>
      <w:pPr>
        <w:pStyle w:val="47"/>
        <w:tabs>
          <w:tab w:val="left" w:pos="709"/>
        </w:tabs>
        <w:spacing w:before="0" w:after="0"/>
        <w:ind w:left="720" w:right="-1"/>
        <w:jc w:val="both"/>
        <w:rPr>
          <w:rFonts w:cs="Arial"/>
          <w:color w:val="auto"/>
          <w:sz w:val="20"/>
          <w:szCs w:val="20"/>
          <w:highlight w:val="none"/>
        </w:rPr>
      </w:pPr>
    </w:p>
    <w:p>
      <w:pPr>
        <w:pStyle w:val="47"/>
        <w:numPr>
          <w:ilvl w:val="2"/>
          <w:numId w:val="5"/>
        </w:numPr>
        <w:tabs>
          <w:tab w:val="left" w:pos="709"/>
        </w:tabs>
        <w:spacing w:before="0" w:after="0"/>
        <w:ind w:right="-1" w:hanging="862"/>
        <w:jc w:val="both"/>
        <w:rPr>
          <w:rFonts w:cs="Arial"/>
          <w:color w:val="auto"/>
          <w:sz w:val="20"/>
          <w:szCs w:val="20"/>
          <w:highlight w:val="none"/>
        </w:rPr>
      </w:pPr>
      <w:bookmarkStart w:id="26" w:name="_Ref114668247"/>
      <w:r>
        <w:rPr>
          <w:rFonts w:cs="Arial"/>
          <w:sz w:val="20"/>
          <w:szCs w:val="20"/>
          <w:highlight w:val="none"/>
        </w:rPr>
        <w:t>comportar-se de modo inidôneo ou cometer fraude de qualquer natureza, em especial quando:</w:t>
      </w:r>
      <w:bookmarkEnd w:id="26"/>
    </w:p>
    <w:p>
      <w:pPr>
        <w:pStyle w:val="47"/>
        <w:spacing w:before="0" w:after="0"/>
        <w:rPr>
          <w:rFonts w:cs="Arial"/>
          <w:color w:val="auto"/>
          <w:sz w:val="20"/>
          <w:szCs w:val="20"/>
          <w:highlight w:val="none"/>
        </w:rPr>
      </w:pPr>
    </w:p>
    <w:p>
      <w:pPr>
        <w:pStyle w:val="47"/>
        <w:numPr>
          <w:ilvl w:val="3"/>
          <w:numId w:val="5"/>
        </w:numPr>
        <w:tabs>
          <w:tab w:val="left" w:pos="709"/>
        </w:tabs>
        <w:spacing w:before="0" w:after="0"/>
        <w:ind w:right="-1" w:hanging="862"/>
        <w:jc w:val="both"/>
        <w:rPr>
          <w:rFonts w:cs="Arial"/>
          <w:color w:val="auto"/>
          <w:sz w:val="20"/>
          <w:szCs w:val="20"/>
          <w:highlight w:val="none"/>
        </w:rPr>
      </w:pPr>
      <w:r>
        <w:rPr>
          <w:rFonts w:cs="Arial"/>
          <w:sz w:val="20"/>
          <w:szCs w:val="20"/>
          <w:highlight w:val="none"/>
        </w:rPr>
        <w:t>agir em conluio ou em desconformidade com a lei;</w:t>
      </w:r>
    </w:p>
    <w:p>
      <w:pPr>
        <w:pStyle w:val="47"/>
        <w:tabs>
          <w:tab w:val="left" w:pos="709"/>
        </w:tabs>
        <w:spacing w:before="0" w:after="0"/>
        <w:ind w:left="720" w:right="-1"/>
        <w:jc w:val="both"/>
        <w:rPr>
          <w:rFonts w:cs="Arial"/>
          <w:color w:val="auto"/>
          <w:sz w:val="20"/>
          <w:szCs w:val="20"/>
          <w:highlight w:val="none"/>
        </w:rPr>
      </w:pPr>
    </w:p>
    <w:p>
      <w:pPr>
        <w:pStyle w:val="47"/>
        <w:numPr>
          <w:ilvl w:val="3"/>
          <w:numId w:val="5"/>
        </w:numPr>
        <w:tabs>
          <w:tab w:val="left" w:pos="709"/>
        </w:tabs>
        <w:spacing w:before="0" w:after="0"/>
        <w:ind w:right="-1" w:hanging="862"/>
        <w:jc w:val="both"/>
        <w:rPr>
          <w:rFonts w:cs="Arial"/>
          <w:color w:val="auto"/>
          <w:sz w:val="20"/>
          <w:szCs w:val="20"/>
          <w:highlight w:val="none"/>
        </w:rPr>
      </w:pPr>
      <w:r>
        <w:rPr>
          <w:rFonts w:cs="Arial"/>
          <w:sz w:val="20"/>
          <w:szCs w:val="20"/>
          <w:highlight w:val="none"/>
        </w:rPr>
        <w:t>induzir deliberadamente a erro no julgamento;</w:t>
      </w:r>
    </w:p>
    <w:p>
      <w:pPr>
        <w:pStyle w:val="47"/>
        <w:tabs>
          <w:tab w:val="left" w:pos="709"/>
        </w:tabs>
        <w:spacing w:before="0" w:after="0"/>
        <w:ind w:left="720" w:right="-1"/>
        <w:jc w:val="both"/>
        <w:rPr>
          <w:rFonts w:cs="Arial"/>
          <w:color w:val="auto"/>
          <w:sz w:val="20"/>
          <w:szCs w:val="20"/>
          <w:highlight w:val="none"/>
        </w:rPr>
      </w:pPr>
    </w:p>
    <w:p>
      <w:pPr>
        <w:pStyle w:val="47"/>
        <w:numPr>
          <w:ilvl w:val="3"/>
          <w:numId w:val="5"/>
        </w:numPr>
        <w:tabs>
          <w:tab w:val="left" w:pos="709"/>
        </w:tabs>
        <w:spacing w:before="0" w:after="0"/>
        <w:ind w:right="-1" w:hanging="862"/>
        <w:jc w:val="both"/>
        <w:rPr>
          <w:rFonts w:cs="Arial"/>
          <w:color w:val="auto"/>
          <w:sz w:val="20"/>
          <w:szCs w:val="20"/>
          <w:highlight w:val="none"/>
        </w:rPr>
      </w:pPr>
      <w:r>
        <w:rPr>
          <w:rFonts w:cs="Arial"/>
          <w:sz w:val="20"/>
          <w:szCs w:val="20"/>
          <w:highlight w:val="none"/>
        </w:rPr>
        <w:t>apresentar amostra falsificada ou deteriorada;</w:t>
      </w:r>
    </w:p>
    <w:p>
      <w:pPr>
        <w:pStyle w:val="47"/>
        <w:tabs>
          <w:tab w:val="left" w:pos="709"/>
        </w:tabs>
        <w:spacing w:before="0" w:after="0"/>
        <w:ind w:left="720" w:right="-1"/>
        <w:jc w:val="both"/>
        <w:rPr>
          <w:rFonts w:cs="Arial"/>
          <w:color w:val="auto"/>
          <w:sz w:val="20"/>
          <w:szCs w:val="20"/>
          <w:highlight w:val="none"/>
        </w:rPr>
      </w:pPr>
    </w:p>
    <w:p>
      <w:pPr>
        <w:pStyle w:val="47"/>
        <w:numPr>
          <w:ilvl w:val="2"/>
          <w:numId w:val="5"/>
        </w:numPr>
        <w:tabs>
          <w:tab w:val="left" w:pos="709"/>
        </w:tabs>
        <w:spacing w:before="0" w:after="0"/>
        <w:ind w:right="-1" w:hanging="862"/>
        <w:jc w:val="both"/>
        <w:rPr>
          <w:rFonts w:cs="Arial"/>
          <w:color w:val="auto"/>
          <w:sz w:val="20"/>
          <w:szCs w:val="20"/>
          <w:highlight w:val="none"/>
        </w:rPr>
      </w:pPr>
      <w:bookmarkStart w:id="27" w:name="_Ref114668251"/>
      <w:r>
        <w:rPr>
          <w:rFonts w:cs="Arial"/>
          <w:sz w:val="20"/>
          <w:szCs w:val="20"/>
          <w:highlight w:val="none"/>
        </w:rPr>
        <w:t>praticar atos ilícitos com vistas a frustrar os objetivos da licitação</w:t>
      </w:r>
      <w:bookmarkEnd w:id="27"/>
    </w:p>
    <w:p>
      <w:pPr>
        <w:pStyle w:val="47"/>
        <w:tabs>
          <w:tab w:val="left" w:pos="709"/>
        </w:tabs>
        <w:spacing w:before="0" w:after="0"/>
        <w:ind w:left="720" w:right="-1"/>
        <w:jc w:val="both"/>
        <w:rPr>
          <w:rFonts w:cs="Arial"/>
          <w:color w:val="auto"/>
          <w:sz w:val="20"/>
          <w:szCs w:val="20"/>
          <w:highlight w:val="none"/>
        </w:rPr>
      </w:pPr>
    </w:p>
    <w:p>
      <w:pPr>
        <w:pStyle w:val="47"/>
        <w:numPr>
          <w:ilvl w:val="2"/>
          <w:numId w:val="5"/>
        </w:numPr>
        <w:tabs>
          <w:tab w:val="left" w:pos="709"/>
        </w:tabs>
        <w:spacing w:before="0" w:after="0"/>
        <w:ind w:right="-1" w:hanging="862"/>
        <w:jc w:val="both"/>
        <w:rPr>
          <w:rFonts w:cs="Arial"/>
          <w:color w:val="auto"/>
          <w:sz w:val="20"/>
          <w:szCs w:val="20"/>
          <w:highlight w:val="none"/>
        </w:rPr>
      </w:pPr>
      <w:bookmarkStart w:id="28" w:name="_Ref114668252"/>
      <w:r>
        <w:rPr>
          <w:rFonts w:cs="Arial"/>
          <w:color w:val="auto"/>
          <w:sz w:val="20"/>
          <w:szCs w:val="20"/>
          <w:highlight w:val="none"/>
        </w:rPr>
        <w:t xml:space="preserve">praticar ato lesivo previsto no </w:t>
      </w:r>
      <w:r>
        <w:rPr>
          <w:color w:val="auto"/>
          <w:highlight w:val="none"/>
        </w:rPr>
        <w:fldChar w:fldCharType="begin"/>
      </w:r>
      <w:r>
        <w:rPr>
          <w:color w:val="auto"/>
          <w:highlight w:val="none"/>
        </w:rPr>
        <w:instrText xml:space="preserve"> HYPERLINK "https://www.planalto.gov.br/ccivil_03/_ato2011-2014/2013/lei/l12846.htm" \l "art5" </w:instrText>
      </w:r>
      <w:r>
        <w:rPr>
          <w:color w:val="auto"/>
          <w:highlight w:val="none"/>
        </w:rPr>
        <w:fldChar w:fldCharType="separate"/>
      </w:r>
      <w:r>
        <w:rPr>
          <w:rStyle w:val="16"/>
          <w:rFonts w:cs="Arial"/>
          <w:color w:val="auto"/>
          <w:sz w:val="20"/>
          <w:szCs w:val="20"/>
          <w:highlight w:val="none"/>
        </w:rPr>
        <w:t>art. 5º da Lei n.º 12.846, de 2013</w:t>
      </w:r>
      <w:r>
        <w:rPr>
          <w:rStyle w:val="16"/>
          <w:rFonts w:cs="Arial"/>
          <w:color w:val="auto"/>
          <w:sz w:val="20"/>
          <w:szCs w:val="20"/>
          <w:highlight w:val="none"/>
        </w:rPr>
        <w:fldChar w:fldCharType="end"/>
      </w:r>
      <w:r>
        <w:rPr>
          <w:rFonts w:cs="Arial"/>
          <w:color w:val="auto"/>
          <w:sz w:val="20"/>
          <w:szCs w:val="20"/>
          <w:highlight w:val="none"/>
        </w:rPr>
        <w:t>.</w:t>
      </w:r>
      <w:bookmarkEnd w:id="28"/>
    </w:p>
    <w:p>
      <w:pPr>
        <w:tabs>
          <w:tab w:val="left" w:pos="709"/>
        </w:tabs>
        <w:spacing w:before="0" w:after="0"/>
        <w:ind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 xml:space="preserve">Com fulcro na </w:t>
      </w:r>
      <w:r>
        <w:rPr>
          <w:color w:val="auto"/>
          <w:highlight w:val="none"/>
        </w:rPr>
        <w:fldChar w:fldCharType="begin"/>
      </w:r>
      <w:r>
        <w:rPr>
          <w:color w:val="auto"/>
          <w:highlight w:val="none"/>
        </w:rPr>
        <w:instrText xml:space="preserve"> HYPERLINK "http://www.planalto.gov.br/ccivil_03/_ato2019-2022/2021/lei/L14133.htm" </w:instrText>
      </w:r>
      <w:r>
        <w:rPr>
          <w:color w:val="auto"/>
          <w:highlight w:val="none"/>
        </w:rPr>
        <w:fldChar w:fldCharType="separate"/>
      </w:r>
      <w:r>
        <w:rPr>
          <w:rStyle w:val="16"/>
          <w:rFonts w:cs="Arial"/>
          <w:color w:val="auto"/>
          <w:sz w:val="20"/>
          <w:szCs w:val="20"/>
          <w:highlight w:val="none"/>
        </w:rPr>
        <w:t>Lei nº 14.133, de 2021</w:t>
      </w:r>
      <w:r>
        <w:rPr>
          <w:rStyle w:val="16"/>
          <w:rFonts w:cs="Arial"/>
          <w:color w:val="auto"/>
          <w:sz w:val="20"/>
          <w:szCs w:val="20"/>
          <w:highlight w:val="none"/>
        </w:rPr>
        <w:fldChar w:fldCharType="end"/>
      </w:r>
      <w:r>
        <w:rPr>
          <w:rFonts w:cs="Arial"/>
          <w:color w:val="auto"/>
          <w:sz w:val="20"/>
          <w:szCs w:val="20"/>
          <w:highlight w:val="none"/>
        </w:rPr>
        <w:t>, a Administração poderá, garantida a prévia defesa, aplicar aos licitantes e/ou adjudicatários as seguintes sanções, sem prejuízo das responsabilidades civil e criminal:</w:t>
      </w:r>
    </w:p>
    <w:p>
      <w:pPr>
        <w:pStyle w:val="47"/>
        <w:tabs>
          <w:tab w:val="left" w:pos="709"/>
        </w:tabs>
        <w:spacing w:before="0" w:after="0"/>
        <w:ind w:left="709" w:right="-1"/>
        <w:jc w:val="both"/>
        <w:rPr>
          <w:rFonts w:cs="Arial"/>
          <w:color w:val="auto"/>
          <w:sz w:val="20"/>
          <w:szCs w:val="20"/>
          <w:highlight w:val="none"/>
        </w:rPr>
      </w:pPr>
    </w:p>
    <w:p>
      <w:pPr>
        <w:pStyle w:val="47"/>
        <w:numPr>
          <w:ilvl w:val="2"/>
          <w:numId w:val="6"/>
        </w:numPr>
        <w:tabs>
          <w:tab w:val="left" w:pos="709"/>
        </w:tabs>
        <w:spacing w:before="0" w:after="0"/>
        <w:ind w:right="-1" w:hanging="862"/>
        <w:jc w:val="both"/>
        <w:rPr>
          <w:rFonts w:cs="Arial"/>
          <w:color w:val="auto"/>
          <w:sz w:val="20"/>
          <w:szCs w:val="20"/>
          <w:highlight w:val="none"/>
        </w:rPr>
      </w:pPr>
      <w:r>
        <w:rPr>
          <w:rFonts w:cs="Arial"/>
          <w:sz w:val="20"/>
          <w:szCs w:val="20"/>
          <w:highlight w:val="none"/>
        </w:rPr>
        <w:t>advertência;</w:t>
      </w:r>
    </w:p>
    <w:p>
      <w:pPr>
        <w:pStyle w:val="47"/>
        <w:tabs>
          <w:tab w:val="left" w:pos="709"/>
        </w:tabs>
        <w:spacing w:before="0" w:after="0"/>
        <w:ind w:left="720" w:right="-1"/>
        <w:jc w:val="both"/>
        <w:rPr>
          <w:rFonts w:cs="Arial"/>
          <w:color w:val="auto"/>
          <w:sz w:val="20"/>
          <w:szCs w:val="20"/>
          <w:highlight w:val="none"/>
        </w:rPr>
      </w:pPr>
    </w:p>
    <w:p>
      <w:pPr>
        <w:pStyle w:val="47"/>
        <w:numPr>
          <w:ilvl w:val="2"/>
          <w:numId w:val="6"/>
        </w:numPr>
        <w:tabs>
          <w:tab w:val="left" w:pos="709"/>
        </w:tabs>
        <w:spacing w:before="0" w:after="0"/>
        <w:ind w:right="-1" w:hanging="862"/>
        <w:jc w:val="both"/>
        <w:rPr>
          <w:rFonts w:cs="Arial"/>
          <w:color w:val="auto"/>
          <w:sz w:val="20"/>
          <w:szCs w:val="20"/>
          <w:highlight w:val="none"/>
        </w:rPr>
      </w:pPr>
      <w:r>
        <w:rPr>
          <w:rFonts w:cs="Arial"/>
          <w:sz w:val="20"/>
          <w:szCs w:val="20"/>
          <w:highlight w:val="none"/>
        </w:rPr>
        <w:t>multa;</w:t>
      </w:r>
    </w:p>
    <w:p>
      <w:pPr>
        <w:pStyle w:val="47"/>
        <w:tabs>
          <w:tab w:val="left" w:pos="709"/>
        </w:tabs>
        <w:spacing w:before="0" w:after="0"/>
        <w:ind w:left="720" w:right="-1"/>
        <w:jc w:val="both"/>
        <w:rPr>
          <w:rFonts w:cs="Arial"/>
          <w:color w:val="auto"/>
          <w:sz w:val="20"/>
          <w:szCs w:val="20"/>
          <w:highlight w:val="none"/>
        </w:rPr>
      </w:pPr>
    </w:p>
    <w:p>
      <w:pPr>
        <w:pStyle w:val="47"/>
        <w:numPr>
          <w:ilvl w:val="2"/>
          <w:numId w:val="6"/>
        </w:numPr>
        <w:tabs>
          <w:tab w:val="left" w:pos="709"/>
        </w:tabs>
        <w:spacing w:before="0" w:after="0"/>
        <w:ind w:right="-1" w:hanging="862"/>
        <w:jc w:val="both"/>
        <w:rPr>
          <w:rFonts w:cs="Arial"/>
          <w:color w:val="auto"/>
          <w:sz w:val="20"/>
          <w:szCs w:val="20"/>
          <w:highlight w:val="none"/>
        </w:rPr>
      </w:pPr>
      <w:r>
        <w:rPr>
          <w:rFonts w:cs="Arial"/>
          <w:sz w:val="20"/>
          <w:szCs w:val="20"/>
          <w:highlight w:val="none"/>
        </w:rPr>
        <w:t>impedimento de licitar e contratar e</w:t>
      </w:r>
    </w:p>
    <w:p>
      <w:pPr>
        <w:pStyle w:val="47"/>
        <w:tabs>
          <w:tab w:val="left" w:pos="709"/>
        </w:tabs>
        <w:spacing w:before="0" w:after="0"/>
        <w:ind w:left="720" w:right="-1"/>
        <w:jc w:val="both"/>
        <w:rPr>
          <w:rFonts w:cs="Arial"/>
          <w:color w:val="auto"/>
          <w:sz w:val="20"/>
          <w:szCs w:val="20"/>
          <w:highlight w:val="none"/>
        </w:rPr>
      </w:pPr>
    </w:p>
    <w:p>
      <w:pPr>
        <w:pStyle w:val="47"/>
        <w:numPr>
          <w:ilvl w:val="2"/>
          <w:numId w:val="6"/>
        </w:numPr>
        <w:tabs>
          <w:tab w:val="left" w:pos="709"/>
        </w:tabs>
        <w:spacing w:before="0" w:after="0"/>
        <w:ind w:right="-1" w:hanging="862"/>
        <w:jc w:val="both"/>
        <w:rPr>
          <w:rFonts w:cs="Arial"/>
          <w:color w:val="auto"/>
          <w:sz w:val="20"/>
          <w:szCs w:val="20"/>
          <w:highlight w:val="none"/>
        </w:rPr>
      </w:pPr>
      <w:r>
        <w:rPr>
          <w:rFonts w:cs="Arial"/>
          <w:sz w:val="20"/>
          <w:szCs w:val="20"/>
          <w:highlight w:val="none"/>
        </w:rPr>
        <w:t>declaração de inidoneidade para licitar ou contratar, enquanto perdurarem os motivos determinantes da punição ou até que seja promovida sua reabilitação perante a própria autoridade que aplicou a penalidade.</w:t>
      </w:r>
    </w:p>
    <w:p>
      <w:pPr>
        <w:pStyle w:val="47"/>
        <w:tabs>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sz w:val="20"/>
          <w:szCs w:val="20"/>
          <w:highlight w:val="none"/>
        </w:rPr>
        <w:t>Na aplicação das sanções serão considerados:</w:t>
      </w:r>
    </w:p>
    <w:p>
      <w:pPr>
        <w:pStyle w:val="47"/>
        <w:tabs>
          <w:tab w:val="left" w:pos="709"/>
        </w:tabs>
        <w:spacing w:before="0" w:after="0"/>
        <w:ind w:left="709" w:right="-1"/>
        <w:jc w:val="both"/>
        <w:rPr>
          <w:rFonts w:cs="Arial"/>
          <w:color w:val="auto"/>
          <w:sz w:val="20"/>
          <w:szCs w:val="20"/>
          <w:highlight w:val="none"/>
        </w:rPr>
      </w:pPr>
    </w:p>
    <w:p>
      <w:pPr>
        <w:pStyle w:val="47"/>
        <w:numPr>
          <w:ilvl w:val="2"/>
          <w:numId w:val="7"/>
        </w:numPr>
        <w:tabs>
          <w:tab w:val="left" w:pos="709"/>
        </w:tabs>
        <w:spacing w:before="0" w:after="0"/>
        <w:ind w:right="-1" w:hanging="862"/>
        <w:jc w:val="both"/>
        <w:rPr>
          <w:rFonts w:cs="Arial"/>
          <w:color w:val="auto"/>
          <w:sz w:val="20"/>
          <w:szCs w:val="20"/>
          <w:highlight w:val="none"/>
        </w:rPr>
      </w:pPr>
      <w:r>
        <w:rPr>
          <w:rFonts w:cs="Arial"/>
          <w:sz w:val="20"/>
          <w:szCs w:val="20"/>
          <w:highlight w:val="none"/>
        </w:rPr>
        <w:t>a natureza e a gravidade da infração cometida</w:t>
      </w:r>
      <w:r>
        <w:rPr>
          <w:rFonts w:hint="default" w:cs="Arial"/>
          <w:sz w:val="20"/>
          <w:szCs w:val="20"/>
          <w:highlight w:val="none"/>
          <w:lang w:val="pt-BR"/>
        </w:rPr>
        <w:t>;</w:t>
      </w:r>
    </w:p>
    <w:p>
      <w:pPr>
        <w:pStyle w:val="47"/>
        <w:tabs>
          <w:tab w:val="left" w:pos="709"/>
        </w:tabs>
        <w:spacing w:before="0" w:after="0"/>
        <w:ind w:left="720" w:right="-1"/>
        <w:jc w:val="both"/>
        <w:rPr>
          <w:rFonts w:cs="Arial"/>
          <w:color w:val="auto"/>
          <w:sz w:val="20"/>
          <w:szCs w:val="20"/>
          <w:highlight w:val="none"/>
        </w:rPr>
      </w:pPr>
    </w:p>
    <w:p>
      <w:pPr>
        <w:pStyle w:val="47"/>
        <w:numPr>
          <w:ilvl w:val="2"/>
          <w:numId w:val="7"/>
        </w:numPr>
        <w:tabs>
          <w:tab w:val="left" w:pos="709"/>
        </w:tabs>
        <w:spacing w:before="0" w:after="0"/>
        <w:ind w:right="-1" w:hanging="862"/>
        <w:jc w:val="both"/>
        <w:rPr>
          <w:rFonts w:cs="Arial"/>
          <w:color w:val="auto"/>
          <w:sz w:val="20"/>
          <w:szCs w:val="20"/>
          <w:highlight w:val="none"/>
        </w:rPr>
      </w:pPr>
      <w:r>
        <w:rPr>
          <w:rFonts w:cs="Arial"/>
          <w:sz w:val="20"/>
          <w:szCs w:val="20"/>
          <w:highlight w:val="none"/>
        </w:rPr>
        <w:t>as peculiaridades do caso concreto</w:t>
      </w:r>
      <w:r>
        <w:rPr>
          <w:rFonts w:hint="default" w:cs="Arial"/>
          <w:sz w:val="20"/>
          <w:szCs w:val="20"/>
          <w:highlight w:val="none"/>
          <w:lang w:val="pt-BR"/>
        </w:rPr>
        <w:t>;</w:t>
      </w:r>
    </w:p>
    <w:p>
      <w:pPr>
        <w:pStyle w:val="47"/>
        <w:tabs>
          <w:tab w:val="left" w:pos="709"/>
        </w:tabs>
        <w:spacing w:before="0" w:after="0"/>
        <w:ind w:left="720" w:right="-1"/>
        <w:jc w:val="both"/>
        <w:rPr>
          <w:rFonts w:cs="Arial"/>
          <w:color w:val="auto"/>
          <w:sz w:val="20"/>
          <w:szCs w:val="20"/>
          <w:highlight w:val="none"/>
        </w:rPr>
      </w:pPr>
    </w:p>
    <w:p>
      <w:pPr>
        <w:pStyle w:val="47"/>
        <w:numPr>
          <w:ilvl w:val="2"/>
          <w:numId w:val="7"/>
        </w:numPr>
        <w:tabs>
          <w:tab w:val="left" w:pos="709"/>
        </w:tabs>
        <w:spacing w:before="0" w:after="0"/>
        <w:ind w:right="-1" w:hanging="862"/>
        <w:jc w:val="both"/>
        <w:rPr>
          <w:rFonts w:cs="Arial"/>
          <w:color w:val="auto"/>
          <w:sz w:val="20"/>
          <w:szCs w:val="20"/>
          <w:highlight w:val="none"/>
        </w:rPr>
      </w:pPr>
      <w:r>
        <w:rPr>
          <w:rFonts w:cs="Arial"/>
          <w:sz w:val="20"/>
          <w:szCs w:val="20"/>
          <w:highlight w:val="none"/>
        </w:rPr>
        <w:t>as circunstâncias agravantes ou atenuantes</w:t>
      </w:r>
      <w:r>
        <w:rPr>
          <w:rFonts w:hint="default" w:cs="Arial"/>
          <w:sz w:val="20"/>
          <w:szCs w:val="20"/>
          <w:highlight w:val="none"/>
          <w:lang w:val="pt-BR"/>
        </w:rPr>
        <w:t>;</w:t>
      </w:r>
    </w:p>
    <w:p>
      <w:pPr>
        <w:pStyle w:val="47"/>
        <w:tabs>
          <w:tab w:val="left" w:pos="709"/>
        </w:tabs>
        <w:spacing w:before="0" w:after="0"/>
        <w:ind w:left="720" w:right="-1"/>
        <w:jc w:val="both"/>
        <w:rPr>
          <w:rFonts w:cs="Arial"/>
          <w:color w:val="auto"/>
          <w:sz w:val="20"/>
          <w:szCs w:val="20"/>
          <w:highlight w:val="none"/>
        </w:rPr>
      </w:pPr>
    </w:p>
    <w:p>
      <w:pPr>
        <w:pStyle w:val="47"/>
        <w:numPr>
          <w:ilvl w:val="2"/>
          <w:numId w:val="7"/>
        </w:numPr>
        <w:tabs>
          <w:tab w:val="left" w:pos="709"/>
        </w:tabs>
        <w:spacing w:before="0" w:after="0"/>
        <w:ind w:right="-1" w:hanging="862"/>
        <w:jc w:val="both"/>
        <w:rPr>
          <w:rFonts w:cs="Arial"/>
          <w:color w:val="auto"/>
          <w:sz w:val="20"/>
          <w:szCs w:val="20"/>
          <w:highlight w:val="none"/>
        </w:rPr>
      </w:pPr>
      <w:r>
        <w:rPr>
          <w:rFonts w:cs="Arial"/>
          <w:sz w:val="20"/>
          <w:szCs w:val="20"/>
          <w:highlight w:val="none"/>
        </w:rPr>
        <w:t>os danos que dela provierem para a Administração Pública</w:t>
      </w:r>
      <w:r>
        <w:rPr>
          <w:rFonts w:hint="default" w:cs="Arial"/>
          <w:sz w:val="20"/>
          <w:szCs w:val="20"/>
          <w:highlight w:val="none"/>
          <w:lang w:val="pt-BR"/>
        </w:rPr>
        <w:t>;</w:t>
      </w:r>
    </w:p>
    <w:p>
      <w:pPr>
        <w:pStyle w:val="47"/>
        <w:tabs>
          <w:tab w:val="left" w:pos="709"/>
        </w:tabs>
        <w:spacing w:before="0" w:after="0"/>
        <w:ind w:left="720" w:right="-1"/>
        <w:jc w:val="both"/>
        <w:rPr>
          <w:rFonts w:cs="Arial"/>
          <w:color w:val="auto"/>
          <w:sz w:val="20"/>
          <w:szCs w:val="20"/>
          <w:highlight w:val="none"/>
        </w:rPr>
      </w:pPr>
    </w:p>
    <w:p>
      <w:pPr>
        <w:pStyle w:val="47"/>
        <w:numPr>
          <w:ilvl w:val="2"/>
          <w:numId w:val="7"/>
        </w:numPr>
        <w:tabs>
          <w:tab w:val="left" w:pos="709"/>
        </w:tabs>
        <w:spacing w:before="0" w:after="0"/>
        <w:ind w:right="-1" w:hanging="862"/>
        <w:jc w:val="both"/>
        <w:rPr>
          <w:rFonts w:cs="Arial"/>
          <w:color w:val="auto"/>
          <w:sz w:val="20"/>
          <w:szCs w:val="20"/>
          <w:highlight w:val="none"/>
        </w:rPr>
      </w:pPr>
      <w:r>
        <w:rPr>
          <w:rFonts w:cs="Arial"/>
          <w:sz w:val="20"/>
          <w:szCs w:val="20"/>
          <w:highlight w:val="none"/>
        </w:rPr>
        <w:t>a implantação ou o aperfeiçoamento de programa de integridade, conforme normas e orientações dos órgãos de controle.</w:t>
      </w:r>
    </w:p>
    <w:p>
      <w:pPr>
        <w:pStyle w:val="47"/>
        <w:spacing w:before="0" w:after="0"/>
        <w:rPr>
          <w:rFonts w:cs="Arial"/>
          <w:color w:val="auto"/>
          <w:sz w:val="20"/>
          <w:szCs w:val="20"/>
          <w:highlight w:val="none"/>
        </w:rPr>
      </w:pPr>
    </w:p>
    <w:p>
      <w:pPr>
        <w:pStyle w:val="47"/>
        <w:numPr>
          <w:ilvl w:val="1"/>
          <w:numId w:val="7"/>
        </w:numPr>
        <w:tabs>
          <w:tab w:val="left" w:pos="709"/>
        </w:tabs>
        <w:spacing w:before="0" w:after="0"/>
        <w:ind w:left="709" w:right="-1" w:hanging="851"/>
        <w:jc w:val="both"/>
        <w:rPr>
          <w:rFonts w:cs="Arial"/>
          <w:color w:val="auto"/>
          <w:sz w:val="20"/>
          <w:szCs w:val="20"/>
          <w:highlight w:val="none"/>
        </w:rPr>
      </w:pPr>
      <w:r>
        <w:rPr>
          <w:rFonts w:cs="Arial"/>
          <w:sz w:val="20"/>
          <w:szCs w:val="20"/>
          <w:highlight w:val="none"/>
        </w:rPr>
        <w:t xml:space="preserve">A multa será recolhida em percentual de 0,5% a 30% incidente sobre o valor do contrato licitado, recolhida no prazo máximo </w:t>
      </w:r>
      <w:r>
        <w:rPr>
          <w:rFonts w:cs="Arial"/>
          <w:b/>
          <w:color w:val="auto"/>
          <w:sz w:val="20"/>
          <w:szCs w:val="20"/>
          <w:highlight w:val="none"/>
        </w:rPr>
        <w:t>de 10 (dez)</w:t>
      </w:r>
      <w:r>
        <w:rPr>
          <w:rFonts w:cs="Arial"/>
          <w:b/>
          <w:bCs/>
          <w:color w:val="auto"/>
          <w:sz w:val="20"/>
          <w:szCs w:val="20"/>
          <w:highlight w:val="none"/>
        </w:rPr>
        <w:t xml:space="preserve"> dias</w:t>
      </w:r>
      <w:r>
        <w:rPr>
          <w:rFonts w:cs="Arial"/>
          <w:b/>
          <w:color w:val="auto"/>
          <w:sz w:val="20"/>
          <w:szCs w:val="20"/>
          <w:highlight w:val="none"/>
        </w:rPr>
        <w:t xml:space="preserve"> úteis</w:t>
      </w:r>
      <w:r>
        <w:rPr>
          <w:rFonts w:cs="Arial"/>
          <w:sz w:val="20"/>
          <w:szCs w:val="20"/>
          <w:highlight w:val="none"/>
        </w:rPr>
        <w:t>, a contar da comunicação oficial.</w:t>
      </w:r>
    </w:p>
    <w:p>
      <w:pPr>
        <w:pStyle w:val="47"/>
        <w:tabs>
          <w:tab w:val="left" w:pos="709"/>
        </w:tabs>
        <w:spacing w:before="0" w:after="0"/>
        <w:ind w:left="540" w:right="-1"/>
        <w:jc w:val="both"/>
        <w:rPr>
          <w:rFonts w:cs="Arial"/>
          <w:color w:val="auto"/>
          <w:sz w:val="20"/>
          <w:szCs w:val="20"/>
          <w:highlight w:val="none"/>
        </w:rPr>
      </w:pPr>
    </w:p>
    <w:p>
      <w:pPr>
        <w:pStyle w:val="47"/>
        <w:numPr>
          <w:ilvl w:val="2"/>
          <w:numId w:val="7"/>
        </w:numPr>
        <w:tabs>
          <w:tab w:val="left" w:pos="709"/>
        </w:tabs>
        <w:spacing w:before="0" w:after="0"/>
        <w:ind w:right="-1" w:hanging="862"/>
        <w:jc w:val="both"/>
        <w:rPr>
          <w:rFonts w:cs="Arial"/>
          <w:color w:val="auto"/>
          <w:sz w:val="20"/>
          <w:szCs w:val="20"/>
          <w:highlight w:val="none"/>
        </w:rPr>
      </w:pPr>
      <w:r>
        <w:rPr>
          <w:rFonts w:cs="Arial"/>
          <w:sz w:val="20"/>
          <w:szCs w:val="20"/>
          <w:highlight w:val="none"/>
        </w:rPr>
        <w:t xml:space="preserve">Para as infrações previstas nos itens </w:t>
      </w:r>
      <w:r>
        <w:rPr>
          <w:rFonts w:cs="Arial"/>
          <w:sz w:val="20"/>
          <w:szCs w:val="20"/>
          <w:highlight w:val="none"/>
        </w:rPr>
        <w:fldChar w:fldCharType="begin"/>
      </w:r>
      <w:r>
        <w:rPr>
          <w:rFonts w:cs="Arial"/>
          <w:sz w:val="20"/>
          <w:szCs w:val="20"/>
          <w:highlight w:val="none"/>
        </w:rPr>
        <w:instrText xml:space="preserve"> REF _Ref114668085 \r \h  \* MERGEFORMAT </w:instrText>
      </w:r>
      <w:r>
        <w:rPr>
          <w:rFonts w:cs="Arial"/>
          <w:sz w:val="20"/>
          <w:szCs w:val="20"/>
          <w:highlight w:val="none"/>
        </w:rPr>
        <w:fldChar w:fldCharType="separate"/>
      </w:r>
      <w:r>
        <w:rPr>
          <w:rFonts w:cs="Arial"/>
          <w:sz w:val="20"/>
          <w:szCs w:val="20"/>
          <w:highlight w:val="none"/>
        </w:rPr>
        <w:t>14.1.1</w:t>
      </w:r>
      <w:r>
        <w:rPr>
          <w:rFonts w:cs="Arial"/>
          <w:sz w:val="20"/>
          <w:szCs w:val="20"/>
          <w:highlight w:val="none"/>
        </w:rPr>
        <w:fldChar w:fldCharType="end"/>
      </w:r>
      <w:r>
        <w:rPr>
          <w:rFonts w:cs="Arial"/>
          <w:sz w:val="20"/>
          <w:szCs w:val="20"/>
          <w:highlight w:val="none"/>
        </w:rPr>
        <w:t xml:space="preserve">, </w:t>
      </w:r>
      <w:r>
        <w:rPr>
          <w:rFonts w:cs="Arial"/>
          <w:sz w:val="20"/>
          <w:szCs w:val="20"/>
          <w:highlight w:val="none"/>
        </w:rPr>
        <w:fldChar w:fldCharType="begin"/>
      </w:r>
      <w:r>
        <w:rPr>
          <w:rFonts w:cs="Arial"/>
          <w:sz w:val="20"/>
          <w:szCs w:val="20"/>
          <w:highlight w:val="none"/>
        </w:rPr>
        <w:instrText xml:space="preserve"> REF _Ref114668108 \r \h  \* MERGEFORMAT </w:instrText>
      </w:r>
      <w:r>
        <w:rPr>
          <w:rFonts w:cs="Arial"/>
          <w:sz w:val="20"/>
          <w:szCs w:val="20"/>
          <w:highlight w:val="none"/>
        </w:rPr>
        <w:fldChar w:fldCharType="separate"/>
      </w:r>
      <w:r>
        <w:rPr>
          <w:rFonts w:cs="Arial"/>
          <w:sz w:val="20"/>
          <w:szCs w:val="20"/>
          <w:highlight w:val="none"/>
        </w:rPr>
        <w:t>14.1.2</w:t>
      </w:r>
      <w:r>
        <w:rPr>
          <w:rFonts w:cs="Arial"/>
          <w:sz w:val="20"/>
          <w:szCs w:val="20"/>
          <w:highlight w:val="none"/>
        </w:rPr>
        <w:fldChar w:fldCharType="end"/>
      </w:r>
      <w:r>
        <w:rPr>
          <w:rFonts w:cs="Arial"/>
          <w:sz w:val="20"/>
          <w:szCs w:val="20"/>
          <w:highlight w:val="none"/>
        </w:rPr>
        <w:t xml:space="preserve"> e </w:t>
      </w:r>
      <w:r>
        <w:rPr>
          <w:rFonts w:cs="Arial"/>
          <w:sz w:val="20"/>
          <w:szCs w:val="20"/>
          <w:highlight w:val="none"/>
        </w:rPr>
        <w:fldChar w:fldCharType="begin"/>
      </w:r>
      <w:r>
        <w:rPr>
          <w:rFonts w:cs="Arial"/>
          <w:sz w:val="20"/>
          <w:szCs w:val="20"/>
          <w:highlight w:val="none"/>
        </w:rPr>
        <w:instrText xml:space="preserve"> REF _Ref114668139 \r \h  \* MERGEFORMAT </w:instrText>
      </w:r>
      <w:r>
        <w:rPr>
          <w:rFonts w:cs="Arial"/>
          <w:sz w:val="20"/>
          <w:szCs w:val="20"/>
          <w:highlight w:val="none"/>
        </w:rPr>
        <w:fldChar w:fldCharType="separate"/>
      </w:r>
      <w:r>
        <w:rPr>
          <w:rFonts w:cs="Arial"/>
          <w:sz w:val="20"/>
          <w:szCs w:val="20"/>
          <w:highlight w:val="none"/>
        </w:rPr>
        <w:t>14.1.3</w:t>
      </w:r>
      <w:r>
        <w:rPr>
          <w:rFonts w:cs="Arial"/>
          <w:sz w:val="20"/>
          <w:szCs w:val="20"/>
          <w:highlight w:val="none"/>
        </w:rPr>
        <w:fldChar w:fldCharType="end"/>
      </w:r>
      <w:r>
        <w:rPr>
          <w:rFonts w:cs="Arial"/>
          <w:sz w:val="20"/>
          <w:szCs w:val="20"/>
          <w:highlight w:val="none"/>
        </w:rPr>
        <w:t xml:space="preserve">, a multa será de </w:t>
      </w:r>
      <w:r>
        <w:rPr>
          <w:rFonts w:cs="Arial"/>
          <w:color w:val="auto"/>
          <w:sz w:val="20"/>
          <w:szCs w:val="20"/>
          <w:highlight w:val="none"/>
        </w:rPr>
        <w:t xml:space="preserve">0,5% a 15% </w:t>
      </w:r>
      <w:r>
        <w:rPr>
          <w:rFonts w:cs="Arial"/>
          <w:sz w:val="20"/>
          <w:szCs w:val="20"/>
          <w:highlight w:val="none"/>
        </w:rPr>
        <w:t>do valor do contrato licitado.</w:t>
      </w:r>
    </w:p>
    <w:p>
      <w:pPr>
        <w:pStyle w:val="47"/>
        <w:tabs>
          <w:tab w:val="left" w:pos="709"/>
        </w:tabs>
        <w:spacing w:before="0" w:after="0"/>
        <w:ind w:left="720" w:right="-1"/>
        <w:jc w:val="both"/>
        <w:rPr>
          <w:rFonts w:cs="Arial"/>
          <w:color w:val="auto"/>
          <w:sz w:val="20"/>
          <w:szCs w:val="20"/>
          <w:highlight w:val="none"/>
        </w:rPr>
      </w:pPr>
    </w:p>
    <w:p>
      <w:pPr>
        <w:pStyle w:val="47"/>
        <w:numPr>
          <w:ilvl w:val="2"/>
          <w:numId w:val="7"/>
        </w:numPr>
        <w:tabs>
          <w:tab w:val="left" w:pos="709"/>
        </w:tabs>
        <w:spacing w:before="0" w:after="0"/>
        <w:ind w:right="-1" w:hanging="862"/>
        <w:jc w:val="both"/>
        <w:rPr>
          <w:rFonts w:cs="Arial"/>
          <w:color w:val="auto"/>
          <w:sz w:val="20"/>
          <w:szCs w:val="20"/>
          <w:highlight w:val="none"/>
        </w:rPr>
      </w:pPr>
      <w:r>
        <w:rPr>
          <w:rFonts w:cs="Arial"/>
          <w:color w:val="auto"/>
          <w:sz w:val="20"/>
          <w:szCs w:val="20"/>
          <w:highlight w:val="none"/>
        </w:rPr>
        <w:t xml:space="preserve">Para as infrações previstas nos itens </w:t>
      </w:r>
      <w:r>
        <w:rPr>
          <w:rFonts w:cs="Arial"/>
          <w:color w:val="auto"/>
          <w:sz w:val="20"/>
          <w:szCs w:val="20"/>
          <w:highlight w:val="none"/>
        </w:rPr>
        <w:fldChar w:fldCharType="begin"/>
      </w:r>
      <w:r>
        <w:rPr>
          <w:rFonts w:cs="Arial"/>
          <w:color w:val="auto"/>
          <w:sz w:val="20"/>
          <w:szCs w:val="20"/>
          <w:highlight w:val="none"/>
        </w:rPr>
        <w:instrText xml:space="preserve"> REF _Ref114668249 \r \h  \* MERGEFORMAT </w:instrText>
      </w:r>
      <w:r>
        <w:rPr>
          <w:rFonts w:cs="Arial"/>
          <w:color w:val="auto"/>
          <w:sz w:val="20"/>
          <w:szCs w:val="20"/>
          <w:highlight w:val="none"/>
        </w:rPr>
        <w:fldChar w:fldCharType="separate"/>
      </w:r>
      <w:r>
        <w:rPr>
          <w:rFonts w:cs="Arial"/>
          <w:color w:val="auto"/>
          <w:sz w:val="20"/>
          <w:szCs w:val="20"/>
          <w:highlight w:val="none"/>
        </w:rPr>
        <w:t>14.1.4</w:t>
      </w:r>
      <w:r>
        <w:rPr>
          <w:rFonts w:cs="Arial"/>
          <w:color w:val="auto"/>
          <w:sz w:val="20"/>
          <w:szCs w:val="20"/>
          <w:highlight w:val="none"/>
        </w:rPr>
        <w:fldChar w:fldCharType="end"/>
      </w:r>
      <w:r>
        <w:rPr>
          <w:rFonts w:cs="Arial"/>
          <w:color w:val="auto"/>
          <w:sz w:val="20"/>
          <w:szCs w:val="20"/>
          <w:highlight w:val="none"/>
        </w:rPr>
        <w:t xml:space="preserve">, </w:t>
      </w:r>
      <w:r>
        <w:rPr>
          <w:rFonts w:cs="Arial"/>
          <w:color w:val="auto"/>
          <w:sz w:val="20"/>
          <w:szCs w:val="20"/>
          <w:highlight w:val="none"/>
        </w:rPr>
        <w:fldChar w:fldCharType="begin"/>
      </w:r>
      <w:r>
        <w:rPr>
          <w:rFonts w:cs="Arial"/>
          <w:color w:val="auto"/>
          <w:sz w:val="20"/>
          <w:szCs w:val="20"/>
          <w:highlight w:val="none"/>
        </w:rPr>
        <w:instrText xml:space="preserve"> REF _Ref114668245 \r \h  \* MERGEFORMAT </w:instrText>
      </w:r>
      <w:r>
        <w:rPr>
          <w:rFonts w:cs="Arial"/>
          <w:color w:val="auto"/>
          <w:sz w:val="20"/>
          <w:szCs w:val="20"/>
          <w:highlight w:val="none"/>
        </w:rPr>
        <w:fldChar w:fldCharType="separate"/>
      </w:r>
      <w:r>
        <w:rPr>
          <w:rFonts w:cs="Arial"/>
          <w:color w:val="auto"/>
          <w:sz w:val="20"/>
          <w:szCs w:val="20"/>
          <w:highlight w:val="none"/>
        </w:rPr>
        <w:t>14.1.5</w:t>
      </w:r>
      <w:r>
        <w:rPr>
          <w:rFonts w:cs="Arial"/>
          <w:color w:val="auto"/>
          <w:sz w:val="20"/>
          <w:szCs w:val="20"/>
          <w:highlight w:val="none"/>
        </w:rPr>
        <w:fldChar w:fldCharType="end"/>
      </w:r>
      <w:r>
        <w:rPr>
          <w:rFonts w:cs="Arial"/>
          <w:color w:val="auto"/>
          <w:sz w:val="20"/>
          <w:szCs w:val="20"/>
          <w:highlight w:val="none"/>
        </w:rPr>
        <w:t xml:space="preserve">, </w:t>
      </w:r>
      <w:r>
        <w:rPr>
          <w:rFonts w:cs="Arial"/>
          <w:color w:val="auto"/>
          <w:sz w:val="20"/>
          <w:szCs w:val="20"/>
          <w:highlight w:val="none"/>
        </w:rPr>
        <w:fldChar w:fldCharType="begin"/>
      </w:r>
      <w:r>
        <w:rPr>
          <w:rFonts w:cs="Arial"/>
          <w:color w:val="auto"/>
          <w:sz w:val="20"/>
          <w:szCs w:val="20"/>
          <w:highlight w:val="none"/>
        </w:rPr>
        <w:instrText xml:space="preserve"> REF _Ref114668247 \r \h  \* MERGEFORMAT </w:instrText>
      </w:r>
      <w:r>
        <w:rPr>
          <w:rFonts w:cs="Arial"/>
          <w:color w:val="auto"/>
          <w:sz w:val="20"/>
          <w:szCs w:val="20"/>
          <w:highlight w:val="none"/>
        </w:rPr>
        <w:fldChar w:fldCharType="separate"/>
      </w:r>
      <w:r>
        <w:rPr>
          <w:rFonts w:cs="Arial"/>
          <w:color w:val="auto"/>
          <w:sz w:val="20"/>
          <w:szCs w:val="20"/>
          <w:highlight w:val="none"/>
        </w:rPr>
        <w:t>14.1.6</w:t>
      </w:r>
      <w:r>
        <w:rPr>
          <w:rFonts w:cs="Arial"/>
          <w:color w:val="auto"/>
          <w:sz w:val="20"/>
          <w:szCs w:val="20"/>
          <w:highlight w:val="none"/>
        </w:rPr>
        <w:fldChar w:fldCharType="end"/>
      </w:r>
      <w:r>
        <w:rPr>
          <w:rFonts w:cs="Arial"/>
          <w:color w:val="auto"/>
          <w:sz w:val="20"/>
          <w:szCs w:val="20"/>
          <w:highlight w:val="none"/>
        </w:rPr>
        <w:t xml:space="preserve">, </w:t>
      </w:r>
      <w:r>
        <w:rPr>
          <w:rFonts w:cs="Arial"/>
          <w:color w:val="auto"/>
          <w:sz w:val="20"/>
          <w:szCs w:val="20"/>
          <w:highlight w:val="none"/>
        </w:rPr>
        <w:fldChar w:fldCharType="begin"/>
      </w:r>
      <w:r>
        <w:rPr>
          <w:rFonts w:cs="Arial"/>
          <w:color w:val="auto"/>
          <w:sz w:val="20"/>
          <w:szCs w:val="20"/>
          <w:highlight w:val="none"/>
        </w:rPr>
        <w:instrText xml:space="preserve"> REF _Ref114668251 \r \h  \* MERGEFORMAT </w:instrText>
      </w:r>
      <w:r>
        <w:rPr>
          <w:rFonts w:cs="Arial"/>
          <w:color w:val="auto"/>
          <w:sz w:val="20"/>
          <w:szCs w:val="20"/>
          <w:highlight w:val="none"/>
        </w:rPr>
        <w:fldChar w:fldCharType="separate"/>
      </w:r>
      <w:r>
        <w:rPr>
          <w:rFonts w:cs="Arial"/>
          <w:color w:val="auto"/>
          <w:sz w:val="20"/>
          <w:szCs w:val="20"/>
          <w:highlight w:val="none"/>
        </w:rPr>
        <w:t>14.1.7</w:t>
      </w:r>
      <w:r>
        <w:rPr>
          <w:rFonts w:cs="Arial"/>
          <w:color w:val="auto"/>
          <w:sz w:val="20"/>
          <w:szCs w:val="20"/>
          <w:highlight w:val="none"/>
        </w:rPr>
        <w:fldChar w:fldCharType="end"/>
      </w:r>
      <w:r>
        <w:rPr>
          <w:rFonts w:cs="Arial"/>
          <w:color w:val="auto"/>
          <w:sz w:val="20"/>
          <w:szCs w:val="20"/>
          <w:highlight w:val="none"/>
        </w:rPr>
        <w:t xml:space="preserve"> e </w:t>
      </w:r>
      <w:r>
        <w:rPr>
          <w:rFonts w:cs="Arial"/>
          <w:color w:val="auto"/>
          <w:sz w:val="20"/>
          <w:szCs w:val="20"/>
          <w:highlight w:val="none"/>
        </w:rPr>
        <w:fldChar w:fldCharType="begin"/>
      </w:r>
      <w:r>
        <w:rPr>
          <w:rFonts w:cs="Arial"/>
          <w:color w:val="auto"/>
          <w:sz w:val="20"/>
          <w:szCs w:val="20"/>
          <w:highlight w:val="none"/>
        </w:rPr>
        <w:instrText xml:space="preserve"> REF _Ref114668252 \r \h  \* MERGEFORMAT </w:instrText>
      </w:r>
      <w:r>
        <w:rPr>
          <w:rFonts w:cs="Arial"/>
          <w:color w:val="auto"/>
          <w:sz w:val="20"/>
          <w:szCs w:val="20"/>
          <w:highlight w:val="none"/>
        </w:rPr>
        <w:fldChar w:fldCharType="separate"/>
      </w:r>
      <w:r>
        <w:rPr>
          <w:rFonts w:cs="Arial"/>
          <w:color w:val="auto"/>
          <w:sz w:val="20"/>
          <w:szCs w:val="20"/>
          <w:highlight w:val="none"/>
        </w:rPr>
        <w:t>14.1.8</w:t>
      </w:r>
      <w:r>
        <w:rPr>
          <w:rFonts w:cs="Arial"/>
          <w:color w:val="auto"/>
          <w:sz w:val="20"/>
          <w:szCs w:val="20"/>
          <w:highlight w:val="none"/>
        </w:rPr>
        <w:fldChar w:fldCharType="end"/>
      </w:r>
      <w:r>
        <w:rPr>
          <w:rFonts w:cs="Arial"/>
          <w:color w:val="auto"/>
          <w:sz w:val="20"/>
          <w:szCs w:val="20"/>
          <w:highlight w:val="none"/>
        </w:rPr>
        <w:t>, a multa será de 15% a 30% do valor do contrato licitado</w:t>
      </w:r>
    </w:p>
    <w:p>
      <w:pPr>
        <w:pStyle w:val="47"/>
        <w:tabs>
          <w:tab w:val="left" w:pos="709"/>
        </w:tabs>
        <w:spacing w:before="0" w:after="0"/>
        <w:ind w:left="720" w:right="-1"/>
        <w:jc w:val="both"/>
        <w:rPr>
          <w:rFonts w:cs="Arial"/>
          <w:color w:val="auto"/>
          <w:sz w:val="20"/>
          <w:szCs w:val="20"/>
          <w:highlight w:val="none"/>
        </w:rPr>
      </w:pPr>
    </w:p>
    <w:p>
      <w:pPr>
        <w:pStyle w:val="47"/>
        <w:numPr>
          <w:ilvl w:val="1"/>
          <w:numId w:val="7"/>
        </w:numPr>
        <w:tabs>
          <w:tab w:val="left" w:pos="709"/>
        </w:tabs>
        <w:spacing w:before="0" w:after="0"/>
        <w:ind w:left="709" w:right="-1" w:hanging="851"/>
        <w:jc w:val="both"/>
        <w:rPr>
          <w:rFonts w:cs="Arial"/>
          <w:color w:val="auto"/>
          <w:sz w:val="20"/>
          <w:szCs w:val="20"/>
          <w:highlight w:val="none"/>
        </w:rPr>
      </w:pPr>
      <w:r>
        <w:rPr>
          <w:rFonts w:cs="Arial"/>
          <w:sz w:val="20"/>
          <w:szCs w:val="20"/>
          <w:highlight w:val="none"/>
        </w:rPr>
        <w:t>As sanções de advertência, impedimento de licitar e contratar e declaração de inidoneidade para licitar ou contratar poderão ser aplicadas, cumulativamente ou não, à penalidade de multa.</w:t>
      </w:r>
    </w:p>
    <w:p>
      <w:pPr>
        <w:pStyle w:val="47"/>
        <w:tabs>
          <w:tab w:val="left" w:pos="709"/>
        </w:tabs>
        <w:spacing w:before="0" w:after="0"/>
        <w:ind w:left="709" w:right="-1" w:hanging="851"/>
        <w:jc w:val="both"/>
        <w:rPr>
          <w:rFonts w:cs="Arial"/>
          <w:color w:val="auto"/>
          <w:sz w:val="20"/>
          <w:szCs w:val="20"/>
          <w:highlight w:val="none"/>
        </w:rPr>
      </w:pPr>
    </w:p>
    <w:p>
      <w:pPr>
        <w:pStyle w:val="47"/>
        <w:numPr>
          <w:ilvl w:val="1"/>
          <w:numId w:val="7"/>
        </w:numPr>
        <w:tabs>
          <w:tab w:val="left" w:pos="709"/>
        </w:tabs>
        <w:spacing w:before="0" w:after="0"/>
        <w:ind w:left="709" w:right="-1" w:hanging="851"/>
        <w:jc w:val="both"/>
        <w:rPr>
          <w:rFonts w:cs="Arial"/>
          <w:color w:val="auto"/>
          <w:sz w:val="20"/>
          <w:szCs w:val="20"/>
          <w:highlight w:val="none"/>
        </w:rPr>
      </w:pPr>
      <w:r>
        <w:rPr>
          <w:rFonts w:cs="Arial"/>
          <w:sz w:val="20"/>
          <w:szCs w:val="20"/>
          <w:highlight w:val="none"/>
        </w:rPr>
        <w:t>Na aplicação da sanção de multa será facultada a defesa do interessado no prazo de 15 (quinze) dias úteis, contado da data de sua intimação</w:t>
      </w:r>
    </w:p>
    <w:p>
      <w:pPr>
        <w:pStyle w:val="47"/>
        <w:tabs>
          <w:tab w:val="left" w:pos="709"/>
        </w:tabs>
        <w:spacing w:before="0" w:after="0"/>
        <w:ind w:left="709" w:right="-1" w:hanging="851"/>
        <w:jc w:val="both"/>
        <w:rPr>
          <w:rFonts w:cs="Arial"/>
          <w:color w:val="auto"/>
          <w:sz w:val="20"/>
          <w:szCs w:val="20"/>
          <w:highlight w:val="none"/>
        </w:rPr>
      </w:pPr>
    </w:p>
    <w:p>
      <w:pPr>
        <w:pStyle w:val="47"/>
        <w:numPr>
          <w:ilvl w:val="1"/>
          <w:numId w:val="7"/>
        </w:numPr>
        <w:tabs>
          <w:tab w:val="left" w:pos="709"/>
        </w:tabs>
        <w:spacing w:before="0" w:after="0"/>
        <w:ind w:left="709" w:right="-1" w:hanging="851"/>
        <w:jc w:val="both"/>
        <w:rPr>
          <w:rFonts w:cs="Arial"/>
          <w:color w:val="auto"/>
          <w:sz w:val="20"/>
          <w:szCs w:val="20"/>
          <w:highlight w:val="none"/>
        </w:rPr>
      </w:pPr>
      <w:r>
        <w:rPr>
          <w:rFonts w:cs="Arial"/>
          <w:sz w:val="20"/>
          <w:szCs w:val="20"/>
          <w:highlight w:val="none"/>
        </w:rPr>
        <w:t xml:space="preserve">A sanção de impedimento de licitar e contratar será aplicada ao responsável em decorrência das infrações administrativas relacionadas nos itens </w:t>
      </w:r>
      <w:r>
        <w:rPr>
          <w:rFonts w:cs="Arial"/>
          <w:sz w:val="20"/>
          <w:szCs w:val="20"/>
          <w:highlight w:val="none"/>
        </w:rPr>
        <w:fldChar w:fldCharType="begin"/>
      </w:r>
      <w:r>
        <w:rPr>
          <w:rFonts w:cs="Arial"/>
          <w:sz w:val="20"/>
          <w:szCs w:val="20"/>
          <w:highlight w:val="none"/>
        </w:rPr>
        <w:instrText xml:space="preserve"> REF _Ref114668085 \r \h  \* MERGEFORMAT </w:instrText>
      </w:r>
      <w:r>
        <w:rPr>
          <w:rFonts w:cs="Arial"/>
          <w:sz w:val="20"/>
          <w:szCs w:val="20"/>
          <w:highlight w:val="none"/>
        </w:rPr>
        <w:fldChar w:fldCharType="separate"/>
      </w:r>
      <w:r>
        <w:rPr>
          <w:rFonts w:cs="Arial"/>
          <w:sz w:val="20"/>
          <w:szCs w:val="20"/>
          <w:highlight w:val="none"/>
        </w:rPr>
        <w:t>14.1.1</w:t>
      </w:r>
      <w:r>
        <w:rPr>
          <w:rFonts w:cs="Arial"/>
          <w:sz w:val="20"/>
          <w:szCs w:val="20"/>
          <w:highlight w:val="none"/>
        </w:rPr>
        <w:fldChar w:fldCharType="end"/>
      </w:r>
      <w:r>
        <w:rPr>
          <w:rFonts w:cs="Arial"/>
          <w:sz w:val="20"/>
          <w:szCs w:val="20"/>
          <w:highlight w:val="none"/>
        </w:rPr>
        <w:t xml:space="preserve">, </w:t>
      </w:r>
      <w:r>
        <w:rPr>
          <w:rFonts w:cs="Arial"/>
          <w:sz w:val="20"/>
          <w:szCs w:val="20"/>
          <w:highlight w:val="none"/>
        </w:rPr>
        <w:fldChar w:fldCharType="begin"/>
      </w:r>
      <w:r>
        <w:rPr>
          <w:rFonts w:cs="Arial"/>
          <w:sz w:val="20"/>
          <w:szCs w:val="20"/>
          <w:highlight w:val="none"/>
        </w:rPr>
        <w:instrText xml:space="preserve"> REF _Ref114668108 \r \h  \* MERGEFORMAT </w:instrText>
      </w:r>
      <w:r>
        <w:rPr>
          <w:rFonts w:cs="Arial"/>
          <w:sz w:val="20"/>
          <w:szCs w:val="20"/>
          <w:highlight w:val="none"/>
        </w:rPr>
        <w:fldChar w:fldCharType="separate"/>
      </w:r>
      <w:r>
        <w:rPr>
          <w:rFonts w:cs="Arial"/>
          <w:sz w:val="20"/>
          <w:szCs w:val="20"/>
          <w:highlight w:val="none"/>
        </w:rPr>
        <w:t>14.1.2</w:t>
      </w:r>
      <w:r>
        <w:rPr>
          <w:rFonts w:cs="Arial"/>
          <w:sz w:val="20"/>
          <w:szCs w:val="20"/>
          <w:highlight w:val="none"/>
        </w:rPr>
        <w:fldChar w:fldCharType="end"/>
      </w:r>
      <w:r>
        <w:rPr>
          <w:rFonts w:cs="Arial"/>
          <w:sz w:val="20"/>
          <w:szCs w:val="20"/>
          <w:highlight w:val="none"/>
        </w:rPr>
        <w:t xml:space="preserve"> e </w:t>
      </w:r>
      <w:r>
        <w:rPr>
          <w:rFonts w:cs="Arial"/>
          <w:sz w:val="20"/>
          <w:szCs w:val="20"/>
          <w:highlight w:val="none"/>
        </w:rPr>
        <w:fldChar w:fldCharType="begin"/>
      </w:r>
      <w:r>
        <w:rPr>
          <w:rFonts w:cs="Arial"/>
          <w:sz w:val="20"/>
          <w:szCs w:val="20"/>
          <w:highlight w:val="none"/>
        </w:rPr>
        <w:instrText xml:space="preserve"> REF _Ref114668139 \r \h  \* MERGEFORMAT </w:instrText>
      </w:r>
      <w:r>
        <w:rPr>
          <w:rFonts w:cs="Arial"/>
          <w:sz w:val="20"/>
          <w:szCs w:val="20"/>
          <w:highlight w:val="none"/>
        </w:rPr>
        <w:fldChar w:fldCharType="separate"/>
      </w:r>
      <w:r>
        <w:rPr>
          <w:rFonts w:cs="Arial"/>
          <w:sz w:val="20"/>
          <w:szCs w:val="20"/>
          <w:highlight w:val="none"/>
        </w:rPr>
        <w:t>14.1.3</w:t>
      </w:r>
      <w:r>
        <w:rPr>
          <w:rFonts w:cs="Arial"/>
          <w:sz w:val="20"/>
          <w:szCs w:val="20"/>
          <w:highlight w:val="none"/>
        </w:rPr>
        <w:fldChar w:fldCharType="end"/>
      </w:r>
      <w:r>
        <w:rPr>
          <w:rFonts w:cs="Arial"/>
          <w:sz w:val="20"/>
          <w:szCs w:val="20"/>
          <w:highlight w:val="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r>
        <w:rPr>
          <w:rFonts w:hint="default" w:cs="Arial"/>
          <w:sz w:val="20"/>
          <w:szCs w:val="20"/>
          <w:highlight w:val="none"/>
          <w:lang w:val="pt-BR"/>
        </w:rPr>
        <w:t>.</w:t>
      </w:r>
    </w:p>
    <w:p>
      <w:pPr>
        <w:pStyle w:val="47"/>
        <w:tabs>
          <w:tab w:val="left" w:pos="709"/>
        </w:tabs>
        <w:spacing w:before="0" w:after="0"/>
        <w:ind w:left="709" w:right="-1" w:hanging="851"/>
        <w:jc w:val="both"/>
        <w:rPr>
          <w:rFonts w:cs="Arial"/>
          <w:color w:val="auto"/>
          <w:sz w:val="20"/>
          <w:szCs w:val="20"/>
          <w:highlight w:val="none"/>
        </w:rPr>
      </w:pPr>
    </w:p>
    <w:p>
      <w:pPr>
        <w:pStyle w:val="47"/>
        <w:numPr>
          <w:ilvl w:val="1"/>
          <w:numId w:val="7"/>
        </w:numPr>
        <w:tabs>
          <w:tab w:val="left" w:pos="709"/>
        </w:tabs>
        <w:spacing w:before="0" w:after="0"/>
        <w:ind w:left="709" w:right="-1" w:hanging="851"/>
        <w:jc w:val="both"/>
        <w:rPr>
          <w:rFonts w:cs="Arial"/>
          <w:color w:val="auto"/>
          <w:sz w:val="20"/>
          <w:szCs w:val="20"/>
          <w:highlight w:val="none"/>
        </w:rPr>
      </w:pPr>
      <w:r>
        <w:rPr>
          <w:rFonts w:cs="Arial"/>
          <w:sz w:val="20"/>
          <w:szCs w:val="20"/>
          <w:highlight w:val="none"/>
        </w:rPr>
        <w:t xml:space="preserve">Poderá ser aplicada ao responsável a sanção de declaração de inidoneidade para licitar ou contratar, em decorrência da prática das infrações dispostas nos itens </w:t>
      </w:r>
      <w:r>
        <w:rPr>
          <w:rFonts w:cs="Arial"/>
          <w:sz w:val="20"/>
          <w:szCs w:val="20"/>
          <w:highlight w:val="none"/>
        </w:rPr>
        <w:fldChar w:fldCharType="begin"/>
      </w:r>
      <w:r>
        <w:rPr>
          <w:rFonts w:cs="Arial"/>
          <w:sz w:val="20"/>
          <w:szCs w:val="20"/>
          <w:highlight w:val="none"/>
        </w:rPr>
        <w:instrText xml:space="preserve"> REF _Ref114668249 \r \h  \* MERGEFORMAT </w:instrText>
      </w:r>
      <w:r>
        <w:rPr>
          <w:rFonts w:cs="Arial"/>
          <w:sz w:val="20"/>
          <w:szCs w:val="20"/>
          <w:highlight w:val="none"/>
        </w:rPr>
        <w:fldChar w:fldCharType="separate"/>
      </w:r>
      <w:r>
        <w:rPr>
          <w:rFonts w:hint="default" w:cs="Arial"/>
          <w:sz w:val="20"/>
          <w:szCs w:val="20"/>
          <w:highlight w:val="none"/>
          <w:lang w:val="pt-BR"/>
        </w:rPr>
        <w:t>14</w:t>
      </w:r>
      <w:r>
        <w:rPr>
          <w:rFonts w:cs="Arial"/>
          <w:sz w:val="20"/>
          <w:szCs w:val="20"/>
          <w:highlight w:val="none"/>
        </w:rPr>
        <w:t>.1.4</w:t>
      </w:r>
      <w:r>
        <w:rPr>
          <w:rFonts w:cs="Arial"/>
          <w:sz w:val="20"/>
          <w:szCs w:val="20"/>
          <w:highlight w:val="none"/>
        </w:rPr>
        <w:fldChar w:fldCharType="end"/>
      </w:r>
      <w:r>
        <w:rPr>
          <w:rFonts w:cs="Arial"/>
          <w:sz w:val="20"/>
          <w:szCs w:val="20"/>
          <w:highlight w:val="none"/>
        </w:rPr>
        <w:t xml:space="preserve">, </w:t>
      </w:r>
      <w:r>
        <w:rPr>
          <w:rFonts w:cs="Arial"/>
          <w:sz w:val="20"/>
          <w:szCs w:val="20"/>
          <w:highlight w:val="none"/>
        </w:rPr>
        <w:fldChar w:fldCharType="begin"/>
      </w:r>
      <w:r>
        <w:rPr>
          <w:rFonts w:cs="Arial"/>
          <w:sz w:val="20"/>
          <w:szCs w:val="20"/>
          <w:highlight w:val="none"/>
        </w:rPr>
        <w:instrText xml:space="preserve"> REF _Ref114668245 \r \h  \* MERGEFORMAT </w:instrText>
      </w:r>
      <w:r>
        <w:rPr>
          <w:rFonts w:cs="Arial"/>
          <w:sz w:val="20"/>
          <w:szCs w:val="20"/>
          <w:highlight w:val="none"/>
        </w:rPr>
        <w:fldChar w:fldCharType="separate"/>
      </w:r>
      <w:r>
        <w:rPr>
          <w:rFonts w:hint="default" w:cs="Arial"/>
          <w:sz w:val="20"/>
          <w:szCs w:val="20"/>
          <w:highlight w:val="none"/>
          <w:lang w:val="pt-BR"/>
        </w:rPr>
        <w:t>14</w:t>
      </w:r>
      <w:r>
        <w:rPr>
          <w:rFonts w:cs="Arial"/>
          <w:sz w:val="20"/>
          <w:szCs w:val="20"/>
          <w:highlight w:val="none"/>
        </w:rPr>
        <w:t>.1.5</w:t>
      </w:r>
      <w:r>
        <w:rPr>
          <w:rFonts w:cs="Arial"/>
          <w:sz w:val="20"/>
          <w:szCs w:val="20"/>
          <w:highlight w:val="none"/>
        </w:rPr>
        <w:fldChar w:fldCharType="end"/>
      </w:r>
      <w:r>
        <w:rPr>
          <w:rFonts w:cs="Arial"/>
          <w:sz w:val="20"/>
          <w:szCs w:val="20"/>
          <w:highlight w:val="none"/>
        </w:rPr>
        <w:t xml:space="preserve">, </w:t>
      </w:r>
      <w:r>
        <w:rPr>
          <w:rFonts w:cs="Arial"/>
          <w:sz w:val="20"/>
          <w:szCs w:val="20"/>
          <w:highlight w:val="none"/>
        </w:rPr>
        <w:fldChar w:fldCharType="begin"/>
      </w:r>
      <w:r>
        <w:rPr>
          <w:rFonts w:cs="Arial"/>
          <w:sz w:val="20"/>
          <w:szCs w:val="20"/>
          <w:highlight w:val="none"/>
        </w:rPr>
        <w:instrText xml:space="preserve"> REF _Ref114668247 \r \h  \* MERGEFORMAT </w:instrText>
      </w:r>
      <w:r>
        <w:rPr>
          <w:rFonts w:cs="Arial"/>
          <w:sz w:val="20"/>
          <w:szCs w:val="20"/>
          <w:highlight w:val="none"/>
        </w:rPr>
        <w:fldChar w:fldCharType="separate"/>
      </w:r>
      <w:r>
        <w:rPr>
          <w:rFonts w:hint="default" w:cs="Arial"/>
          <w:sz w:val="20"/>
          <w:szCs w:val="20"/>
          <w:highlight w:val="none"/>
          <w:lang w:val="pt-BR"/>
        </w:rPr>
        <w:t>14</w:t>
      </w:r>
      <w:r>
        <w:rPr>
          <w:rFonts w:cs="Arial"/>
          <w:sz w:val="20"/>
          <w:szCs w:val="20"/>
          <w:highlight w:val="none"/>
        </w:rPr>
        <w:t>.1.6</w:t>
      </w:r>
      <w:r>
        <w:rPr>
          <w:rFonts w:cs="Arial"/>
          <w:sz w:val="20"/>
          <w:szCs w:val="20"/>
          <w:highlight w:val="none"/>
        </w:rPr>
        <w:fldChar w:fldCharType="end"/>
      </w:r>
      <w:r>
        <w:rPr>
          <w:rFonts w:cs="Arial"/>
          <w:sz w:val="20"/>
          <w:szCs w:val="20"/>
          <w:highlight w:val="none"/>
        </w:rPr>
        <w:t xml:space="preserve">, </w:t>
      </w:r>
      <w:r>
        <w:rPr>
          <w:rFonts w:cs="Arial"/>
          <w:sz w:val="20"/>
          <w:szCs w:val="20"/>
          <w:highlight w:val="none"/>
        </w:rPr>
        <w:fldChar w:fldCharType="begin"/>
      </w:r>
      <w:r>
        <w:rPr>
          <w:rFonts w:cs="Arial"/>
          <w:sz w:val="20"/>
          <w:szCs w:val="20"/>
          <w:highlight w:val="none"/>
        </w:rPr>
        <w:instrText xml:space="preserve"> REF _Ref114668251 \r \h  \* MERGEFORMAT </w:instrText>
      </w:r>
      <w:r>
        <w:rPr>
          <w:rFonts w:cs="Arial"/>
          <w:sz w:val="20"/>
          <w:szCs w:val="20"/>
          <w:highlight w:val="none"/>
        </w:rPr>
        <w:fldChar w:fldCharType="separate"/>
      </w:r>
      <w:r>
        <w:rPr>
          <w:rFonts w:hint="default" w:cs="Arial"/>
          <w:sz w:val="20"/>
          <w:szCs w:val="20"/>
          <w:highlight w:val="none"/>
          <w:lang w:val="pt-BR"/>
        </w:rPr>
        <w:t>14</w:t>
      </w:r>
      <w:r>
        <w:rPr>
          <w:rFonts w:cs="Arial"/>
          <w:sz w:val="20"/>
          <w:szCs w:val="20"/>
          <w:highlight w:val="none"/>
        </w:rPr>
        <w:t>.1.7</w:t>
      </w:r>
      <w:r>
        <w:rPr>
          <w:rFonts w:cs="Arial"/>
          <w:sz w:val="20"/>
          <w:szCs w:val="20"/>
          <w:highlight w:val="none"/>
        </w:rPr>
        <w:fldChar w:fldCharType="end"/>
      </w:r>
      <w:r>
        <w:rPr>
          <w:rFonts w:cs="Arial"/>
          <w:sz w:val="20"/>
          <w:szCs w:val="20"/>
          <w:highlight w:val="none"/>
        </w:rPr>
        <w:t xml:space="preserve"> e </w:t>
      </w:r>
      <w:r>
        <w:rPr>
          <w:rFonts w:cs="Arial"/>
          <w:sz w:val="20"/>
          <w:szCs w:val="20"/>
          <w:highlight w:val="none"/>
        </w:rPr>
        <w:fldChar w:fldCharType="begin"/>
      </w:r>
      <w:r>
        <w:rPr>
          <w:rFonts w:cs="Arial"/>
          <w:sz w:val="20"/>
          <w:szCs w:val="20"/>
          <w:highlight w:val="none"/>
        </w:rPr>
        <w:instrText xml:space="preserve"> REF _Ref114668252 \r \h  \* MERGEFORMAT </w:instrText>
      </w:r>
      <w:r>
        <w:rPr>
          <w:rFonts w:cs="Arial"/>
          <w:sz w:val="20"/>
          <w:szCs w:val="20"/>
          <w:highlight w:val="none"/>
        </w:rPr>
        <w:fldChar w:fldCharType="separate"/>
      </w:r>
      <w:r>
        <w:rPr>
          <w:rFonts w:hint="default" w:cs="Arial"/>
          <w:sz w:val="20"/>
          <w:szCs w:val="20"/>
          <w:highlight w:val="none"/>
          <w:lang w:val="pt-BR"/>
        </w:rPr>
        <w:t>14</w:t>
      </w:r>
      <w:r>
        <w:rPr>
          <w:rFonts w:cs="Arial"/>
          <w:sz w:val="20"/>
          <w:szCs w:val="20"/>
          <w:highlight w:val="none"/>
        </w:rPr>
        <w:t>.1.8</w:t>
      </w:r>
      <w:r>
        <w:rPr>
          <w:rFonts w:cs="Arial"/>
          <w:sz w:val="20"/>
          <w:szCs w:val="20"/>
          <w:highlight w:val="none"/>
        </w:rPr>
        <w:fldChar w:fldCharType="end"/>
      </w:r>
      <w:r>
        <w:rPr>
          <w:rFonts w:cs="Arial"/>
          <w:sz w:val="20"/>
          <w:szCs w:val="20"/>
          <w:highlight w:val="none"/>
        </w:rPr>
        <w:t xml:space="preserve">, bem como pelas infrações administrativas previstas nos itens </w:t>
      </w:r>
      <w:r>
        <w:rPr>
          <w:rFonts w:cs="Arial"/>
          <w:sz w:val="20"/>
          <w:szCs w:val="20"/>
          <w:highlight w:val="none"/>
        </w:rPr>
        <w:fldChar w:fldCharType="begin"/>
      </w:r>
      <w:r>
        <w:rPr>
          <w:rFonts w:cs="Arial"/>
          <w:sz w:val="20"/>
          <w:szCs w:val="20"/>
          <w:highlight w:val="none"/>
        </w:rPr>
        <w:instrText xml:space="preserve"> REF _Ref114668085 \r \h  \* MERGEFORMAT </w:instrText>
      </w:r>
      <w:r>
        <w:rPr>
          <w:rFonts w:cs="Arial"/>
          <w:sz w:val="20"/>
          <w:szCs w:val="20"/>
          <w:highlight w:val="none"/>
        </w:rPr>
        <w:fldChar w:fldCharType="separate"/>
      </w:r>
      <w:r>
        <w:rPr>
          <w:rFonts w:hint="default" w:cs="Arial"/>
          <w:sz w:val="20"/>
          <w:szCs w:val="20"/>
          <w:highlight w:val="none"/>
          <w:lang w:val="pt-BR"/>
        </w:rPr>
        <w:t>14</w:t>
      </w:r>
      <w:r>
        <w:rPr>
          <w:rFonts w:cs="Arial"/>
          <w:sz w:val="20"/>
          <w:szCs w:val="20"/>
          <w:highlight w:val="none"/>
        </w:rPr>
        <w:t>.1.1</w:t>
      </w:r>
      <w:r>
        <w:rPr>
          <w:rFonts w:cs="Arial"/>
          <w:sz w:val="20"/>
          <w:szCs w:val="20"/>
          <w:highlight w:val="none"/>
        </w:rPr>
        <w:fldChar w:fldCharType="end"/>
      </w:r>
      <w:r>
        <w:rPr>
          <w:rFonts w:cs="Arial"/>
          <w:sz w:val="20"/>
          <w:szCs w:val="20"/>
          <w:highlight w:val="none"/>
        </w:rPr>
        <w:t xml:space="preserve">, </w:t>
      </w:r>
      <w:r>
        <w:rPr>
          <w:rFonts w:cs="Arial"/>
          <w:sz w:val="20"/>
          <w:szCs w:val="20"/>
          <w:highlight w:val="none"/>
        </w:rPr>
        <w:fldChar w:fldCharType="begin"/>
      </w:r>
      <w:r>
        <w:rPr>
          <w:rFonts w:cs="Arial"/>
          <w:sz w:val="20"/>
          <w:szCs w:val="20"/>
          <w:highlight w:val="none"/>
        </w:rPr>
        <w:instrText xml:space="preserve"> REF _Ref114668108 \r \h  \* MERGEFORMAT </w:instrText>
      </w:r>
      <w:r>
        <w:rPr>
          <w:rFonts w:cs="Arial"/>
          <w:sz w:val="20"/>
          <w:szCs w:val="20"/>
          <w:highlight w:val="none"/>
        </w:rPr>
        <w:fldChar w:fldCharType="separate"/>
      </w:r>
      <w:r>
        <w:rPr>
          <w:rFonts w:hint="default" w:cs="Arial"/>
          <w:sz w:val="20"/>
          <w:szCs w:val="20"/>
          <w:highlight w:val="none"/>
          <w:lang w:val="pt-BR"/>
        </w:rPr>
        <w:t>14</w:t>
      </w:r>
      <w:r>
        <w:rPr>
          <w:rFonts w:cs="Arial"/>
          <w:sz w:val="20"/>
          <w:szCs w:val="20"/>
          <w:highlight w:val="none"/>
        </w:rPr>
        <w:t>.1.2</w:t>
      </w:r>
      <w:r>
        <w:rPr>
          <w:rFonts w:cs="Arial"/>
          <w:sz w:val="20"/>
          <w:szCs w:val="20"/>
          <w:highlight w:val="none"/>
        </w:rPr>
        <w:fldChar w:fldCharType="end"/>
      </w:r>
      <w:r>
        <w:rPr>
          <w:rFonts w:cs="Arial"/>
          <w:sz w:val="20"/>
          <w:szCs w:val="20"/>
          <w:highlight w:val="none"/>
        </w:rPr>
        <w:t xml:space="preserve"> e </w:t>
      </w:r>
      <w:r>
        <w:rPr>
          <w:rFonts w:cs="Arial"/>
          <w:sz w:val="20"/>
          <w:szCs w:val="20"/>
          <w:highlight w:val="none"/>
        </w:rPr>
        <w:fldChar w:fldCharType="begin"/>
      </w:r>
      <w:r>
        <w:rPr>
          <w:rFonts w:cs="Arial"/>
          <w:sz w:val="20"/>
          <w:szCs w:val="20"/>
          <w:highlight w:val="none"/>
        </w:rPr>
        <w:instrText xml:space="preserve"> REF _Ref114668139 \r \h  \* MERGEFORMAT </w:instrText>
      </w:r>
      <w:r>
        <w:rPr>
          <w:rFonts w:cs="Arial"/>
          <w:sz w:val="20"/>
          <w:szCs w:val="20"/>
          <w:highlight w:val="none"/>
        </w:rPr>
        <w:fldChar w:fldCharType="separate"/>
      </w:r>
      <w:r>
        <w:rPr>
          <w:rFonts w:hint="default" w:cs="Arial"/>
          <w:sz w:val="20"/>
          <w:szCs w:val="20"/>
          <w:highlight w:val="none"/>
          <w:lang w:val="pt-BR"/>
        </w:rPr>
        <w:t>14</w:t>
      </w:r>
      <w:r>
        <w:rPr>
          <w:rFonts w:cs="Arial"/>
          <w:sz w:val="20"/>
          <w:szCs w:val="20"/>
          <w:highlight w:val="none"/>
        </w:rPr>
        <w:t>.1.3</w:t>
      </w:r>
      <w:r>
        <w:rPr>
          <w:rFonts w:cs="Arial"/>
          <w:sz w:val="20"/>
          <w:szCs w:val="20"/>
          <w:highlight w:val="none"/>
        </w:rPr>
        <w:fldChar w:fldCharType="end"/>
      </w:r>
      <w:r>
        <w:rPr>
          <w:rFonts w:cs="Arial"/>
          <w:sz w:val="20"/>
          <w:szCs w:val="20"/>
          <w:highlight w:val="none"/>
        </w:rPr>
        <w:t xml:space="preserve"> que justifiquem a imposição de penalidade mais grave que a sanção de impedimento de licitar e </w:t>
      </w:r>
      <w:r>
        <w:rPr>
          <w:rFonts w:cs="Arial"/>
          <w:color w:val="auto"/>
          <w:sz w:val="20"/>
          <w:szCs w:val="20"/>
          <w:highlight w:val="none"/>
        </w:rPr>
        <w:t xml:space="preserve">contratar, cuja duração observará o prazo previsto no </w:t>
      </w:r>
      <w:r>
        <w:rPr>
          <w:color w:val="auto"/>
          <w:highlight w:val="none"/>
        </w:rPr>
        <w:fldChar w:fldCharType="begin"/>
      </w:r>
      <w:r>
        <w:rPr>
          <w:color w:val="auto"/>
          <w:highlight w:val="none"/>
        </w:rPr>
        <w:instrText xml:space="preserve"> HYPERLINK "http://www.planalto.gov.br/ccivil_03/_ato2019-2022/2021/lei/L14133.htm" \l "art156§5" </w:instrText>
      </w:r>
      <w:r>
        <w:rPr>
          <w:color w:val="auto"/>
          <w:highlight w:val="none"/>
        </w:rPr>
        <w:fldChar w:fldCharType="separate"/>
      </w:r>
      <w:r>
        <w:rPr>
          <w:rStyle w:val="16"/>
          <w:rFonts w:cs="Arial"/>
          <w:color w:val="auto"/>
          <w:sz w:val="20"/>
          <w:szCs w:val="20"/>
          <w:highlight w:val="none"/>
        </w:rPr>
        <w:t>art. 156, §</w:t>
      </w:r>
      <w:r>
        <w:rPr>
          <w:rStyle w:val="16"/>
          <w:rFonts w:hint="default" w:cs="Arial"/>
          <w:color w:val="auto"/>
          <w:sz w:val="20"/>
          <w:szCs w:val="20"/>
          <w:highlight w:val="none"/>
          <w:lang w:val="pt-BR"/>
        </w:rPr>
        <w:t xml:space="preserve"> </w:t>
      </w:r>
      <w:r>
        <w:rPr>
          <w:rStyle w:val="16"/>
          <w:rFonts w:cs="Arial"/>
          <w:color w:val="auto"/>
          <w:sz w:val="20"/>
          <w:szCs w:val="20"/>
          <w:highlight w:val="none"/>
        </w:rPr>
        <w:t>5º, da Lei n.º 14.133/2021</w:t>
      </w:r>
      <w:r>
        <w:rPr>
          <w:rStyle w:val="16"/>
          <w:rFonts w:cs="Arial"/>
          <w:color w:val="auto"/>
          <w:sz w:val="20"/>
          <w:szCs w:val="20"/>
          <w:highlight w:val="none"/>
        </w:rPr>
        <w:fldChar w:fldCharType="end"/>
      </w:r>
    </w:p>
    <w:p>
      <w:pPr>
        <w:pStyle w:val="47"/>
        <w:tabs>
          <w:tab w:val="left" w:pos="709"/>
        </w:tabs>
        <w:spacing w:before="0" w:after="0"/>
        <w:ind w:left="709" w:right="-1" w:hanging="851"/>
        <w:jc w:val="both"/>
        <w:rPr>
          <w:rFonts w:cs="Arial"/>
          <w:color w:val="auto"/>
          <w:sz w:val="20"/>
          <w:szCs w:val="20"/>
          <w:highlight w:val="none"/>
        </w:rPr>
      </w:pPr>
    </w:p>
    <w:p>
      <w:pPr>
        <w:pStyle w:val="47"/>
        <w:numPr>
          <w:ilvl w:val="1"/>
          <w:numId w:val="7"/>
        </w:numPr>
        <w:tabs>
          <w:tab w:val="left" w:pos="709"/>
        </w:tabs>
        <w:spacing w:before="0" w:after="0"/>
        <w:ind w:left="709" w:right="-1" w:hanging="851"/>
        <w:jc w:val="both"/>
        <w:rPr>
          <w:rFonts w:cs="Arial"/>
          <w:color w:val="auto"/>
          <w:sz w:val="20"/>
          <w:szCs w:val="20"/>
          <w:highlight w:val="none"/>
        </w:rPr>
      </w:pPr>
      <w:r>
        <w:rPr>
          <w:rFonts w:cs="Arial"/>
          <w:sz w:val="20"/>
          <w:szCs w:val="20"/>
          <w:highlight w:val="none"/>
        </w:rPr>
        <w:t xml:space="preserve">A recusa injustificada do adjudicatário em assinar o contrato ou a ata de registro de preço, ou em aceitar ou retirar o instrumento equivalente no prazo estabelecido pela Administração, descrita no item </w:t>
      </w:r>
      <w:r>
        <w:rPr>
          <w:rFonts w:cs="Arial"/>
          <w:sz w:val="20"/>
          <w:szCs w:val="20"/>
          <w:highlight w:val="none"/>
        </w:rPr>
        <w:fldChar w:fldCharType="begin"/>
      </w:r>
      <w:r>
        <w:rPr>
          <w:rFonts w:cs="Arial"/>
          <w:sz w:val="20"/>
          <w:szCs w:val="20"/>
          <w:highlight w:val="none"/>
        </w:rPr>
        <w:instrText xml:space="preserve"> REF _Ref114668139 \r \h  \* MERGEFORMAT </w:instrText>
      </w:r>
      <w:r>
        <w:rPr>
          <w:rFonts w:cs="Arial"/>
          <w:sz w:val="20"/>
          <w:szCs w:val="20"/>
          <w:highlight w:val="none"/>
        </w:rPr>
        <w:fldChar w:fldCharType="separate"/>
      </w:r>
      <w:r>
        <w:rPr>
          <w:rFonts w:cs="Arial"/>
          <w:sz w:val="20"/>
          <w:szCs w:val="20"/>
          <w:highlight w:val="none"/>
        </w:rPr>
        <w:t>14.1.3</w:t>
      </w:r>
      <w:r>
        <w:rPr>
          <w:rFonts w:cs="Arial"/>
          <w:sz w:val="20"/>
          <w:szCs w:val="20"/>
          <w:highlight w:val="none"/>
        </w:rPr>
        <w:fldChar w:fldCharType="end"/>
      </w:r>
      <w:r>
        <w:rPr>
          <w:rFonts w:cs="Arial"/>
          <w:sz w:val="20"/>
          <w:szCs w:val="20"/>
          <w:highlight w:val="none"/>
        </w:rPr>
        <w:t>, caracterizará o descumprimento total da obrigação assumida e o sujeitará às penalidades e à imediata perda da garantia de proposta em favor do órgão ou entidade promotora da licitação</w:t>
      </w:r>
      <w:r>
        <w:rPr>
          <w:rFonts w:hint="default" w:cs="Arial"/>
          <w:sz w:val="20"/>
          <w:szCs w:val="20"/>
          <w:highlight w:val="none"/>
          <w:lang w:val="pt-BR"/>
        </w:rPr>
        <w:t>.</w:t>
      </w:r>
    </w:p>
    <w:p>
      <w:pPr>
        <w:pStyle w:val="47"/>
        <w:tabs>
          <w:tab w:val="left" w:pos="709"/>
        </w:tabs>
        <w:spacing w:before="0" w:after="0"/>
        <w:ind w:left="709" w:right="-1" w:hanging="851"/>
        <w:jc w:val="both"/>
        <w:rPr>
          <w:rFonts w:cs="Arial"/>
          <w:color w:val="auto"/>
          <w:sz w:val="20"/>
          <w:szCs w:val="20"/>
          <w:highlight w:val="none"/>
        </w:rPr>
      </w:pPr>
    </w:p>
    <w:p>
      <w:pPr>
        <w:pStyle w:val="47"/>
        <w:numPr>
          <w:ilvl w:val="1"/>
          <w:numId w:val="7"/>
        </w:numPr>
        <w:tabs>
          <w:tab w:val="left" w:pos="709"/>
        </w:tabs>
        <w:spacing w:before="0" w:after="0"/>
        <w:ind w:left="709" w:right="-1" w:hanging="851"/>
        <w:jc w:val="both"/>
        <w:rPr>
          <w:rFonts w:cs="Arial"/>
          <w:color w:val="auto"/>
          <w:sz w:val="20"/>
          <w:szCs w:val="20"/>
          <w:highlight w:val="none"/>
        </w:rPr>
      </w:pPr>
      <w:r>
        <w:rPr>
          <w:rFonts w:cs="Arial"/>
          <w:sz w:val="20"/>
          <w:szCs w:val="20"/>
          <w:highlight w:val="none"/>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pPr>
        <w:pStyle w:val="47"/>
        <w:tabs>
          <w:tab w:val="left" w:pos="709"/>
        </w:tabs>
        <w:spacing w:before="0" w:after="0"/>
        <w:ind w:left="709" w:right="-1" w:hanging="851"/>
        <w:jc w:val="both"/>
        <w:rPr>
          <w:rFonts w:cs="Arial"/>
          <w:color w:val="auto"/>
          <w:sz w:val="20"/>
          <w:szCs w:val="20"/>
          <w:highlight w:val="none"/>
        </w:rPr>
      </w:pPr>
    </w:p>
    <w:p>
      <w:pPr>
        <w:pStyle w:val="47"/>
        <w:numPr>
          <w:ilvl w:val="1"/>
          <w:numId w:val="7"/>
        </w:numPr>
        <w:tabs>
          <w:tab w:val="left" w:pos="709"/>
        </w:tabs>
        <w:spacing w:before="0" w:after="0"/>
        <w:ind w:left="709" w:right="-1" w:hanging="851"/>
        <w:jc w:val="both"/>
        <w:rPr>
          <w:rFonts w:cs="Arial"/>
          <w:color w:val="auto"/>
          <w:sz w:val="20"/>
          <w:szCs w:val="20"/>
          <w:highlight w:val="none"/>
        </w:rPr>
      </w:pPr>
      <w:r>
        <w:rPr>
          <w:rFonts w:cs="Arial"/>
          <w:sz w:val="20"/>
          <w:szCs w:val="20"/>
          <w:highlight w:val="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47"/>
        <w:spacing w:before="0" w:after="0"/>
        <w:ind w:left="709" w:hanging="851"/>
        <w:rPr>
          <w:rFonts w:cs="Arial"/>
          <w:color w:val="auto"/>
          <w:sz w:val="20"/>
          <w:szCs w:val="20"/>
          <w:highlight w:val="none"/>
        </w:rPr>
      </w:pPr>
    </w:p>
    <w:p>
      <w:pPr>
        <w:pStyle w:val="47"/>
        <w:numPr>
          <w:ilvl w:val="1"/>
          <w:numId w:val="7"/>
        </w:numPr>
        <w:tabs>
          <w:tab w:val="left" w:pos="709"/>
        </w:tabs>
        <w:spacing w:before="0" w:after="0"/>
        <w:ind w:left="709" w:right="-1" w:hanging="851"/>
        <w:jc w:val="both"/>
        <w:rPr>
          <w:rFonts w:cs="Arial"/>
          <w:color w:val="auto"/>
          <w:sz w:val="20"/>
          <w:szCs w:val="20"/>
          <w:highlight w:val="none"/>
        </w:rPr>
      </w:pPr>
      <w:r>
        <w:rPr>
          <w:rFonts w:cs="Arial"/>
          <w:sz w:val="20"/>
          <w:szCs w:val="20"/>
          <w:highlight w:val="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47"/>
        <w:spacing w:before="0" w:after="0"/>
        <w:ind w:left="709" w:hanging="851"/>
        <w:rPr>
          <w:rFonts w:cs="Arial"/>
          <w:color w:val="auto"/>
          <w:sz w:val="20"/>
          <w:szCs w:val="20"/>
          <w:highlight w:val="none"/>
        </w:rPr>
      </w:pPr>
    </w:p>
    <w:p>
      <w:pPr>
        <w:pStyle w:val="47"/>
        <w:numPr>
          <w:ilvl w:val="1"/>
          <w:numId w:val="7"/>
        </w:numPr>
        <w:tabs>
          <w:tab w:val="left" w:pos="709"/>
        </w:tabs>
        <w:spacing w:before="0" w:after="0"/>
        <w:ind w:left="709" w:right="-1" w:hanging="851"/>
        <w:jc w:val="both"/>
        <w:rPr>
          <w:rFonts w:cs="Arial"/>
          <w:color w:val="auto"/>
          <w:sz w:val="20"/>
          <w:szCs w:val="20"/>
          <w:highlight w:val="none"/>
        </w:rPr>
      </w:pPr>
      <w:r>
        <w:rPr>
          <w:rFonts w:cs="Arial"/>
          <w:sz w:val="20"/>
          <w:szCs w:val="20"/>
          <w:highlight w:val="none"/>
        </w:rPr>
        <w:t>O recurso e o pedido de reconsideração terão efeito suspensivo do ato ou da decisão recorrida até que sobrevenha decisão final da autoridade competente.</w:t>
      </w:r>
    </w:p>
    <w:p>
      <w:pPr>
        <w:pStyle w:val="47"/>
        <w:spacing w:before="0" w:after="0"/>
        <w:ind w:left="709" w:hanging="851"/>
        <w:rPr>
          <w:rFonts w:cs="Arial"/>
          <w:color w:val="auto"/>
          <w:sz w:val="20"/>
          <w:szCs w:val="20"/>
          <w:highlight w:val="none"/>
        </w:rPr>
      </w:pPr>
    </w:p>
    <w:p>
      <w:pPr>
        <w:pStyle w:val="47"/>
        <w:numPr>
          <w:ilvl w:val="1"/>
          <w:numId w:val="7"/>
        </w:numPr>
        <w:tabs>
          <w:tab w:val="left" w:pos="709"/>
        </w:tabs>
        <w:spacing w:before="0" w:after="0"/>
        <w:ind w:left="709" w:right="-1" w:hanging="851"/>
        <w:jc w:val="both"/>
        <w:rPr>
          <w:rFonts w:cs="Arial"/>
          <w:color w:val="auto"/>
          <w:sz w:val="20"/>
          <w:szCs w:val="20"/>
          <w:highlight w:val="none"/>
        </w:rPr>
      </w:pPr>
      <w:r>
        <w:rPr>
          <w:rFonts w:cs="Arial"/>
          <w:sz w:val="20"/>
          <w:szCs w:val="20"/>
          <w:highlight w:val="none"/>
        </w:rPr>
        <w:t>A aplicação das sanções previstas neste edital não exclui, em hipótese alguma, a obrigação de reparação integral dos danos causados.</w:t>
      </w:r>
    </w:p>
    <w:p>
      <w:pPr>
        <w:tabs>
          <w:tab w:val="left" w:pos="709"/>
        </w:tabs>
        <w:spacing w:before="0" w:after="0"/>
        <w:ind w:right="-1"/>
        <w:jc w:val="both"/>
        <w:rPr>
          <w:rFonts w:cs="Arial"/>
          <w:color w:val="auto"/>
          <w:sz w:val="20"/>
          <w:szCs w:val="20"/>
          <w:highlight w:val="none"/>
        </w:rPr>
      </w:pPr>
    </w:p>
    <w:p>
      <w:pPr>
        <w:pStyle w:val="22"/>
        <w:rPr>
          <w:highlight w:val="none"/>
        </w:rPr>
      </w:pPr>
      <w:bookmarkStart w:id="29" w:name="_Toc8739"/>
      <w:r>
        <w:rPr>
          <w:highlight w:val="none"/>
        </w:rPr>
        <w:t>DAS DISPOSIÇÕES FINAIS</w:t>
      </w:r>
      <w:bookmarkEnd w:id="29"/>
    </w:p>
    <w:p>
      <w:pPr>
        <w:tabs>
          <w:tab w:val="left" w:pos="709"/>
        </w:tabs>
        <w:spacing w:before="0" w:after="0"/>
        <w:ind w:left="-142" w:right="-1"/>
        <w:jc w:val="both"/>
        <w:rPr>
          <w:rFonts w:cs="Arial"/>
          <w:color w:val="auto"/>
          <w:sz w:val="20"/>
          <w:szCs w:val="20"/>
          <w:highlight w:val="none"/>
        </w:rPr>
      </w:pPr>
    </w:p>
    <w:p>
      <w:pPr>
        <w:pStyle w:val="47"/>
        <w:numPr>
          <w:ilvl w:val="0"/>
          <w:numId w:val="2"/>
        </w:numPr>
        <w:tabs>
          <w:tab w:val="left" w:pos="709"/>
        </w:tabs>
        <w:spacing w:before="0" w:after="0"/>
        <w:ind w:right="-1"/>
        <w:jc w:val="both"/>
        <w:rPr>
          <w:rFonts w:cs="Arial"/>
          <w:vanish/>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As normas disciplinadoras desta licitação serão interpretadas em favor da ampliação da disputa, respeitada a igualdade de oportunidade entre as licitantes e desde que não comprometam o interesse público, a finalidade e a segurança da contratação.</w:t>
      </w:r>
    </w:p>
    <w:p>
      <w:pPr>
        <w:pStyle w:val="47"/>
        <w:tabs>
          <w:tab w:val="left" w:pos="709"/>
        </w:tabs>
        <w:spacing w:before="0" w:after="0"/>
        <w:ind w:left="284"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Das sessões públicas de processamento do Pregão serão lavradas atas circunstanciadas, a serem assinadas pelo Pregoeiro, Equipe de Apoio e Prefeito Municipal.</w:t>
      </w:r>
    </w:p>
    <w:p>
      <w:pPr>
        <w:tabs>
          <w:tab w:val="left" w:pos="709"/>
        </w:tabs>
        <w:spacing w:before="0" w:after="0"/>
        <w:ind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O resultado do presente certame será divulgado na Imprensa Oficial do Município de Itapeva.</w:t>
      </w:r>
    </w:p>
    <w:p>
      <w:pPr>
        <w:tabs>
          <w:tab w:val="left" w:pos="709"/>
        </w:tabs>
        <w:spacing w:before="0" w:after="0"/>
        <w:ind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Os demais atos pertinentes a esta licitação, passíveis de divulgação, serão publicados na Imprensa Oficial do Município de Itapeva</w:t>
      </w:r>
      <w:r>
        <w:rPr>
          <w:rFonts w:hint="default" w:cs="Arial"/>
          <w:color w:val="auto"/>
          <w:sz w:val="20"/>
          <w:szCs w:val="20"/>
          <w:highlight w:val="none"/>
          <w:lang w:val="pt-BR"/>
        </w:rPr>
        <w:t xml:space="preserve">, disponível em </w:t>
      </w:r>
      <w:r>
        <w:rPr>
          <w:rFonts w:hint="default"/>
          <w:color w:val="auto"/>
          <w:sz w:val="20"/>
          <w:szCs w:val="20"/>
          <w:highlight w:val="none"/>
          <w:lang w:val="pt-BR"/>
        </w:rPr>
        <w:fldChar w:fldCharType="begin"/>
      </w:r>
      <w:r>
        <w:rPr>
          <w:rFonts w:hint="default"/>
          <w:color w:val="auto"/>
          <w:sz w:val="20"/>
          <w:szCs w:val="20"/>
          <w:highlight w:val="none"/>
          <w:lang w:val="pt-BR"/>
        </w:rPr>
        <w:instrText xml:space="preserve"> HYPERLINK "https://imprensaoficialmunicipal.com.br/itapeva" </w:instrText>
      </w:r>
      <w:r>
        <w:rPr>
          <w:rFonts w:hint="default"/>
          <w:color w:val="auto"/>
          <w:sz w:val="20"/>
          <w:szCs w:val="20"/>
          <w:highlight w:val="none"/>
          <w:lang w:val="pt-BR"/>
        </w:rPr>
        <w:fldChar w:fldCharType="separate"/>
      </w:r>
      <w:r>
        <w:rPr>
          <w:rStyle w:val="16"/>
          <w:rFonts w:hint="default"/>
          <w:color w:val="auto"/>
          <w:sz w:val="20"/>
          <w:szCs w:val="20"/>
          <w:highlight w:val="none"/>
          <w:lang w:val="pt-BR"/>
        </w:rPr>
        <w:t>https://imprensaoficialmunicipal.com.br/itapeva</w:t>
      </w:r>
      <w:r>
        <w:rPr>
          <w:rFonts w:hint="default"/>
          <w:color w:val="auto"/>
          <w:sz w:val="20"/>
          <w:szCs w:val="20"/>
          <w:highlight w:val="none"/>
          <w:lang w:val="pt-BR"/>
        </w:rPr>
        <w:fldChar w:fldCharType="end"/>
      </w:r>
      <w:r>
        <w:rPr>
          <w:rFonts w:cs="Arial"/>
          <w:color w:val="auto"/>
          <w:sz w:val="20"/>
          <w:szCs w:val="20"/>
          <w:highlight w:val="none"/>
        </w:rPr>
        <w:t>.</w:t>
      </w:r>
    </w:p>
    <w:p>
      <w:pPr>
        <w:tabs>
          <w:tab w:val="left" w:pos="709"/>
        </w:tabs>
        <w:spacing w:before="0" w:after="0"/>
        <w:ind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 xml:space="preserve">Não sendo solicitado esclarecimentos ou informações no prazo estabelecido no </w:t>
      </w:r>
      <w:r>
        <w:rPr>
          <w:rFonts w:cs="Arial"/>
          <w:b/>
          <w:color w:val="auto"/>
          <w:sz w:val="20"/>
          <w:szCs w:val="20"/>
          <w:highlight w:val="none"/>
        </w:rPr>
        <w:t>item 9.1</w:t>
      </w:r>
      <w:r>
        <w:rPr>
          <w:rFonts w:cs="Arial"/>
          <w:color w:val="auto"/>
          <w:sz w:val="20"/>
          <w:szCs w:val="20"/>
          <w:highlight w:val="none"/>
        </w:rPr>
        <w:t>, presumir-se-á que os elementos constantes do presente Edital e seus anexos, são suficientemente claros e precisos para a participação dos interessados.</w:t>
      </w:r>
    </w:p>
    <w:p>
      <w:pPr>
        <w:tabs>
          <w:tab w:val="left" w:pos="709"/>
        </w:tabs>
        <w:spacing w:before="0" w:after="0"/>
        <w:ind w:left="709" w:right="-1" w:hanging="851"/>
        <w:jc w:val="both"/>
        <w:rPr>
          <w:rFonts w:cs="Arial"/>
          <w:color w:val="auto"/>
          <w:sz w:val="20"/>
          <w:szCs w:val="20"/>
          <w:highlight w:val="none"/>
        </w:rPr>
      </w:pPr>
    </w:p>
    <w:p>
      <w:pPr>
        <w:pStyle w:val="47"/>
        <w:numPr>
          <w:ilvl w:val="1"/>
          <w:numId w:val="2"/>
        </w:numPr>
        <w:tabs>
          <w:tab w:val="left" w:pos="709"/>
          <w:tab w:val="left" w:pos="9498"/>
        </w:tabs>
        <w:spacing w:before="0" w:after="0"/>
        <w:ind w:left="709" w:right="-1" w:hanging="851"/>
        <w:jc w:val="both"/>
        <w:rPr>
          <w:rFonts w:cs="Arial"/>
          <w:color w:val="auto"/>
          <w:sz w:val="20"/>
          <w:szCs w:val="20"/>
          <w:highlight w:val="none"/>
        </w:rPr>
      </w:pPr>
      <w:r>
        <w:rPr>
          <w:rFonts w:cs="Arial"/>
          <w:color w:val="auto"/>
          <w:sz w:val="20"/>
          <w:szCs w:val="20"/>
          <w:highlight w:val="none"/>
        </w:rPr>
        <w:t xml:space="preserve">Os casos omissos do presente Pregão serão solucionados pelo Pregoeiro ou Autoridade Superior. </w:t>
      </w:r>
    </w:p>
    <w:p>
      <w:pPr>
        <w:pStyle w:val="47"/>
        <w:tabs>
          <w:tab w:val="left" w:pos="709"/>
          <w:tab w:val="left" w:pos="9498"/>
        </w:tabs>
        <w:spacing w:before="0" w:after="0"/>
        <w:ind w:left="709" w:right="-1" w:hanging="851"/>
        <w:jc w:val="both"/>
        <w:rPr>
          <w:rFonts w:cs="Arial"/>
          <w:color w:val="auto"/>
          <w:sz w:val="20"/>
          <w:szCs w:val="20"/>
          <w:highlight w:val="none"/>
        </w:rPr>
      </w:pPr>
    </w:p>
    <w:p>
      <w:pPr>
        <w:pStyle w:val="47"/>
        <w:numPr>
          <w:ilvl w:val="1"/>
          <w:numId w:val="2"/>
        </w:numPr>
        <w:tabs>
          <w:tab w:val="left" w:pos="709"/>
          <w:tab w:val="left" w:pos="9498"/>
        </w:tabs>
        <w:spacing w:before="0" w:after="0"/>
        <w:ind w:left="709" w:right="-1" w:hanging="851"/>
        <w:jc w:val="both"/>
        <w:rPr>
          <w:rFonts w:cs="Arial"/>
          <w:color w:val="auto"/>
          <w:sz w:val="20"/>
          <w:szCs w:val="20"/>
          <w:highlight w:val="none"/>
        </w:rPr>
      </w:pPr>
      <w:r>
        <w:rPr>
          <w:rFonts w:cs="Arial"/>
          <w:color w:val="auto"/>
          <w:sz w:val="20"/>
          <w:szCs w:val="20"/>
          <w:highlight w:val="none"/>
        </w:rPr>
        <w:t>Informações ou esclarecimentos suplementares sobre este Edital poderão ser requeridos por escrito ao Departamento de Licitações de Itapeva, de segunda a sexta-feira, das 8h às 11h30 e das 13h30 às 18h, pelo telefone (15) 3526-</w:t>
      </w:r>
      <w:r>
        <w:rPr>
          <w:rFonts w:hint="default" w:cs="Arial"/>
          <w:color w:val="auto"/>
          <w:sz w:val="20"/>
          <w:szCs w:val="20"/>
          <w:highlight w:val="none"/>
          <w:lang w:val="pt-BR"/>
        </w:rPr>
        <w:t>8043</w:t>
      </w:r>
      <w:r>
        <w:rPr>
          <w:rFonts w:cs="Arial"/>
          <w:color w:val="auto"/>
          <w:sz w:val="20"/>
          <w:szCs w:val="20"/>
          <w:highlight w:val="none"/>
        </w:rPr>
        <w:t xml:space="preserve"> ou no endereço eletrônico </w:t>
      </w:r>
      <w:r>
        <w:rPr>
          <w:highlight w:val="none"/>
        </w:rPr>
        <w:fldChar w:fldCharType="begin"/>
      </w:r>
      <w:r>
        <w:rPr>
          <w:highlight w:val="none"/>
        </w:rPr>
        <w:instrText xml:space="preserve"> HYPERLINK "mailto:pregao@itapeva.sp.gov.br" </w:instrText>
      </w:r>
      <w:r>
        <w:rPr>
          <w:highlight w:val="none"/>
        </w:rPr>
        <w:fldChar w:fldCharType="separate"/>
      </w:r>
      <w:r>
        <w:rPr>
          <w:rFonts w:cs="Arial"/>
          <w:color w:val="auto"/>
          <w:sz w:val="20"/>
          <w:szCs w:val="20"/>
          <w:highlight w:val="none"/>
          <w:u w:val="single"/>
        </w:rPr>
        <w:t>pregao@itapeva.sp.gov.br</w:t>
      </w:r>
      <w:r>
        <w:rPr>
          <w:rFonts w:cs="Arial"/>
          <w:color w:val="auto"/>
          <w:sz w:val="20"/>
          <w:szCs w:val="20"/>
          <w:highlight w:val="none"/>
          <w:u w:val="single"/>
        </w:rPr>
        <w:fldChar w:fldCharType="end"/>
      </w:r>
    </w:p>
    <w:p>
      <w:pPr>
        <w:tabs>
          <w:tab w:val="left" w:pos="709"/>
          <w:tab w:val="left" w:pos="9498"/>
        </w:tabs>
        <w:spacing w:before="0" w:after="0"/>
        <w:ind w:right="-1"/>
        <w:jc w:val="both"/>
        <w:rPr>
          <w:rFonts w:cs="Arial"/>
          <w:color w:val="auto"/>
          <w:sz w:val="20"/>
          <w:szCs w:val="20"/>
          <w:highlight w:val="none"/>
        </w:rPr>
      </w:pPr>
    </w:p>
    <w:p>
      <w:pPr>
        <w:pStyle w:val="47"/>
        <w:numPr>
          <w:ilvl w:val="1"/>
          <w:numId w:val="2"/>
        </w:numPr>
        <w:tabs>
          <w:tab w:val="left" w:pos="709"/>
          <w:tab w:val="left" w:pos="9498"/>
        </w:tabs>
        <w:spacing w:before="0" w:after="0"/>
        <w:ind w:left="709" w:right="-1" w:hanging="851"/>
        <w:jc w:val="both"/>
        <w:rPr>
          <w:rFonts w:cs="Arial"/>
          <w:color w:val="auto"/>
          <w:sz w:val="20"/>
          <w:szCs w:val="20"/>
          <w:highlight w:val="none"/>
        </w:rPr>
      </w:pPr>
      <w:r>
        <w:rPr>
          <w:rFonts w:cs="Arial"/>
          <w:color w:val="auto"/>
          <w:sz w:val="20"/>
          <w:szCs w:val="20"/>
          <w:highlight w:val="none"/>
        </w:rPr>
        <w:t xml:space="preserve">O Edital completo e anexos estará disponível no endereço eletrônico </w:t>
      </w:r>
      <w:r>
        <w:rPr>
          <w:highlight w:val="none"/>
        </w:rPr>
        <w:fldChar w:fldCharType="begin"/>
      </w:r>
      <w:r>
        <w:rPr>
          <w:highlight w:val="none"/>
        </w:rPr>
        <w:instrText xml:space="preserve"> HYPERLINK "http://www.itapeva.sp.gov.br" </w:instrText>
      </w:r>
      <w:r>
        <w:rPr>
          <w:highlight w:val="none"/>
        </w:rPr>
        <w:fldChar w:fldCharType="separate"/>
      </w:r>
      <w:r>
        <w:rPr>
          <w:rFonts w:cs="Arial"/>
          <w:color w:val="auto"/>
          <w:sz w:val="20"/>
          <w:szCs w:val="20"/>
          <w:highlight w:val="none"/>
          <w:u w:val="single"/>
        </w:rPr>
        <w:t>www.itapeva.sp.gov.br</w:t>
      </w:r>
      <w:r>
        <w:rPr>
          <w:rFonts w:cs="Arial"/>
          <w:color w:val="auto"/>
          <w:sz w:val="20"/>
          <w:szCs w:val="20"/>
          <w:highlight w:val="none"/>
          <w:u w:val="single"/>
        </w:rPr>
        <w:fldChar w:fldCharType="end"/>
      </w:r>
      <w:r>
        <w:rPr>
          <w:rFonts w:cs="Arial"/>
          <w:color w:val="auto"/>
          <w:sz w:val="20"/>
          <w:szCs w:val="20"/>
          <w:highlight w:val="none"/>
        </w:rPr>
        <w:t>.</w:t>
      </w:r>
    </w:p>
    <w:p>
      <w:pPr>
        <w:pStyle w:val="47"/>
        <w:tabs>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A Administração reserva-se o direito de transferir o prazo para o recebimento e abertura das propostas e início dos lances, descabendo em tais casos, direito à indenização pelos licitantes.</w:t>
      </w:r>
    </w:p>
    <w:p>
      <w:pPr>
        <w:pStyle w:val="47"/>
        <w:tabs>
          <w:tab w:val="left" w:pos="709"/>
        </w:tabs>
        <w:spacing w:before="0" w:after="0"/>
        <w:ind w:left="709" w:right="-1"/>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A participação na presente licitação implica em concordância tácita, por parte do licitante, com todos os termos e condições deste Edital e das cláusulas contratuais já estabelecidas.</w:t>
      </w:r>
    </w:p>
    <w:p>
      <w:pPr>
        <w:pStyle w:val="47"/>
        <w:numPr>
          <w:ilvl w:val="0"/>
          <w:numId w:val="0"/>
        </w:numPr>
        <w:tabs>
          <w:tab w:val="left" w:pos="709"/>
        </w:tabs>
        <w:spacing w:before="0" w:after="0"/>
        <w:ind w:left="-142" w:leftChars="0" w:right="-1" w:rightChars="0"/>
        <w:jc w:val="both"/>
        <w:rPr>
          <w:rFonts w:cs="Arial"/>
          <w:color w:val="auto"/>
          <w:sz w:val="20"/>
          <w:szCs w:val="20"/>
          <w:highlight w:val="none"/>
        </w:rPr>
      </w:pPr>
    </w:p>
    <w:p>
      <w:pPr>
        <w:pStyle w:val="47"/>
        <w:numPr>
          <w:ilvl w:val="1"/>
          <w:numId w:val="2"/>
        </w:numPr>
        <w:tabs>
          <w:tab w:val="left" w:pos="709"/>
        </w:tabs>
        <w:spacing w:before="0" w:after="0"/>
        <w:ind w:left="709" w:right="-1" w:hanging="851"/>
        <w:jc w:val="both"/>
        <w:rPr>
          <w:rFonts w:cs="Arial"/>
          <w:color w:val="auto"/>
          <w:sz w:val="20"/>
          <w:szCs w:val="20"/>
          <w:highlight w:val="none"/>
        </w:rPr>
      </w:pPr>
      <w:r>
        <w:rPr>
          <w:sz w:val="20"/>
          <w:szCs w:val="20"/>
          <w:highlight w:val="none"/>
        </w:rPr>
        <w:t>Em caso de divergência entre disposições deste Edital e de seus anexos ou demais peças que compõem o processo, prevalecerá as deste Edital.</w:t>
      </w:r>
    </w:p>
    <w:p>
      <w:pPr>
        <w:pStyle w:val="47"/>
        <w:tabs>
          <w:tab w:val="left" w:pos="709"/>
        </w:tabs>
        <w:spacing w:before="0" w:after="0"/>
        <w:ind w:left="709" w:right="-1"/>
        <w:jc w:val="both"/>
        <w:rPr>
          <w:rFonts w:cs="Arial"/>
          <w:color w:val="auto"/>
          <w:sz w:val="20"/>
          <w:szCs w:val="20"/>
          <w:highlight w:val="none"/>
        </w:rPr>
      </w:pPr>
    </w:p>
    <w:p>
      <w:pPr>
        <w:pStyle w:val="47"/>
        <w:numPr>
          <w:ilvl w:val="1"/>
          <w:numId w:val="2"/>
        </w:numPr>
        <w:tabs>
          <w:tab w:val="left" w:pos="709"/>
          <w:tab w:val="left" w:pos="9639"/>
        </w:tabs>
        <w:spacing w:before="0" w:after="0"/>
        <w:ind w:left="709" w:right="-1" w:hanging="851"/>
        <w:jc w:val="both"/>
        <w:rPr>
          <w:rFonts w:cs="Arial"/>
          <w:color w:val="auto"/>
          <w:sz w:val="20"/>
          <w:szCs w:val="20"/>
          <w:highlight w:val="none"/>
        </w:rPr>
      </w:pPr>
      <w:r>
        <w:rPr>
          <w:rFonts w:cs="Arial"/>
          <w:color w:val="auto"/>
          <w:sz w:val="20"/>
          <w:szCs w:val="20"/>
          <w:highlight w:val="none"/>
        </w:rPr>
        <w:t xml:space="preserve">Para dirimir quaisquer questões decorrentes da licitação, não resolvidas na esfera administrativa, será competente o foro da Comarca de Itapeva - São Paulo. </w:t>
      </w:r>
    </w:p>
    <w:p>
      <w:pPr>
        <w:spacing w:before="0" w:after="0"/>
        <w:ind w:left="-142" w:right="-1" w:firstLine="1702"/>
        <w:jc w:val="right"/>
        <w:rPr>
          <w:rFonts w:cs="Arial"/>
          <w:color w:val="auto"/>
          <w:sz w:val="20"/>
          <w:szCs w:val="20"/>
          <w:highlight w:val="none"/>
        </w:rPr>
      </w:pPr>
      <w:r>
        <w:rPr>
          <w:rFonts w:cs="Arial"/>
          <w:color w:val="auto"/>
          <w:sz w:val="20"/>
          <w:szCs w:val="20"/>
          <w:highlight w:val="none"/>
        </w:rPr>
        <w:t xml:space="preserve">Prefeitura Municipal de Itapeva, </w:t>
      </w:r>
    </w:p>
    <w:p>
      <w:pPr>
        <w:spacing w:before="0" w:after="0"/>
        <w:ind w:left="-142" w:right="-1" w:firstLine="1702"/>
        <w:jc w:val="right"/>
        <w:rPr>
          <w:rFonts w:cs="Arial"/>
          <w:color w:val="auto"/>
          <w:sz w:val="20"/>
          <w:szCs w:val="20"/>
          <w:highlight w:val="none"/>
        </w:rPr>
      </w:pPr>
      <w:r>
        <w:rPr>
          <w:rFonts w:cs="Arial"/>
          <w:color w:val="auto"/>
          <w:sz w:val="20"/>
          <w:szCs w:val="20"/>
          <w:highlight w:val="none"/>
        </w:rPr>
        <w:t xml:space="preserve">Palácio Cícero Marques, </w:t>
      </w:r>
      <w:bookmarkStart w:id="30" w:name="_Toc347303868"/>
      <w:bookmarkStart w:id="31" w:name="_Toc347320389"/>
      <w:bookmarkStart w:id="32" w:name="_Toc348707589"/>
      <w:bookmarkStart w:id="33" w:name="_Toc347321132"/>
      <w:bookmarkStart w:id="34" w:name="_Toc346806565"/>
      <w:bookmarkStart w:id="35" w:name="_Toc346865978"/>
      <w:bookmarkStart w:id="36" w:name="_Toc348595794"/>
      <w:bookmarkStart w:id="37" w:name="_Toc347215040"/>
      <w:bookmarkStart w:id="38" w:name="_Toc347306359"/>
      <w:bookmarkStart w:id="39" w:name="_Toc348710812"/>
      <w:bookmarkStart w:id="40" w:name="_Toc347243881"/>
      <w:bookmarkStart w:id="41" w:name="_Toc348596028"/>
      <w:bookmarkStart w:id="42" w:name="_Toc348540249"/>
      <w:bookmarkStart w:id="43" w:name="_Toc348533473"/>
      <w:bookmarkStart w:id="44" w:name="_Toc347300545"/>
      <w:bookmarkStart w:id="45" w:name="_Toc346805820"/>
      <w:bookmarkStart w:id="46" w:name="_Toc346805253"/>
      <w:bookmarkStart w:id="47" w:name="_Toc347306706"/>
      <w:bookmarkStart w:id="48" w:name="_Toc347306755"/>
      <w:bookmarkStart w:id="49" w:name="_Toc348540475"/>
      <w:bookmarkStart w:id="50" w:name="_Toc348710726"/>
      <w:bookmarkStart w:id="51" w:name="_Toc320698428"/>
      <w:bookmarkStart w:id="52" w:name="_Toc346805889"/>
      <w:r>
        <w:rPr>
          <w:rFonts w:hint="default" w:cs="Arial"/>
          <w:color w:val="auto"/>
          <w:sz w:val="20"/>
          <w:szCs w:val="20"/>
          <w:highlight w:val="none"/>
          <w:lang w:val="pt-BR"/>
        </w:rPr>
        <w:t>29</w:t>
      </w:r>
      <w:r>
        <w:rPr>
          <w:rFonts w:cs="Arial"/>
          <w:color w:val="auto"/>
          <w:sz w:val="20"/>
          <w:szCs w:val="20"/>
          <w:highlight w:val="none"/>
        </w:rPr>
        <w:t xml:space="preserve"> de </w:t>
      </w:r>
      <w:r>
        <w:rPr>
          <w:rFonts w:hint="default" w:cs="Arial"/>
          <w:color w:val="auto"/>
          <w:sz w:val="20"/>
          <w:szCs w:val="20"/>
          <w:highlight w:val="none"/>
          <w:lang w:val="pt-BR"/>
        </w:rPr>
        <w:t>junho</w:t>
      </w:r>
      <w:r>
        <w:rPr>
          <w:rFonts w:cs="Arial"/>
          <w:color w:val="auto"/>
          <w:sz w:val="20"/>
          <w:szCs w:val="20"/>
          <w:highlight w:val="none"/>
        </w:rPr>
        <w:t xml:space="preserve"> de 2023.</w:t>
      </w:r>
    </w:p>
    <w:p>
      <w:pPr>
        <w:tabs>
          <w:tab w:val="left" w:pos="709"/>
          <w:tab w:val="left" w:pos="9498"/>
        </w:tabs>
        <w:spacing w:before="0" w:after="0"/>
        <w:ind w:left="-142" w:right="-1"/>
        <w:rPr>
          <w:rFonts w:cs="Arial"/>
          <w:b/>
          <w:color w:val="auto"/>
          <w:sz w:val="20"/>
          <w:szCs w:val="20"/>
          <w:highlight w:val="none"/>
        </w:rPr>
      </w:pPr>
    </w:p>
    <w:p>
      <w:pPr>
        <w:tabs>
          <w:tab w:val="left" w:pos="709"/>
          <w:tab w:val="left" w:pos="9498"/>
        </w:tabs>
        <w:spacing w:before="0" w:after="0"/>
        <w:ind w:left="-142" w:right="-1"/>
        <w:rPr>
          <w:rFonts w:cs="Arial"/>
          <w:b/>
          <w:color w:val="auto"/>
          <w:sz w:val="20"/>
          <w:szCs w:val="20"/>
          <w:highlight w:val="none"/>
        </w:rPr>
      </w:pPr>
    </w:p>
    <w:p>
      <w:pPr>
        <w:tabs>
          <w:tab w:val="left" w:pos="709"/>
          <w:tab w:val="left" w:pos="9498"/>
        </w:tabs>
        <w:spacing w:before="0" w:after="0"/>
        <w:ind w:left="-142" w:right="-1"/>
        <w:rPr>
          <w:rFonts w:cs="Arial"/>
          <w:b/>
          <w:color w:val="auto"/>
          <w:sz w:val="20"/>
          <w:szCs w:val="20"/>
          <w:highlight w:val="none"/>
        </w:rPr>
      </w:pPr>
    </w:p>
    <w:p>
      <w:pPr>
        <w:tabs>
          <w:tab w:val="left" w:pos="709"/>
          <w:tab w:val="left" w:pos="9498"/>
        </w:tabs>
        <w:spacing w:before="0" w:after="0"/>
        <w:ind w:left="-142" w:right="-1"/>
        <w:rPr>
          <w:rFonts w:cs="Arial"/>
          <w:b/>
          <w:color w:val="auto"/>
          <w:sz w:val="20"/>
          <w:szCs w:val="20"/>
          <w:highlight w:val="none"/>
        </w:rPr>
      </w:pPr>
    </w:p>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p>
      <w:pPr>
        <w:pStyle w:val="5"/>
        <w:rPr>
          <w:rStyle w:val="13"/>
          <w:b w:val="0"/>
          <w:highlight w:val="none"/>
        </w:rPr>
      </w:pPr>
      <w:bookmarkStart w:id="53" w:name="_Toc383094762"/>
    </w:p>
    <w:p>
      <w:pPr>
        <w:rPr>
          <w:rStyle w:val="13"/>
          <w:b w:val="0"/>
          <w:highlight w:val="none"/>
        </w:rPr>
      </w:pPr>
    </w:p>
    <w:p>
      <w:pPr>
        <w:jc w:val="center"/>
        <w:rPr>
          <w:rStyle w:val="13"/>
          <w:rFonts w:hint="default"/>
          <w:b w:val="0"/>
          <w:highlight w:val="none"/>
          <w:lang w:val="pt-BR"/>
        </w:rPr>
      </w:pPr>
      <w:r>
        <w:rPr>
          <w:rStyle w:val="13"/>
          <w:rFonts w:hint="default"/>
          <w:b w:val="0"/>
          <w:highlight w:val="none"/>
          <w:lang w:val="pt-BR"/>
        </w:rPr>
        <w:t>Celio Cesar Rosa Engue</w:t>
      </w:r>
    </w:p>
    <w:p>
      <w:pPr>
        <w:jc w:val="center"/>
        <w:rPr>
          <w:rStyle w:val="13"/>
          <w:rFonts w:hint="default"/>
          <w:b w:val="0"/>
          <w:highlight w:val="none"/>
          <w:lang w:val="pt-BR"/>
        </w:rPr>
      </w:pPr>
      <w:r>
        <w:rPr>
          <w:rStyle w:val="13"/>
          <w:rFonts w:hint="default"/>
          <w:b/>
          <w:bCs w:val="0"/>
          <w:highlight w:val="none"/>
          <w:lang w:val="pt-BR"/>
        </w:rPr>
        <w:t>Secretaria Municipal de Transportes e Serviços Rurais</w:t>
      </w:r>
    </w:p>
    <w:p>
      <w:pPr>
        <w:rPr>
          <w:rStyle w:val="13"/>
          <w:b w:val="0"/>
          <w:highlight w:val="none"/>
        </w:rPr>
      </w:pPr>
    </w:p>
    <w:p>
      <w:pPr>
        <w:rPr>
          <w:rStyle w:val="13"/>
          <w:b w:val="0"/>
          <w:highlight w:val="none"/>
        </w:rPr>
      </w:pPr>
    </w:p>
    <w:p>
      <w:pPr>
        <w:rPr>
          <w:rStyle w:val="13"/>
          <w:b w:val="0"/>
          <w:highlight w:val="none"/>
        </w:rPr>
      </w:pPr>
    </w:p>
    <w:p>
      <w:pPr>
        <w:rPr>
          <w:rStyle w:val="13"/>
          <w:b w:val="0"/>
          <w:highlight w:val="none"/>
        </w:rPr>
      </w:pPr>
    </w:p>
    <w:p>
      <w:pPr>
        <w:rPr>
          <w:rStyle w:val="13"/>
          <w:b w:val="0"/>
          <w:highlight w:val="none"/>
        </w:rPr>
      </w:pPr>
    </w:p>
    <w:p>
      <w:pPr>
        <w:rPr>
          <w:rStyle w:val="13"/>
          <w:b w:val="0"/>
          <w:highlight w:val="none"/>
        </w:rPr>
      </w:pPr>
    </w:p>
    <w:p>
      <w:pPr>
        <w:pStyle w:val="5"/>
        <w:bidi w:val="0"/>
        <w:rPr>
          <w:rFonts w:hint="default"/>
          <w:b w:val="0"/>
          <w:bCs/>
          <w:highlight w:val="none"/>
          <w:lang w:val="pt-BR"/>
        </w:rPr>
      </w:pPr>
      <w:bookmarkStart w:id="54" w:name="_Toc383095029"/>
      <w:bookmarkStart w:id="55" w:name="_Toc383094932"/>
      <w:bookmarkStart w:id="56" w:name="_Toc383095042"/>
      <w:r>
        <w:rPr>
          <w:highlight w:val="none"/>
        </w:rPr>
        <w:t>ANEXO I</w:t>
      </w:r>
      <w:r>
        <w:rPr>
          <w:highlight w:val="none"/>
        </w:rPr>
        <w:br w:type="textWrapping"/>
      </w:r>
      <w:r>
        <w:rPr>
          <w:rFonts w:hint="default"/>
          <w:b w:val="0"/>
          <w:bCs/>
          <w:highlight w:val="none"/>
          <w:lang w:val="pt-BR"/>
        </w:rPr>
        <w:t>Termo de Referência</w:t>
      </w:r>
    </w:p>
    <w:p>
      <w:pPr>
        <w:pStyle w:val="29"/>
        <w:spacing w:before="0" w:beforeAutospacing="0" w:after="0" w:afterAutospacing="0"/>
        <w:jc w:val="center"/>
        <w:rPr>
          <w:rStyle w:val="13"/>
          <w:b/>
          <w:bCs w:val="0"/>
          <w:color w:val="auto"/>
          <w:sz w:val="20"/>
          <w:szCs w:val="20"/>
          <w:highlight w:val="none"/>
        </w:rPr>
      </w:pPr>
    </w:p>
    <w:p>
      <w:pPr>
        <w:pStyle w:val="29"/>
        <w:spacing w:before="0" w:beforeAutospacing="0" w:after="0" w:afterAutospacing="0"/>
        <w:jc w:val="center"/>
        <w:rPr>
          <w:rStyle w:val="13"/>
          <w:b/>
          <w:bCs w:val="0"/>
          <w:color w:val="auto"/>
          <w:sz w:val="20"/>
          <w:szCs w:val="20"/>
          <w:highlight w:val="none"/>
        </w:rPr>
      </w:pPr>
    </w:p>
    <w:p>
      <w:pPr>
        <w:pStyle w:val="29"/>
        <w:spacing w:before="0" w:beforeAutospacing="0" w:after="0" w:afterAutospacing="0"/>
        <w:jc w:val="center"/>
        <w:rPr>
          <w:rStyle w:val="13"/>
          <w:b/>
          <w:bCs w:val="0"/>
          <w:color w:val="auto"/>
          <w:sz w:val="20"/>
          <w:szCs w:val="20"/>
          <w:highlight w:val="none"/>
        </w:rPr>
      </w:pPr>
      <w:r>
        <w:rPr>
          <w:rStyle w:val="13"/>
          <w:b/>
          <w:bCs w:val="0"/>
          <w:color w:val="auto"/>
          <w:sz w:val="20"/>
          <w:szCs w:val="20"/>
          <w:highlight w:val="none"/>
        </w:rPr>
        <w:t xml:space="preserve">PREGÃO ELETRÔNICO N° </w:t>
      </w:r>
      <w:bookmarkEnd w:id="53"/>
      <w:bookmarkEnd w:id="54"/>
      <w:bookmarkEnd w:id="55"/>
      <w:bookmarkEnd w:id="56"/>
      <w:r>
        <w:rPr>
          <w:rStyle w:val="13"/>
          <w:rFonts w:hint="default"/>
          <w:b/>
          <w:bCs w:val="0"/>
          <w:color w:val="auto"/>
          <w:sz w:val="20"/>
          <w:szCs w:val="20"/>
          <w:highlight w:val="none"/>
          <w:lang w:val="pt-BR"/>
        </w:rPr>
        <w:t>31/</w:t>
      </w:r>
      <w:r>
        <w:rPr>
          <w:rStyle w:val="13"/>
          <w:b/>
          <w:bCs w:val="0"/>
          <w:color w:val="auto"/>
          <w:sz w:val="20"/>
          <w:szCs w:val="20"/>
          <w:highlight w:val="none"/>
        </w:rPr>
        <w:t>2023</w:t>
      </w:r>
    </w:p>
    <w:p>
      <w:pPr>
        <w:pStyle w:val="29"/>
        <w:spacing w:before="0" w:beforeAutospacing="0" w:after="0" w:afterAutospacing="0"/>
        <w:ind w:left="-142" w:right="-1"/>
        <w:jc w:val="center"/>
        <w:rPr>
          <w:color w:val="auto"/>
          <w:sz w:val="20"/>
          <w:szCs w:val="20"/>
          <w:highlight w:val="none"/>
        </w:rPr>
      </w:pPr>
      <w:r>
        <w:rPr>
          <w:color w:val="auto"/>
          <w:sz w:val="20"/>
          <w:szCs w:val="20"/>
          <w:highlight w:val="none"/>
        </w:rPr>
        <w:t xml:space="preserve">PROCESSO Nº </w:t>
      </w:r>
      <w:r>
        <w:rPr>
          <w:rFonts w:hint="default"/>
          <w:color w:val="auto"/>
          <w:sz w:val="20"/>
          <w:szCs w:val="20"/>
          <w:highlight w:val="none"/>
          <w:lang w:val="pt-BR"/>
        </w:rPr>
        <w:t>2.180</w:t>
      </w:r>
      <w:r>
        <w:rPr>
          <w:color w:val="auto"/>
          <w:sz w:val="20"/>
          <w:szCs w:val="20"/>
          <w:highlight w:val="none"/>
        </w:rPr>
        <w:t>/2023</w:t>
      </w:r>
    </w:p>
    <w:p>
      <w:pPr>
        <w:spacing w:before="0" w:after="0"/>
        <w:rPr>
          <w:sz w:val="20"/>
          <w:szCs w:val="20"/>
          <w:highlight w:val="none"/>
        </w:rPr>
      </w:pPr>
    </w:p>
    <w:tbl>
      <w:tblPr>
        <w:tblStyle w:val="35"/>
        <w:tblpPr w:leftFromText="141" w:rightFromText="141" w:vertAnchor="text" w:tblpXSpec="center" w:tblpY="1"/>
        <w:tblOverlap w:val="never"/>
        <w:tblW w:w="96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5"/>
        <w:gridCol w:w="4151"/>
        <w:gridCol w:w="655"/>
        <w:gridCol w:w="1005"/>
        <w:gridCol w:w="1409"/>
        <w:gridCol w:w="16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trPr>
        <w:tc>
          <w:tcPr>
            <w:tcW w:w="805" w:type="dxa"/>
            <w:vMerge w:val="restart"/>
            <w:tcBorders>
              <w:top w:val="single" w:color="auto" w:sz="4" w:space="0"/>
              <w:left w:val="single" w:color="auto" w:sz="4" w:space="0"/>
              <w:right w:val="single" w:color="auto" w:sz="4" w:space="0"/>
            </w:tcBorders>
            <w:shd w:val="clear" w:color="auto" w:fill="D8D8D8" w:themeFill="background1" w:themeFillShade="D9"/>
          </w:tcPr>
          <w:p>
            <w:pPr>
              <w:pStyle w:val="47"/>
              <w:spacing w:before="0" w:after="0"/>
              <w:ind w:left="0"/>
              <w:jc w:val="center"/>
              <w:rPr>
                <w:rFonts w:hint="default" w:ascii="Arial" w:hAnsi="Arial" w:cs="Arial"/>
                <w:b/>
                <w:color w:val="auto"/>
                <w:sz w:val="20"/>
                <w:szCs w:val="20"/>
                <w:highlight w:val="none"/>
              </w:rPr>
            </w:pPr>
          </w:p>
          <w:p>
            <w:pPr>
              <w:pStyle w:val="47"/>
              <w:spacing w:before="0" w:after="0"/>
              <w:ind w:left="0"/>
              <w:jc w:val="center"/>
              <w:rPr>
                <w:rFonts w:hint="default" w:ascii="Arial" w:hAnsi="Arial" w:cs="Arial"/>
                <w:b/>
                <w:color w:val="auto"/>
                <w:sz w:val="20"/>
                <w:szCs w:val="20"/>
                <w:highlight w:val="none"/>
              </w:rPr>
            </w:pPr>
            <w:r>
              <w:rPr>
                <w:rFonts w:hint="default" w:ascii="Arial" w:hAnsi="Arial" w:cs="Arial"/>
                <w:b/>
                <w:color w:val="auto"/>
                <w:sz w:val="20"/>
                <w:szCs w:val="20"/>
                <w:highlight w:val="none"/>
              </w:rPr>
              <w:t>ITENS</w:t>
            </w:r>
          </w:p>
        </w:tc>
        <w:tc>
          <w:tcPr>
            <w:tcW w:w="4307" w:type="dxa"/>
            <w:vMerge w:val="restart"/>
            <w:tcBorders>
              <w:top w:val="single" w:color="auto" w:sz="4" w:space="0"/>
              <w:left w:val="single" w:color="auto" w:sz="4" w:space="0"/>
              <w:right w:val="single" w:color="auto" w:sz="4" w:space="0"/>
            </w:tcBorders>
            <w:shd w:val="clear" w:color="auto" w:fill="D8D8D8" w:themeFill="background1" w:themeFillShade="D9"/>
            <w:vAlign w:val="center"/>
          </w:tcPr>
          <w:p>
            <w:pPr>
              <w:pStyle w:val="47"/>
              <w:spacing w:before="0" w:after="0"/>
              <w:ind w:left="0"/>
              <w:jc w:val="center"/>
              <w:rPr>
                <w:rFonts w:hint="default" w:ascii="Arial" w:hAnsi="Arial" w:cs="Arial"/>
                <w:b/>
                <w:color w:val="auto"/>
                <w:sz w:val="20"/>
                <w:szCs w:val="20"/>
                <w:highlight w:val="none"/>
              </w:rPr>
            </w:pPr>
            <w:r>
              <w:rPr>
                <w:rFonts w:hint="default" w:ascii="Arial" w:hAnsi="Arial" w:cs="Arial"/>
                <w:b/>
                <w:color w:val="auto"/>
                <w:sz w:val="20"/>
                <w:szCs w:val="20"/>
                <w:highlight w:val="none"/>
              </w:rPr>
              <w:t>Descrição</w:t>
            </w:r>
          </w:p>
        </w:tc>
        <w:tc>
          <w:tcPr>
            <w:tcW w:w="658" w:type="dxa"/>
            <w:vMerge w:val="restart"/>
            <w:tcBorders>
              <w:top w:val="single" w:color="auto" w:sz="4" w:space="0"/>
              <w:left w:val="single" w:color="auto" w:sz="4" w:space="0"/>
              <w:right w:val="single" w:color="auto" w:sz="4" w:space="0"/>
            </w:tcBorders>
            <w:shd w:val="clear" w:color="auto" w:fill="D8D8D8" w:themeFill="background1" w:themeFillShade="D9"/>
            <w:vAlign w:val="center"/>
          </w:tcPr>
          <w:p>
            <w:pPr>
              <w:pStyle w:val="47"/>
              <w:spacing w:before="0" w:after="0"/>
              <w:ind w:left="0"/>
              <w:jc w:val="center"/>
              <w:rPr>
                <w:rFonts w:hint="default" w:ascii="Arial" w:hAnsi="Arial" w:cs="Arial"/>
                <w:b/>
                <w:color w:val="auto"/>
                <w:sz w:val="20"/>
                <w:szCs w:val="20"/>
                <w:highlight w:val="none"/>
              </w:rPr>
            </w:pPr>
            <w:r>
              <w:rPr>
                <w:rFonts w:hint="default" w:ascii="Arial" w:hAnsi="Arial" w:cs="Arial"/>
                <w:b/>
                <w:color w:val="auto"/>
                <w:sz w:val="20"/>
                <w:szCs w:val="20"/>
                <w:highlight w:val="none"/>
              </w:rPr>
              <w:t>Qtd.</w:t>
            </w:r>
          </w:p>
        </w:tc>
        <w:tc>
          <w:tcPr>
            <w:tcW w:w="1005" w:type="dxa"/>
            <w:vMerge w:val="restart"/>
            <w:tcBorders>
              <w:top w:val="single" w:color="auto" w:sz="4" w:space="0"/>
              <w:left w:val="single" w:color="auto" w:sz="4" w:space="0"/>
              <w:right w:val="single" w:color="auto" w:sz="4" w:space="0"/>
            </w:tcBorders>
            <w:shd w:val="clear" w:color="auto" w:fill="D8D8D8" w:themeFill="background1" w:themeFillShade="D9"/>
            <w:vAlign w:val="center"/>
          </w:tcPr>
          <w:p>
            <w:pPr>
              <w:pStyle w:val="47"/>
              <w:spacing w:before="0" w:after="0"/>
              <w:ind w:left="0"/>
              <w:jc w:val="center"/>
              <w:rPr>
                <w:rFonts w:hint="default" w:ascii="Arial" w:hAnsi="Arial" w:cs="Arial"/>
                <w:b/>
                <w:color w:val="auto"/>
                <w:sz w:val="20"/>
                <w:szCs w:val="20"/>
                <w:highlight w:val="none"/>
              </w:rPr>
            </w:pPr>
            <w:r>
              <w:rPr>
                <w:rFonts w:hint="default" w:ascii="Arial" w:hAnsi="Arial" w:cs="Arial"/>
                <w:b/>
                <w:color w:val="auto"/>
                <w:sz w:val="20"/>
                <w:szCs w:val="20"/>
                <w:highlight w:val="none"/>
              </w:rPr>
              <w:t>Unidade</w:t>
            </w:r>
          </w:p>
        </w:tc>
        <w:tc>
          <w:tcPr>
            <w:tcW w:w="2859" w:type="dxa"/>
            <w:gridSpan w:val="2"/>
            <w:tcBorders>
              <w:top w:val="single" w:color="auto" w:sz="4" w:space="0"/>
              <w:left w:val="single" w:color="auto" w:sz="4" w:space="0"/>
              <w:bottom w:val="single" w:color="auto" w:sz="4" w:space="0"/>
              <w:right w:val="single" w:color="auto" w:sz="4" w:space="0"/>
            </w:tcBorders>
            <w:shd w:val="clear" w:color="auto" w:fill="C6D9F0" w:themeFill="text2" w:themeFillTint="33"/>
            <w:vAlign w:val="center"/>
          </w:tcPr>
          <w:p>
            <w:pPr>
              <w:pStyle w:val="47"/>
              <w:spacing w:before="0" w:after="0"/>
              <w:ind w:left="0"/>
              <w:jc w:val="center"/>
              <w:rPr>
                <w:rFonts w:hint="default" w:ascii="Arial" w:hAnsi="Arial" w:cs="Arial"/>
                <w:b/>
                <w:color w:val="auto"/>
                <w:sz w:val="20"/>
                <w:szCs w:val="20"/>
                <w:highlight w:val="none"/>
              </w:rPr>
            </w:pPr>
            <w:r>
              <w:rPr>
                <w:rFonts w:hint="default" w:ascii="Arial" w:hAnsi="Arial" w:cs="Arial"/>
                <w:b/>
                <w:color w:val="auto"/>
                <w:sz w:val="20"/>
                <w:szCs w:val="20"/>
                <w:highlight w:val="none"/>
              </w:rPr>
              <w:t>VALOR ESTIMADO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Merge w:val="continue"/>
            <w:tcBorders>
              <w:left w:val="single" w:color="auto" w:sz="4" w:space="0"/>
              <w:bottom w:val="single" w:color="auto" w:sz="4" w:space="0"/>
              <w:right w:val="single" w:color="auto" w:sz="4" w:space="0"/>
            </w:tcBorders>
            <w:shd w:val="clear" w:color="auto" w:fill="D8D8D8" w:themeFill="background1" w:themeFillShade="D9"/>
          </w:tcPr>
          <w:p>
            <w:pPr>
              <w:pStyle w:val="47"/>
              <w:spacing w:before="0" w:after="0"/>
              <w:ind w:left="0"/>
              <w:jc w:val="center"/>
              <w:rPr>
                <w:rFonts w:hint="default" w:ascii="Arial" w:hAnsi="Arial" w:cs="Arial"/>
                <w:b/>
                <w:color w:val="auto"/>
                <w:sz w:val="20"/>
                <w:szCs w:val="20"/>
                <w:highlight w:val="none"/>
              </w:rPr>
            </w:pPr>
          </w:p>
        </w:tc>
        <w:tc>
          <w:tcPr>
            <w:tcW w:w="4307" w:type="dxa"/>
            <w:vMerge w:val="continue"/>
            <w:tcBorders>
              <w:left w:val="single" w:color="auto" w:sz="4" w:space="0"/>
              <w:bottom w:val="single" w:color="auto" w:sz="4" w:space="0"/>
              <w:right w:val="single" w:color="auto" w:sz="4" w:space="0"/>
            </w:tcBorders>
            <w:shd w:val="clear" w:color="auto" w:fill="D8D8D8" w:themeFill="background1" w:themeFillShade="D9"/>
            <w:vAlign w:val="center"/>
          </w:tcPr>
          <w:p>
            <w:pPr>
              <w:pStyle w:val="47"/>
              <w:spacing w:before="0" w:after="0"/>
              <w:ind w:left="0"/>
              <w:jc w:val="center"/>
              <w:rPr>
                <w:rFonts w:hint="default" w:ascii="Arial" w:hAnsi="Arial" w:cs="Arial"/>
                <w:b/>
                <w:color w:val="auto"/>
                <w:sz w:val="20"/>
                <w:szCs w:val="20"/>
                <w:highlight w:val="none"/>
              </w:rPr>
            </w:pPr>
          </w:p>
        </w:tc>
        <w:tc>
          <w:tcPr>
            <w:tcW w:w="658" w:type="dxa"/>
            <w:vMerge w:val="continue"/>
            <w:tcBorders>
              <w:left w:val="single" w:color="auto" w:sz="4" w:space="0"/>
              <w:bottom w:val="single" w:color="auto" w:sz="4" w:space="0"/>
              <w:right w:val="single" w:color="auto" w:sz="4" w:space="0"/>
            </w:tcBorders>
            <w:shd w:val="clear" w:color="auto" w:fill="D8D8D8" w:themeFill="background1" w:themeFillShade="D9"/>
            <w:vAlign w:val="center"/>
          </w:tcPr>
          <w:p>
            <w:pPr>
              <w:pStyle w:val="47"/>
              <w:spacing w:before="0" w:after="0"/>
              <w:ind w:left="0"/>
              <w:jc w:val="center"/>
              <w:rPr>
                <w:rFonts w:hint="default" w:ascii="Arial" w:hAnsi="Arial" w:cs="Arial"/>
                <w:b/>
                <w:color w:val="auto"/>
                <w:sz w:val="20"/>
                <w:szCs w:val="20"/>
                <w:highlight w:val="none"/>
              </w:rPr>
            </w:pPr>
          </w:p>
        </w:tc>
        <w:tc>
          <w:tcPr>
            <w:tcW w:w="1005" w:type="dxa"/>
            <w:vMerge w:val="continue"/>
            <w:tcBorders>
              <w:left w:val="single" w:color="auto" w:sz="4" w:space="0"/>
              <w:bottom w:val="single" w:color="auto" w:sz="4" w:space="0"/>
              <w:right w:val="single" w:color="auto" w:sz="4" w:space="0"/>
            </w:tcBorders>
            <w:shd w:val="clear" w:color="auto" w:fill="D8D8D8" w:themeFill="background1" w:themeFillShade="D9"/>
            <w:vAlign w:val="center"/>
          </w:tcPr>
          <w:p>
            <w:pPr>
              <w:pStyle w:val="47"/>
              <w:spacing w:before="0" w:after="0"/>
              <w:ind w:left="0"/>
              <w:jc w:val="center"/>
              <w:rPr>
                <w:rFonts w:hint="default" w:ascii="Arial" w:hAnsi="Arial" w:cs="Arial"/>
                <w:b/>
                <w:color w:val="auto"/>
                <w:sz w:val="20"/>
                <w:szCs w:val="20"/>
                <w:highlight w:val="none"/>
              </w:rPr>
            </w:pPr>
          </w:p>
        </w:tc>
        <w:tc>
          <w:tcPr>
            <w:tcW w:w="1417" w:type="dxa"/>
            <w:tcBorders>
              <w:top w:val="single" w:color="auto" w:sz="4" w:space="0"/>
              <w:left w:val="single" w:color="auto" w:sz="4" w:space="0"/>
              <w:bottom w:val="single" w:color="auto" w:sz="4" w:space="0"/>
              <w:right w:val="single" w:color="auto" w:sz="4" w:space="0"/>
            </w:tcBorders>
            <w:shd w:val="clear" w:color="auto" w:fill="C6D9F0" w:themeFill="text2" w:themeFillTint="33"/>
            <w:vAlign w:val="center"/>
          </w:tcPr>
          <w:p>
            <w:pPr>
              <w:pStyle w:val="47"/>
              <w:spacing w:before="0" w:after="0"/>
              <w:ind w:left="0"/>
              <w:jc w:val="center"/>
              <w:rPr>
                <w:rFonts w:hint="default" w:ascii="Arial" w:hAnsi="Arial" w:cs="Arial"/>
                <w:b/>
                <w:color w:val="auto"/>
                <w:sz w:val="20"/>
                <w:szCs w:val="20"/>
                <w:highlight w:val="none"/>
              </w:rPr>
            </w:pPr>
            <w:r>
              <w:rPr>
                <w:rFonts w:hint="default" w:ascii="Arial" w:hAnsi="Arial" w:cs="Arial"/>
                <w:b/>
                <w:color w:val="auto"/>
                <w:sz w:val="20"/>
                <w:szCs w:val="20"/>
                <w:highlight w:val="none"/>
              </w:rPr>
              <w:t>Valor Unitário</w:t>
            </w:r>
          </w:p>
        </w:tc>
        <w:tc>
          <w:tcPr>
            <w:tcW w:w="1442" w:type="dxa"/>
            <w:tcBorders>
              <w:top w:val="single" w:color="auto" w:sz="4" w:space="0"/>
              <w:left w:val="single" w:color="auto" w:sz="4" w:space="0"/>
              <w:bottom w:val="single" w:color="auto" w:sz="4" w:space="0"/>
              <w:right w:val="single" w:color="auto" w:sz="4" w:space="0"/>
            </w:tcBorders>
            <w:shd w:val="clear" w:color="auto" w:fill="C6D9F0" w:themeFill="text2" w:themeFillTint="33"/>
            <w:vAlign w:val="center"/>
          </w:tcPr>
          <w:p>
            <w:pPr>
              <w:pStyle w:val="47"/>
              <w:spacing w:before="0" w:after="0"/>
              <w:ind w:left="0"/>
              <w:jc w:val="center"/>
              <w:rPr>
                <w:rFonts w:hint="default" w:ascii="Arial" w:hAnsi="Arial" w:cs="Arial"/>
                <w:b/>
                <w:color w:val="auto"/>
                <w:sz w:val="20"/>
                <w:szCs w:val="20"/>
                <w:highlight w:val="none"/>
              </w:rPr>
            </w:pPr>
            <w:r>
              <w:rPr>
                <w:rFonts w:hint="default" w:ascii="Arial" w:hAnsi="Arial" w:cs="Arial"/>
                <w:b/>
                <w:color w:val="auto"/>
                <w:sz w:val="20"/>
                <w:szCs w:val="20"/>
                <w:highlight w:val="none"/>
              </w:rPr>
              <w:t xml:space="preserve">Valor Total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05" w:type="dxa"/>
            <w:tcBorders>
              <w:top w:val="single" w:color="auto" w:sz="4" w:space="0"/>
              <w:left w:val="single" w:color="auto" w:sz="4" w:space="0"/>
              <w:bottom w:val="single" w:color="auto" w:sz="4" w:space="0"/>
              <w:right w:val="single" w:color="auto" w:sz="4" w:space="0"/>
            </w:tcBorders>
            <w:vAlign w:val="center"/>
          </w:tcPr>
          <w:p>
            <w:pPr>
              <w:pStyle w:val="47"/>
              <w:spacing w:before="0" w:after="0"/>
              <w:ind w:left="0" w:leftChars="0"/>
              <w:jc w:val="center"/>
              <w:rPr>
                <w:rFonts w:hint="default" w:ascii="Arial" w:hAnsi="Arial" w:cs="Arial"/>
                <w:bCs/>
                <w:color w:val="auto"/>
                <w:sz w:val="20"/>
                <w:szCs w:val="20"/>
                <w:highlight w:val="none"/>
              </w:rPr>
            </w:pPr>
            <w:r>
              <w:rPr>
                <w:rFonts w:hint="default" w:ascii="Arial" w:hAnsi="Arial" w:cs="Arial"/>
                <w:bCs/>
                <w:color w:val="auto"/>
                <w:sz w:val="20"/>
                <w:szCs w:val="20"/>
                <w:highlight w:val="none"/>
              </w:rPr>
              <w:t>1</w:t>
            </w:r>
          </w:p>
        </w:tc>
        <w:tc>
          <w:tcPr>
            <w:tcW w:w="430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both"/>
              <w:rPr>
                <w:rFonts w:hint="default" w:ascii="Arial" w:hAnsi="Arial" w:cs="Arial"/>
                <w:bCs/>
                <w:color w:val="auto"/>
                <w:sz w:val="20"/>
                <w:szCs w:val="20"/>
                <w:highlight w:val="none"/>
              </w:rPr>
            </w:pPr>
            <w:r>
              <w:rPr>
                <w:rFonts w:hint="default" w:ascii="Arial" w:hAnsi="Arial" w:eastAsia="SimSun" w:cs="Arial"/>
                <w:color w:val="000000" w:themeColor="text1"/>
                <w:kern w:val="0"/>
                <w:sz w:val="20"/>
                <w:szCs w:val="20"/>
                <w:highlight w:val="none"/>
                <w:lang w:val="en-US" w:eastAsia="zh-CN" w:bidi="ar"/>
                <w14:textFill>
                  <w14:solidFill>
                    <w14:schemeClr w14:val="tx1"/>
                  </w14:solidFill>
                </w14:textFill>
              </w:rPr>
              <w:t>Fornecimento e instalação de Unidade Sanitária Individual (USI) com capacidade para até 06 (seis) pessoas, com</w:t>
            </w:r>
            <w:r>
              <w:rPr>
                <w:rFonts w:hint="default" w:ascii="Arial" w:hAnsi="Arial" w:eastAsia="SimSun" w:cs="Arial"/>
                <w:color w:val="000000" w:themeColor="text1"/>
                <w:kern w:val="0"/>
                <w:sz w:val="20"/>
                <w:szCs w:val="20"/>
                <w:highlight w:val="none"/>
                <w:lang w:val="pt-BR" w:eastAsia="zh-CN" w:bidi="ar"/>
                <w14:textFill>
                  <w14:solidFill>
                    <w14:schemeClr w14:val="tx1"/>
                  </w14:solidFill>
                </w14:textFill>
              </w:rPr>
              <w:t xml:space="preserve"> </w:t>
            </w:r>
            <w:r>
              <w:rPr>
                <w:rFonts w:hint="default" w:ascii="Arial" w:hAnsi="Arial" w:eastAsia="SimSun" w:cs="Arial"/>
                <w:color w:val="000000" w:themeColor="text1"/>
                <w:kern w:val="0"/>
                <w:sz w:val="20"/>
                <w:szCs w:val="20"/>
                <w:highlight w:val="none"/>
                <w:lang w:val="en-US" w:eastAsia="zh-CN" w:bidi="ar"/>
                <w14:textFill>
                  <w14:solidFill>
                    <w14:schemeClr w14:val="tx1"/>
                  </w14:solidFill>
                </w14:textFill>
              </w:rPr>
              <w:t>volume mínimo nominal de 1.990 litros para fossa séptica</w:t>
            </w:r>
            <w:r>
              <w:rPr>
                <w:rFonts w:hint="default" w:ascii="Arial" w:hAnsi="Arial" w:eastAsia="SimSun" w:cs="Arial"/>
                <w:color w:val="000000" w:themeColor="text1"/>
                <w:kern w:val="0"/>
                <w:sz w:val="20"/>
                <w:szCs w:val="20"/>
                <w:highlight w:val="none"/>
                <w:lang w:val="pt-BR" w:eastAsia="zh-CN" w:bidi="ar"/>
                <w14:textFill>
                  <w14:solidFill>
                    <w14:schemeClr w14:val="tx1"/>
                  </w14:solidFill>
                </w14:textFill>
              </w:rPr>
              <w:t xml:space="preserve">, </w:t>
            </w:r>
            <w:r>
              <w:rPr>
                <w:rFonts w:hint="default" w:ascii="Arial" w:hAnsi="Arial" w:eastAsia="SimSun" w:cs="Arial"/>
                <w:color w:val="000000" w:themeColor="text1"/>
                <w:kern w:val="0"/>
                <w:sz w:val="20"/>
                <w:szCs w:val="20"/>
                <w:highlight w:val="none"/>
                <w:lang w:val="en-US" w:eastAsia="zh-CN" w:bidi="ar"/>
                <w14:textFill>
                  <w14:solidFill>
                    <w14:schemeClr w14:val="tx1"/>
                  </w14:solidFill>
                </w14:textFill>
              </w:rPr>
              <w:t>conforme a NBR 7.229/93, Filtro Anaeróbio de Fluxo ascendente, com volume mínimo do leito filtrante de 1.000 litros, de acordo com a NBR 13.969 e/ou Vala de</w:t>
            </w:r>
            <w:r>
              <w:rPr>
                <w:rFonts w:hint="default" w:ascii="Arial" w:hAnsi="Arial" w:eastAsia="SimSun" w:cs="Arial"/>
                <w:color w:val="000000" w:themeColor="text1"/>
                <w:kern w:val="0"/>
                <w:sz w:val="20"/>
                <w:szCs w:val="20"/>
                <w:highlight w:val="none"/>
                <w:lang w:val="pt-BR" w:eastAsia="zh-CN" w:bidi="ar"/>
                <w14:textFill>
                  <w14:solidFill>
                    <w14:schemeClr w14:val="tx1"/>
                  </w14:solidFill>
                </w14:textFill>
              </w:rPr>
              <w:t xml:space="preserve"> </w:t>
            </w:r>
            <w:r>
              <w:rPr>
                <w:rFonts w:hint="default" w:ascii="Arial" w:hAnsi="Arial" w:eastAsia="SimSun" w:cs="Arial"/>
                <w:color w:val="000000" w:themeColor="text1"/>
                <w:kern w:val="0"/>
                <w:sz w:val="20"/>
                <w:szCs w:val="20"/>
                <w:highlight w:val="none"/>
                <w:lang w:val="en-US" w:eastAsia="zh-CN" w:bidi="ar"/>
                <w14:textFill>
                  <w14:solidFill>
                    <w14:schemeClr w14:val="tx1"/>
                  </w14:solidFill>
                </w14:textFill>
              </w:rPr>
              <w:t>Infiltração/Sumidouro com área de infiltração mínima de 6,7 m² conforme Norma NBR 13.969/97, Caixa de Gordura com capacidade de 18 litros com septo rígido e Caixa de inspeção, conforme NBR 8.160/99</w:t>
            </w:r>
          </w:p>
        </w:tc>
        <w:tc>
          <w:tcPr>
            <w:tcW w:w="658" w:type="dxa"/>
            <w:tcBorders>
              <w:top w:val="single" w:color="auto" w:sz="4" w:space="0"/>
              <w:left w:val="single" w:color="auto" w:sz="4" w:space="0"/>
              <w:bottom w:val="single" w:color="auto" w:sz="4" w:space="0"/>
              <w:right w:val="single" w:color="auto" w:sz="4" w:space="0"/>
            </w:tcBorders>
            <w:vAlign w:val="center"/>
          </w:tcPr>
          <w:p>
            <w:pPr>
              <w:pStyle w:val="47"/>
              <w:spacing w:before="0" w:after="0"/>
              <w:ind w:left="0" w:leftChars="0"/>
              <w:jc w:val="center"/>
              <w:rPr>
                <w:rFonts w:hint="default" w:ascii="Arial" w:hAnsi="Arial" w:cs="Arial"/>
                <w:bCs/>
                <w:color w:val="auto"/>
                <w:sz w:val="20"/>
                <w:szCs w:val="20"/>
                <w:highlight w:val="none"/>
              </w:rPr>
            </w:pPr>
            <w:r>
              <w:rPr>
                <w:rFonts w:hint="default" w:ascii="Arial" w:hAnsi="Arial" w:cs="Arial"/>
                <w:color w:val="000000"/>
                <w:sz w:val="20"/>
                <w:szCs w:val="20"/>
                <w:highlight w:val="none"/>
              </w:rPr>
              <w:t>1</w:t>
            </w:r>
            <w:r>
              <w:rPr>
                <w:rFonts w:hint="default" w:ascii="Arial" w:hAnsi="Arial" w:cs="Arial"/>
                <w:color w:val="000000"/>
                <w:sz w:val="20"/>
                <w:szCs w:val="20"/>
                <w:highlight w:val="none"/>
                <w:lang w:val="pt-BR"/>
              </w:rPr>
              <w:t>56</w:t>
            </w:r>
          </w:p>
        </w:tc>
        <w:tc>
          <w:tcPr>
            <w:tcW w:w="1005" w:type="dxa"/>
            <w:tcBorders>
              <w:top w:val="single" w:color="auto" w:sz="4" w:space="0"/>
              <w:left w:val="single" w:color="auto" w:sz="4" w:space="0"/>
              <w:bottom w:val="single" w:color="auto" w:sz="4" w:space="0"/>
              <w:right w:val="single" w:color="auto" w:sz="4" w:space="0"/>
            </w:tcBorders>
            <w:vAlign w:val="center"/>
          </w:tcPr>
          <w:p>
            <w:pPr>
              <w:pStyle w:val="47"/>
              <w:spacing w:before="0" w:after="0"/>
              <w:ind w:left="0" w:leftChars="0"/>
              <w:jc w:val="center"/>
              <w:rPr>
                <w:rFonts w:hint="default" w:ascii="Arial" w:hAnsi="Arial" w:cs="Arial"/>
                <w:bCs/>
                <w:color w:val="auto"/>
                <w:sz w:val="20"/>
                <w:szCs w:val="20"/>
                <w:highlight w:val="none"/>
              </w:rPr>
            </w:pPr>
            <w:r>
              <w:rPr>
                <w:rFonts w:hint="default" w:ascii="Arial" w:hAnsi="Arial" w:cs="Arial"/>
                <w:color w:val="000000"/>
                <w:sz w:val="20"/>
                <w:szCs w:val="20"/>
                <w:highlight w:val="none"/>
              </w:rPr>
              <w:t>UNID</w:t>
            </w:r>
          </w:p>
        </w:tc>
        <w:tc>
          <w:tcPr>
            <w:tcW w:w="1417" w:type="dxa"/>
            <w:tcBorders>
              <w:top w:val="single" w:color="auto" w:sz="4" w:space="0"/>
              <w:left w:val="single" w:color="auto" w:sz="4" w:space="0"/>
              <w:bottom w:val="single" w:color="auto" w:sz="4" w:space="0"/>
              <w:right w:val="single" w:color="auto" w:sz="4" w:space="0"/>
            </w:tcBorders>
            <w:vAlign w:val="center"/>
          </w:tcPr>
          <w:p>
            <w:pPr>
              <w:pStyle w:val="47"/>
              <w:spacing w:before="0" w:after="0"/>
              <w:ind w:left="0" w:leftChars="0"/>
              <w:jc w:val="center"/>
              <w:rPr>
                <w:rFonts w:hint="default" w:ascii="Arial" w:hAnsi="Arial" w:cs="Arial"/>
                <w:color w:val="auto"/>
                <w:sz w:val="20"/>
                <w:szCs w:val="20"/>
                <w:highlight w:val="none"/>
              </w:rPr>
            </w:pPr>
            <w:r>
              <w:rPr>
                <w:rFonts w:hint="default" w:ascii="Arial" w:hAnsi="Arial" w:cs="Arial"/>
                <w:color w:val="auto"/>
                <w:sz w:val="20"/>
                <w:szCs w:val="20"/>
                <w:highlight w:val="none"/>
                <w:lang w:val="pt-BR"/>
              </w:rPr>
              <w:t xml:space="preserve">R$ </w:t>
            </w:r>
            <w:r>
              <w:rPr>
                <w:rFonts w:hint="default" w:cs="Arial"/>
                <w:color w:val="auto"/>
                <w:sz w:val="20"/>
                <w:szCs w:val="20"/>
                <w:highlight w:val="none"/>
                <w:lang w:val="pt-BR"/>
              </w:rPr>
              <w:t>9.700,0</w:t>
            </w:r>
            <w:r>
              <w:rPr>
                <w:rFonts w:hint="default" w:ascii="Arial" w:hAnsi="Arial" w:cs="Arial"/>
                <w:color w:val="auto"/>
                <w:sz w:val="20"/>
                <w:szCs w:val="20"/>
                <w:highlight w:val="none"/>
                <w:lang w:val="pt-BR"/>
              </w:rPr>
              <w:t>0</w:t>
            </w:r>
          </w:p>
        </w:tc>
        <w:tc>
          <w:tcPr>
            <w:tcW w:w="1442" w:type="dxa"/>
            <w:tcBorders>
              <w:top w:val="single" w:color="auto" w:sz="4" w:space="0"/>
              <w:left w:val="single" w:color="auto" w:sz="4" w:space="0"/>
              <w:bottom w:val="single" w:color="auto" w:sz="4" w:space="0"/>
              <w:right w:val="single" w:color="auto" w:sz="4" w:space="0"/>
            </w:tcBorders>
            <w:vAlign w:val="center"/>
          </w:tcPr>
          <w:p>
            <w:pPr>
              <w:pStyle w:val="47"/>
              <w:spacing w:before="0" w:after="0"/>
              <w:ind w:left="0" w:leftChars="0" w:hanging="87" w:firstLineChars="0"/>
              <w:jc w:val="center"/>
              <w:rPr>
                <w:rFonts w:hint="default" w:ascii="Arial" w:hAnsi="Arial" w:cs="Arial"/>
                <w:color w:val="auto"/>
                <w:sz w:val="20"/>
                <w:szCs w:val="20"/>
                <w:highlight w:val="none"/>
              </w:rPr>
            </w:pPr>
            <w:r>
              <w:rPr>
                <w:rFonts w:hint="default" w:ascii="Arial" w:hAnsi="Arial" w:cs="Arial"/>
                <w:color w:val="auto"/>
                <w:sz w:val="20"/>
                <w:szCs w:val="20"/>
                <w:highlight w:val="none"/>
                <w:lang w:val="pt-BR"/>
              </w:rPr>
              <w:t>R$ 1.5</w:t>
            </w:r>
            <w:r>
              <w:rPr>
                <w:rFonts w:hint="default" w:cs="Arial"/>
                <w:color w:val="auto"/>
                <w:sz w:val="20"/>
                <w:szCs w:val="20"/>
                <w:highlight w:val="none"/>
                <w:lang w:val="pt-BR"/>
              </w:rPr>
              <w:t>13</w:t>
            </w:r>
            <w:r>
              <w:rPr>
                <w:rFonts w:hint="default" w:ascii="Arial" w:hAnsi="Arial" w:cs="Arial"/>
                <w:color w:val="auto"/>
                <w:sz w:val="20"/>
                <w:szCs w:val="20"/>
                <w:highlight w:val="none"/>
                <w:lang w:val="pt-BR"/>
              </w:rPr>
              <w:t>.200,00</w:t>
            </w:r>
          </w:p>
        </w:tc>
      </w:tr>
    </w:tbl>
    <w:p>
      <w:pPr>
        <w:spacing w:before="0" w:after="0"/>
        <w:rPr>
          <w:rFonts w:cs="Arial"/>
          <w:b/>
          <w:color w:val="auto"/>
          <w:sz w:val="20"/>
          <w:szCs w:val="20"/>
          <w:highlight w:val="none"/>
        </w:rPr>
      </w:pPr>
    </w:p>
    <w:p>
      <w:pPr>
        <w:spacing w:before="0" w:after="0"/>
        <w:jc w:val="center"/>
        <w:rPr>
          <w:sz w:val="20"/>
          <w:szCs w:val="20"/>
          <w:highlight w:val="none"/>
        </w:rPr>
      </w:pPr>
      <w:r>
        <w:rPr>
          <w:rFonts w:hint="default"/>
          <w:b/>
          <w:bCs/>
          <w:sz w:val="20"/>
          <w:szCs w:val="20"/>
          <w:highlight w:val="none"/>
          <w:lang w:val="pt-BR"/>
        </w:rPr>
        <w:t xml:space="preserve">Obs: </w:t>
      </w:r>
      <w:r>
        <w:rPr>
          <w:rFonts w:hint="default"/>
          <w:b w:val="0"/>
          <w:bCs w:val="0"/>
          <w:sz w:val="20"/>
          <w:szCs w:val="20"/>
          <w:highlight w:val="none"/>
          <w:lang w:val="pt-BR"/>
        </w:rPr>
        <w:t>A</w:t>
      </w:r>
      <w:r>
        <w:rPr>
          <w:rFonts w:hint="default"/>
          <w:b w:val="0"/>
          <w:bCs w:val="0"/>
          <w:sz w:val="20"/>
          <w:szCs w:val="20"/>
          <w:highlight w:val="none"/>
          <w:lang w:val="pt-BR" w:eastAsia="zh-CN"/>
        </w:rPr>
        <w:t>s Unidades Sanitárias Individuais a serem instaladas deverão ser de material Polietileno - PE</w:t>
      </w:r>
    </w:p>
    <w:p>
      <w:pPr>
        <w:pStyle w:val="5"/>
        <w:bidi w:val="0"/>
        <w:rPr>
          <w:highlight w:val="none"/>
        </w:rPr>
      </w:pPr>
    </w:p>
    <w:p>
      <w:pPr>
        <w:rPr>
          <w:highlight w:val="none"/>
        </w:rPr>
      </w:pPr>
      <w:r>
        <w:rPr>
          <w:highlight w:val="none"/>
        </w:rPr>
        <w:br w:type="page"/>
      </w:r>
    </w:p>
    <w:p>
      <w:pPr>
        <w:rPr>
          <w:highlight w:val="none"/>
        </w:rPr>
      </w:pPr>
    </w:p>
    <w:p>
      <w:pPr>
        <w:pStyle w:val="5"/>
        <w:bidi w:val="0"/>
        <w:rPr>
          <w:rFonts w:hint="default"/>
          <w:b w:val="0"/>
          <w:bCs/>
          <w:highlight w:val="none"/>
          <w:lang w:val="pt-BR"/>
        </w:rPr>
      </w:pPr>
      <w:r>
        <w:rPr>
          <w:highlight w:val="none"/>
        </w:rPr>
        <w:t>ANEXO I</w:t>
      </w:r>
      <w:r>
        <w:rPr>
          <w:rFonts w:hint="default"/>
          <w:highlight w:val="none"/>
          <w:lang w:val="pt-BR"/>
        </w:rPr>
        <w:t>I</w:t>
      </w:r>
      <w:r>
        <w:rPr>
          <w:highlight w:val="none"/>
        </w:rPr>
        <w:br w:type="textWrapping"/>
      </w:r>
      <w:r>
        <w:rPr>
          <w:rFonts w:hint="default"/>
          <w:b w:val="0"/>
          <w:bCs/>
          <w:highlight w:val="none"/>
          <w:lang w:val="pt-BR"/>
        </w:rPr>
        <w:t>Composição de Custos</w:t>
      </w:r>
    </w:p>
    <w:p>
      <w:pPr>
        <w:ind w:left="-540" w:leftChars="-300" w:firstLine="0" w:firstLineChars="0"/>
        <w:rPr>
          <w:highlight w:val="none"/>
        </w:rPr>
      </w:pPr>
      <w:r>
        <w:rPr>
          <w:highlight w:val="none"/>
        </w:rPr>
        <w:drawing>
          <wp:inline distT="0" distB="0" distL="114300" distR="114300">
            <wp:extent cx="8597265" cy="6564630"/>
            <wp:effectExtent l="0" t="0" r="7620" b="13335"/>
            <wp:docPr id="1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
                    <pic:cNvPicPr>
                      <a:picLocks noChangeAspect="1"/>
                    </pic:cNvPicPr>
                  </pic:nvPicPr>
                  <pic:blipFill>
                    <a:blip r:embed="rId12"/>
                    <a:stretch>
                      <a:fillRect/>
                    </a:stretch>
                  </pic:blipFill>
                  <pic:spPr>
                    <a:xfrm rot="5400000">
                      <a:off x="0" y="0"/>
                      <a:ext cx="8597265" cy="6564630"/>
                    </a:xfrm>
                    <a:prstGeom prst="rect">
                      <a:avLst/>
                    </a:prstGeom>
                    <a:noFill/>
                    <a:ln>
                      <a:noFill/>
                    </a:ln>
                  </pic:spPr>
                </pic:pic>
              </a:graphicData>
            </a:graphic>
          </wp:inline>
        </w:drawing>
      </w:r>
    </w:p>
    <w:p>
      <w:pPr>
        <w:rPr>
          <w:highlight w:val="none"/>
        </w:rPr>
      </w:pPr>
    </w:p>
    <w:p>
      <w:pPr>
        <w:rPr>
          <w:sz w:val="20"/>
          <w:szCs w:val="20"/>
          <w:highlight w:val="none"/>
        </w:rPr>
      </w:pPr>
      <w:r>
        <w:rPr>
          <w:sz w:val="20"/>
          <w:szCs w:val="20"/>
          <w:highlight w:val="none"/>
        </w:rPr>
        <w:br w:type="page"/>
      </w:r>
    </w:p>
    <w:p>
      <w:pPr>
        <w:spacing w:before="0" w:after="0"/>
        <w:jc w:val="center"/>
        <w:rPr>
          <w:sz w:val="20"/>
          <w:szCs w:val="20"/>
          <w:highlight w:val="none"/>
        </w:rPr>
      </w:pPr>
    </w:p>
    <w:p>
      <w:pPr>
        <w:numPr>
          <w:ilvl w:val="0"/>
          <w:numId w:val="8"/>
        </w:numPr>
        <w:spacing w:before="0" w:after="0"/>
        <w:jc w:val="both"/>
        <w:rPr>
          <w:b/>
          <w:bCs/>
          <w:sz w:val="20"/>
          <w:szCs w:val="20"/>
          <w:highlight w:val="none"/>
        </w:rPr>
      </w:pPr>
      <w:r>
        <w:rPr>
          <w:b/>
          <w:bCs/>
          <w:sz w:val="20"/>
          <w:szCs w:val="20"/>
          <w:highlight w:val="none"/>
        </w:rPr>
        <w:t xml:space="preserve">DOS PRAZOS E CONDIÇÕES DE </w:t>
      </w:r>
      <w:r>
        <w:rPr>
          <w:rFonts w:hint="default"/>
          <w:b/>
          <w:bCs/>
          <w:sz w:val="20"/>
          <w:szCs w:val="20"/>
          <w:highlight w:val="none"/>
          <w:lang w:val="pt-BR"/>
        </w:rPr>
        <w:t>EXECUÇÃO</w:t>
      </w:r>
      <w:r>
        <w:rPr>
          <w:b/>
          <w:bCs/>
          <w:sz w:val="20"/>
          <w:szCs w:val="20"/>
          <w:highlight w:val="none"/>
        </w:rPr>
        <w:t xml:space="preserve"> </w:t>
      </w:r>
    </w:p>
    <w:p>
      <w:pPr>
        <w:spacing w:before="0" w:after="0"/>
        <w:jc w:val="both"/>
        <w:rPr>
          <w:sz w:val="20"/>
          <w:szCs w:val="20"/>
          <w:highlight w:val="none"/>
        </w:rPr>
      </w:pPr>
    </w:p>
    <w:p>
      <w:pPr>
        <w:spacing w:before="0" w:after="0"/>
        <w:jc w:val="both"/>
        <w:rPr>
          <w:sz w:val="20"/>
          <w:szCs w:val="20"/>
          <w:highlight w:val="none"/>
        </w:rPr>
      </w:pPr>
      <w:r>
        <w:rPr>
          <w:rFonts w:hint="default"/>
          <w:sz w:val="20"/>
          <w:szCs w:val="20"/>
          <w:highlight w:val="none"/>
          <w:lang w:val="pt-BR"/>
        </w:rPr>
        <w:t xml:space="preserve">1.2 </w:t>
      </w:r>
      <w:r>
        <w:rPr>
          <w:sz w:val="20"/>
          <w:szCs w:val="20"/>
          <w:highlight w:val="none"/>
        </w:rPr>
        <w:t xml:space="preserve">O Objeto do presente pregão deverá ser </w:t>
      </w:r>
      <w:r>
        <w:rPr>
          <w:rFonts w:hint="default"/>
          <w:sz w:val="20"/>
          <w:szCs w:val="20"/>
          <w:highlight w:val="none"/>
          <w:lang w:val="pt-BR"/>
        </w:rPr>
        <w:t>executado</w:t>
      </w:r>
      <w:r>
        <w:rPr>
          <w:sz w:val="20"/>
          <w:szCs w:val="20"/>
          <w:highlight w:val="none"/>
        </w:rPr>
        <w:t xml:space="preserve"> conforme especificações constantes no Termo de Referência - Anexo I deste Edital, observando o seguinte:</w:t>
      </w:r>
    </w:p>
    <w:p>
      <w:pPr>
        <w:spacing w:before="0" w:after="0"/>
        <w:jc w:val="both"/>
        <w:rPr>
          <w:sz w:val="20"/>
          <w:szCs w:val="20"/>
          <w:highlight w:val="none"/>
        </w:rPr>
      </w:pPr>
    </w:p>
    <w:p>
      <w:pPr>
        <w:spacing w:before="0" w:after="0"/>
        <w:jc w:val="both"/>
        <w:rPr>
          <w:sz w:val="20"/>
          <w:szCs w:val="20"/>
          <w:highlight w:val="none"/>
        </w:rPr>
      </w:pPr>
      <w:r>
        <w:rPr>
          <w:rFonts w:hint="default"/>
          <w:sz w:val="20"/>
          <w:szCs w:val="20"/>
          <w:highlight w:val="none"/>
          <w:lang w:val="pt-BR"/>
        </w:rPr>
        <w:t xml:space="preserve">1.3 </w:t>
      </w:r>
      <w:r>
        <w:rPr>
          <w:sz w:val="20"/>
          <w:szCs w:val="20"/>
          <w:highlight w:val="none"/>
        </w:rPr>
        <w:t xml:space="preserve">Os </w:t>
      </w:r>
      <w:r>
        <w:rPr>
          <w:rFonts w:hint="default"/>
          <w:sz w:val="20"/>
          <w:szCs w:val="20"/>
          <w:highlight w:val="none"/>
          <w:lang w:val="pt-BR"/>
        </w:rPr>
        <w:t>serviços</w:t>
      </w:r>
      <w:r>
        <w:rPr>
          <w:sz w:val="20"/>
          <w:szCs w:val="20"/>
          <w:highlight w:val="none"/>
        </w:rPr>
        <w:t xml:space="preserve"> serão </w:t>
      </w:r>
      <w:r>
        <w:rPr>
          <w:rFonts w:hint="default"/>
          <w:sz w:val="20"/>
          <w:szCs w:val="20"/>
          <w:highlight w:val="none"/>
          <w:lang w:val="pt-BR"/>
        </w:rPr>
        <w:t>executado</w:t>
      </w:r>
      <w:r>
        <w:rPr>
          <w:sz w:val="20"/>
          <w:szCs w:val="20"/>
          <w:highlight w:val="none"/>
        </w:rPr>
        <w:t xml:space="preserve">s de forma FRACIONADA, de acordo com as necessidades da Secretaria Municipal </w:t>
      </w:r>
      <w:r>
        <w:rPr>
          <w:rFonts w:hint="default"/>
          <w:sz w:val="20"/>
          <w:szCs w:val="20"/>
          <w:highlight w:val="none"/>
          <w:lang w:val="pt-BR"/>
        </w:rPr>
        <w:t>de Transportes e Serviços Rurais</w:t>
      </w:r>
      <w:r>
        <w:rPr>
          <w:sz w:val="20"/>
          <w:szCs w:val="20"/>
          <w:highlight w:val="none"/>
        </w:rPr>
        <w:t>.</w:t>
      </w:r>
    </w:p>
    <w:p>
      <w:pPr>
        <w:spacing w:before="0" w:after="0"/>
        <w:jc w:val="both"/>
        <w:rPr>
          <w:sz w:val="20"/>
          <w:szCs w:val="20"/>
          <w:highlight w:val="none"/>
        </w:rPr>
      </w:pPr>
    </w:p>
    <w:p>
      <w:pPr>
        <w:spacing w:before="0" w:after="0"/>
        <w:jc w:val="both"/>
        <w:rPr>
          <w:sz w:val="20"/>
          <w:szCs w:val="20"/>
          <w:highlight w:val="none"/>
        </w:rPr>
      </w:pPr>
      <w:r>
        <w:rPr>
          <w:rFonts w:hint="default"/>
          <w:sz w:val="20"/>
          <w:szCs w:val="20"/>
          <w:highlight w:val="none"/>
          <w:lang w:val="pt-BR"/>
        </w:rPr>
        <w:t xml:space="preserve">1.4 </w:t>
      </w:r>
      <w:r>
        <w:rPr>
          <w:sz w:val="20"/>
          <w:szCs w:val="20"/>
          <w:highlight w:val="none"/>
        </w:rPr>
        <w:t xml:space="preserve">O prazo máximo para </w:t>
      </w:r>
      <w:r>
        <w:rPr>
          <w:rFonts w:hint="default"/>
          <w:sz w:val="20"/>
          <w:szCs w:val="20"/>
          <w:highlight w:val="none"/>
          <w:lang w:val="pt-BR"/>
        </w:rPr>
        <w:t>execução dos serviços</w:t>
      </w:r>
      <w:r>
        <w:rPr>
          <w:sz w:val="20"/>
          <w:szCs w:val="20"/>
          <w:highlight w:val="none"/>
        </w:rPr>
        <w:t xml:space="preserve"> será de </w:t>
      </w:r>
      <w:r>
        <w:rPr>
          <w:rFonts w:hint="default"/>
          <w:b/>
          <w:bCs/>
          <w:sz w:val="20"/>
          <w:szCs w:val="20"/>
          <w:highlight w:val="none"/>
          <w:lang w:val="pt-BR"/>
        </w:rPr>
        <w:t>30</w:t>
      </w:r>
      <w:r>
        <w:rPr>
          <w:b/>
          <w:bCs/>
          <w:sz w:val="20"/>
          <w:szCs w:val="20"/>
          <w:highlight w:val="none"/>
        </w:rPr>
        <w:t xml:space="preserve"> (</w:t>
      </w:r>
      <w:r>
        <w:rPr>
          <w:rFonts w:hint="default"/>
          <w:b/>
          <w:bCs/>
          <w:sz w:val="20"/>
          <w:szCs w:val="20"/>
          <w:highlight w:val="none"/>
          <w:lang w:val="pt-BR"/>
        </w:rPr>
        <w:t>trinta</w:t>
      </w:r>
      <w:r>
        <w:rPr>
          <w:b/>
          <w:bCs/>
          <w:sz w:val="20"/>
          <w:szCs w:val="20"/>
          <w:highlight w:val="none"/>
        </w:rPr>
        <w:t>)</w:t>
      </w:r>
      <w:r>
        <w:rPr>
          <w:sz w:val="20"/>
          <w:szCs w:val="20"/>
          <w:highlight w:val="none"/>
        </w:rPr>
        <w:t xml:space="preserve"> dias, contados a partir do recebimento d</w:t>
      </w:r>
      <w:r>
        <w:rPr>
          <w:rFonts w:hint="default"/>
          <w:sz w:val="20"/>
          <w:szCs w:val="20"/>
          <w:highlight w:val="none"/>
          <w:lang w:val="pt-BR"/>
        </w:rPr>
        <w:t>a</w:t>
      </w:r>
      <w:r>
        <w:rPr>
          <w:sz w:val="20"/>
          <w:szCs w:val="20"/>
          <w:highlight w:val="none"/>
        </w:rPr>
        <w:t xml:space="preserve"> </w:t>
      </w:r>
      <w:r>
        <w:rPr>
          <w:rFonts w:hint="default"/>
          <w:sz w:val="20"/>
          <w:szCs w:val="20"/>
          <w:highlight w:val="none"/>
          <w:lang w:val="pt-BR"/>
        </w:rPr>
        <w:t>Autorização de Fornecimento/Serviços</w:t>
      </w:r>
      <w:r>
        <w:rPr>
          <w:sz w:val="20"/>
          <w:szCs w:val="20"/>
          <w:highlight w:val="none"/>
        </w:rPr>
        <w:t xml:space="preserve"> entregue pela Secretaria Municipal </w:t>
      </w:r>
      <w:r>
        <w:rPr>
          <w:rFonts w:hint="default"/>
          <w:sz w:val="20"/>
          <w:szCs w:val="20"/>
          <w:highlight w:val="none"/>
          <w:lang w:val="pt-BR"/>
        </w:rPr>
        <w:t>de Transportes e Serviços Rurais</w:t>
      </w:r>
      <w:r>
        <w:rPr>
          <w:sz w:val="20"/>
          <w:szCs w:val="20"/>
          <w:highlight w:val="none"/>
        </w:rPr>
        <w:t>.</w:t>
      </w:r>
    </w:p>
    <w:p>
      <w:pPr>
        <w:spacing w:before="0" w:after="0"/>
        <w:jc w:val="both"/>
        <w:rPr>
          <w:sz w:val="20"/>
          <w:szCs w:val="20"/>
          <w:highlight w:val="none"/>
        </w:rPr>
      </w:pPr>
    </w:p>
    <w:p>
      <w:pPr>
        <w:spacing w:before="0" w:after="0"/>
        <w:jc w:val="both"/>
        <w:rPr>
          <w:rFonts w:hint="default"/>
          <w:sz w:val="20"/>
          <w:szCs w:val="20"/>
          <w:highlight w:val="none"/>
          <w:lang w:val="pt-BR"/>
        </w:rPr>
      </w:pPr>
      <w:r>
        <w:rPr>
          <w:rFonts w:hint="default"/>
          <w:sz w:val="20"/>
          <w:szCs w:val="20"/>
          <w:highlight w:val="none"/>
          <w:lang w:val="pt-BR"/>
        </w:rPr>
        <w:t>1.5 O</w:t>
      </w:r>
      <w:r>
        <w:rPr>
          <w:sz w:val="20"/>
          <w:szCs w:val="20"/>
          <w:highlight w:val="none"/>
        </w:rPr>
        <w:t xml:space="preserve">s </w:t>
      </w:r>
      <w:r>
        <w:rPr>
          <w:rFonts w:hint="default"/>
          <w:sz w:val="20"/>
          <w:szCs w:val="20"/>
          <w:highlight w:val="none"/>
          <w:lang w:val="pt-BR"/>
        </w:rPr>
        <w:t>serviços</w:t>
      </w:r>
      <w:r>
        <w:rPr>
          <w:sz w:val="20"/>
          <w:szCs w:val="20"/>
          <w:highlight w:val="none"/>
        </w:rPr>
        <w:t xml:space="preserve"> deverão ser </w:t>
      </w:r>
      <w:r>
        <w:rPr>
          <w:rFonts w:hint="default"/>
          <w:sz w:val="20"/>
          <w:szCs w:val="20"/>
          <w:highlight w:val="none"/>
          <w:lang w:val="pt-BR"/>
        </w:rPr>
        <w:t>executados</w:t>
      </w:r>
      <w:r>
        <w:rPr>
          <w:sz w:val="20"/>
          <w:szCs w:val="20"/>
          <w:highlight w:val="none"/>
        </w:rPr>
        <w:t xml:space="preserve"> n</w:t>
      </w:r>
      <w:r>
        <w:rPr>
          <w:rFonts w:hint="default"/>
          <w:sz w:val="20"/>
          <w:szCs w:val="20"/>
          <w:highlight w:val="none"/>
          <w:lang w:val="pt-BR"/>
        </w:rPr>
        <w:t>os endereços citados no ANEXO VII.</w:t>
      </w:r>
    </w:p>
    <w:p>
      <w:pPr>
        <w:spacing w:before="0" w:after="0"/>
        <w:jc w:val="both"/>
        <w:rPr>
          <w:rFonts w:hint="default"/>
          <w:sz w:val="20"/>
          <w:szCs w:val="20"/>
          <w:highlight w:val="none"/>
          <w:lang w:val="pt-BR"/>
        </w:rPr>
      </w:pPr>
    </w:p>
    <w:p>
      <w:pPr>
        <w:spacing w:before="0" w:after="0"/>
        <w:jc w:val="both"/>
        <w:rPr>
          <w:sz w:val="20"/>
          <w:szCs w:val="20"/>
          <w:highlight w:val="none"/>
        </w:rPr>
      </w:pPr>
      <w:r>
        <w:rPr>
          <w:rFonts w:hint="default"/>
          <w:sz w:val="20"/>
          <w:szCs w:val="20"/>
          <w:highlight w:val="none"/>
          <w:lang w:val="pt-BR"/>
        </w:rPr>
        <w:t xml:space="preserve">1.6 </w:t>
      </w:r>
      <w:r>
        <w:rPr>
          <w:rFonts w:cs="Arial"/>
          <w:color w:val="auto"/>
          <w:sz w:val="20"/>
          <w:szCs w:val="20"/>
          <w:highlight w:val="none"/>
        </w:rPr>
        <w:t>A execução dos serviços ocorrerá totalmente por conta da contratada e deverão ser realizados com todos os tributos, fretes, embalagens, encargos sociais e quaisquer outras despesas que componham ou incidam no preço proposto.</w:t>
      </w:r>
    </w:p>
    <w:p>
      <w:pPr>
        <w:spacing w:before="0" w:after="0"/>
        <w:jc w:val="both"/>
        <w:rPr>
          <w:sz w:val="20"/>
          <w:szCs w:val="20"/>
          <w:highlight w:val="none"/>
        </w:rPr>
      </w:pPr>
    </w:p>
    <w:p>
      <w:pPr>
        <w:spacing w:before="0" w:after="0"/>
        <w:jc w:val="both"/>
        <w:rPr>
          <w:sz w:val="20"/>
          <w:szCs w:val="20"/>
          <w:highlight w:val="none"/>
        </w:rPr>
      </w:pPr>
      <w:r>
        <w:rPr>
          <w:rFonts w:hint="default"/>
          <w:sz w:val="20"/>
          <w:szCs w:val="20"/>
          <w:highlight w:val="none"/>
          <w:lang w:val="pt-BR"/>
        </w:rPr>
        <w:t xml:space="preserve">1.7 </w:t>
      </w:r>
      <w:r>
        <w:rPr>
          <w:sz w:val="20"/>
          <w:szCs w:val="20"/>
          <w:highlight w:val="none"/>
        </w:rPr>
        <w:t>O não cumprimento do prazo estabelecido sem justificativas cabíveis por parte do detentor poderá acarretar na aplicação das sanções previstas neste Edital.</w:t>
      </w:r>
    </w:p>
    <w:p>
      <w:pPr>
        <w:spacing w:before="0" w:after="0"/>
        <w:jc w:val="both"/>
        <w:rPr>
          <w:sz w:val="20"/>
          <w:szCs w:val="20"/>
          <w:highlight w:val="none"/>
        </w:rPr>
      </w:pPr>
      <w:r>
        <w:rPr>
          <w:sz w:val="20"/>
          <w:szCs w:val="20"/>
          <w:highlight w:val="none"/>
        </w:rPr>
        <w:t xml:space="preserve"> </w:t>
      </w:r>
    </w:p>
    <w:p>
      <w:pPr>
        <w:spacing w:before="0" w:after="0"/>
        <w:jc w:val="both"/>
        <w:rPr>
          <w:sz w:val="20"/>
          <w:szCs w:val="20"/>
          <w:highlight w:val="none"/>
        </w:rPr>
      </w:pPr>
      <w:r>
        <w:rPr>
          <w:rFonts w:hint="default"/>
          <w:sz w:val="20"/>
          <w:szCs w:val="20"/>
          <w:highlight w:val="none"/>
          <w:lang w:val="pt-BR"/>
        </w:rPr>
        <w:t xml:space="preserve">1.8 </w:t>
      </w:r>
      <w:r>
        <w:rPr>
          <w:sz w:val="20"/>
          <w:szCs w:val="20"/>
          <w:highlight w:val="none"/>
        </w:rPr>
        <w:t xml:space="preserve">O prazo de vigência do Contrato originado por esse processo licitatório será de </w:t>
      </w:r>
      <w:r>
        <w:rPr>
          <w:rFonts w:hint="default"/>
          <w:sz w:val="20"/>
          <w:szCs w:val="20"/>
          <w:highlight w:val="none"/>
          <w:lang w:val="pt-BR"/>
        </w:rPr>
        <w:t>18</w:t>
      </w:r>
      <w:r>
        <w:rPr>
          <w:sz w:val="20"/>
          <w:szCs w:val="20"/>
          <w:highlight w:val="none"/>
        </w:rPr>
        <w:t xml:space="preserve"> (</w:t>
      </w:r>
      <w:r>
        <w:rPr>
          <w:rFonts w:hint="default"/>
          <w:sz w:val="20"/>
          <w:szCs w:val="20"/>
          <w:highlight w:val="none"/>
          <w:lang w:val="pt-BR"/>
        </w:rPr>
        <w:t>dezoito</w:t>
      </w:r>
      <w:r>
        <w:rPr>
          <w:sz w:val="20"/>
          <w:szCs w:val="20"/>
          <w:highlight w:val="none"/>
        </w:rPr>
        <w:t xml:space="preserve">) </w:t>
      </w:r>
      <w:r>
        <w:rPr>
          <w:rFonts w:hint="default"/>
          <w:sz w:val="20"/>
          <w:szCs w:val="20"/>
          <w:highlight w:val="none"/>
          <w:lang w:val="pt-BR"/>
        </w:rPr>
        <w:t>meses,</w:t>
      </w:r>
      <w:r>
        <w:rPr>
          <w:sz w:val="20"/>
          <w:szCs w:val="20"/>
          <w:highlight w:val="none"/>
        </w:rPr>
        <w:t xml:space="preserve"> contados a partir de sua </w:t>
      </w:r>
      <w:r>
        <w:rPr>
          <w:rFonts w:hint="default"/>
          <w:sz w:val="20"/>
          <w:szCs w:val="20"/>
          <w:highlight w:val="none"/>
          <w:lang w:val="pt-BR"/>
        </w:rPr>
        <w:t>a</w:t>
      </w:r>
      <w:r>
        <w:rPr>
          <w:sz w:val="20"/>
          <w:szCs w:val="20"/>
          <w:highlight w:val="none"/>
        </w:rPr>
        <w:t>ssinatura, podendo ser prorrogado por igua</w:t>
      </w:r>
      <w:r>
        <w:rPr>
          <w:rFonts w:hint="default"/>
          <w:sz w:val="20"/>
          <w:szCs w:val="20"/>
          <w:highlight w:val="none"/>
          <w:lang w:val="pt-BR"/>
        </w:rPr>
        <w:t>l</w:t>
      </w:r>
      <w:r>
        <w:rPr>
          <w:sz w:val="20"/>
          <w:szCs w:val="20"/>
          <w:highlight w:val="none"/>
        </w:rPr>
        <w:t xml:space="preserve">, conforme art. </w:t>
      </w:r>
      <w:r>
        <w:rPr>
          <w:rFonts w:hint="default"/>
          <w:sz w:val="20"/>
          <w:szCs w:val="20"/>
          <w:highlight w:val="none"/>
          <w:lang w:val="pt-BR"/>
        </w:rPr>
        <w:t>10</w:t>
      </w:r>
      <w:r>
        <w:rPr>
          <w:sz w:val="20"/>
          <w:szCs w:val="20"/>
          <w:highlight w:val="none"/>
        </w:rPr>
        <w:t xml:space="preserve">7 </w:t>
      </w:r>
      <w:r>
        <w:rPr>
          <w:rFonts w:hint="default"/>
          <w:sz w:val="20"/>
          <w:szCs w:val="20"/>
          <w:highlight w:val="none"/>
          <w:lang w:val="pt-BR"/>
        </w:rPr>
        <w:t>L</w:t>
      </w:r>
      <w:r>
        <w:rPr>
          <w:sz w:val="20"/>
          <w:szCs w:val="20"/>
          <w:highlight w:val="none"/>
        </w:rPr>
        <w:t xml:space="preserve">ei Federal </w:t>
      </w:r>
      <w:r>
        <w:rPr>
          <w:rFonts w:hint="default"/>
          <w:sz w:val="20"/>
          <w:szCs w:val="20"/>
          <w:highlight w:val="none"/>
          <w:lang w:val="pt-BR"/>
        </w:rPr>
        <w:t>14.133/2021</w:t>
      </w:r>
      <w:r>
        <w:rPr>
          <w:sz w:val="20"/>
          <w:szCs w:val="20"/>
          <w:highlight w:val="none"/>
        </w:rPr>
        <w:t>.</w:t>
      </w:r>
    </w:p>
    <w:p>
      <w:pPr>
        <w:spacing w:before="0" w:after="0"/>
        <w:jc w:val="both"/>
        <w:rPr>
          <w:sz w:val="20"/>
          <w:szCs w:val="20"/>
          <w:highlight w:val="none"/>
        </w:rPr>
      </w:pPr>
    </w:p>
    <w:p>
      <w:pPr>
        <w:numPr>
          <w:ilvl w:val="0"/>
          <w:numId w:val="8"/>
        </w:numPr>
        <w:spacing w:before="0" w:after="0"/>
        <w:ind w:left="0" w:leftChars="0" w:firstLine="0" w:firstLineChars="0"/>
        <w:jc w:val="both"/>
        <w:rPr>
          <w:b/>
          <w:bCs/>
          <w:sz w:val="20"/>
          <w:szCs w:val="20"/>
          <w:highlight w:val="none"/>
        </w:rPr>
      </w:pPr>
      <w:r>
        <w:rPr>
          <w:b/>
          <w:bCs/>
          <w:sz w:val="20"/>
          <w:szCs w:val="20"/>
          <w:highlight w:val="none"/>
        </w:rPr>
        <w:t>DAS OBRIGAÇÕES DA CONTRATADA</w:t>
      </w:r>
    </w:p>
    <w:p>
      <w:pPr>
        <w:spacing w:before="0" w:after="0"/>
        <w:jc w:val="both"/>
        <w:rPr>
          <w:sz w:val="20"/>
          <w:szCs w:val="20"/>
          <w:highlight w:val="none"/>
        </w:rPr>
      </w:pPr>
    </w:p>
    <w:p>
      <w:pPr>
        <w:spacing w:before="0" w:after="0"/>
        <w:jc w:val="both"/>
        <w:rPr>
          <w:sz w:val="20"/>
          <w:szCs w:val="20"/>
          <w:highlight w:val="none"/>
        </w:rPr>
      </w:pPr>
      <w:r>
        <w:rPr>
          <w:rFonts w:hint="default"/>
          <w:sz w:val="20"/>
          <w:szCs w:val="20"/>
          <w:highlight w:val="none"/>
          <w:lang w:val="pt-BR"/>
        </w:rPr>
        <w:t xml:space="preserve">2.1 </w:t>
      </w:r>
      <w:r>
        <w:rPr>
          <w:sz w:val="20"/>
          <w:szCs w:val="20"/>
          <w:highlight w:val="none"/>
        </w:rPr>
        <w:t>Prestar os esclarecimentos que forem solicitados pela PREFEITURA MUNICIPAL DE ITAPEVA, se obri</w:t>
      </w:r>
      <w:r>
        <w:rPr>
          <w:sz w:val="20"/>
          <w:szCs w:val="20"/>
          <w:highlight w:val="none"/>
        </w:rPr>
        <w:softHyphen/>
      </w:r>
      <w:r>
        <w:rPr>
          <w:sz w:val="20"/>
          <w:szCs w:val="20"/>
          <w:highlight w:val="none"/>
        </w:rPr>
        <w:t>gando a atender prontamente reclamações, bem como dar ciência imediatamente e por escrito, de qualquer anormalidade que verificar quando da execução do contrato.</w:t>
      </w:r>
    </w:p>
    <w:p>
      <w:pPr>
        <w:spacing w:before="0" w:after="0"/>
        <w:jc w:val="both"/>
        <w:rPr>
          <w:sz w:val="20"/>
          <w:szCs w:val="20"/>
          <w:highlight w:val="none"/>
        </w:rPr>
      </w:pPr>
    </w:p>
    <w:p>
      <w:pPr>
        <w:spacing w:before="0" w:after="0"/>
        <w:jc w:val="both"/>
        <w:rPr>
          <w:sz w:val="20"/>
          <w:szCs w:val="20"/>
          <w:highlight w:val="none"/>
        </w:rPr>
      </w:pPr>
      <w:r>
        <w:rPr>
          <w:rFonts w:hint="default"/>
          <w:sz w:val="20"/>
          <w:szCs w:val="20"/>
          <w:highlight w:val="none"/>
          <w:lang w:val="pt-BR"/>
        </w:rPr>
        <w:t xml:space="preserve">2.2 </w:t>
      </w:r>
      <w:r>
        <w:rPr>
          <w:sz w:val="20"/>
          <w:szCs w:val="20"/>
          <w:highlight w:val="none"/>
        </w:rPr>
        <w:t xml:space="preserve">Dar prioridade aos pedidos da PREFEITURA MUNICIPAL DE ITAPEVA. </w:t>
      </w:r>
    </w:p>
    <w:p>
      <w:pPr>
        <w:spacing w:before="0" w:after="0"/>
        <w:jc w:val="both"/>
        <w:rPr>
          <w:sz w:val="20"/>
          <w:szCs w:val="20"/>
          <w:highlight w:val="none"/>
        </w:rPr>
      </w:pPr>
    </w:p>
    <w:p>
      <w:pPr>
        <w:spacing w:before="0" w:after="0"/>
        <w:jc w:val="both"/>
        <w:rPr>
          <w:rFonts w:hint="default"/>
          <w:sz w:val="20"/>
          <w:szCs w:val="20"/>
          <w:highlight w:val="none"/>
          <w:lang w:val="pt-BR"/>
        </w:rPr>
      </w:pPr>
      <w:r>
        <w:rPr>
          <w:rFonts w:hint="default"/>
          <w:sz w:val="20"/>
          <w:szCs w:val="20"/>
          <w:highlight w:val="none"/>
          <w:lang w:val="pt-BR"/>
        </w:rPr>
        <w:t xml:space="preserve">2.3 </w:t>
      </w:r>
      <w:r>
        <w:rPr>
          <w:sz w:val="20"/>
          <w:szCs w:val="20"/>
          <w:highlight w:val="none"/>
        </w:rPr>
        <w:t>Providenciar e selecionar, ao seu exclusivo critério, e contratar, em seu nome, a mão-de-obra necessária à execução dos serviços, técnica ou administrativamente, respondendo por todos os encargos trabalhistas, previdenciários e sociais, não tendo vínculo empregatício algum com a Prefeitura Municipal.</w:t>
      </w:r>
    </w:p>
    <w:p>
      <w:pPr>
        <w:spacing w:before="0" w:after="0"/>
        <w:jc w:val="both"/>
        <w:rPr>
          <w:sz w:val="20"/>
          <w:szCs w:val="20"/>
          <w:highlight w:val="none"/>
        </w:rPr>
      </w:pPr>
    </w:p>
    <w:p>
      <w:pPr>
        <w:spacing w:before="0" w:after="0"/>
        <w:jc w:val="both"/>
        <w:rPr>
          <w:sz w:val="20"/>
          <w:szCs w:val="20"/>
          <w:highlight w:val="none"/>
        </w:rPr>
      </w:pPr>
      <w:r>
        <w:rPr>
          <w:rFonts w:hint="default"/>
          <w:sz w:val="20"/>
          <w:szCs w:val="20"/>
          <w:highlight w:val="none"/>
          <w:lang w:val="pt-BR"/>
        </w:rPr>
        <w:t xml:space="preserve">2.4 </w:t>
      </w:r>
      <w:r>
        <w:rPr>
          <w:sz w:val="20"/>
          <w:szCs w:val="20"/>
          <w:highlight w:val="none"/>
        </w:rPr>
        <w:t xml:space="preserve">Caso algum </w:t>
      </w:r>
      <w:r>
        <w:rPr>
          <w:rFonts w:hint="default"/>
          <w:sz w:val="20"/>
          <w:szCs w:val="20"/>
          <w:highlight w:val="none"/>
          <w:lang w:val="pt-BR"/>
        </w:rPr>
        <w:t>serviço</w:t>
      </w:r>
      <w:r>
        <w:rPr>
          <w:sz w:val="20"/>
          <w:szCs w:val="20"/>
          <w:highlight w:val="none"/>
        </w:rPr>
        <w:t xml:space="preserve"> não corresponda ao exigido no instrumento convocatório, a contratada deverá providenciar sua </w:t>
      </w:r>
      <w:r>
        <w:rPr>
          <w:rFonts w:hint="default"/>
          <w:sz w:val="20"/>
          <w:szCs w:val="20"/>
          <w:highlight w:val="none"/>
          <w:lang w:val="pt-BR"/>
        </w:rPr>
        <w:t>ADEQUA</w:t>
      </w:r>
      <w:r>
        <w:rPr>
          <w:sz w:val="20"/>
          <w:szCs w:val="20"/>
          <w:highlight w:val="none"/>
        </w:rPr>
        <w:t>ÇÃO no prazo máximo de 5 (cinco) dias</w:t>
      </w:r>
      <w:r>
        <w:rPr>
          <w:rFonts w:hint="default"/>
          <w:sz w:val="20"/>
          <w:szCs w:val="20"/>
          <w:highlight w:val="none"/>
          <w:lang w:val="pt-BR"/>
        </w:rPr>
        <w:t xml:space="preserve"> úteis</w:t>
      </w:r>
      <w:r>
        <w:rPr>
          <w:sz w:val="20"/>
          <w:szCs w:val="20"/>
          <w:highlight w:val="none"/>
        </w:rPr>
        <w:t xml:space="preserve">, contados da data de notificação expedida pela contratante, visando o atendimento das especificações, sem prejuízo da incidência das sanções previstas no instrumento convocatório, na Lei nº </w:t>
      </w:r>
      <w:r>
        <w:rPr>
          <w:rFonts w:hint="default"/>
          <w:sz w:val="20"/>
          <w:szCs w:val="20"/>
          <w:highlight w:val="none"/>
          <w:lang w:val="pt-BR"/>
        </w:rPr>
        <w:t>14.133/2021</w:t>
      </w:r>
      <w:r>
        <w:rPr>
          <w:sz w:val="20"/>
          <w:szCs w:val="20"/>
          <w:highlight w:val="none"/>
        </w:rPr>
        <w:t xml:space="preserve"> e no Código de Defesa do Consumidor.</w:t>
      </w:r>
    </w:p>
    <w:p>
      <w:pPr>
        <w:spacing w:before="0" w:after="0"/>
        <w:jc w:val="both"/>
        <w:rPr>
          <w:sz w:val="20"/>
          <w:szCs w:val="20"/>
          <w:highlight w:val="none"/>
        </w:rPr>
      </w:pPr>
    </w:p>
    <w:p>
      <w:pPr>
        <w:numPr>
          <w:ilvl w:val="0"/>
          <w:numId w:val="8"/>
        </w:numPr>
        <w:spacing w:before="0" w:after="0"/>
        <w:ind w:left="0" w:leftChars="0" w:firstLine="0" w:firstLineChars="0"/>
        <w:jc w:val="both"/>
        <w:rPr>
          <w:b/>
          <w:bCs/>
          <w:sz w:val="20"/>
          <w:szCs w:val="20"/>
          <w:highlight w:val="none"/>
        </w:rPr>
      </w:pPr>
      <w:r>
        <w:rPr>
          <w:b/>
          <w:bCs/>
          <w:sz w:val="20"/>
          <w:szCs w:val="20"/>
          <w:highlight w:val="none"/>
        </w:rPr>
        <w:t xml:space="preserve">DAS CONDIÇÕES DE </w:t>
      </w:r>
      <w:r>
        <w:rPr>
          <w:rFonts w:hint="default"/>
          <w:b/>
          <w:bCs/>
          <w:sz w:val="20"/>
          <w:szCs w:val="20"/>
          <w:highlight w:val="none"/>
          <w:lang w:val="pt-BR"/>
        </w:rPr>
        <w:t>EXECUÇÃO</w:t>
      </w:r>
    </w:p>
    <w:p>
      <w:pPr>
        <w:spacing w:before="0" w:after="0"/>
        <w:jc w:val="both"/>
        <w:rPr>
          <w:sz w:val="20"/>
          <w:szCs w:val="20"/>
          <w:highlight w:val="none"/>
        </w:rPr>
      </w:pPr>
    </w:p>
    <w:p>
      <w:pPr>
        <w:spacing w:before="0" w:after="0"/>
        <w:jc w:val="both"/>
        <w:rPr>
          <w:sz w:val="20"/>
          <w:szCs w:val="20"/>
          <w:highlight w:val="none"/>
        </w:rPr>
      </w:pPr>
      <w:r>
        <w:rPr>
          <w:rFonts w:hint="default"/>
          <w:sz w:val="20"/>
          <w:szCs w:val="20"/>
          <w:highlight w:val="none"/>
          <w:lang w:val="pt-BR"/>
        </w:rPr>
        <w:t xml:space="preserve">3.1 </w:t>
      </w:r>
      <w:r>
        <w:rPr>
          <w:sz w:val="20"/>
          <w:szCs w:val="20"/>
          <w:highlight w:val="none"/>
        </w:rPr>
        <w:t xml:space="preserve">Constatadas irregularidades no objeto contratual, a PREFEITURA MUNICIPAL DE ITAPEVA poderá, se disser respeito à </w:t>
      </w:r>
      <w:r>
        <w:rPr>
          <w:rFonts w:hint="default"/>
          <w:sz w:val="20"/>
          <w:szCs w:val="20"/>
          <w:highlight w:val="none"/>
          <w:lang w:val="pt-BR"/>
        </w:rPr>
        <w:t>execu</w:t>
      </w:r>
      <w:r>
        <w:rPr>
          <w:sz w:val="20"/>
          <w:szCs w:val="20"/>
          <w:highlight w:val="none"/>
        </w:rPr>
        <w:t xml:space="preserve">ção, rejeitá-lo, determinando sua </w:t>
      </w:r>
      <w:r>
        <w:rPr>
          <w:rFonts w:hint="default"/>
          <w:sz w:val="20"/>
          <w:szCs w:val="20"/>
          <w:highlight w:val="none"/>
          <w:lang w:val="pt-BR"/>
        </w:rPr>
        <w:t>adequa</w:t>
      </w:r>
      <w:r>
        <w:rPr>
          <w:sz w:val="20"/>
          <w:szCs w:val="20"/>
          <w:highlight w:val="none"/>
        </w:rPr>
        <w:t>ção ou rescindindo a contratação, sem prejuízo das penalidades cabíveis.</w:t>
      </w:r>
    </w:p>
    <w:p>
      <w:pPr>
        <w:spacing w:before="0" w:after="0"/>
        <w:jc w:val="both"/>
        <w:rPr>
          <w:sz w:val="20"/>
          <w:szCs w:val="20"/>
          <w:highlight w:val="none"/>
        </w:rPr>
      </w:pPr>
    </w:p>
    <w:p>
      <w:pPr>
        <w:spacing w:before="0" w:after="0"/>
        <w:jc w:val="both"/>
        <w:rPr>
          <w:sz w:val="20"/>
          <w:szCs w:val="20"/>
          <w:highlight w:val="none"/>
        </w:rPr>
      </w:pPr>
      <w:r>
        <w:rPr>
          <w:rFonts w:hint="default"/>
          <w:sz w:val="20"/>
          <w:szCs w:val="20"/>
          <w:highlight w:val="none"/>
          <w:lang w:val="pt-BR"/>
        </w:rPr>
        <w:t xml:space="preserve">3.2 </w:t>
      </w:r>
      <w:r>
        <w:rPr>
          <w:sz w:val="20"/>
          <w:szCs w:val="20"/>
          <w:highlight w:val="none"/>
        </w:rPr>
        <w:t xml:space="preserve">Para o seu recebimento, o Fiscal ou o Agente Fiscal do Contrato verificará a qualidade e especificações dos </w:t>
      </w:r>
      <w:r>
        <w:rPr>
          <w:rFonts w:hint="default"/>
          <w:sz w:val="20"/>
          <w:szCs w:val="20"/>
          <w:highlight w:val="none"/>
          <w:lang w:val="pt-BR"/>
        </w:rPr>
        <w:t>serviços executados</w:t>
      </w:r>
      <w:r>
        <w:rPr>
          <w:sz w:val="20"/>
          <w:szCs w:val="20"/>
          <w:highlight w:val="none"/>
        </w:rPr>
        <w:t xml:space="preserve"> conforme a proposta ofertada, a conferência do Documento Fiscal e Atestará a Vigência do contrato em seu verso.</w:t>
      </w:r>
    </w:p>
    <w:p>
      <w:pPr>
        <w:spacing w:before="0" w:after="0"/>
        <w:jc w:val="both"/>
        <w:rPr>
          <w:sz w:val="20"/>
          <w:szCs w:val="20"/>
          <w:highlight w:val="none"/>
        </w:rPr>
      </w:pPr>
    </w:p>
    <w:p>
      <w:pPr>
        <w:spacing w:before="0" w:after="0"/>
        <w:jc w:val="both"/>
        <w:rPr>
          <w:sz w:val="20"/>
          <w:szCs w:val="20"/>
          <w:highlight w:val="none"/>
        </w:rPr>
      </w:pPr>
      <w:r>
        <w:rPr>
          <w:rFonts w:hint="default"/>
          <w:sz w:val="20"/>
          <w:szCs w:val="20"/>
          <w:highlight w:val="none"/>
          <w:lang w:val="pt-BR"/>
        </w:rPr>
        <w:t xml:space="preserve">3.3 </w:t>
      </w:r>
      <w:r>
        <w:rPr>
          <w:sz w:val="20"/>
          <w:szCs w:val="20"/>
          <w:highlight w:val="none"/>
        </w:rPr>
        <w:t xml:space="preserve">O aceite dos </w:t>
      </w:r>
      <w:r>
        <w:rPr>
          <w:rFonts w:hint="default"/>
          <w:sz w:val="20"/>
          <w:szCs w:val="20"/>
          <w:highlight w:val="none"/>
          <w:lang w:val="pt-BR"/>
        </w:rPr>
        <w:t>serviços</w:t>
      </w:r>
      <w:r>
        <w:rPr>
          <w:sz w:val="20"/>
          <w:szCs w:val="20"/>
          <w:highlight w:val="none"/>
        </w:rPr>
        <w:t xml:space="preserve"> pelo setor competente da PREFEITURA MUNICIPAL DE ITAPEVA não exclui a respon</w:t>
      </w:r>
      <w:r>
        <w:rPr>
          <w:sz w:val="20"/>
          <w:szCs w:val="20"/>
          <w:highlight w:val="none"/>
        </w:rPr>
        <w:softHyphen/>
      </w:r>
      <w:r>
        <w:rPr>
          <w:sz w:val="20"/>
          <w:szCs w:val="20"/>
          <w:highlight w:val="none"/>
        </w:rPr>
        <w:t xml:space="preserve">sabilidade do DETENTOR por vícios de </w:t>
      </w:r>
      <w:r>
        <w:rPr>
          <w:rFonts w:hint="default"/>
          <w:sz w:val="20"/>
          <w:szCs w:val="20"/>
          <w:highlight w:val="none"/>
          <w:lang w:val="pt-BR"/>
        </w:rPr>
        <w:t>execução</w:t>
      </w:r>
      <w:r>
        <w:rPr>
          <w:sz w:val="20"/>
          <w:szCs w:val="20"/>
          <w:highlight w:val="none"/>
        </w:rPr>
        <w:t xml:space="preserve">, de qualidade ou técnicos do </w:t>
      </w:r>
      <w:r>
        <w:rPr>
          <w:rFonts w:hint="default"/>
          <w:sz w:val="20"/>
          <w:szCs w:val="20"/>
          <w:highlight w:val="none"/>
          <w:lang w:val="pt-BR"/>
        </w:rPr>
        <w:t>serviço</w:t>
      </w:r>
      <w:r>
        <w:rPr>
          <w:sz w:val="20"/>
          <w:szCs w:val="20"/>
          <w:highlight w:val="none"/>
        </w:rPr>
        <w:t>, aparentes ou ocul</w:t>
      </w:r>
      <w:r>
        <w:rPr>
          <w:sz w:val="20"/>
          <w:szCs w:val="20"/>
          <w:highlight w:val="none"/>
        </w:rPr>
        <w:softHyphen/>
      </w:r>
      <w:r>
        <w:rPr>
          <w:sz w:val="20"/>
          <w:szCs w:val="20"/>
          <w:highlight w:val="none"/>
        </w:rPr>
        <w:t>tos, ou por desacordo com as especificações estabelecidas no respectivo Edital e verificadas posteriormente.</w:t>
      </w:r>
    </w:p>
    <w:p>
      <w:pPr>
        <w:spacing w:before="0" w:after="0"/>
        <w:jc w:val="both"/>
        <w:rPr>
          <w:sz w:val="20"/>
          <w:szCs w:val="20"/>
          <w:highlight w:val="none"/>
        </w:rPr>
      </w:pPr>
    </w:p>
    <w:p>
      <w:pPr>
        <w:spacing w:before="0" w:after="0"/>
        <w:jc w:val="both"/>
        <w:rPr>
          <w:sz w:val="20"/>
          <w:szCs w:val="20"/>
          <w:highlight w:val="none"/>
        </w:rPr>
      </w:pPr>
      <w:r>
        <w:rPr>
          <w:rFonts w:hint="default"/>
          <w:sz w:val="20"/>
          <w:szCs w:val="20"/>
          <w:highlight w:val="none"/>
          <w:lang w:val="pt-BR"/>
        </w:rPr>
        <w:t xml:space="preserve">3.4 </w:t>
      </w:r>
      <w:r>
        <w:rPr>
          <w:sz w:val="20"/>
          <w:szCs w:val="20"/>
          <w:highlight w:val="none"/>
        </w:rPr>
        <w:t>O não cumprimento dos requisitos estabelecidos no Edital autoriza a PREFEITURA MUNICIPAL DE ITAPEVA a suspender o pagamento, até a devida regularização, sem prejuízo da aplicação das penalidades previstas na presente convocação.</w:t>
      </w:r>
    </w:p>
    <w:p>
      <w:pPr>
        <w:spacing w:before="0" w:after="0"/>
        <w:jc w:val="both"/>
        <w:rPr>
          <w:sz w:val="20"/>
          <w:szCs w:val="20"/>
          <w:highlight w:val="none"/>
        </w:rPr>
      </w:pPr>
    </w:p>
    <w:p>
      <w:pPr>
        <w:spacing w:before="0" w:after="0"/>
        <w:jc w:val="both"/>
        <w:rPr>
          <w:sz w:val="20"/>
          <w:szCs w:val="20"/>
          <w:highlight w:val="none"/>
        </w:rPr>
      </w:pPr>
      <w:r>
        <w:rPr>
          <w:rFonts w:hint="default"/>
          <w:sz w:val="20"/>
          <w:szCs w:val="20"/>
          <w:highlight w:val="none"/>
          <w:lang w:val="pt-BR"/>
        </w:rPr>
        <w:t xml:space="preserve">3.5 </w:t>
      </w:r>
      <w:r>
        <w:rPr>
          <w:sz w:val="20"/>
          <w:szCs w:val="20"/>
          <w:highlight w:val="none"/>
        </w:rPr>
        <w:t xml:space="preserve">Caso a </w:t>
      </w:r>
      <w:r>
        <w:rPr>
          <w:rFonts w:hint="default"/>
          <w:sz w:val="20"/>
          <w:szCs w:val="20"/>
          <w:highlight w:val="none"/>
          <w:lang w:val="pt-BR"/>
        </w:rPr>
        <w:t>adequa</w:t>
      </w:r>
      <w:r>
        <w:rPr>
          <w:sz w:val="20"/>
          <w:szCs w:val="20"/>
          <w:highlight w:val="none"/>
        </w:rPr>
        <w:t xml:space="preserve">ção não ocorra no prazo determinado, estará a contratada incorrendo em atraso na </w:t>
      </w:r>
      <w:r>
        <w:rPr>
          <w:rFonts w:hint="default"/>
          <w:sz w:val="20"/>
          <w:szCs w:val="20"/>
          <w:highlight w:val="none"/>
          <w:lang w:val="pt-BR"/>
        </w:rPr>
        <w:t>execução</w:t>
      </w:r>
      <w:r>
        <w:rPr>
          <w:sz w:val="20"/>
          <w:szCs w:val="20"/>
          <w:highlight w:val="none"/>
        </w:rPr>
        <w:t xml:space="preserve"> e sujeita à aplicação das sanções previstas no Edital.</w:t>
      </w:r>
    </w:p>
    <w:p>
      <w:pPr>
        <w:spacing w:before="0" w:after="0"/>
        <w:jc w:val="both"/>
        <w:rPr>
          <w:sz w:val="20"/>
          <w:szCs w:val="20"/>
          <w:highlight w:val="none"/>
        </w:rPr>
      </w:pPr>
    </w:p>
    <w:p>
      <w:pPr>
        <w:spacing w:before="0" w:after="0"/>
        <w:jc w:val="both"/>
        <w:rPr>
          <w:rFonts w:hint="default"/>
          <w:sz w:val="20"/>
          <w:szCs w:val="20"/>
          <w:highlight w:val="none"/>
          <w:lang w:val="pt-BR"/>
        </w:rPr>
      </w:pPr>
      <w:r>
        <w:rPr>
          <w:rFonts w:hint="default"/>
          <w:sz w:val="20"/>
          <w:szCs w:val="20"/>
          <w:highlight w:val="none"/>
          <w:lang w:val="pt-BR"/>
        </w:rPr>
        <w:t xml:space="preserve">3.6 </w:t>
      </w:r>
      <w:r>
        <w:rPr>
          <w:rFonts w:hint="default" w:cs="Arial"/>
          <w:sz w:val="20"/>
          <w:szCs w:val="20"/>
          <w:highlight w:val="none"/>
          <w:lang w:val="pt-BR"/>
        </w:rPr>
        <w:t>D</w:t>
      </w:r>
      <w:r>
        <w:rPr>
          <w:rFonts w:hint="default" w:ascii="Arial" w:hAnsi="Arial" w:cs="Arial"/>
          <w:sz w:val="20"/>
          <w:szCs w:val="20"/>
          <w:highlight w:val="none"/>
        </w:rPr>
        <w:t>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r>
        <w:rPr>
          <w:rFonts w:hint="default" w:cs="Arial"/>
          <w:sz w:val="20"/>
          <w:szCs w:val="20"/>
          <w:highlight w:val="none"/>
          <w:lang w:val="pt-BR"/>
        </w:rPr>
        <w:t>.</w:t>
      </w:r>
    </w:p>
    <w:p>
      <w:pPr>
        <w:spacing w:before="0" w:after="0"/>
        <w:jc w:val="both"/>
        <w:rPr>
          <w:sz w:val="20"/>
          <w:szCs w:val="20"/>
          <w:highlight w:val="none"/>
        </w:rPr>
      </w:pPr>
    </w:p>
    <w:p>
      <w:pPr>
        <w:spacing w:before="0" w:after="0"/>
        <w:jc w:val="both"/>
        <w:rPr>
          <w:sz w:val="20"/>
          <w:szCs w:val="20"/>
          <w:highlight w:val="none"/>
        </w:rPr>
      </w:pPr>
      <w:r>
        <w:rPr>
          <w:rFonts w:hint="default" w:eastAsia="Arial"/>
          <w:sz w:val="20"/>
          <w:szCs w:val="20"/>
          <w:highlight w:val="none"/>
          <w:lang w:val="pt-BR"/>
        </w:rPr>
        <w:t xml:space="preserve">3.7  </w:t>
      </w:r>
      <w:r>
        <w:rPr>
          <w:rFonts w:eastAsia="Arial"/>
          <w:sz w:val="20"/>
          <w:szCs w:val="20"/>
          <w:highlight w:val="none"/>
        </w:rPr>
        <w:t>Fica designad</w:t>
      </w:r>
      <w:r>
        <w:rPr>
          <w:rFonts w:hint="default" w:eastAsia="Arial"/>
          <w:sz w:val="20"/>
          <w:szCs w:val="20"/>
          <w:highlight w:val="none"/>
          <w:lang w:val="pt-BR"/>
        </w:rPr>
        <w:t>o(</w:t>
      </w:r>
      <w:r>
        <w:rPr>
          <w:rFonts w:eastAsia="Arial"/>
          <w:sz w:val="20"/>
          <w:szCs w:val="20"/>
          <w:highlight w:val="none"/>
        </w:rPr>
        <w:t>a</w:t>
      </w:r>
      <w:r>
        <w:rPr>
          <w:rFonts w:hint="default" w:eastAsia="Arial"/>
          <w:sz w:val="20"/>
          <w:szCs w:val="20"/>
          <w:highlight w:val="none"/>
          <w:lang w:val="pt-BR"/>
        </w:rPr>
        <w:t>)</w:t>
      </w:r>
      <w:r>
        <w:rPr>
          <w:rFonts w:eastAsia="Arial"/>
          <w:sz w:val="20"/>
          <w:szCs w:val="20"/>
          <w:highlight w:val="none"/>
        </w:rPr>
        <w:t xml:space="preserve"> como Agente Fiscal de execução do Contrato</w:t>
      </w:r>
      <w:r>
        <w:rPr>
          <w:rFonts w:hint="default" w:eastAsia="Arial"/>
          <w:sz w:val="20"/>
          <w:szCs w:val="20"/>
          <w:highlight w:val="none"/>
          <w:lang w:val="pt-BR"/>
        </w:rPr>
        <w:t>,</w:t>
      </w:r>
      <w:r>
        <w:rPr>
          <w:rFonts w:eastAsia="Arial"/>
          <w:sz w:val="20"/>
          <w:szCs w:val="20"/>
          <w:highlight w:val="none"/>
        </w:rPr>
        <w:t xml:space="preserve"> através da Portaria </w:t>
      </w:r>
      <w:r>
        <w:rPr>
          <w:sz w:val="20"/>
          <w:szCs w:val="20"/>
          <w:highlight w:val="none"/>
        </w:rPr>
        <w:t>nº</w:t>
      </w:r>
      <w:r>
        <w:rPr>
          <w:rFonts w:eastAsia="Arial"/>
          <w:sz w:val="20"/>
          <w:szCs w:val="20"/>
          <w:highlight w:val="none"/>
        </w:rPr>
        <w:t xml:space="preserve"> </w:t>
      </w:r>
      <w:r>
        <w:rPr>
          <w:rFonts w:hint="default" w:eastAsia="Arial"/>
          <w:sz w:val="20"/>
          <w:szCs w:val="20"/>
          <w:highlight w:val="none"/>
          <w:lang w:val="pt-BR"/>
        </w:rPr>
        <w:t>9.025/2023</w:t>
      </w:r>
      <w:r>
        <w:rPr>
          <w:rFonts w:eastAsia="Arial"/>
          <w:sz w:val="20"/>
          <w:szCs w:val="20"/>
          <w:highlight w:val="none"/>
        </w:rPr>
        <w:t xml:space="preserve"> </w:t>
      </w:r>
      <w:r>
        <w:rPr>
          <w:rFonts w:hint="default" w:eastAsia="Arial"/>
          <w:sz w:val="20"/>
          <w:szCs w:val="20"/>
          <w:highlight w:val="none"/>
          <w:lang w:val="pt-BR"/>
        </w:rPr>
        <w:t>o(</w:t>
      </w:r>
      <w:r>
        <w:rPr>
          <w:rFonts w:eastAsia="Arial"/>
          <w:sz w:val="20"/>
          <w:szCs w:val="20"/>
          <w:highlight w:val="none"/>
        </w:rPr>
        <w:t>a</w:t>
      </w:r>
      <w:r>
        <w:rPr>
          <w:rFonts w:hint="default" w:eastAsia="Arial"/>
          <w:sz w:val="20"/>
          <w:szCs w:val="20"/>
          <w:highlight w:val="none"/>
          <w:lang w:val="pt-BR"/>
        </w:rPr>
        <w:t>)</w:t>
      </w:r>
      <w:r>
        <w:rPr>
          <w:rFonts w:eastAsia="Arial"/>
          <w:sz w:val="20"/>
          <w:szCs w:val="20"/>
          <w:highlight w:val="none"/>
        </w:rPr>
        <w:t xml:space="preserve"> Sr</w:t>
      </w:r>
      <w:r>
        <w:rPr>
          <w:rFonts w:hint="default" w:eastAsia="Arial"/>
          <w:sz w:val="20"/>
          <w:szCs w:val="20"/>
          <w:highlight w:val="none"/>
          <w:lang w:val="pt-BR"/>
        </w:rPr>
        <w:t>(</w:t>
      </w:r>
      <w:r>
        <w:rPr>
          <w:rFonts w:eastAsia="Arial"/>
          <w:sz w:val="20"/>
          <w:szCs w:val="20"/>
          <w:highlight w:val="none"/>
        </w:rPr>
        <w:t>a</w:t>
      </w:r>
      <w:r>
        <w:rPr>
          <w:rFonts w:hint="default" w:eastAsia="Arial"/>
          <w:sz w:val="20"/>
          <w:szCs w:val="20"/>
          <w:highlight w:val="none"/>
          <w:lang w:val="pt-BR"/>
        </w:rPr>
        <w:t>)</w:t>
      </w:r>
      <w:r>
        <w:rPr>
          <w:sz w:val="20"/>
          <w:szCs w:val="20"/>
          <w:highlight w:val="none"/>
        </w:rPr>
        <w:t xml:space="preserve">. </w:t>
      </w:r>
      <w:r>
        <w:rPr>
          <w:rFonts w:hint="default"/>
          <w:sz w:val="20"/>
          <w:szCs w:val="20"/>
          <w:highlight w:val="none"/>
          <w:lang w:val="pt-BR"/>
        </w:rPr>
        <w:t>Catia Regina da Silva</w:t>
      </w:r>
      <w:r>
        <w:rPr>
          <w:sz w:val="20"/>
          <w:szCs w:val="20"/>
          <w:highlight w:val="none"/>
        </w:rPr>
        <w:t>, portador</w:t>
      </w:r>
      <w:r>
        <w:rPr>
          <w:rFonts w:hint="default"/>
          <w:sz w:val="20"/>
          <w:szCs w:val="20"/>
          <w:highlight w:val="none"/>
          <w:lang w:val="pt-BR"/>
        </w:rPr>
        <w:t>(</w:t>
      </w:r>
      <w:r>
        <w:rPr>
          <w:sz w:val="20"/>
          <w:szCs w:val="20"/>
          <w:highlight w:val="none"/>
        </w:rPr>
        <w:t>a</w:t>
      </w:r>
      <w:r>
        <w:rPr>
          <w:rFonts w:hint="default"/>
          <w:sz w:val="20"/>
          <w:szCs w:val="20"/>
          <w:highlight w:val="none"/>
          <w:lang w:val="pt-BR"/>
        </w:rPr>
        <w:t>)</w:t>
      </w:r>
      <w:r>
        <w:rPr>
          <w:sz w:val="20"/>
          <w:szCs w:val="20"/>
          <w:highlight w:val="none"/>
        </w:rPr>
        <w:t xml:space="preserve"> da Cédula de Identidade RG nº </w:t>
      </w:r>
      <w:r>
        <w:rPr>
          <w:rFonts w:hint="default"/>
          <w:sz w:val="20"/>
          <w:szCs w:val="20"/>
          <w:highlight w:val="none"/>
          <w:lang w:val="pt-BR"/>
        </w:rPr>
        <w:t>35.552.665-70</w:t>
      </w:r>
      <w:r>
        <w:rPr>
          <w:sz w:val="20"/>
          <w:szCs w:val="20"/>
          <w:highlight w:val="none"/>
        </w:rPr>
        <w:t xml:space="preserve"> e inscrito</w:t>
      </w:r>
      <w:r>
        <w:rPr>
          <w:rFonts w:hint="default"/>
          <w:sz w:val="20"/>
          <w:szCs w:val="20"/>
          <w:highlight w:val="none"/>
          <w:lang w:val="pt-BR"/>
        </w:rPr>
        <w:t>(a)</w:t>
      </w:r>
      <w:r>
        <w:rPr>
          <w:sz w:val="20"/>
          <w:szCs w:val="20"/>
          <w:highlight w:val="none"/>
        </w:rPr>
        <w:t xml:space="preserve"> no CPF nº  </w:t>
      </w:r>
      <w:r>
        <w:rPr>
          <w:rFonts w:hint="default"/>
          <w:sz w:val="20"/>
          <w:szCs w:val="20"/>
          <w:highlight w:val="none"/>
          <w:lang w:val="pt-BR"/>
        </w:rPr>
        <w:t>349.337.748-70</w:t>
      </w:r>
      <w:r>
        <w:rPr>
          <w:sz w:val="20"/>
          <w:szCs w:val="20"/>
          <w:highlight w:val="none"/>
        </w:rPr>
        <w:t xml:space="preserve">, </w:t>
      </w:r>
      <w:r>
        <w:rPr>
          <w:rFonts w:eastAsia="Arial"/>
          <w:sz w:val="20"/>
          <w:szCs w:val="20"/>
          <w:highlight w:val="none"/>
        </w:rPr>
        <w:t xml:space="preserve">que acompanhara e fiscalizara a execução do Processo nos termos do Art. </w:t>
      </w:r>
      <w:r>
        <w:rPr>
          <w:rFonts w:hint="default" w:eastAsia="Arial"/>
          <w:sz w:val="20"/>
          <w:szCs w:val="20"/>
          <w:highlight w:val="none"/>
          <w:lang w:val="pt-BR"/>
        </w:rPr>
        <w:t>11</w:t>
      </w:r>
      <w:r>
        <w:rPr>
          <w:rFonts w:eastAsia="Arial"/>
          <w:sz w:val="20"/>
          <w:szCs w:val="20"/>
          <w:highlight w:val="none"/>
        </w:rPr>
        <w:t>7 da Lei</w:t>
      </w:r>
      <w:r>
        <w:rPr>
          <w:rFonts w:hint="default" w:eastAsia="Arial"/>
          <w:sz w:val="20"/>
          <w:szCs w:val="20"/>
          <w:highlight w:val="none"/>
          <w:lang w:val="pt-BR"/>
        </w:rPr>
        <w:t xml:space="preserve"> Federal</w:t>
      </w:r>
      <w:r>
        <w:rPr>
          <w:rFonts w:eastAsia="Arial"/>
          <w:sz w:val="20"/>
          <w:szCs w:val="20"/>
          <w:highlight w:val="none"/>
        </w:rPr>
        <w:t xml:space="preserve"> </w:t>
      </w:r>
      <w:r>
        <w:rPr>
          <w:rFonts w:hint="default" w:eastAsia="Arial"/>
          <w:sz w:val="20"/>
          <w:szCs w:val="20"/>
          <w:highlight w:val="none"/>
          <w:lang w:val="pt-BR"/>
        </w:rPr>
        <w:t>14.133/2021</w:t>
      </w:r>
      <w:r>
        <w:rPr>
          <w:rFonts w:eastAsia="Arial"/>
          <w:sz w:val="20"/>
          <w:szCs w:val="20"/>
          <w:highlight w:val="none"/>
        </w:rPr>
        <w:t>.</w:t>
      </w:r>
    </w:p>
    <w:p>
      <w:pPr>
        <w:rPr>
          <w:sz w:val="20"/>
          <w:szCs w:val="20"/>
          <w:highlight w:val="none"/>
        </w:rPr>
      </w:pPr>
      <w:r>
        <w:rPr>
          <w:sz w:val="20"/>
          <w:szCs w:val="20"/>
          <w:highlight w:val="none"/>
        </w:rPr>
        <w:br w:type="page"/>
      </w:r>
    </w:p>
    <w:p>
      <w:pPr>
        <w:pStyle w:val="5"/>
        <w:bidi w:val="0"/>
        <w:rPr>
          <w:b w:val="0"/>
          <w:bCs/>
          <w:highlight w:val="none"/>
        </w:rPr>
      </w:pPr>
      <w:r>
        <w:rPr>
          <w:highlight w:val="none"/>
        </w:rPr>
        <w:t>ANEXO II</w:t>
      </w:r>
      <w:r>
        <w:rPr>
          <w:rFonts w:hint="default"/>
          <w:highlight w:val="none"/>
          <w:lang w:val="pt-BR"/>
        </w:rPr>
        <w:t>I</w:t>
      </w:r>
      <w:r>
        <w:rPr>
          <w:highlight w:val="none"/>
        </w:rPr>
        <w:br w:type="textWrapping"/>
      </w:r>
      <w:r>
        <w:rPr>
          <w:b w:val="0"/>
          <w:bCs/>
          <w:highlight w:val="none"/>
        </w:rPr>
        <w:t>Modelo de Procuração</w:t>
      </w:r>
    </w:p>
    <w:p>
      <w:pPr>
        <w:spacing w:before="0" w:after="0"/>
        <w:jc w:val="center"/>
        <w:rPr>
          <w:sz w:val="20"/>
          <w:szCs w:val="20"/>
          <w:highlight w:val="none"/>
        </w:rPr>
      </w:pPr>
    </w:p>
    <w:p>
      <w:pPr>
        <w:spacing w:before="0" w:after="0"/>
        <w:jc w:val="center"/>
        <w:rPr>
          <w:sz w:val="20"/>
          <w:szCs w:val="20"/>
          <w:highlight w:val="none"/>
        </w:rPr>
      </w:pPr>
    </w:p>
    <w:p>
      <w:pPr>
        <w:pStyle w:val="8"/>
        <w:spacing w:before="0" w:after="0"/>
        <w:ind w:right="-1" w:firstLine="0"/>
        <w:jc w:val="center"/>
        <w:rPr>
          <w:rFonts w:cs="Arial"/>
          <w:color w:val="auto"/>
          <w:sz w:val="20"/>
          <w:highlight w:val="none"/>
        </w:rPr>
      </w:pPr>
      <w:bookmarkStart w:id="57" w:name="_Toc348595801"/>
      <w:bookmarkStart w:id="58" w:name="_Toc380149407"/>
      <w:bookmarkStart w:id="59" w:name="_Toc348707595"/>
      <w:bookmarkStart w:id="60" w:name="_Toc380150389"/>
      <w:bookmarkStart w:id="61" w:name="_Toc348596035"/>
      <w:bookmarkStart w:id="62" w:name="_Toc380071820"/>
      <w:bookmarkStart w:id="63" w:name="_Toc348540482"/>
      <w:bookmarkStart w:id="64" w:name="_Toc376519928"/>
      <w:bookmarkStart w:id="65" w:name="_Toc380138312"/>
      <w:bookmarkStart w:id="66" w:name="_Toc348710732"/>
      <w:bookmarkStart w:id="67" w:name="_Toc348710818"/>
      <w:bookmarkStart w:id="68" w:name="_Toc371500830"/>
      <w:bookmarkStart w:id="69" w:name="_Toc380139053"/>
      <w:bookmarkStart w:id="70" w:name="_Toc371491686"/>
      <w:bookmarkStart w:id="71" w:name="_Toc371491400"/>
      <w:bookmarkStart w:id="72" w:name="_Toc375144012"/>
      <w:bookmarkStart w:id="73" w:name="_Toc380156698"/>
      <w:bookmarkStart w:id="74" w:name="_Toc375144793"/>
      <w:bookmarkStart w:id="75" w:name="_Toc348540256"/>
      <w:bookmarkStart w:id="76" w:name="_Toc348533480"/>
      <w:bookmarkStart w:id="77" w:name="_Toc371491599"/>
    </w:p>
    <w:p>
      <w:pPr>
        <w:spacing w:before="0" w:after="0"/>
        <w:jc w:val="center"/>
        <w:rPr>
          <w:sz w:val="20"/>
          <w:szCs w:val="20"/>
          <w:highlight w:val="none"/>
        </w:rPr>
      </w:pPr>
    </w:p>
    <w:p>
      <w:pPr>
        <w:spacing w:before="0" w:after="0"/>
        <w:jc w:val="center"/>
        <w:rPr>
          <w:sz w:val="20"/>
          <w:szCs w:val="20"/>
          <w:highlight w:val="none"/>
        </w:rPr>
      </w:pPr>
    </w:p>
    <w:p>
      <w:pPr>
        <w:pStyle w:val="8"/>
        <w:spacing w:before="0" w:after="0"/>
        <w:ind w:firstLine="0"/>
        <w:jc w:val="center"/>
        <w:rPr>
          <w:b/>
          <w:color w:val="auto"/>
          <w:sz w:val="20"/>
          <w:highlight w:val="none"/>
          <w:u w:val="single"/>
        </w:rPr>
      </w:pPr>
      <w:r>
        <w:rPr>
          <w:b/>
          <w:color w:val="auto"/>
          <w:sz w:val="20"/>
          <w:highlight w:val="none"/>
          <w:u w:val="single"/>
        </w:rPr>
        <w:t>PROCURAÇÃO</w:t>
      </w:r>
    </w:p>
    <w:p>
      <w:pPr>
        <w:pStyle w:val="8"/>
        <w:spacing w:before="0" w:after="0"/>
        <w:ind w:right="-1" w:firstLine="0"/>
        <w:jc w:val="center"/>
        <w:rPr>
          <w:rFonts w:cs="Arial"/>
          <w:color w:val="auto"/>
          <w:sz w:val="20"/>
          <w:highlight w:val="none"/>
        </w:rPr>
      </w:pPr>
    </w:p>
    <w:p>
      <w:pPr>
        <w:spacing w:before="0" w:after="0"/>
        <w:jc w:val="center"/>
        <w:rPr>
          <w:sz w:val="20"/>
          <w:szCs w:val="20"/>
          <w:highlight w:val="none"/>
        </w:rPr>
      </w:pPr>
    </w:p>
    <w:p>
      <w:pPr>
        <w:spacing w:before="0" w:after="0"/>
        <w:jc w:val="center"/>
        <w:rPr>
          <w:sz w:val="20"/>
          <w:szCs w:val="20"/>
          <w:highlight w:val="none"/>
        </w:rPr>
      </w:pPr>
    </w:p>
    <w:p>
      <w:pPr>
        <w:pStyle w:val="8"/>
        <w:spacing w:before="0" w:after="0" w:line="360" w:lineRule="auto"/>
        <w:ind w:right="-1" w:firstLine="0"/>
        <w:rPr>
          <w:rFonts w:cs="Arial"/>
          <w:color w:val="auto"/>
          <w:sz w:val="20"/>
          <w:highlight w:val="none"/>
        </w:rPr>
      </w:pPr>
      <w:r>
        <w:rPr>
          <w:rFonts w:cs="Arial"/>
          <w:color w:val="auto"/>
          <w:sz w:val="20"/>
          <w:highlight w:val="none"/>
        </w:rPr>
        <w:t>OUTORGANTE: ________________________________________, pessoa jurídica de direito privado, inscrita, no CNPJ sob o nº _________________________, com sede à Rua ______________________________, nº ______, na cidade de __________________, Estado de _________________________, neste ato representada pelo(a) Sr. (a)(sócio/diretor)_______________________, (nacionalidade)____________________, (estado civil) _________________, (profissão)___________________, portador (a) do RG nº _________________ e do CPF nº ____________________, residente e domiciliado à Rua, ____________________________nº, _______, na cidade de _________________, Estado de _________________.</w:t>
      </w:r>
      <w:r>
        <w:rPr>
          <w:rFonts w:cs="Arial"/>
          <w:color w:val="auto"/>
          <w:sz w:val="20"/>
          <w:highlight w:val="none"/>
        </w:rPr>
        <w:br w:type="textWrapping"/>
      </w:r>
    </w:p>
    <w:p>
      <w:pPr>
        <w:pStyle w:val="8"/>
        <w:spacing w:before="0" w:after="0" w:line="360" w:lineRule="auto"/>
        <w:ind w:right="-1" w:firstLine="0"/>
        <w:rPr>
          <w:rFonts w:cs="Arial"/>
          <w:color w:val="auto"/>
          <w:sz w:val="20"/>
          <w:highlight w:val="none"/>
        </w:rPr>
      </w:pPr>
      <w:r>
        <w:rPr>
          <w:rFonts w:cs="Arial"/>
          <w:color w:val="auto"/>
          <w:sz w:val="20"/>
          <w:highlight w:val="none"/>
        </w:rPr>
        <w:t>OUTORGADO: Sr.(a) ____________________, (nacionalidade)_________________, (estado civil)___________________, (profissão)________________, portador do RG nº ______________e do CPF nº ____________________ , residente e domiciliado à Rua _____________________________, nº, _______, na cidade de _________________, Estado de __________________.</w:t>
      </w:r>
    </w:p>
    <w:p>
      <w:pPr>
        <w:spacing w:before="0" w:after="0" w:line="360" w:lineRule="auto"/>
        <w:ind w:right="-1"/>
        <w:jc w:val="both"/>
        <w:rPr>
          <w:rFonts w:cs="Arial"/>
          <w:color w:val="auto"/>
          <w:sz w:val="20"/>
          <w:szCs w:val="20"/>
          <w:highlight w:val="none"/>
        </w:rPr>
      </w:pPr>
    </w:p>
    <w:p>
      <w:pPr>
        <w:spacing w:before="0" w:after="0" w:line="360" w:lineRule="auto"/>
        <w:ind w:right="-1"/>
        <w:jc w:val="both"/>
        <w:rPr>
          <w:rFonts w:cs="Arial"/>
          <w:color w:val="auto"/>
          <w:sz w:val="20"/>
          <w:szCs w:val="20"/>
          <w:highlight w:val="none"/>
        </w:rPr>
      </w:pPr>
    </w:p>
    <w:p>
      <w:pPr>
        <w:spacing w:before="0" w:after="0" w:line="360" w:lineRule="auto"/>
        <w:ind w:right="-1"/>
        <w:jc w:val="both"/>
        <w:rPr>
          <w:rFonts w:cs="Arial"/>
          <w:color w:val="auto"/>
          <w:sz w:val="20"/>
          <w:szCs w:val="20"/>
          <w:highlight w:val="none"/>
        </w:rPr>
      </w:pPr>
      <w:r>
        <w:rPr>
          <w:rFonts w:cs="Arial"/>
          <w:b/>
          <w:bCs/>
          <w:color w:val="auto"/>
          <w:sz w:val="20"/>
          <w:szCs w:val="20"/>
          <w:highlight w:val="none"/>
        </w:rPr>
        <w:t>PODERES</w:t>
      </w:r>
      <w:r>
        <w:rPr>
          <w:rFonts w:cs="Arial"/>
          <w:bCs/>
          <w:color w:val="auto"/>
          <w:sz w:val="20"/>
          <w:szCs w:val="20"/>
          <w:highlight w:val="none"/>
        </w:rPr>
        <w:t>: A</w:t>
      </w:r>
      <w:r>
        <w:rPr>
          <w:rFonts w:cs="Arial"/>
          <w:color w:val="auto"/>
          <w:sz w:val="20"/>
          <w:szCs w:val="20"/>
          <w:highlight w:val="none"/>
        </w:rPr>
        <w:t xml:space="preserve">o qual confere amplos poderes para representar a empresa no procedimento licitatório, especificamente na licitação modalidade </w:t>
      </w:r>
      <w:r>
        <w:rPr>
          <w:rFonts w:cs="Arial"/>
          <w:b/>
          <w:color w:val="auto"/>
          <w:sz w:val="20"/>
          <w:szCs w:val="20"/>
          <w:highlight w:val="none"/>
        </w:rPr>
        <w:t xml:space="preserve">Pregão nº </w:t>
      </w:r>
      <w:r>
        <w:rPr>
          <w:rFonts w:hint="default" w:cs="Arial"/>
          <w:b/>
          <w:color w:val="auto"/>
          <w:sz w:val="20"/>
          <w:szCs w:val="20"/>
          <w:highlight w:val="none"/>
          <w:lang w:val="pt-BR"/>
        </w:rPr>
        <w:t>31</w:t>
      </w:r>
      <w:r>
        <w:rPr>
          <w:rFonts w:cs="Arial"/>
          <w:b/>
          <w:color w:val="auto"/>
          <w:sz w:val="20"/>
          <w:szCs w:val="20"/>
          <w:highlight w:val="none"/>
        </w:rPr>
        <w:t xml:space="preserve">/2023 </w:t>
      </w:r>
      <w:r>
        <w:rPr>
          <w:rFonts w:cs="Arial"/>
          <w:color w:val="auto"/>
          <w:sz w:val="20"/>
          <w:szCs w:val="20"/>
          <w:highlight w:val="none"/>
        </w:rPr>
        <w:t>da Prefeitura Municipal de Itapeva-SP, podendo para tanto prestar esclarecimentos, formular ofertas e demais negociações, assinar atas e declarações, vistar documentos, receber notificações, interpor recurso, manifestar-se quanto à desistência deste e praticar todos os demais atos inerentes ao referido certame.</w:t>
      </w:r>
    </w:p>
    <w:p>
      <w:pPr>
        <w:spacing w:before="0" w:after="0"/>
        <w:ind w:right="-1"/>
        <w:jc w:val="both"/>
        <w:rPr>
          <w:rFonts w:cs="Arial"/>
          <w:color w:val="auto"/>
          <w:sz w:val="20"/>
          <w:szCs w:val="20"/>
          <w:highlight w:val="none"/>
        </w:rPr>
      </w:pPr>
    </w:p>
    <w:p>
      <w:pPr>
        <w:spacing w:before="0" w:after="0"/>
        <w:ind w:right="-1"/>
        <w:jc w:val="both"/>
        <w:rPr>
          <w:rFonts w:cs="Arial"/>
          <w:color w:val="auto"/>
          <w:sz w:val="20"/>
          <w:szCs w:val="20"/>
          <w:highlight w:val="none"/>
        </w:rPr>
      </w:pPr>
    </w:p>
    <w:p>
      <w:pPr>
        <w:spacing w:before="0" w:after="0"/>
        <w:ind w:right="-1"/>
        <w:jc w:val="both"/>
        <w:rPr>
          <w:rFonts w:cs="Arial"/>
          <w:color w:val="auto"/>
          <w:sz w:val="20"/>
          <w:szCs w:val="20"/>
          <w:highlight w:val="none"/>
        </w:rPr>
      </w:pPr>
    </w:p>
    <w:p>
      <w:pPr>
        <w:spacing w:before="0" w:after="0"/>
        <w:jc w:val="right"/>
        <w:rPr>
          <w:rFonts w:cs="Arial"/>
          <w:color w:val="auto"/>
          <w:sz w:val="20"/>
          <w:szCs w:val="20"/>
          <w:highlight w:val="none"/>
        </w:rPr>
      </w:pPr>
    </w:p>
    <w:p>
      <w:pPr>
        <w:spacing w:before="0" w:after="0"/>
        <w:jc w:val="right"/>
        <w:rPr>
          <w:rFonts w:cs="Arial"/>
          <w:color w:val="auto"/>
          <w:sz w:val="20"/>
          <w:szCs w:val="20"/>
          <w:highlight w:val="none"/>
        </w:rPr>
      </w:pPr>
      <w:r>
        <w:rPr>
          <w:rFonts w:cs="Arial"/>
          <w:color w:val="auto"/>
          <w:sz w:val="20"/>
          <w:szCs w:val="20"/>
          <w:highlight w:val="none"/>
        </w:rPr>
        <w:t>(Local), __ de _____________ de 2023.</w:t>
      </w:r>
    </w:p>
    <w:p>
      <w:pPr>
        <w:spacing w:before="0" w:after="0"/>
        <w:jc w:val="center"/>
        <w:rPr>
          <w:rFonts w:cs="Arial"/>
          <w:color w:val="auto"/>
          <w:sz w:val="20"/>
          <w:szCs w:val="20"/>
          <w:highlight w:val="none"/>
        </w:rPr>
      </w:pPr>
    </w:p>
    <w:p>
      <w:pPr>
        <w:spacing w:before="0" w:after="0"/>
        <w:jc w:val="center"/>
        <w:rPr>
          <w:rFonts w:cs="Arial"/>
          <w:color w:val="auto"/>
          <w:sz w:val="20"/>
          <w:szCs w:val="20"/>
          <w:highlight w:val="none"/>
        </w:rPr>
      </w:pPr>
    </w:p>
    <w:p>
      <w:pPr>
        <w:spacing w:before="0" w:after="0"/>
        <w:jc w:val="center"/>
        <w:rPr>
          <w:rFonts w:cs="Arial"/>
          <w:color w:val="auto"/>
          <w:sz w:val="20"/>
          <w:szCs w:val="20"/>
          <w:highlight w:val="none"/>
        </w:rPr>
      </w:pPr>
    </w:p>
    <w:p>
      <w:pPr>
        <w:spacing w:before="0" w:after="0"/>
        <w:jc w:val="center"/>
        <w:rPr>
          <w:rFonts w:cs="Arial"/>
          <w:color w:val="auto"/>
          <w:sz w:val="20"/>
          <w:szCs w:val="20"/>
          <w:highlight w:val="none"/>
        </w:rPr>
      </w:pPr>
    </w:p>
    <w:p>
      <w:pPr>
        <w:spacing w:before="0" w:after="0"/>
        <w:jc w:val="center"/>
        <w:rPr>
          <w:rFonts w:cs="Arial"/>
          <w:color w:val="auto"/>
          <w:sz w:val="20"/>
          <w:szCs w:val="20"/>
          <w:highlight w:val="none"/>
        </w:rPr>
      </w:pPr>
      <w:r>
        <w:rPr>
          <w:rFonts w:cs="Arial"/>
          <w:color w:val="auto"/>
          <w:sz w:val="20"/>
          <w:szCs w:val="20"/>
          <w:highlight w:val="none"/>
        </w:rPr>
        <w:t>__________________________________</w:t>
      </w:r>
      <w:r>
        <w:rPr>
          <w:rFonts w:cs="Arial"/>
          <w:color w:val="auto"/>
          <w:sz w:val="20"/>
          <w:szCs w:val="20"/>
          <w:highlight w:val="none"/>
        </w:rPr>
        <w:br w:type="textWrapping"/>
      </w:r>
      <w:r>
        <w:rPr>
          <w:rFonts w:cs="Arial"/>
          <w:color w:val="auto"/>
          <w:sz w:val="20"/>
          <w:szCs w:val="20"/>
          <w:highlight w:val="none"/>
        </w:rPr>
        <w:t>(Carimbo e Assinatura)</w:t>
      </w:r>
    </w:p>
    <w:p>
      <w:pPr>
        <w:spacing w:before="0" w:after="0" w:line="360" w:lineRule="auto"/>
        <w:ind w:left="-142" w:right="-1" w:firstLine="851"/>
        <w:jc w:val="both"/>
        <w:rPr>
          <w:rFonts w:cs="Arial"/>
          <w:color w:val="auto"/>
          <w:sz w:val="20"/>
          <w:szCs w:val="20"/>
          <w:highlight w:val="none"/>
        </w:rPr>
      </w:pPr>
    </w:p>
    <w:p>
      <w:pPr>
        <w:spacing w:before="0" w:after="0" w:line="360" w:lineRule="auto"/>
        <w:ind w:right="-1"/>
        <w:jc w:val="both"/>
        <w:rPr>
          <w:rFonts w:cs="Arial"/>
          <w:color w:val="auto"/>
          <w:sz w:val="19"/>
          <w:szCs w:val="19"/>
          <w:highlight w:val="none"/>
        </w:rPr>
        <w:sectPr>
          <w:footerReference r:id="rId6" w:type="first"/>
          <w:headerReference r:id="rId4" w:type="default"/>
          <w:footerReference r:id="rId5" w:type="default"/>
          <w:pgSz w:w="11906" w:h="16838"/>
          <w:pgMar w:top="851" w:right="991" w:bottom="714" w:left="1418" w:header="397" w:footer="33" w:gutter="0"/>
          <w:cols w:space="708" w:num="1"/>
          <w:titlePg/>
          <w:docGrid w:linePitch="360" w:charSpace="0"/>
        </w:sectPr>
      </w:pPr>
    </w:p>
    <w:p>
      <w:pPr>
        <w:spacing w:before="0" w:after="0"/>
        <w:jc w:val="center"/>
        <w:rPr>
          <w:sz w:val="20"/>
          <w:szCs w:val="20"/>
          <w:highlight w:val="none"/>
        </w:rPr>
      </w:pPr>
    </w:p>
    <w:p>
      <w:pPr>
        <w:pStyle w:val="5"/>
        <w:bidi w:val="0"/>
        <w:rPr>
          <w:rFonts w:hint="default"/>
          <w:b w:val="0"/>
          <w:bCs/>
          <w:highlight w:val="none"/>
          <w:lang w:val="pt-BR"/>
        </w:rPr>
      </w:pPr>
      <w:bookmarkStart w:id="78" w:name="_Toc380149403"/>
      <w:bookmarkStart w:id="79" w:name="_Toc347306361"/>
      <w:bookmarkStart w:id="80" w:name="_Toc514137972"/>
      <w:bookmarkStart w:id="81" w:name="_Toc383095044"/>
      <w:bookmarkStart w:id="82" w:name="_Toc405295120"/>
      <w:bookmarkStart w:id="83" w:name="_Toc412032967"/>
      <w:bookmarkStart w:id="84" w:name="_Toc371491595"/>
      <w:bookmarkStart w:id="85" w:name="_Toc480904810"/>
      <w:bookmarkStart w:id="86" w:name="_Toc347215042"/>
      <w:bookmarkStart w:id="87" w:name="_Toc412120326"/>
      <w:bookmarkStart w:id="88" w:name="_Toc412557104"/>
      <w:bookmarkStart w:id="89" w:name="_Toc347321135"/>
      <w:bookmarkStart w:id="90" w:name="_Toc346865980"/>
      <w:bookmarkStart w:id="91" w:name="_Toc371500826"/>
      <w:bookmarkStart w:id="92" w:name="_Toc384017446"/>
      <w:bookmarkStart w:id="93" w:name="_Toc416081816"/>
      <w:bookmarkStart w:id="94" w:name="_Toc347243883"/>
      <w:bookmarkStart w:id="95" w:name="_Toc412539781"/>
      <w:bookmarkStart w:id="96" w:name="_Toc404668703"/>
      <w:bookmarkStart w:id="97" w:name="_Toc399484142"/>
      <w:bookmarkStart w:id="98" w:name="_Toc383095031"/>
      <w:bookmarkStart w:id="99" w:name="_Toc392766551"/>
      <w:bookmarkStart w:id="100" w:name="_Toc399484499"/>
      <w:bookmarkStart w:id="101" w:name="_Toc412101483"/>
      <w:bookmarkStart w:id="102" w:name="_Toc371491396"/>
      <w:bookmarkStart w:id="103" w:name="_Toc394903505"/>
      <w:bookmarkStart w:id="104" w:name="_Toc380150385"/>
      <w:bookmarkStart w:id="105" w:name="_Toc375144008"/>
      <w:bookmarkStart w:id="106" w:name="_Toc348710728"/>
      <w:bookmarkStart w:id="107" w:name="_Toc502820967"/>
      <w:bookmarkStart w:id="108" w:name="_Toc348596031"/>
      <w:bookmarkStart w:id="109" w:name="_Toc400972733"/>
      <w:bookmarkStart w:id="110" w:name="_Toc348710814"/>
      <w:bookmarkStart w:id="111" w:name="_Toc348707591"/>
      <w:bookmarkStart w:id="112" w:name="_Toc505592411"/>
      <w:bookmarkStart w:id="113" w:name="_Toc347320392"/>
      <w:bookmarkStart w:id="114" w:name="_Toc347303870"/>
      <w:bookmarkStart w:id="115" w:name="_Toc399489304"/>
      <w:bookmarkStart w:id="116" w:name="_Toc504568542"/>
      <w:bookmarkStart w:id="117" w:name="_Toc422320365"/>
      <w:bookmarkStart w:id="118" w:name="_Toc46236008"/>
      <w:bookmarkStart w:id="119" w:name="_Toc346805891"/>
      <w:bookmarkStart w:id="120" w:name="_Toc371491682"/>
      <w:bookmarkStart w:id="121" w:name="_Toc416079303"/>
      <w:bookmarkStart w:id="122" w:name="_Toc392767075"/>
      <w:bookmarkStart w:id="123" w:name="_Toc380156694"/>
      <w:bookmarkStart w:id="124" w:name="_Toc416078254"/>
      <w:bookmarkStart w:id="125" w:name="_Toc348595797"/>
      <w:bookmarkStart w:id="126" w:name="_Toc505592405"/>
      <w:bookmarkStart w:id="127" w:name="_Toc502821540"/>
      <w:bookmarkStart w:id="128" w:name="_Toc347306708"/>
      <w:bookmarkStart w:id="129" w:name="_Toc412101456"/>
      <w:bookmarkStart w:id="130" w:name="_Toc404174791"/>
      <w:bookmarkStart w:id="131" w:name="_Toc380071816"/>
      <w:bookmarkStart w:id="132" w:name="_Toc348540478"/>
      <w:bookmarkStart w:id="133" w:name="_Toc412447378"/>
      <w:bookmarkStart w:id="134" w:name="_Toc392834283"/>
      <w:bookmarkStart w:id="135" w:name="_Toc375144789"/>
      <w:bookmarkStart w:id="136" w:name="_Toc412443346"/>
      <w:bookmarkStart w:id="137" w:name="_Toc392767100"/>
      <w:bookmarkStart w:id="138" w:name="_Toc383181214"/>
      <w:bookmarkStart w:id="139" w:name="_Toc347306757"/>
      <w:bookmarkStart w:id="140" w:name="_Toc392851421"/>
      <w:bookmarkStart w:id="141" w:name="_Toc383255298"/>
      <w:bookmarkStart w:id="142" w:name="_Toc320698430"/>
      <w:bookmarkStart w:id="143" w:name="_Toc348533476"/>
      <w:bookmarkStart w:id="144" w:name="_Toc46236138"/>
      <w:bookmarkStart w:id="145" w:name="_Toc412099491"/>
      <w:bookmarkStart w:id="146" w:name="_Toc346805822"/>
      <w:bookmarkStart w:id="147" w:name="_Toc392836036"/>
      <w:bookmarkStart w:id="148" w:name="_Toc383095086"/>
      <w:bookmarkStart w:id="149" w:name="_Toc380138308"/>
      <w:bookmarkStart w:id="150" w:name="_Toc348540252"/>
      <w:bookmarkStart w:id="151" w:name="_Toc383095181"/>
      <w:bookmarkStart w:id="152" w:name="_Toc392834548"/>
      <w:bookmarkStart w:id="153" w:name="_Toc383094934"/>
      <w:bookmarkStart w:id="154" w:name="_Toc346805255"/>
      <w:bookmarkStart w:id="155" w:name="_Toc347300547"/>
      <w:bookmarkStart w:id="156" w:name="_Toc417030593"/>
      <w:bookmarkStart w:id="157" w:name="_Toc417548456"/>
      <w:bookmarkStart w:id="158" w:name="_Toc376519924"/>
      <w:bookmarkStart w:id="159" w:name="_Toc417460179"/>
      <w:bookmarkStart w:id="160" w:name="_Toc346806567"/>
      <w:bookmarkStart w:id="161" w:name="_Toc502821546"/>
      <w:bookmarkStart w:id="162" w:name="_Toc417047670"/>
      <w:bookmarkStart w:id="163" w:name="_Toc404671805"/>
      <w:bookmarkStart w:id="164" w:name="_Toc380139049"/>
      <w:bookmarkStart w:id="165" w:name="_Toc383095703"/>
      <w:bookmarkStart w:id="166" w:name="_Toc422216621"/>
      <w:bookmarkStart w:id="167" w:name="_Toc412704815"/>
      <w:bookmarkStart w:id="168" w:name="_Toc480904464"/>
      <w:bookmarkStart w:id="169" w:name="_Toc392766858"/>
      <w:bookmarkStart w:id="170" w:name="_Toc412703127"/>
      <w:bookmarkStart w:id="171" w:name="_Toc383094764"/>
      <w:bookmarkStart w:id="172" w:name="_Toc413243647"/>
      <w:r>
        <w:rPr>
          <w:highlight w:val="none"/>
        </w:rPr>
        <w:t>ANEXO I</w:t>
      </w:r>
      <w:r>
        <w:rPr>
          <w:rFonts w:hint="default"/>
          <w:highlight w:val="none"/>
          <w:lang w:val="pt-BR"/>
        </w:rPr>
        <w:t>V</w:t>
      </w:r>
      <w:r>
        <w:rPr>
          <w:highlight w:val="none"/>
        </w:rPr>
        <w:br w:type="textWrapping"/>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r>
        <w:rPr>
          <w:rFonts w:hint="default"/>
          <w:b w:val="0"/>
          <w:bCs/>
          <w:highlight w:val="none"/>
          <w:lang w:val="pt-BR"/>
        </w:rPr>
        <w:t>Declaração de Microempresa ou Empresa de Pequeno Porte</w:t>
      </w:r>
    </w:p>
    <w:p>
      <w:pPr>
        <w:spacing w:before="0" w:after="0"/>
        <w:jc w:val="center"/>
        <w:rPr>
          <w:sz w:val="20"/>
          <w:szCs w:val="20"/>
          <w:highlight w:val="none"/>
        </w:rPr>
      </w:pPr>
    </w:p>
    <w:p>
      <w:pPr>
        <w:spacing w:before="0" w:after="0"/>
        <w:jc w:val="center"/>
        <w:rPr>
          <w:sz w:val="20"/>
          <w:szCs w:val="20"/>
          <w:highlight w:val="none"/>
        </w:rPr>
      </w:pPr>
    </w:p>
    <w:p>
      <w:pPr>
        <w:spacing w:before="0" w:after="0"/>
        <w:jc w:val="center"/>
        <w:rPr>
          <w:rStyle w:val="13"/>
          <w:bCs w:val="0"/>
          <w:color w:val="auto"/>
          <w:sz w:val="20"/>
          <w:szCs w:val="20"/>
          <w:highlight w:val="none"/>
          <w:u w:val="single"/>
        </w:rPr>
      </w:pPr>
      <w:r>
        <w:rPr>
          <w:rStyle w:val="13"/>
          <w:color w:val="auto"/>
          <w:sz w:val="20"/>
          <w:szCs w:val="20"/>
          <w:highlight w:val="none"/>
          <w:u w:val="single"/>
        </w:rPr>
        <w:t>DECLARAÇÃO DE MICROEMPRESA OU EMPRESA DE PEQUENO PORTE</w:t>
      </w:r>
    </w:p>
    <w:p>
      <w:pPr>
        <w:spacing w:before="0" w:after="0"/>
        <w:jc w:val="center"/>
        <w:rPr>
          <w:sz w:val="20"/>
          <w:szCs w:val="20"/>
          <w:highlight w:val="none"/>
        </w:rPr>
      </w:pPr>
    </w:p>
    <w:p>
      <w:pPr>
        <w:spacing w:before="0" w:after="0"/>
        <w:jc w:val="center"/>
        <w:rPr>
          <w:sz w:val="20"/>
          <w:szCs w:val="20"/>
          <w:highlight w:val="none"/>
        </w:rPr>
      </w:pPr>
    </w:p>
    <w:p>
      <w:pPr>
        <w:spacing w:before="0" w:after="0"/>
        <w:jc w:val="center"/>
        <w:rPr>
          <w:sz w:val="20"/>
          <w:szCs w:val="20"/>
          <w:highlight w:val="none"/>
        </w:rPr>
      </w:pPr>
    </w:p>
    <w:p>
      <w:pPr>
        <w:spacing w:before="0" w:after="0" w:line="360" w:lineRule="auto"/>
        <w:ind w:right="-1"/>
        <w:jc w:val="both"/>
        <w:rPr>
          <w:rFonts w:cs="Arial"/>
          <w:color w:val="auto"/>
          <w:sz w:val="20"/>
          <w:szCs w:val="20"/>
          <w:highlight w:val="none"/>
        </w:rPr>
      </w:pPr>
      <w:r>
        <w:rPr>
          <w:rFonts w:cs="Arial"/>
          <w:color w:val="auto"/>
          <w:sz w:val="20"/>
          <w:szCs w:val="20"/>
          <w:highlight w:val="none"/>
        </w:rPr>
        <w:t xml:space="preserve">(Nome da Empresa)_________________________________, inscrita no CNPJ sob o nº _____________, por intermédio de seu representante legal, o(a) Sr.(a.) ______________________, portador do RG nº _______________ e CPF nº _______________, DECLARA sob as sanções administrativas cabíveis e sob as penas da lei, que, na presente data, é considerada: </w:t>
      </w:r>
    </w:p>
    <w:p>
      <w:pPr>
        <w:tabs>
          <w:tab w:val="left" w:pos="567"/>
        </w:tabs>
        <w:spacing w:before="0" w:after="0"/>
        <w:ind w:right="-1"/>
        <w:jc w:val="both"/>
        <w:rPr>
          <w:rFonts w:cs="Arial"/>
          <w:b/>
          <w:color w:val="auto"/>
          <w:sz w:val="20"/>
          <w:szCs w:val="20"/>
          <w:highlight w:val="none"/>
        </w:rPr>
      </w:pPr>
    </w:p>
    <w:p>
      <w:pPr>
        <w:tabs>
          <w:tab w:val="left" w:pos="567"/>
        </w:tabs>
        <w:spacing w:before="0" w:after="0" w:line="360" w:lineRule="auto"/>
        <w:ind w:right="-1"/>
        <w:jc w:val="both"/>
        <w:rPr>
          <w:rFonts w:cs="Arial"/>
          <w:color w:val="auto"/>
          <w:sz w:val="20"/>
          <w:szCs w:val="20"/>
          <w:highlight w:val="none"/>
        </w:rPr>
      </w:pPr>
      <w:r>
        <w:rPr>
          <w:rFonts w:cs="Arial"/>
          <w:b/>
          <w:color w:val="auto"/>
          <w:sz w:val="20"/>
          <w:szCs w:val="20"/>
          <w:highlight w:val="none"/>
        </w:rPr>
        <w:t>(  ) MICROEMPRESA</w:t>
      </w:r>
      <w:r>
        <w:rPr>
          <w:rFonts w:cs="Arial"/>
          <w:color w:val="auto"/>
          <w:sz w:val="20"/>
          <w:szCs w:val="20"/>
          <w:highlight w:val="none"/>
        </w:rPr>
        <w:t>, conforme inciso I do art. 3.º da Lei Complementar nº 123/2006.</w:t>
      </w:r>
    </w:p>
    <w:p>
      <w:pPr>
        <w:tabs>
          <w:tab w:val="left" w:pos="567"/>
        </w:tabs>
        <w:spacing w:before="0" w:after="0" w:line="360" w:lineRule="auto"/>
        <w:ind w:right="-1"/>
        <w:jc w:val="both"/>
        <w:rPr>
          <w:rFonts w:cs="Arial"/>
          <w:color w:val="auto"/>
          <w:sz w:val="20"/>
          <w:szCs w:val="20"/>
          <w:highlight w:val="none"/>
        </w:rPr>
      </w:pPr>
      <w:r>
        <w:rPr>
          <w:rFonts w:cs="Arial"/>
          <w:b/>
          <w:color w:val="auto"/>
          <w:sz w:val="20"/>
          <w:szCs w:val="20"/>
          <w:highlight w:val="none"/>
        </w:rPr>
        <w:t>(  ) EMPRESA DE PEQUENO PORTE</w:t>
      </w:r>
      <w:r>
        <w:rPr>
          <w:rFonts w:cs="Arial"/>
          <w:color w:val="auto"/>
          <w:sz w:val="20"/>
          <w:szCs w:val="20"/>
          <w:highlight w:val="none"/>
        </w:rPr>
        <w:t>, conforme inciso II do art. 3.º da Lei Complementar nº 123/2006.</w:t>
      </w:r>
    </w:p>
    <w:p>
      <w:pPr>
        <w:spacing w:before="0" w:after="0"/>
        <w:ind w:right="-1"/>
        <w:jc w:val="both"/>
        <w:rPr>
          <w:rFonts w:cs="Arial"/>
          <w:color w:val="auto"/>
          <w:sz w:val="20"/>
          <w:szCs w:val="20"/>
          <w:highlight w:val="none"/>
        </w:rPr>
      </w:pPr>
    </w:p>
    <w:p>
      <w:pPr>
        <w:spacing w:before="0" w:after="0" w:line="360" w:lineRule="auto"/>
        <w:ind w:right="-1"/>
        <w:jc w:val="both"/>
        <w:rPr>
          <w:rFonts w:cs="Arial"/>
          <w:color w:val="auto"/>
          <w:sz w:val="20"/>
          <w:szCs w:val="20"/>
          <w:highlight w:val="none"/>
        </w:rPr>
      </w:pPr>
      <w:r>
        <w:rPr>
          <w:rFonts w:cs="Arial"/>
          <w:color w:val="auto"/>
          <w:sz w:val="20"/>
          <w:szCs w:val="20"/>
          <w:highlight w:val="none"/>
        </w:rPr>
        <w:t>Declara ainda que a empresa está excluída das vedações constantes do § 4º do art. 3.º da Lei Complementar nº 123</w:t>
      </w:r>
      <w:r>
        <w:rPr>
          <w:rFonts w:hint="default" w:cs="Arial"/>
          <w:color w:val="auto"/>
          <w:sz w:val="20"/>
          <w:szCs w:val="20"/>
          <w:highlight w:val="none"/>
          <w:lang w:val="pt-BR"/>
        </w:rPr>
        <w:t>,</w:t>
      </w:r>
      <w:r>
        <w:rPr>
          <w:rFonts w:cs="Arial"/>
          <w:color w:val="auto"/>
          <w:sz w:val="20"/>
          <w:szCs w:val="20"/>
          <w:highlight w:val="none"/>
        </w:rPr>
        <w:t xml:space="preserve"> de 14 de dezembro de 2006, alterada pela Lei Complementar nº 147/2014</w:t>
      </w:r>
      <w:r>
        <w:rPr>
          <w:rFonts w:hint="default" w:cs="Arial"/>
          <w:color w:val="auto"/>
          <w:sz w:val="20"/>
          <w:szCs w:val="20"/>
          <w:highlight w:val="none"/>
          <w:lang w:val="pt-BR"/>
        </w:rPr>
        <w:t>, e § 2º, art. 4º da lei federal 14.133/2021</w:t>
      </w:r>
      <w:r>
        <w:rPr>
          <w:rFonts w:cs="Arial"/>
          <w:color w:val="auto"/>
          <w:sz w:val="20"/>
          <w:szCs w:val="20"/>
          <w:highlight w:val="none"/>
        </w:rPr>
        <w:t xml:space="preserve">, cujos termos declara conhecer na integra, estando apta, portanto, a exercer o direito da preferência como critério de desempate no procedimento licitatório do </w:t>
      </w:r>
      <w:r>
        <w:rPr>
          <w:rFonts w:cs="Arial"/>
          <w:b/>
          <w:color w:val="auto"/>
          <w:sz w:val="20"/>
          <w:szCs w:val="20"/>
          <w:highlight w:val="none"/>
        </w:rPr>
        <w:t xml:space="preserve">Pregão n° </w:t>
      </w:r>
      <w:r>
        <w:rPr>
          <w:rFonts w:hint="default" w:cs="Arial"/>
          <w:b/>
          <w:color w:val="auto"/>
          <w:sz w:val="20"/>
          <w:szCs w:val="20"/>
          <w:highlight w:val="none"/>
          <w:lang w:val="pt-BR"/>
        </w:rPr>
        <w:t>31</w:t>
      </w:r>
      <w:r>
        <w:rPr>
          <w:rFonts w:cs="Arial"/>
          <w:b/>
          <w:color w:val="auto"/>
          <w:sz w:val="20"/>
          <w:szCs w:val="20"/>
          <w:highlight w:val="none"/>
        </w:rPr>
        <w:t>/2023</w:t>
      </w:r>
      <w:r>
        <w:rPr>
          <w:rFonts w:cs="Arial"/>
          <w:color w:val="auto"/>
          <w:sz w:val="20"/>
          <w:szCs w:val="20"/>
          <w:highlight w:val="none"/>
        </w:rPr>
        <w:t>, realizado pela Prefeitura Municipal de Itapeva-SP, bem como desfrutar dos benefícios previstos em Lei.</w:t>
      </w:r>
    </w:p>
    <w:p>
      <w:pPr>
        <w:spacing w:before="0" w:after="0"/>
        <w:ind w:right="-1"/>
        <w:rPr>
          <w:rFonts w:cs="Arial"/>
          <w:color w:val="auto"/>
          <w:sz w:val="20"/>
          <w:szCs w:val="20"/>
          <w:highlight w:val="none"/>
        </w:rPr>
      </w:pPr>
    </w:p>
    <w:p>
      <w:pPr>
        <w:spacing w:before="0" w:after="0"/>
        <w:rPr>
          <w:rFonts w:cs="Arial"/>
          <w:color w:val="auto"/>
          <w:sz w:val="20"/>
          <w:szCs w:val="20"/>
          <w:highlight w:val="none"/>
        </w:rPr>
      </w:pPr>
    </w:p>
    <w:p>
      <w:pPr>
        <w:spacing w:before="0" w:after="0"/>
        <w:rPr>
          <w:rFonts w:cs="Arial"/>
          <w:color w:val="auto"/>
          <w:sz w:val="20"/>
          <w:szCs w:val="20"/>
          <w:highlight w:val="none"/>
        </w:rPr>
      </w:pPr>
    </w:p>
    <w:p>
      <w:pPr>
        <w:spacing w:before="0" w:after="0"/>
        <w:rPr>
          <w:rFonts w:cs="Arial"/>
          <w:color w:val="auto"/>
          <w:sz w:val="20"/>
          <w:szCs w:val="20"/>
          <w:highlight w:val="none"/>
        </w:rPr>
      </w:pPr>
    </w:p>
    <w:p>
      <w:pPr>
        <w:spacing w:before="0" w:after="0"/>
        <w:jc w:val="right"/>
        <w:rPr>
          <w:rFonts w:cs="Arial"/>
          <w:color w:val="auto"/>
          <w:sz w:val="20"/>
          <w:szCs w:val="20"/>
          <w:highlight w:val="none"/>
        </w:rPr>
      </w:pPr>
      <w:r>
        <w:rPr>
          <w:rFonts w:cs="Arial"/>
          <w:color w:val="auto"/>
          <w:sz w:val="20"/>
          <w:szCs w:val="20"/>
          <w:highlight w:val="none"/>
        </w:rPr>
        <w:t>(Local), __ de _____________ de 2023.</w:t>
      </w:r>
    </w:p>
    <w:p>
      <w:pPr>
        <w:spacing w:before="0" w:after="0"/>
        <w:jc w:val="center"/>
        <w:rPr>
          <w:rFonts w:cs="Arial"/>
          <w:color w:val="auto"/>
          <w:sz w:val="20"/>
          <w:szCs w:val="20"/>
          <w:highlight w:val="none"/>
        </w:rPr>
      </w:pPr>
    </w:p>
    <w:p>
      <w:pPr>
        <w:spacing w:before="0" w:after="0"/>
        <w:jc w:val="center"/>
        <w:rPr>
          <w:rFonts w:cs="Arial"/>
          <w:color w:val="auto"/>
          <w:sz w:val="20"/>
          <w:szCs w:val="20"/>
          <w:highlight w:val="none"/>
        </w:rPr>
      </w:pPr>
    </w:p>
    <w:p>
      <w:pPr>
        <w:spacing w:before="0" w:after="0"/>
        <w:jc w:val="center"/>
        <w:rPr>
          <w:rFonts w:cs="Arial"/>
          <w:color w:val="auto"/>
          <w:sz w:val="20"/>
          <w:szCs w:val="20"/>
          <w:highlight w:val="none"/>
        </w:rPr>
      </w:pPr>
    </w:p>
    <w:p>
      <w:pPr>
        <w:spacing w:before="0" w:after="0"/>
        <w:jc w:val="center"/>
        <w:rPr>
          <w:rFonts w:cs="Arial"/>
          <w:color w:val="auto"/>
          <w:sz w:val="20"/>
          <w:szCs w:val="20"/>
          <w:highlight w:val="none"/>
        </w:rPr>
      </w:pPr>
    </w:p>
    <w:p>
      <w:pPr>
        <w:spacing w:before="0" w:after="0"/>
        <w:jc w:val="center"/>
        <w:rPr>
          <w:rFonts w:cs="Arial"/>
          <w:color w:val="auto"/>
          <w:sz w:val="20"/>
          <w:szCs w:val="20"/>
          <w:highlight w:val="none"/>
        </w:rPr>
      </w:pPr>
      <w:r>
        <w:rPr>
          <w:rFonts w:cs="Arial"/>
          <w:color w:val="auto"/>
          <w:sz w:val="20"/>
          <w:szCs w:val="20"/>
          <w:highlight w:val="none"/>
        </w:rPr>
        <w:t>__________________________________</w:t>
      </w:r>
      <w:r>
        <w:rPr>
          <w:rFonts w:cs="Arial"/>
          <w:color w:val="auto"/>
          <w:sz w:val="20"/>
          <w:szCs w:val="20"/>
          <w:highlight w:val="none"/>
        </w:rPr>
        <w:br w:type="textWrapping"/>
      </w:r>
      <w:r>
        <w:rPr>
          <w:rFonts w:cs="Arial"/>
          <w:color w:val="auto"/>
          <w:sz w:val="20"/>
          <w:szCs w:val="20"/>
          <w:highlight w:val="none"/>
        </w:rPr>
        <w:t>(Carimbo e Assinatura)</w:t>
      </w:r>
    </w:p>
    <w:p>
      <w:pPr>
        <w:spacing w:before="0" w:after="0" w:line="360" w:lineRule="auto"/>
        <w:ind w:right="-1"/>
        <w:rPr>
          <w:rFonts w:cs="Arial"/>
          <w:color w:val="auto"/>
          <w:sz w:val="20"/>
          <w:szCs w:val="20"/>
          <w:highlight w:val="none"/>
        </w:rPr>
      </w:pPr>
    </w:p>
    <w:p>
      <w:pPr>
        <w:spacing w:before="0" w:after="0" w:line="360" w:lineRule="auto"/>
        <w:ind w:right="-1"/>
        <w:rPr>
          <w:rFonts w:cs="Arial"/>
          <w:color w:val="auto"/>
          <w:sz w:val="20"/>
          <w:szCs w:val="20"/>
          <w:highlight w:val="none"/>
        </w:rPr>
      </w:pPr>
    </w:p>
    <w:p>
      <w:pPr>
        <w:spacing w:before="0" w:after="0" w:line="360" w:lineRule="auto"/>
        <w:ind w:right="-1"/>
        <w:rPr>
          <w:rFonts w:cs="Arial"/>
          <w:color w:val="auto"/>
          <w:sz w:val="20"/>
          <w:szCs w:val="20"/>
          <w:highlight w:val="none"/>
        </w:rPr>
      </w:pPr>
    </w:p>
    <w:p>
      <w:pPr>
        <w:spacing w:before="0" w:after="0" w:line="360" w:lineRule="auto"/>
        <w:ind w:right="-1"/>
        <w:rPr>
          <w:rFonts w:cs="Arial"/>
          <w:color w:val="auto"/>
          <w:sz w:val="20"/>
          <w:szCs w:val="20"/>
          <w:highlight w:val="none"/>
        </w:rPr>
      </w:pPr>
    </w:p>
    <w:p>
      <w:pPr>
        <w:spacing w:before="0" w:after="0" w:line="360" w:lineRule="auto"/>
        <w:ind w:right="-1"/>
        <w:rPr>
          <w:rFonts w:cs="Arial"/>
          <w:color w:val="auto"/>
          <w:sz w:val="20"/>
          <w:szCs w:val="20"/>
          <w:highlight w:val="none"/>
        </w:rPr>
      </w:pPr>
    </w:p>
    <w:p>
      <w:pPr>
        <w:spacing w:before="0" w:after="0" w:line="360" w:lineRule="auto"/>
        <w:ind w:right="-1"/>
        <w:rPr>
          <w:rFonts w:cs="Arial"/>
          <w:color w:val="auto"/>
          <w:sz w:val="20"/>
          <w:szCs w:val="20"/>
          <w:highlight w:val="none"/>
        </w:rPr>
      </w:pPr>
    </w:p>
    <w:p>
      <w:pPr>
        <w:spacing w:before="0" w:after="0" w:line="360" w:lineRule="auto"/>
        <w:ind w:right="-1"/>
        <w:rPr>
          <w:rFonts w:cs="Arial"/>
          <w:color w:val="auto"/>
          <w:sz w:val="20"/>
          <w:szCs w:val="20"/>
          <w:highlight w:val="none"/>
        </w:rPr>
      </w:pPr>
    </w:p>
    <w:p>
      <w:pPr>
        <w:spacing w:before="0" w:after="0" w:line="360" w:lineRule="auto"/>
        <w:ind w:right="-1"/>
        <w:rPr>
          <w:rFonts w:cs="Arial"/>
          <w:color w:val="auto"/>
          <w:sz w:val="20"/>
          <w:szCs w:val="20"/>
          <w:highlight w:val="none"/>
        </w:rPr>
      </w:pPr>
    </w:p>
    <w:p>
      <w:pPr>
        <w:spacing w:before="0" w:after="0" w:line="360" w:lineRule="auto"/>
        <w:ind w:right="-1"/>
        <w:rPr>
          <w:rFonts w:cs="Arial"/>
          <w:color w:val="auto"/>
          <w:sz w:val="20"/>
          <w:szCs w:val="20"/>
          <w:highlight w:val="none"/>
        </w:rPr>
      </w:pPr>
    </w:p>
    <w:p>
      <w:pPr>
        <w:spacing w:before="0" w:after="0" w:line="360" w:lineRule="auto"/>
        <w:ind w:right="-1"/>
        <w:rPr>
          <w:rFonts w:cs="Arial"/>
          <w:color w:val="auto"/>
          <w:sz w:val="20"/>
          <w:szCs w:val="20"/>
          <w:highlight w:val="none"/>
        </w:rPr>
      </w:pPr>
    </w:p>
    <w:p>
      <w:pPr>
        <w:spacing w:before="0" w:after="0" w:line="360" w:lineRule="auto"/>
        <w:ind w:right="-1"/>
        <w:rPr>
          <w:rFonts w:cs="Arial"/>
          <w:color w:val="auto"/>
          <w:sz w:val="20"/>
          <w:szCs w:val="20"/>
          <w:highlight w:val="none"/>
        </w:rPr>
      </w:pPr>
    </w:p>
    <w:p>
      <w:pPr>
        <w:spacing w:before="0" w:after="0" w:line="360" w:lineRule="auto"/>
        <w:ind w:right="-1"/>
        <w:rPr>
          <w:rFonts w:cs="Arial"/>
          <w:color w:val="auto"/>
          <w:sz w:val="20"/>
          <w:szCs w:val="20"/>
          <w:highlight w:val="none"/>
        </w:rPr>
      </w:pPr>
    </w:p>
    <w:p>
      <w:pPr>
        <w:ind w:firstLine="1843"/>
        <w:rPr>
          <w:rFonts w:ascii="Tahoma" w:hAnsi="Tahoma" w:cs="Tahoma"/>
          <w:color w:val="auto"/>
          <w:highlight w:val="none"/>
        </w:rPr>
      </w:pPr>
    </w:p>
    <w:p>
      <w:pPr>
        <w:ind w:firstLine="1843"/>
        <w:rPr>
          <w:rFonts w:ascii="Tahoma" w:hAnsi="Tahoma" w:cs="Tahoma"/>
          <w:color w:val="auto"/>
          <w:highlight w:val="none"/>
        </w:rPr>
      </w:pPr>
    </w:p>
    <w:p>
      <w:pPr>
        <w:ind w:firstLine="1843"/>
        <w:rPr>
          <w:rFonts w:ascii="Tahoma" w:hAnsi="Tahoma" w:cs="Tahoma"/>
          <w:color w:val="auto"/>
          <w:highlight w:val="none"/>
        </w:rPr>
      </w:pPr>
    </w:p>
    <w:p>
      <w:pPr>
        <w:ind w:firstLine="1843"/>
        <w:rPr>
          <w:color w:val="auto"/>
          <w:highlight w:val="none"/>
        </w:rPr>
      </w:pPr>
    </w:p>
    <w:p>
      <w:pPr>
        <w:spacing w:before="0" w:after="0"/>
        <w:jc w:val="center"/>
        <w:rPr>
          <w:rFonts w:cs="Arial"/>
          <w:color w:val="auto"/>
          <w:sz w:val="20"/>
          <w:szCs w:val="20"/>
          <w:highlight w:val="none"/>
        </w:rPr>
      </w:pPr>
    </w:p>
    <w:p>
      <w:pPr>
        <w:pStyle w:val="8"/>
        <w:spacing w:before="0" w:after="0"/>
        <w:ind w:right="-1" w:firstLine="0"/>
        <w:jc w:val="center"/>
        <w:rPr>
          <w:rFonts w:cs="Arial"/>
          <w:color w:val="auto"/>
          <w:sz w:val="20"/>
          <w:highlight w:val="none"/>
        </w:rPr>
      </w:pPr>
    </w:p>
    <w:p>
      <w:pPr>
        <w:pStyle w:val="5"/>
        <w:bidi w:val="0"/>
        <w:rPr>
          <w:rFonts w:hint="default"/>
          <w:b w:val="0"/>
          <w:bCs/>
          <w:highlight w:val="none"/>
          <w:lang w:val="pt-BR"/>
        </w:rPr>
      </w:pPr>
      <w:r>
        <w:rPr>
          <w:highlight w:val="none"/>
        </w:rPr>
        <w:t xml:space="preserve">ANEXO </w:t>
      </w:r>
      <w:r>
        <w:rPr>
          <w:rFonts w:hint="default"/>
          <w:highlight w:val="none"/>
          <w:lang w:val="pt-BR"/>
        </w:rPr>
        <w:t>V</w:t>
      </w:r>
      <w:r>
        <w:rPr>
          <w:highlight w:val="none"/>
        </w:rPr>
        <w:br w:type="textWrapping"/>
      </w:r>
      <w:r>
        <w:rPr>
          <w:rFonts w:hint="default"/>
          <w:b w:val="0"/>
          <w:bCs/>
          <w:highlight w:val="none"/>
          <w:lang w:val="pt-BR"/>
        </w:rPr>
        <w:t>Declaração do disposto no inciso VI, Art. 68 da Lei 14.133/2021</w:t>
      </w:r>
    </w:p>
    <w:p>
      <w:pPr>
        <w:spacing w:before="0" w:after="0"/>
        <w:jc w:val="center"/>
        <w:rPr>
          <w:sz w:val="20"/>
          <w:szCs w:val="20"/>
          <w:highlight w:val="none"/>
        </w:rPr>
      </w:pPr>
    </w:p>
    <w:p>
      <w:pPr>
        <w:spacing w:before="0" w:after="0"/>
        <w:jc w:val="center"/>
        <w:rPr>
          <w:sz w:val="20"/>
          <w:szCs w:val="20"/>
          <w:highlight w:val="none"/>
        </w:rPr>
      </w:pPr>
    </w:p>
    <w:p>
      <w:pPr>
        <w:pStyle w:val="8"/>
        <w:spacing w:before="0" w:after="0"/>
        <w:ind w:firstLine="0"/>
        <w:jc w:val="center"/>
        <w:rPr>
          <w:b/>
          <w:color w:val="auto"/>
          <w:sz w:val="20"/>
          <w:highlight w:val="none"/>
          <w:u w:val="single"/>
        </w:rPr>
      </w:pPr>
      <w:r>
        <w:rPr>
          <w:b/>
          <w:color w:val="auto"/>
          <w:sz w:val="20"/>
          <w:highlight w:val="none"/>
          <w:u w:val="single"/>
        </w:rPr>
        <w:t>DECLARAÇÃO</w:t>
      </w:r>
    </w:p>
    <w:p>
      <w:pPr>
        <w:pStyle w:val="8"/>
        <w:spacing w:before="0" w:after="0"/>
        <w:ind w:right="-1" w:firstLine="0"/>
        <w:jc w:val="center"/>
        <w:rPr>
          <w:rFonts w:cs="Arial"/>
          <w:color w:val="auto"/>
          <w:sz w:val="20"/>
          <w:highlight w:val="none"/>
        </w:rPr>
      </w:pPr>
    </w:p>
    <w:p>
      <w:pPr>
        <w:spacing w:before="0" w:after="0"/>
        <w:jc w:val="center"/>
        <w:rPr>
          <w:sz w:val="20"/>
          <w:szCs w:val="20"/>
          <w:highlight w:val="none"/>
        </w:rPr>
      </w:pPr>
    </w:p>
    <w:p>
      <w:pPr>
        <w:spacing w:before="0" w:after="0"/>
        <w:jc w:val="center"/>
        <w:rPr>
          <w:sz w:val="20"/>
          <w:szCs w:val="20"/>
          <w:highlight w:val="none"/>
        </w:rPr>
      </w:pPr>
    </w:p>
    <w:p>
      <w:pPr>
        <w:rPr>
          <w:rFonts w:cs="Arial"/>
          <w:color w:val="auto"/>
          <w:sz w:val="20"/>
          <w:szCs w:val="20"/>
          <w:highlight w:val="none"/>
        </w:rPr>
      </w:pPr>
      <w:r>
        <w:rPr>
          <w:rFonts w:cs="Arial"/>
          <w:b/>
          <w:color w:val="auto"/>
          <w:sz w:val="20"/>
          <w:szCs w:val="20"/>
          <w:highlight w:val="none"/>
        </w:rPr>
        <w:t>REF:</w:t>
      </w:r>
      <w:r>
        <w:rPr>
          <w:rFonts w:cs="Arial"/>
          <w:color w:val="auto"/>
          <w:sz w:val="20"/>
          <w:szCs w:val="20"/>
          <w:highlight w:val="none"/>
        </w:rPr>
        <w:t xml:space="preserve">  Edital do Pregão Eletrônico nº </w:t>
      </w:r>
      <w:r>
        <w:rPr>
          <w:rFonts w:hint="default" w:cs="Arial"/>
          <w:color w:val="auto"/>
          <w:sz w:val="20"/>
          <w:szCs w:val="20"/>
          <w:highlight w:val="none"/>
          <w:lang w:val="pt-BR"/>
        </w:rPr>
        <w:t>31</w:t>
      </w:r>
      <w:r>
        <w:rPr>
          <w:rFonts w:cs="Arial"/>
          <w:color w:val="auto"/>
          <w:sz w:val="20"/>
          <w:szCs w:val="20"/>
          <w:highlight w:val="none"/>
        </w:rPr>
        <w:t>/2023</w:t>
      </w:r>
    </w:p>
    <w:p>
      <w:pPr>
        <w:spacing w:before="0" w:after="0"/>
        <w:ind w:right="-1"/>
        <w:jc w:val="both"/>
        <w:rPr>
          <w:rFonts w:cs="Arial"/>
          <w:color w:val="auto"/>
          <w:sz w:val="20"/>
          <w:szCs w:val="20"/>
          <w:highlight w:val="none"/>
        </w:rPr>
      </w:pPr>
    </w:p>
    <w:p>
      <w:pPr>
        <w:spacing w:before="0" w:after="0"/>
        <w:ind w:right="-1"/>
        <w:jc w:val="both"/>
        <w:rPr>
          <w:rFonts w:cs="Arial"/>
          <w:color w:val="auto"/>
          <w:sz w:val="20"/>
          <w:szCs w:val="20"/>
          <w:highlight w:val="none"/>
        </w:rPr>
      </w:pPr>
    </w:p>
    <w:p>
      <w:pPr>
        <w:spacing w:before="0" w:after="0" w:line="360" w:lineRule="auto"/>
        <w:ind w:right="-1"/>
        <w:jc w:val="both"/>
        <w:rPr>
          <w:rFonts w:cs="Arial"/>
          <w:color w:val="auto"/>
          <w:sz w:val="20"/>
          <w:szCs w:val="20"/>
          <w:highlight w:val="none"/>
        </w:rPr>
      </w:pPr>
      <w:r>
        <w:rPr>
          <w:rFonts w:cs="Arial"/>
          <w:color w:val="auto"/>
          <w:sz w:val="20"/>
          <w:szCs w:val="20"/>
          <w:highlight w:val="none"/>
        </w:rPr>
        <w:t xml:space="preserve">(Nome da Empresa)________________________________, inscrita no CNPJ nº_______, por intermédio do seu representante legal Sr.(a) ____________________, portador do RG nº ___________________ e do CPF nº _______________________, DECLARA, para fins do disposto no </w:t>
      </w:r>
      <w:r>
        <w:rPr>
          <w:rFonts w:hint="default" w:cs="Arial"/>
          <w:color w:val="auto"/>
          <w:sz w:val="20"/>
          <w:szCs w:val="20"/>
          <w:highlight w:val="none"/>
          <w:lang w:val="pt-BR"/>
        </w:rPr>
        <w:t>i</w:t>
      </w:r>
      <w:r>
        <w:rPr>
          <w:rFonts w:cs="Arial"/>
          <w:color w:val="auto"/>
          <w:sz w:val="20"/>
          <w:szCs w:val="20"/>
          <w:highlight w:val="none"/>
        </w:rPr>
        <w:t>nciso V</w:t>
      </w:r>
      <w:r>
        <w:rPr>
          <w:rFonts w:hint="default" w:cs="Arial"/>
          <w:color w:val="auto"/>
          <w:sz w:val="20"/>
          <w:szCs w:val="20"/>
          <w:highlight w:val="none"/>
          <w:lang w:val="pt-BR"/>
        </w:rPr>
        <w:t>I</w:t>
      </w:r>
      <w:r>
        <w:rPr>
          <w:rFonts w:cs="Arial"/>
          <w:color w:val="auto"/>
          <w:sz w:val="20"/>
          <w:szCs w:val="20"/>
          <w:highlight w:val="none"/>
        </w:rPr>
        <w:t xml:space="preserve"> do Art. </w:t>
      </w:r>
      <w:r>
        <w:rPr>
          <w:rFonts w:hint="default" w:cs="Arial"/>
          <w:color w:val="auto"/>
          <w:sz w:val="20"/>
          <w:szCs w:val="20"/>
          <w:highlight w:val="none"/>
          <w:lang w:val="pt-BR"/>
        </w:rPr>
        <w:t>68</w:t>
      </w:r>
      <w:r>
        <w:rPr>
          <w:rFonts w:cs="Arial"/>
          <w:color w:val="auto"/>
          <w:sz w:val="20"/>
          <w:szCs w:val="20"/>
          <w:highlight w:val="none"/>
        </w:rPr>
        <w:t xml:space="preserve"> da Lei </w:t>
      </w:r>
      <w:r>
        <w:rPr>
          <w:rFonts w:hint="default" w:cs="Arial"/>
          <w:color w:val="auto"/>
          <w:sz w:val="20"/>
          <w:szCs w:val="20"/>
          <w:highlight w:val="none"/>
          <w:lang w:val="pt-BR"/>
        </w:rPr>
        <w:t>Federal</w:t>
      </w:r>
      <w:r>
        <w:rPr>
          <w:rFonts w:cs="Arial"/>
          <w:color w:val="auto"/>
          <w:sz w:val="20"/>
          <w:szCs w:val="20"/>
          <w:highlight w:val="none"/>
        </w:rPr>
        <w:t xml:space="preserve"> </w:t>
      </w:r>
      <w:r>
        <w:rPr>
          <w:rFonts w:hint="default" w:cs="Arial"/>
          <w:color w:val="auto"/>
          <w:sz w:val="20"/>
          <w:szCs w:val="20"/>
          <w:highlight w:val="none"/>
          <w:lang w:val="pt-BR"/>
        </w:rPr>
        <w:t>14.133/2021 e do inciso XXXIII do art. 7º da Constituição Federal</w:t>
      </w:r>
      <w:r>
        <w:rPr>
          <w:rFonts w:cs="Arial"/>
          <w:color w:val="auto"/>
          <w:sz w:val="20"/>
          <w:szCs w:val="20"/>
          <w:highlight w:val="none"/>
        </w:rPr>
        <w:t>, que não emprega menor de 18 (dezoito) anos em trabalho noturno, perigoso ou insalubre e não emprega menor de 16 (dezesseis) anos.</w:t>
      </w:r>
    </w:p>
    <w:p>
      <w:pPr>
        <w:spacing w:before="0" w:after="0"/>
        <w:ind w:right="-1"/>
        <w:jc w:val="both"/>
        <w:rPr>
          <w:rFonts w:cs="Arial"/>
          <w:color w:val="auto"/>
          <w:sz w:val="20"/>
          <w:szCs w:val="20"/>
          <w:highlight w:val="none"/>
        </w:rPr>
      </w:pPr>
    </w:p>
    <w:p>
      <w:pPr>
        <w:spacing w:before="0" w:after="0"/>
        <w:ind w:right="-1"/>
        <w:jc w:val="both"/>
        <w:rPr>
          <w:rFonts w:cs="Arial"/>
          <w:color w:val="auto"/>
          <w:sz w:val="20"/>
          <w:szCs w:val="20"/>
          <w:highlight w:val="none"/>
        </w:rPr>
      </w:pPr>
    </w:p>
    <w:p>
      <w:pPr>
        <w:rPr>
          <w:rFonts w:cs="Arial"/>
          <w:color w:val="auto"/>
          <w:sz w:val="20"/>
          <w:szCs w:val="20"/>
          <w:highlight w:val="none"/>
        </w:rPr>
      </w:pPr>
      <w:r>
        <w:rPr>
          <w:rFonts w:cs="Arial"/>
          <w:b/>
          <w:color w:val="auto"/>
          <w:sz w:val="20"/>
          <w:szCs w:val="20"/>
          <w:highlight w:val="none"/>
        </w:rPr>
        <w:t>[  ]</w:t>
      </w:r>
      <w:r>
        <w:rPr>
          <w:rFonts w:cs="Arial"/>
          <w:color w:val="auto"/>
          <w:sz w:val="20"/>
          <w:szCs w:val="20"/>
          <w:highlight w:val="none"/>
        </w:rPr>
        <w:t xml:space="preserve"> Ressalva, emprega menor, a partir de 14 (quatorze) anos, na condição de aprendiz.</w:t>
      </w:r>
    </w:p>
    <w:p>
      <w:pPr>
        <w:rPr>
          <w:rFonts w:cs="Arial"/>
          <w:b/>
          <w:color w:val="auto"/>
          <w:sz w:val="20"/>
          <w:szCs w:val="20"/>
          <w:highlight w:val="none"/>
        </w:rPr>
      </w:pPr>
      <w:r>
        <w:rPr>
          <w:rFonts w:cs="Arial"/>
          <w:b/>
          <w:color w:val="auto"/>
          <w:sz w:val="20"/>
          <w:szCs w:val="20"/>
          <w:highlight w:val="none"/>
        </w:rPr>
        <w:t>Observação: em caso afirmativo, assinalar a ressalva acima.</w:t>
      </w:r>
    </w:p>
    <w:p>
      <w:pPr>
        <w:spacing w:before="0" w:after="0"/>
        <w:rPr>
          <w:rFonts w:cs="Arial"/>
          <w:color w:val="auto"/>
          <w:sz w:val="20"/>
          <w:szCs w:val="20"/>
          <w:highlight w:val="none"/>
        </w:rPr>
      </w:pPr>
    </w:p>
    <w:p>
      <w:pPr>
        <w:spacing w:before="0" w:after="0"/>
        <w:jc w:val="center"/>
        <w:rPr>
          <w:rFonts w:cs="Arial"/>
          <w:color w:val="auto"/>
          <w:sz w:val="20"/>
          <w:szCs w:val="20"/>
          <w:highlight w:val="none"/>
        </w:rPr>
      </w:pPr>
    </w:p>
    <w:p>
      <w:pPr>
        <w:spacing w:before="0" w:after="0"/>
        <w:jc w:val="right"/>
        <w:rPr>
          <w:rFonts w:cs="Arial"/>
          <w:color w:val="auto"/>
          <w:sz w:val="20"/>
          <w:szCs w:val="20"/>
          <w:highlight w:val="none"/>
        </w:rPr>
      </w:pPr>
    </w:p>
    <w:p>
      <w:pPr>
        <w:spacing w:before="0" w:after="0"/>
        <w:jc w:val="right"/>
        <w:rPr>
          <w:rFonts w:cs="Arial"/>
          <w:color w:val="auto"/>
          <w:sz w:val="20"/>
          <w:szCs w:val="20"/>
          <w:highlight w:val="none"/>
        </w:rPr>
      </w:pPr>
    </w:p>
    <w:p>
      <w:pPr>
        <w:spacing w:before="0" w:after="0"/>
        <w:jc w:val="right"/>
        <w:rPr>
          <w:rFonts w:cs="Arial"/>
          <w:color w:val="auto"/>
          <w:sz w:val="20"/>
          <w:szCs w:val="20"/>
          <w:highlight w:val="none"/>
        </w:rPr>
      </w:pPr>
      <w:r>
        <w:rPr>
          <w:rFonts w:cs="Arial"/>
          <w:color w:val="auto"/>
          <w:sz w:val="20"/>
          <w:szCs w:val="20"/>
          <w:highlight w:val="none"/>
        </w:rPr>
        <w:t>(Local), __ de _____________ de 2023.</w:t>
      </w:r>
    </w:p>
    <w:p>
      <w:pPr>
        <w:spacing w:before="0" w:after="0"/>
        <w:jc w:val="center"/>
        <w:rPr>
          <w:rFonts w:cs="Arial"/>
          <w:color w:val="auto"/>
          <w:sz w:val="20"/>
          <w:szCs w:val="20"/>
          <w:highlight w:val="none"/>
        </w:rPr>
      </w:pPr>
    </w:p>
    <w:p>
      <w:pPr>
        <w:spacing w:before="0" w:after="0"/>
        <w:jc w:val="center"/>
        <w:rPr>
          <w:rFonts w:cs="Arial"/>
          <w:color w:val="auto"/>
          <w:sz w:val="20"/>
          <w:szCs w:val="20"/>
          <w:highlight w:val="none"/>
        </w:rPr>
      </w:pPr>
    </w:p>
    <w:p>
      <w:pPr>
        <w:spacing w:before="0" w:after="0"/>
        <w:jc w:val="center"/>
        <w:rPr>
          <w:rFonts w:cs="Arial"/>
          <w:color w:val="auto"/>
          <w:sz w:val="20"/>
          <w:szCs w:val="20"/>
          <w:highlight w:val="none"/>
        </w:rPr>
      </w:pPr>
    </w:p>
    <w:p>
      <w:pPr>
        <w:spacing w:before="0" w:after="0"/>
        <w:jc w:val="center"/>
        <w:rPr>
          <w:rFonts w:cs="Arial"/>
          <w:color w:val="auto"/>
          <w:sz w:val="20"/>
          <w:szCs w:val="20"/>
          <w:highlight w:val="none"/>
        </w:rPr>
      </w:pPr>
    </w:p>
    <w:p>
      <w:pPr>
        <w:spacing w:before="0" w:after="0"/>
        <w:jc w:val="center"/>
        <w:rPr>
          <w:rFonts w:cs="Arial"/>
          <w:color w:val="auto"/>
          <w:sz w:val="20"/>
          <w:szCs w:val="20"/>
          <w:highlight w:val="none"/>
        </w:rPr>
      </w:pPr>
    </w:p>
    <w:p>
      <w:pPr>
        <w:spacing w:before="0" w:after="0"/>
        <w:jc w:val="center"/>
        <w:rPr>
          <w:rFonts w:cs="Arial"/>
          <w:color w:val="auto"/>
          <w:sz w:val="20"/>
          <w:szCs w:val="20"/>
          <w:highlight w:val="none"/>
        </w:rPr>
      </w:pPr>
    </w:p>
    <w:p>
      <w:pPr>
        <w:spacing w:before="0" w:after="0"/>
        <w:jc w:val="center"/>
        <w:rPr>
          <w:rFonts w:cs="Arial"/>
          <w:color w:val="auto"/>
          <w:sz w:val="20"/>
          <w:szCs w:val="20"/>
          <w:highlight w:val="none"/>
        </w:rPr>
      </w:pPr>
      <w:r>
        <w:rPr>
          <w:rFonts w:cs="Arial"/>
          <w:color w:val="auto"/>
          <w:sz w:val="20"/>
          <w:szCs w:val="20"/>
          <w:highlight w:val="none"/>
        </w:rPr>
        <w:t>__________________________________</w:t>
      </w:r>
      <w:r>
        <w:rPr>
          <w:rFonts w:cs="Arial"/>
          <w:color w:val="auto"/>
          <w:sz w:val="20"/>
          <w:szCs w:val="20"/>
          <w:highlight w:val="none"/>
        </w:rPr>
        <w:br w:type="textWrapping"/>
      </w:r>
      <w:r>
        <w:rPr>
          <w:rFonts w:cs="Arial"/>
          <w:color w:val="auto"/>
          <w:sz w:val="20"/>
          <w:szCs w:val="20"/>
          <w:highlight w:val="none"/>
        </w:rPr>
        <w:t>(Carimbo e Assinatura)</w:t>
      </w:r>
    </w:p>
    <w:p>
      <w:pPr>
        <w:spacing w:before="0" w:after="0" w:line="360" w:lineRule="auto"/>
        <w:ind w:right="-1"/>
        <w:jc w:val="both"/>
        <w:rPr>
          <w:rFonts w:cs="Arial"/>
          <w:color w:val="auto"/>
          <w:sz w:val="20"/>
          <w:szCs w:val="20"/>
          <w:highlight w:val="none"/>
        </w:rPr>
      </w:pPr>
    </w:p>
    <w:p>
      <w:pPr>
        <w:spacing w:before="0" w:after="0" w:line="360" w:lineRule="auto"/>
        <w:ind w:right="-1"/>
        <w:jc w:val="both"/>
        <w:rPr>
          <w:rFonts w:cs="Arial"/>
          <w:color w:val="auto"/>
          <w:sz w:val="20"/>
          <w:szCs w:val="20"/>
          <w:highlight w:val="none"/>
        </w:rPr>
      </w:pPr>
    </w:p>
    <w:p>
      <w:pPr>
        <w:spacing w:before="0" w:after="0" w:line="360" w:lineRule="auto"/>
        <w:ind w:right="-1"/>
        <w:jc w:val="both"/>
        <w:rPr>
          <w:rFonts w:cs="Arial"/>
          <w:color w:val="auto"/>
          <w:sz w:val="20"/>
          <w:szCs w:val="20"/>
          <w:highlight w:val="none"/>
        </w:rPr>
      </w:pPr>
    </w:p>
    <w:p>
      <w:pPr>
        <w:spacing w:before="0" w:after="0" w:line="360" w:lineRule="auto"/>
        <w:ind w:right="-1"/>
        <w:jc w:val="both"/>
        <w:rPr>
          <w:rFonts w:cs="Arial"/>
          <w:color w:val="auto"/>
          <w:sz w:val="20"/>
          <w:szCs w:val="20"/>
          <w:highlight w:val="none"/>
        </w:rPr>
      </w:pPr>
    </w:p>
    <w:p>
      <w:pPr>
        <w:spacing w:before="0" w:after="0" w:line="360" w:lineRule="auto"/>
        <w:ind w:right="-1"/>
        <w:jc w:val="both"/>
        <w:rPr>
          <w:rFonts w:cs="Arial"/>
          <w:color w:val="auto"/>
          <w:sz w:val="20"/>
          <w:szCs w:val="20"/>
          <w:highlight w:val="none"/>
        </w:rPr>
      </w:pPr>
      <w:r>
        <w:rPr>
          <w:rFonts w:cs="Arial"/>
          <w:color w:val="auto"/>
          <w:sz w:val="20"/>
          <w:szCs w:val="20"/>
          <w:highlight w:val="none"/>
        </w:rPr>
        <w:br w:type="page"/>
      </w:r>
    </w:p>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p>
      <w:pPr>
        <w:pStyle w:val="7"/>
        <w:spacing w:before="0" w:after="0"/>
        <w:ind w:left="142" w:right="-1" w:firstLine="0"/>
        <w:jc w:val="center"/>
        <w:rPr>
          <w:rFonts w:cs="Arial"/>
          <w:b w:val="0"/>
          <w:color w:val="auto"/>
          <w:szCs w:val="22"/>
          <w:highlight w:val="none"/>
        </w:rPr>
      </w:pPr>
      <w:bookmarkStart w:id="173" w:name="_Toc347306367"/>
      <w:bookmarkStart w:id="174" w:name="_Toc412557110"/>
      <w:bookmarkStart w:id="175" w:name="_Toc412101463"/>
      <w:bookmarkStart w:id="176" w:name="_Toc480904467"/>
      <w:bookmarkStart w:id="177" w:name="_Toc400972740"/>
      <w:bookmarkStart w:id="178" w:name="_Toc399483297"/>
      <w:bookmarkStart w:id="179" w:name="_Toc380149409"/>
      <w:bookmarkStart w:id="180" w:name="_Toc412120333"/>
      <w:bookmarkStart w:id="181" w:name="_Toc383094942"/>
      <w:bookmarkStart w:id="182" w:name="_Toc376519931"/>
      <w:bookmarkStart w:id="183" w:name="_Toc347321141"/>
      <w:bookmarkStart w:id="184" w:name="_Toc404174798"/>
      <w:bookmarkStart w:id="185" w:name="_Toc348710735"/>
      <w:bookmarkStart w:id="186" w:name="_Toc412704821"/>
      <w:bookmarkStart w:id="187" w:name="_Toc384017453"/>
      <w:bookmarkStart w:id="188" w:name="_Toc412101490"/>
      <w:bookmarkStart w:id="189" w:name="_Toc412447385"/>
      <w:bookmarkStart w:id="190" w:name="_Toc347320398"/>
      <w:bookmarkStart w:id="191" w:name="_Toc371500833"/>
      <w:bookmarkStart w:id="192" w:name="_Toc404668710"/>
      <w:bookmarkStart w:id="193" w:name="_Toc383095094"/>
      <w:bookmarkStart w:id="194" w:name="_Toc371491403"/>
      <w:bookmarkStart w:id="195" w:name="_Toc412032973"/>
      <w:bookmarkStart w:id="196" w:name="_Toc422216625"/>
      <w:bookmarkStart w:id="197" w:name="_Toc371491602"/>
      <w:bookmarkStart w:id="198" w:name="_Toc399484149"/>
      <w:bookmarkStart w:id="199" w:name="_Toc383095188"/>
      <w:bookmarkStart w:id="200" w:name="_Toc380156700"/>
      <w:bookmarkStart w:id="201" w:name="_Toc383095710"/>
      <w:bookmarkStart w:id="202" w:name="_Toc383095039"/>
      <w:bookmarkStart w:id="203" w:name="_Toc348595804"/>
      <w:bookmarkStart w:id="204" w:name="_Toc413243653"/>
      <w:bookmarkStart w:id="205" w:name="_Toc412703133"/>
      <w:bookmarkStart w:id="206" w:name="_Toc348533483"/>
      <w:bookmarkStart w:id="207" w:name="_Toc404671811"/>
      <w:bookmarkStart w:id="208" w:name="_Toc348540259"/>
      <w:bookmarkStart w:id="209" w:name="_Toc399484506"/>
      <w:bookmarkStart w:id="210" w:name="_Toc380150391"/>
      <w:bookmarkStart w:id="211" w:name="_Toc417047675"/>
      <w:bookmarkStart w:id="212" w:name="_Toc416081821"/>
      <w:bookmarkStart w:id="213" w:name="_Toc348596038"/>
      <w:bookmarkStart w:id="214" w:name="_Toc380139055"/>
      <w:bookmarkStart w:id="215" w:name="_Toc417030598"/>
      <w:bookmarkStart w:id="216" w:name="_Toc347303877"/>
      <w:bookmarkStart w:id="217" w:name="_Toc412443353"/>
      <w:bookmarkStart w:id="218" w:name="_Toc417548461"/>
      <w:bookmarkStart w:id="219" w:name="_Toc399489311"/>
      <w:bookmarkStart w:id="220" w:name="_Toc412539788"/>
      <w:bookmarkStart w:id="221" w:name="_Toc380071822"/>
      <w:bookmarkStart w:id="222" w:name="_Toc383181221"/>
      <w:bookmarkStart w:id="223" w:name="_Toc347306714"/>
      <w:bookmarkStart w:id="224" w:name="_Toc417460184"/>
      <w:bookmarkStart w:id="225" w:name="_Toc348707598"/>
      <w:bookmarkStart w:id="226" w:name="_Toc375144015"/>
      <w:bookmarkStart w:id="227" w:name="_Toc347306763"/>
      <w:bookmarkStart w:id="228" w:name="_Toc405295126"/>
      <w:bookmarkStart w:id="229" w:name="_Toc416079308"/>
      <w:bookmarkStart w:id="230" w:name="_Toc348710821"/>
      <w:bookmarkStart w:id="231" w:name="_Toc371491689"/>
      <w:bookmarkStart w:id="232" w:name="_Toc416078260"/>
      <w:bookmarkStart w:id="233" w:name="_Toc383095052"/>
      <w:bookmarkStart w:id="234" w:name="_Toc383094773"/>
      <w:bookmarkStart w:id="235" w:name="_Toc412099497"/>
      <w:bookmarkStart w:id="236" w:name="_Toc422320369"/>
      <w:bookmarkStart w:id="237" w:name="_Toc375144796"/>
      <w:bookmarkStart w:id="238" w:name="_Toc383255305"/>
      <w:bookmarkStart w:id="239" w:name="_Toc348540485"/>
      <w:bookmarkStart w:id="240" w:name="_Toc380138314"/>
    </w:p>
    <w:p>
      <w:pPr>
        <w:pStyle w:val="5"/>
        <w:bidi w:val="0"/>
        <w:rPr>
          <w:rFonts w:hint="default"/>
          <w:highlight w:val="none"/>
          <w:lang w:val="pt-BR"/>
        </w:rPr>
      </w:pPr>
      <w:r>
        <w:rPr>
          <w:highlight w:val="none"/>
        </w:rPr>
        <w:t xml:space="preserve">ANEXO </w:t>
      </w:r>
      <w:r>
        <w:rPr>
          <w:rFonts w:hint="default"/>
          <w:highlight w:val="none"/>
          <w:lang w:val="pt-BR"/>
        </w:rPr>
        <w:t>VI</w:t>
      </w:r>
      <w:r>
        <w:rPr>
          <w:highlight w:val="none"/>
        </w:rPr>
        <w:br w:type="textWrapping"/>
      </w:r>
      <w:r>
        <w:rPr>
          <w:rFonts w:hint="default"/>
          <w:highlight w:val="none"/>
          <w:lang w:val="pt-BR"/>
        </w:rPr>
        <w:t>Minuta do Contrato</w:t>
      </w:r>
    </w:p>
    <w:p>
      <w:pPr>
        <w:rPr>
          <w:highlight w:val="none"/>
        </w:rPr>
      </w:pPr>
    </w:p>
    <w:p>
      <w:pPr>
        <w:spacing w:before="0" w:after="0"/>
        <w:ind w:left="-142" w:right="-1"/>
        <w:jc w:val="center"/>
        <w:rPr>
          <w:rFonts w:cs="Arial"/>
          <w:b/>
          <w:color w:val="auto"/>
          <w:sz w:val="20"/>
          <w:szCs w:val="20"/>
          <w:highlight w:val="none"/>
        </w:rPr>
      </w:pPr>
      <w:r>
        <w:rPr>
          <w:rFonts w:cs="Arial"/>
          <w:b/>
          <w:color w:val="auto"/>
          <w:sz w:val="20"/>
          <w:szCs w:val="20"/>
          <w:highlight w:val="none"/>
        </w:rPr>
        <w:t>CONTRATO Nº __/2023</w:t>
      </w:r>
    </w:p>
    <w:p>
      <w:pPr>
        <w:spacing w:before="0" w:after="0"/>
        <w:ind w:left="-142" w:right="-1"/>
        <w:jc w:val="center"/>
        <w:rPr>
          <w:rFonts w:cs="Arial"/>
          <w:b/>
          <w:color w:val="auto"/>
          <w:sz w:val="20"/>
          <w:szCs w:val="20"/>
          <w:highlight w:val="none"/>
        </w:rPr>
      </w:pPr>
      <w:r>
        <w:rPr>
          <w:rFonts w:cs="Arial"/>
          <w:b/>
          <w:color w:val="auto"/>
          <w:sz w:val="20"/>
          <w:szCs w:val="20"/>
          <w:highlight w:val="none"/>
        </w:rPr>
        <w:t xml:space="preserve">PREGÃO ELETRÔNICO Nº </w:t>
      </w:r>
      <w:r>
        <w:rPr>
          <w:rFonts w:hint="default" w:cs="Arial"/>
          <w:b/>
          <w:color w:val="auto"/>
          <w:sz w:val="20"/>
          <w:szCs w:val="20"/>
          <w:highlight w:val="none"/>
          <w:lang w:val="pt-BR"/>
        </w:rPr>
        <w:t>31</w:t>
      </w:r>
      <w:r>
        <w:rPr>
          <w:rFonts w:cs="Arial"/>
          <w:b/>
          <w:color w:val="auto"/>
          <w:sz w:val="20"/>
          <w:szCs w:val="20"/>
          <w:highlight w:val="none"/>
        </w:rPr>
        <w:t>/2023</w:t>
      </w:r>
      <w:r>
        <w:rPr>
          <w:rFonts w:cs="Arial"/>
          <w:b/>
          <w:color w:val="auto"/>
          <w:sz w:val="20"/>
          <w:szCs w:val="20"/>
          <w:highlight w:val="none"/>
        </w:rPr>
        <w:br w:type="textWrapping"/>
      </w:r>
      <w:r>
        <w:rPr>
          <w:rFonts w:cs="Arial"/>
          <w:b/>
          <w:color w:val="auto"/>
          <w:sz w:val="20"/>
          <w:szCs w:val="20"/>
          <w:highlight w:val="none"/>
        </w:rPr>
        <w:t xml:space="preserve">PROCESSO  Nº </w:t>
      </w:r>
      <w:r>
        <w:rPr>
          <w:rFonts w:hint="default" w:cs="Arial"/>
          <w:b/>
          <w:color w:val="auto"/>
          <w:sz w:val="20"/>
          <w:szCs w:val="20"/>
          <w:highlight w:val="none"/>
          <w:lang w:val="pt-BR"/>
        </w:rPr>
        <w:t>2.180</w:t>
      </w:r>
      <w:r>
        <w:rPr>
          <w:rFonts w:cs="Arial"/>
          <w:b/>
          <w:color w:val="auto"/>
          <w:sz w:val="20"/>
          <w:szCs w:val="20"/>
          <w:highlight w:val="none"/>
        </w:rPr>
        <w:t>/2023</w:t>
      </w:r>
    </w:p>
    <w:p>
      <w:pPr>
        <w:spacing w:before="0" w:after="0"/>
        <w:ind w:left="-142" w:right="-1"/>
        <w:jc w:val="center"/>
        <w:rPr>
          <w:rFonts w:cs="Arial"/>
          <w:b/>
          <w:color w:val="auto"/>
          <w:sz w:val="20"/>
          <w:szCs w:val="20"/>
          <w:highlight w:val="none"/>
        </w:rPr>
      </w:pPr>
    </w:p>
    <w:p>
      <w:pPr>
        <w:spacing w:before="0" w:after="0"/>
        <w:ind w:left="2268" w:hanging="2268"/>
        <w:rPr>
          <w:rFonts w:cs="Arial"/>
          <w:b/>
          <w:sz w:val="16"/>
          <w:szCs w:val="16"/>
          <w:highlight w:val="none"/>
          <w:u w:val="single"/>
        </w:rPr>
      </w:pPr>
    </w:p>
    <w:tbl>
      <w:tblPr>
        <w:tblStyle w:val="12"/>
        <w:tblpPr w:leftFromText="141" w:rightFromText="141" w:vertAnchor="text" w:horzAnchor="margin" w:tblpX="-68" w:tblpY="-32"/>
        <w:tblW w:w="9886" w:type="dxa"/>
        <w:tblInd w:w="0" w:type="dxa"/>
        <w:tblLayout w:type="autofit"/>
        <w:tblCellMar>
          <w:top w:w="0" w:type="dxa"/>
          <w:left w:w="108" w:type="dxa"/>
          <w:bottom w:w="0" w:type="dxa"/>
          <w:right w:w="108" w:type="dxa"/>
        </w:tblCellMar>
      </w:tblPr>
      <w:tblGrid>
        <w:gridCol w:w="2715"/>
        <w:gridCol w:w="7171"/>
      </w:tblGrid>
      <w:tr>
        <w:tblPrEx>
          <w:tblCellMar>
            <w:top w:w="0" w:type="dxa"/>
            <w:left w:w="108" w:type="dxa"/>
            <w:bottom w:w="0" w:type="dxa"/>
            <w:right w:w="108" w:type="dxa"/>
          </w:tblCellMar>
        </w:tblPrEx>
        <w:trPr>
          <w:trHeight w:val="1548" w:hRule="atLeast"/>
        </w:trPr>
        <w:tc>
          <w:tcPr>
            <w:tcW w:w="2715" w:type="dxa"/>
          </w:tcPr>
          <w:p>
            <w:pPr>
              <w:spacing w:before="0" w:after="0"/>
              <w:jc w:val="right"/>
              <w:rPr>
                <w:rFonts w:ascii="Tahoma" w:hAnsi="Tahoma" w:cs="Tahoma"/>
                <w:b/>
                <w:szCs w:val="22"/>
                <w:highlight w:val="none"/>
                <w:u w:val="single"/>
              </w:rPr>
            </w:pPr>
            <w:r>
              <w:rPr>
                <w:rFonts w:cs="Arial"/>
                <w:b/>
                <w:color w:val="auto"/>
                <w:sz w:val="20"/>
                <w:szCs w:val="20"/>
                <w:highlight w:val="none"/>
              </w:rPr>
              <w:t>CONTRATANTE:</w:t>
            </w:r>
          </w:p>
        </w:tc>
        <w:tc>
          <w:tcPr>
            <w:tcW w:w="7171" w:type="dxa"/>
            <w:vAlign w:val="center"/>
          </w:tcPr>
          <w:p>
            <w:pPr>
              <w:spacing w:before="0" w:after="0"/>
              <w:jc w:val="both"/>
              <w:rPr>
                <w:rFonts w:cs="Arial"/>
                <w:color w:val="auto"/>
                <w:sz w:val="20"/>
                <w:szCs w:val="20"/>
                <w:highlight w:val="none"/>
              </w:rPr>
            </w:pPr>
            <w:r>
              <w:rPr>
                <w:rFonts w:cs="Arial"/>
                <w:b/>
                <w:color w:val="auto"/>
                <w:sz w:val="20"/>
                <w:szCs w:val="20"/>
                <w:highlight w:val="none"/>
              </w:rPr>
              <w:t>PREFEITURA MUNICIPAL DE ITAPEVA</w:t>
            </w:r>
            <w:r>
              <w:rPr>
                <w:rFonts w:cs="Arial"/>
                <w:color w:val="auto"/>
                <w:sz w:val="20"/>
                <w:szCs w:val="20"/>
                <w:highlight w:val="none"/>
              </w:rPr>
              <w:t>, inscrita no CNPJ/MF sob o nº 46.634.358/0001-77, sede na Praça Duque de Caxias, nº 22, Centro, na cidade de Itapeva/SP, neste ato representada por seu Prefeito Municipal, Sr.  MÁRIO SÉRGIO TASSINARI, brasileiro, portador da Cédula de Identidade RG nº 7.561.404-2 SSP/SP e do CPF/MF sob o nº 015.384.138-92, e de outro lado como:</w:t>
            </w:r>
          </w:p>
          <w:p>
            <w:pPr>
              <w:pStyle w:val="24"/>
              <w:spacing w:before="0" w:after="0"/>
              <w:jc w:val="both"/>
              <w:rPr>
                <w:rFonts w:ascii="Tahoma" w:hAnsi="Tahoma" w:cs="Tahoma"/>
                <w:color w:val="auto"/>
                <w:highlight w:val="none"/>
              </w:rPr>
            </w:pPr>
          </w:p>
        </w:tc>
      </w:tr>
      <w:tr>
        <w:tblPrEx>
          <w:tblCellMar>
            <w:top w:w="0" w:type="dxa"/>
            <w:left w:w="108" w:type="dxa"/>
            <w:bottom w:w="0" w:type="dxa"/>
            <w:right w:w="108" w:type="dxa"/>
          </w:tblCellMar>
        </w:tblPrEx>
        <w:trPr>
          <w:trHeight w:val="1189" w:hRule="atLeast"/>
        </w:trPr>
        <w:tc>
          <w:tcPr>
            <w:tcW w:w="2715" w:type="dxa"/>
          </w:tcPr>
          <w:p>
            <w:pPr>
              <w:spacing w:before="0" w:after="0"/>
              <w:jc w:val="right"/>
              <w:rPr>
                <w:rFonts w:ascii="Tahoma" w:hAnsi="Tahoma" w:cs="Tahoma"/>
                <w:b/>
                <w:szCs w:val="22"/>
                <w:highlight w:val="none"/>
                <w:u w:val="single"/>
              </w:rPr>
            </w:pPr>
            <w:r>
              <w:rPr>
                <w:rFonts w:cs="Arial"/>
                <w:b/>
                <w:color w:val="auto"/>
                <w:sz w:val="20"/>
                <w:szCs w:val="20"/>
                <w:highlight w:val="none"/>
              </w:rPr>
              <w:t>CONTRATADA:</w:t>
            </w:r>
          </w:p>
        </w:tc>
        <w:tc>
          <w:tcPr>
            <w:tcW w:w="7171" w:type="dxa"/>
            <w:vAlign w:val="center"/>
          </w:tcPr>
          <w:p>
            <w:pPr>
              <w:spacing w:before="0" w:after="0"/>
              <w:jc w:val="both"/>
              <w:rPr>
                <w:rFonts w:cs="Arial"/>
                <w:color w:val="auto"/>
                <w:sz w:val="20"/>
                <w:szCs w:val="20"/>
                <w:highlight w:val="none"/>
              </w:rPr>
            </w:pPr>
            <w:r>
              <w:rPr>
                <w:rFonts w:cs="Arial"/>
                <w:b/>
                <w:color w:val="auto"/>
                <w:sz w:val="20"/>
                <w:szCs w:val="20"/>
                <w:highlight w:val="none"/>
              </w:rPr>
              <w:t>RAZÃO SOCIAL</w:t>
            </w:r>
            <w:r>
              <w:rPr>
                <w:rFonts w:cs="Arial"/>
                <w:color w:val="auto"/>
                <w:sz w:val="20"/>
                <w:szCs w:val="20"/>
                <w:highlight w:val="none"/>
              </w:rPr>
              <w:t>, inscrita no CNPJ/MF sob o n° ____ e Inscrição Estadual n° _____, com sede na Rua ____, Bairro, na Cidade de ____, neste ato representada pelo Sr. REPRESENTANTE DA EMPRESA, nacionalidade, estado civil, profissão, portador da Cédula de Identidade RG nº _______________ – SSP/SP e do CPF/MF sob o n° _______________.</w:t>
            </w:r>
          </w:p>
        </w:tc>
      </w:tr>
    </w:tbl>
    <w:p>
      <w:pPr>
        <w:tabs>
          <w:tab w:val="left" w:pos="-142"/>
          <w:tab w:val="left" w:pos="9639"/>
        </w:tabs>
        <w:spacing w:before="0" w:after="0" w:line="240" w:lineRule="exact"/>
        <w:ind w:left="-142" w:right="-2"/>
        <w:jc w:val="both"/>
        <w:rPr>
          <w:rFonts w:cs="Arial"/>
          <w:color w:val="auto"/>
          <w:sz w:val="20"/>
          <w:szCs w:val="20"/>
          <w:highlight w:val="none"/>
        </w:rPr>
      </w:pPr>
      <w:r>
        <w:rPr>
          <w:rFonts w:cs="Arial"/>
          <w:color w:val="auto"/>
          <w:sz w:val="20"/>
          <w:szCs w:val="20"/>
          <w:highlight w:val="none"/>
        </w:rPr>
        <w:t>Dessa forma parte acima qualificada doravante denominada neste ato, respectivamente, CONTRATANTE e CONTRATADA, têm entre si, por esta e da melhor forma de direito, tudo de conformidade com a Licitação do presente Contrato, mediante as cláusulas e condições seguintes, que reciprocamente outorgam e aceitam:</w:t>
      </w:r>
    </w:p>
    <w:p>
      <w:pPr>
        <w:spacing w:before="0" w:after="0" w:line="240" w:lineRule="exact"/>
        <w:ind w:left="-142" w:right="424"/>
        <w:rPr>
          <w:rFonts w:ascii="Tahoma" w:hAnsi="Tahoma" w:cs="Tahoma"/>
          <w:color w:val="auto"/>
          <w:sz w:val="19"/>
          <w:szCs w:val="19"/>
          <w:highlight w:val="none"/>
        </w:rPr>
      </w:pPr>
    </w:p>
    <w:p>
      <w:pPr>
        <w:pStyle w:val="47"/>
        <w:spacing w:before="0" w:after="0" w:line="240" w:lineRule="exact"/>
        <w:ind w:left="-142" w:right="565"/>
        <w:rPr>
          <w:rFonts w:cs="Arial"/>
          <w:b/>
          <w:color w:val="auto"/>
          <w:sz w:val="20"/>
          <w:szCs w:val="20"/>
          <w:highlight w:val="none"/>
          <w:u w:val="single"/>
        </w:rPr>
      </w:pPr>
      <w:r>
        <w:rPr>
          <w:rFonts w:cs="Arial"/>
          <w:b/>
          <w:color w:val="auto"/>
          <w:sz w:val="20"/>
          <w:szCs w:val="20"/>
          <w:highlight w:val="none"/>
          <w:u w:val="single"/>
        </w:rPr>
        <w:t>CLÁUSULA 1ª – DO OBJETO</w:t>
      </w:r>
    </w:p>
    <w:p>
      <w:pPr>
        <w:pStyle w:val="47"/>
        <w:spacing w:before="0" w:after="0" w:line="240" w:lineRule="exact"/>
        <w:ind w:left="-142" w:right="565"/>
        <w:rPr>
          <w:rFonts w:cs="Arial"/>
          <w:b/>
          <w:color w:val="auto"/>
          <w:sz w:val="20"/>
          <w:szCs w:val="20"/>
          <w:highlight w:val="none"/>
          <w:u w:val="single"/>
        </w:rPr>
      </w:pPr>
    </w:p>
    <w:p>
      <w:pPr>
        <w:spacing w:before="0" w:after="0" w:line="240" w:lineRule="exact"/>
        <w:ind w:left="-142" w:right="-1"/>
        <w:jc w:val="both"/>
        <w:rPr>
          <w:rFonts w:cs="Arial"/>
          <w:color w:val="auto"/>
          <w:sz w:val="20"/>
          <w:szCs w:val="20"/>
          <w:highlight w:val="none"/>
        </w:rPr>
      </w:pPr>
      <w:r>
        <w:rPr>
          <w:rFonts w:cs="Arial"/>
          <w:color w:val="auto"/>
          <w:sz w:val="20"/>
          <w:szCs w:val="20"/>
          <w:highlight w:val="none"/>
        </w:rPr>
        <w:t xml:space="preserve">A CONTRATADA se obriga a </w:t>
      </w:r>
      <w:r>
        <w:rPr>
          <w:rFonts w:hint="default" w:cs="Arial"/>
          <w:color w:val="auto"/>
          <w:sz w:val="20"/>
          <w:szCs w:val="20"/>
          <w:highlight w:val="none"/>
          <w:lang w:val="pt-BR"/>
        </w:rPr>
        <w:t>executar</w:t>
      </w:r>
      <w:r>
        <w:rPr>
          <w:rFonts w:cs="Arial"/>
          <w:color w:val="auto"/>
          <w:sz w:val="20"/>
          <w:szCs w:val="20"/>
          <w:highlight w:val="none"/>
        </w:rPr>
        <w:t xml:space="preserve">, conforme solicitação, </w:t>
      </w:r>
      <w:r>
        <w:rPr>
          <w:rFonts w:hint="default" w:cs="Arial"/>
          <w:b/>
          <w:bCs/>
          <w:color w:val="auto"/>
          <w:sz w:val="20"/>
          <w:szCs w:val="20"/>
          <w:highlight w:val="none"/>
          <w:lang w:val="pt-BR"/>
        </w:rPr>
        <w:t>a</w:t>
      </w:r>
      <w:r>
        <w:rPr>
          <w:rFonts w:cs="Arial"/>
          <w:b/>
          <w:bCs/>
          <w:color w:val="auto"/>
          <w:sz w:val="20"/>
          <w:szCs w:val="20"/>
          <w:highlight w:val="none"/>
          <w:lang w:val="en-US" w:eastAsia="zh-CN"/>
        </w:rPr>
        <w:t>quisição e instalação de Unidades</w:t>
      </w:r>
      <w:r>
        <w:rPr>
          <w:rFonts w:hint="default" w:cs="Arial"/>
          <w:b/>
          <w:bCs/>
          <w:color w:val="auto"/>
          <w:sz w:val="20"/>
          <w:szCs w:val="20"/>
          <w:highlight w:val="none"/>
          <w:lang w:val="pt-BR" w:eastAsia="zh-CN"/>
        </w:rPr>
        <w:t xml:space="preserve"> </w:t>
      </w:r>
      <w:r>
        <w:rPr>
          <w:rFonts w:hint="default" w:cs="Arial"/>
          <w:b/>
          <w:bCs/>
          <w:color w:val="auto"/>
          <w:sz w:val="20"/>
          <w:szCs w:val="20"/>
          <w:highlight w:val="none"/>
          <w:lang w:val="en-US" w:eastAsia="zh-CN"/>
        </w:rPr>
        <w:t>Sanitárias Individuais (USI's)</w:t>
      </w:r>
      <w:r>
        <w:rPr>
          <w:rFonts w:cs="Arial"/>
          <w:b/>
          <w:bCs/>
          <w:color w:val="auto"/>
          <w:sz w:val="20"/>
          <w:szCs w:val="20"/>
          <w:highlight w:val="none"/>
        </w:rPr>
        <w:t>,</w:t>
      </w:r>
      <w:r>
        <w:rPr>
          <w:rFonts w:cs="Arial"/>
          <w:color w:val="auto"/>
          <w:sz w:val="20"/>
          <w:szCs w:val="20"/>
          <w:highlight w:val="none"/>
        </w:rPr>
        <w:t xml:space="preserve"> atendendo as necessidades da Secretaria Municipal </w:t>
      </w:r>
      <w:r>
        <w:rPr>
          <w:rFonts w:hint="default" w:cs="Arial"/>
          <w:color w:val="auto"/>
          <w:sz w:val="20"/>
          <w:szCs w:val="20"/>
          <w:highlight w:val="none"/>
          <w:lang w:val="pt-BR"/>
        </w:rPr>
        <w:t>de Transportes e Serviços Rurais</w:t>
      </w:r>
      <w:r>
        <w:rPr>
          <w:rFonts w:cs="Arial"/>
          <w:color w:val="auto"/>
          <w:sz w:val="20"/>
          <w:szCs w:val="20"/>
          <w:highlight w:val="none"/>
        </w:rPr>
        <w:t xml:space="preserve">, de acordo o </w:t>
      </w:r>
      <w:r>
        <w:rPr>
          <w:rFonts w:cs="Arial"/>
          <w:b/>
          <w:color w:val="auto"/>
          <w:sz w:val="20"/>
          <w:szCs w:val="20"/>
          <w:highlight w:val="none"/>
        </w:rPr>
        <w:t>Termo de Referência - Anexo I</w:t>
      </w:r>
      <w:r>
        <w:rPr>
          <w:rFonts w:cs="Arial"/>
          <w:color w:val="auto"/>
          <w:sz w:val="20"/>
          <w:szCs w:val="20"/>
          <w:highlight w:val="none"/>
        </w:rPr>
        <w:t xml:space="preserve"> do Edital da Licitação - Pregão Eletrônico nº </w:t>
      </w:r>
      <w:r>
        <w:rPr>
          <w:rFonts w:hint="default" w:cs="Arial"/>
          <w:color w:val="auto"/>
          <w:sz w:val="20"/>
          <w:szCs w:val="20"/>
          <w:highlight w:val="none"/>
          <w:lang w:val="pt-BR"/>
        </w:rPr>
        <w:t>31</w:t>
      </w:r>
      <w:r>
        <w:rPr>
          <w:rFonts w:cs="Arial"/>
          <w:color w:val="auto"/>
          <w:sz w:val="20"/>
          <w:szCs w:val="20"/>
          <w:highlight w:val="none"/>
        </w:rPr>
        <w:t>/2023, conforme segue:</w:t>
      </w:r>
    </w:p>
    <w:p>
      <w:pPr>
        <w:spacing w:before="0" w:after="0" w:line="240" w:lineRule="exact"/>
        <w:ind w:left="-142" w:right="-1"/>
        <w:jc w:val="both"/>
        <w:rPr>
          <w:rFonts w:cs="Arial"/>
          <w:color w:val="auto"/>
          <w:sz w:val="20"/>
          <w:szCs w:val="20"/>
          <w:highlight w:val="none"/>
        </w:rPr>
      </w:pPr>
    </w:p>
    <w:tbl>
      <w:tblPr>
        <w:tblStyle w:val="12"/>
        <w:tblW w:w="5037"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70" w:type="dxa"/>
          <w:bottom w:w="0" w:type="dxa"/>
          <w:right w:w="70" w:type="dxa"/>
        </w:tblCellMar>
      </w:tblPr>
      <w:tblGrid>
        <w:gridCol w:w="959"/>
        <w:gridCol w:w="963"/>
        <w:gridCol w:w="4809"/>
        <w:gridCol w:w="1561"/>
        <w:gridCol w:w="1416"/>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70" w:type="dxa"/>
            <w:bottom w:w="0" w:type="dxa"/>
            <w:right w:w="70" w:type="dxa"/>
          </w:tblCellMar>
        </w:tblPrEx>
        <w:trPr>
          <w:trHeight w:val="20" w:hRule="atLeast"/>
        </w:trPr>
        <w:tc>
          <w:tcPr>
            <w:tcW w:w="5000" w:type="pct"/>
            <w:gridSpan w:val="5"/>
            <w:tcBorders>
              <w:top w:val="single" w:color="auto" w:sz="2" w:space="0"/>
              <w:left w:val="single" w:color="auto" w:sz="2" w:space="0"/>
              <w:bottom w:val="single" w:color="auto" w:sz="2" w:space="0"/>
              <w:right w:val="single" w:color="auto" w:sz="4" w:space="0"/>
            </w:tcBorders>
            <w:shd w:val="clear" w:color="auto" w:fill="A5A5A5" w:themeFill="background1" w:themeFillShade="A6"/>
            <w:vAlign w:val="center"/>
          </w:tcPr>
          <w:p>
            <w:pPr>
              <w:spacing w:before="0" w:after="0"/>
              <w:jc w:val="center"/>
              <w:rPr>
                <w:rFonts w:cs="Arial"/>
                <w:b/>
                <w:bCs/>
                <w:color w:val="auto"/>
                <w:szCs w:val="18"/>
                <w:highlight w:val="none"/>
                <w:lang w:eastAsia="pt-BR"/>
              </w:rPr>
            </w:pPr>
            <w:r>
              <w:rPr>
                <w:rFonts w:cs="Arial"/>
                <w:b/>
                <w:color w:val="auto"/>
                <w:szCs w:val="18"/>
                <w:highlight w:val="none"/>
              </w:rPr>
              <w:t>ITEM __</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70" w:type="dxa"/>
            <w:bottom w:w="0" w:type="dxa"/>
            <w:right w:w="70" w:type="dxa"/>
          </w:tblCellMar>
        </w:tblPrEx>
        <w:trPr>
          <w:trHeight w:val="252" w:hRule="atLeast"/>
        </w:trPr>
        <w:tc>
          <w:tcPr>
            <w:tcW w:w="494" w:type="pct"/>
            <w:vMerge w:val="restart"/>
            <w:tcBorders>
              <w:top w:val="single" w:color="auto" w:sz="2" w:space="0"/>
              <w:left w:val="single" w:color="auto" w:sz="2" w:space="0"/>
              <w:bottom w:val="single" w:color="auto" w:sz="2" w:space="0"/>
              <w:right w:val="single" w:color="auto" w:sz="2" w:space="0"/>
            </w:tcBorders>
            <w:shd w:val="clear" w:color="auto" w:fill="A5A5A5" w:themeFill="background1" w:themeFillShade="A6"/>
            <w:vAlign w:val="center"/>
          </w:tcPr>
          <w:p>
            <w:pPr>
              <w:spacing w:before="0" w:after="0"/>
              <w:jc w:val="center"/>
              <w:rPr>
                <w:rFonts w:cs="Arial"/>
                <w:b/>
                <w:bCs/>
                <w:color w:val="auto"/>
                <w:szCs w:val="18"/>
                <w:highlight w:val="none"/>
                <w:lang w:eastAsia="pt-BR"/>
              </w:rPr>
            </w:pPr>
            <w:r>
              <w:rPr>
                <w:rFonts w:cs="Arial"/>
                <w:b/>
                <w:bCs/>
                <w:color w:val="auto"/>
                <w:szCs w:val="18"/>
                <w:highlight w:val="none"/>
                <w:lang w:eastAsia="pt-BR"/>
              </w:rPr>
              <w:t>QUANT.</w:t>
            </w:r>
          </w:p>
        </w:tc>
        <w:tc>
          <w:tcPr>
            <w:tcW w:w="496" w:type="pct"/>
            <w:vMerge w:val="restart"/>
            <w:tcBorders>
              <w:top w:val="single" w:color="auto" w:sz="2" w:space="0"/>
              <w:left w:val="single" w:color="auto" w:sz="2" w:space="0"/>
              <w:bottom w:val="single" w:color="auto" w:sz="2" w:space="0"/>
              <w:right w:val="single" w:color="auto" w:sz="2" w:space="0"/>
            </w:tcBorders>
            <w:shd w:val="clear" w:color="auto" w:fill="A5A5A5" w:themeFill="background1" w:themeFillShade="A6"/>
            <w:vAlign w:val="center"/>
          </w:tcPr>
          <w:p>
            <w:pPr>
              <w:spacing w:before="0" w:after="0"/>
              <w:jc w:val="center"/>
              <w:rPr>
                <w:rFonts w:cs="Arial"/>
                <w:b/>
                <w:bCs/>
                <w:color w:val="auto"/>
                <w:szCs w:val="18"/>
                <w:highlight w:val="none"/>
                <w:lang w:eastAsia="pt-BR"/>
              </w:rPr>
            </w:pPr>
            <w:r>
              <w:rPr>
                <w:rFonts w:cs="Arial"/>
                <w:b/>
                <w:bCs/>
                <w:color w:val="auto"/>
                <w:szCs w:val="18"/>
                <w:highlight w:val="none"/>
                <w:lang w:eastAsia="pt-BR"/>
              </w:rPr>
              <w:t>UNIDADE</w:t>
            </w:r>
          </w:p>
        </w:tc>
        <w:tc>
          <w:tcPr>
            <w:tcW w:w="2477" w:type="pct"/>
            <w:vMerge w:val="restart"/>
            <w:tcBorders>
              <w:top w:val="single" w:color="auto" w:sz="2" w:space="0"/>
              <w:left w:val="single" w:color="auto" w:sz="2" w:space="0"/>
              <w:bottom w:val="single" w:color="auto" w:sz="2" w:space="0"/>
              <w:right w:val="single" w:color="auto" w:sz="4" w:space="0"/>
            </w:tcBorders>
            <w:shd w:val="clear" w:color="auto" w:fill="A5A5A5" w:themeFill="background1" w:themeFillShade="A6"/>
            <w:vAlign w:val="center"/>
          </w:tcPr>
          <w:p>
            <w:pPr>
              <w:spacing w:before="0" w:after="0"/>
              <w:jc w:val="center"/>
              <w:rPr>
                <w:rFonts w:cs="Arial"/>
                <w:b/>
                <w:bCs/>
                <w:color w:val="auto"/>
                <w:szCs w:val="18"/>
                <w:highlight w:val="none"/>
                <w:lang w:eastAsia="pt-BR"/>
              </w:rPr>
            </w:pPr>
            <w:r>
              <w:rPr>
                <w:rFonts w:cs="Arial"/>
                <w:b/>
                <w:bCs/>
                <w:color w:val="auto"/>
                <w:szCs w:val="18"/>
                <w:highlight w:val="none"/>
                <w:lang w:eastAsia="pt-BR"/>
              </w:rPr>
              <w:t xml:space="preserve">DESCRIÇÃO </w:t>
            </w:r>
          </w:p>
        </w:tc>
        <w:tc>
          <w:tcPr>
            <w:tcW w:w="1533" w:type="pct"/>
            <w:gridSpan w:val="2"/>
            <w:tcBorders>
              <w:top w:val="single" w:color="auto" w:sz="2" w:space="0"/>
              <w:left w:val="single" w:color="auto" w:sz="4" w:space="0"/>
              <w:bottom w:val="single" w:color="auto" w:sz="4" w:space="0"/>
              <w:right w:val="single" w:color="auto" w:sz="4" w:space="0"/>
            </w:tcBorders>
            <w:shd w:val="clear" w:color="auto" w:fill="A5A5A5" w:themeFill="background1" w:themeFillShade="A6"/>
            <w:vAlign w:val="center"/>
          </w:tcPr>
          <w:p>
            <w:pPr>
              <w:spacing w:before="0" w:after="0"/>
              <w:jc w:val="center"/>
              <w:rPr>
                <w:rFonts w:cs="Arial"/>
                <w:b/>
                <w:bCs/>
                <w:color w:val="auto"/>
                <w:szCs w:val="18"/>
                <w:highlight w:val="none"/>
                <w:lang w:eastAsia="pt-BR"/>
              </w:rPr>
            </w:pPr>
            <w:r>
              <w:rPr>
                <w:rFonts w:cs="Arial"/>
                <w:b/>
                <w:bCs/>
                <w:color w:val="auto"/>
                <w:szCs w:val="18"/>
                <w:highlight w:val="none"/>
                <w:lang w:eastAsia="pt-BR"/>
              </w:rPr>
              <w:t>Valor Estimado</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70" w:type="dxa"/>
            <w:bottom w:w="0" w:type="dxa"/>
            <w:right w:w="70" w:type="dxa"/>
          </w:tblCellMar>
        </w:tblPrEx>
        <w:trPr>
          <w:trHeight w:val="252" w:hRule="atLeast"/>
        </w:trPr>
        <w:tc>
          <w:tcPr>
            <w:tcW w:w="494" w:type="pct"/>
            <w:vMerge w:val="continue"/>
            <w:tcBorders>
              <w:top w:val="single" w:color="auto" w:sz="2" w:space="0"/>
              <w:left w:val="single" w:color="auto" w:sz="2" w:space="0"/>
              <w:bottom w:val="single" w:color="auto" w:sz="2" w:space="0"/>
              <w:right w:val="single" w:color="auto" w:sz="2" w:space="0"/>
            </w:tcBorders>
            <w:vAlign w:val="center"/>
          </w:tcPr>
          <w:p>
            <w:pPr>
              <w:spacing w:before="0" w:after="0"/>
              <w:rPr>
                <w:rFonts w:cs="Arial"/>
                <w:b/>
                <w:bCs/>
                <w:color w:val="auto"/>
                <w:szCs w:val="18"/>
                <w:highlight w:val="none"/>
                <w:lang w:eastAsia="pt-BR"/>
              </w:rPr>
            </w:pPr>
          </w:p>
        </w:tc>
        <w:tc>
          <w:tcPr>
            <w:tcW w:w="496" w:type="pct"/>
            <w:vMerge w:val="continue"/>
            <w:tcBorders>
              <w:top w:val="single" w:color="auto" w:sz="2" w:space="0"/>
              <w:left w:val="single" w:color="auto" w:sz="2" w:space="0"/>
              <w:bottom w:val="single" w:color="auto" w:sz="2" w:space="0"/>
              <w:right w:val="single" w:color="auto" w:sz="2" w:space="0"/>
            </w:tcBorders>
            <w:vAlign w:val="center"/>
          </w:tcPr>
          <w:p>
            <w:pPr>
              <w:spacing w:before="0" w:after="0"/>
              <w:rPr>
                <w:rFonts w:cs="Arial"/>
                <w:b/>
                <w:bCs/>
                <w:color w:val="auto"/>
                <w:szCs w:val="18"/>
                <w:highlight w:val="none"/>
                <w:lang w:eastAsia="pt-BR"/>
              </w:rPr>
            </w:pPr>
          </w:p>
        </w:tc>
        <w:tc>
          <w:tcPr>
            <w:tcW w:w="2477" w:type="pct"/>
            <w:vMerge w:val="continue"/>
            <w:tcBorders>
              <w:top w:val="single" w:color="auto" w:sz="2" w:space="0"/>
              <w:left w:val="single" w:color="auto" w:sz="2" w:space="0"/>
              <w:bottom w:val="single" w:color="auto" w:sz="2" w:space="0"/>
              <w:right w:val="single" w:color="auto" w:sz="4" w:space="0"/>
            </w:tcBorders>
            <w:vAlign w:val="center"/>
          </w:tcPr>
          <w:p>
            <w:pPr>
              <w:spacing w:before="0" w:after="0"/>
              <w:rPr>
                <w:rFonts w:cs="Arial"/>
                <w:b/>
                <w:bCs/>
                <w:color w:val="auto"/>
                <w:szCs w:val="18"/>
                <w:highlight w:val="none"/>
                <w:lang w:eastAsia="pt-BR"/>
              </w:rPr>
            </w:pPr>
          </w:p>
        </w:tc>
        <w:tc>
          <w:tcPr>
            <w:tcW w:w="804" w:type="pct"/>
            <w:tcBorders>
              <w:top w:val="single" w:color="auto" w:sz="2" w:space="0"/>
              <w:left w:val="single" w:color="auto" w:sz="2" w:space="0"/>
              <w:bottom w:val="single" w:color="auto" w:sz="2" w:space="0"/>
              <w:right w:val="single" w:color="auto" w:sz="2" w:space="0"/>
            </w:tcBorders>
            <w:shd w:val="clear" w:color="auto" w:fill="A5A5A5" w:themeFill="background1" w:themeFillShade="A6"/>
            <w:noWrap/>
            <w:vAlign w:val="center"/>
          </w:tcPr>
          <w:p>
            <w:pPr>
              <w:spacing w:before="0" w:after="0"/>
              <w:jc w:val="center"/>
              <w:rPr>
                <w:rFonts w:cs="Arial"/>
                <w:b/>
                <w:bCs/>
                <w:color w:val="auto"/>
                <w:szCs w:val="18"/>
                <w:highlight w:val="none"/>
                <w:lang w:eastAsia="pt-BR"/>
              </w:rPr>
            </w:pPr>
            <w:r>
              <w:rPr>
                <w:rFonts w:cs="Arial"/>
                <w:b/>
                <w:bCs/>
                <w:color w:val="auto"/>
                <w:szCs w:val="18"/>
                <w:highlight w:val="none"/>
                <w:lang w:eastAsia="pt-BR"/>
              </w:rPr>
              <w:t>UNITÁRIO</w:t>
            </w:r>
          </w:p>
        </w:tc>
        <w:tc>
          <w:tcPr>
            <w:tcW w:w="729" w:type="pct"/>
            <w:tcBorders>
              <w:top w:val="single" w:color="auto" w:sz="2" w:space="0"/>
              <w:left w:val="single" w:color="auto" w:sz="2" w:space="0"/>
              <w:bottom w:val="single" w:color="auto" w:sz="2" w:space="0"/>
              <w:right w:val="single" w:color="auto" w:sz="4" w:space="0"/>
            </w:tcBorders>
            <w:shd w:val="clear" w:color="auto" w:fill="A5A5A5" w:themeFill="background1" w:themeFillShade="A6"/>
            <w:noWrap/>
            <w:vAlign w:val="center"/>
          </w:tcPr>
          <w:p>
            <w:pPr>
              <w:spacing w:before="0" w:after="0"/>
              <w:jc w:val="center"/>
              <w:rPr>
                <w:rFonts w:cs="Arial"/>
                <w:b/>
                <w:bCs/>
                <w:color w:val="auto"/>
                <w:szCs w:val="18"/>
                <w:highlight w:val="none"/>
                <w:lang w:eastAsia="pt-BR"/>
              </w:rPr>
            </w:pPr>
            <w:r>
              <w:rPr>
                <w:rFonts w:cs="Arial"/>
                <w:b/>
                <w:bCs/>
                <w:color w:val="auto"/>
                <w:szCs w:val="18"/>
                <w:highlight w:val="none"/>
                <w:lang w:eastAsia="pt-BR"/>
              </w:rPr>
              <w:t xml:space="preserve">TOTAL </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70" w:type="dxa"/>
            <w:bottom w:w="0" w:type="dxa"/>
            <w:right w:w="70" w:type="dxa"/>
          </w:tblCellMar>
        </w:tblPrEx>
        <w:trPr>
          <w:trHeight w:val="20" w:hRule="atLeast"/>
        </w:trPr>
        <w:tc>
          <w:tcPr>
            <w:tcW w:w="494" w:type="pct"/>
            <w:tcBorders>
              <w:top w:val="single" w:color="auto" w:sz="2" w:space="0"/>
              <w:left w:val="single" w:color="auto" w:sz="2" w:space="0"/>
              <w:bottom w:val="single" w:color="auto" w:sz="2" w:space="0"/>
              <w:right w:val="single" w:color="auto" w:sz="2" w:space="0"/>
            </w:tcBorders>
            <w:shd w:val="clear" w:color="auto" w:fill="FFFFFF"/>
            <w:vAlign w:val="center"/>
          </w:tcPr>
          <w:p>
            <w:pPr>
              <w:spacing w:before="60" w:after="60"/>
              <w:jc w:val="center"/>
              <w:rPr>
                <w:rFonts w:cs="Arial"/>
                <w:color w:val="000000"/>
                <w:szCs w:val="18"/>
                <w:highlight w:val="none"/>
              </w:rPr>
            </w:pPr>
          </w:p>
        </w:tc>
        <w:tc>
          <w:tcPr>
            <w:tcW w:w="496" w:type="pct"/>
            <w:tcBorders>
              <w:top w:val="single" w:color="auto" w:sz="2" w:space="0"/>
              <w:left w:val="single" w:color="auto" w:sz="2" w:space="0"/>
              <w:bottom w:val="single" w:color="auto" w:sz="2" w:space="0"/>
              <w:right w:val="single" w:color="auto" w:sz="2" w:space="0"/>
            </w:tcBorders>
            <w:shd w:val="clear" w:color="auto" w:fill="FFFFFF"/>
            <w:vAlign w:val="center"/>
          </w:tcPr>
          <w:p>
            <w:pPr>
              <w:spacing w:before="60" w:after="60"/>
              <w:jc w:val="center"/>
              <w:rPr>
                <w:rFonts w:cs="Arial"/>
                <w:color w:val="000000"/>
                <w:szCs w:val="18"/>
                <w:highlight w:val="none"/>
              </w:rPr>
            </w:pPr>
          </w:p>
        </w:tc>
        <w:tc>
          <w:tcPr>
            <w:tcW w:w="2477" w:type="pct"/>
            <w:tcBorders>
              <w:top w:val="single" w:color="auto" w:sz="2" w:space="0"/>
              <w:left w:val="single" w:color="auto" w:sz="2" w:space="0"/>
              <w:bottom w:val="single" w:color="auto" w:sz="2" w:space="0"/>
              <w:right w:val="single" w:color="auto" w:sz="4" w:space="0"/>
            </w:tcBorders>
            <w:shd w:val="clear" w:color="auto" w:fill="FFFFFF"/>
            <w:vAlign w:val="center"/>
          </w:tcPr>
          <w:p>
            <w:pPr>
              <w:spacing w:before="60" w:after="60"/>
              <w:rPr>
                <w:rFonts w:cs="Arial"/>
                <w:color w:val="000000"/>
                <w:szCs w:val="18"/>
                <w:highlight w:val="none"/>
              </w:rPr>
            </w:pPr>
          </w:p>
        </w:tc>
        <w:tc>
          <w:tcPr>
            <w:tcW w:w="804" w:type="pct"/>
            <w:tcBorders>
              <w:top w:val="single" w:color="auto" w:sz="2" w:space="0"/>
              <w:left w:val="single" w:color="auto" w:sz="2" w:space="0"/>
              <w:bottom w:val="single" w:color="auto" w:sz="2" w:space="0"/>
              <w:right w:val="single" w:color="auto" w:sz="2" w:space="0"/>
            </w:tcBorders>
            <w:noWrap/>
            <w:vAlign w:val="center"/>
          </w:tcPr>
          <w:p>
            <w:pPr>
              <w:spacing w:before="60" w:after="60"/>
              <w:jc w:val="center"/>
              <w:rPr>
                <w:rFonts w:cs="Arial"/>
                <w:color w:val="000000"/>
                <w:szCs w:val="18"/>
                <w:highlight w:val="none"/>
              </w:rPr>
            </w:pPr>
          </w:p>
        </w:tc>
        <w:tc>
          <w:tcPr>
            <w:tcW w:w="729" w:type="pct"/>
            <w:tcBorders>
              <w:top w:val="single" w:color="auto" w:sz="2" w:space="0"/>
              <w:left w:val="single" w:color="auto" w:sz="2" w:space="0"/>
              <w:bottom w:val="single" w:color="auto" w:sz="2" w:space="0"/>
              <w:right w:val="single" w:color="auto" w:sz="4" w:space="0"/>
            </w:tcBorders>
            <w:shd w:val="clear" w:color="auto" w:fill="FFFFFF"/>
            <w:noWrap/>
            <w:vAlign w:val="center"/>
          </w:tcPr>
          <w:p>
            <w:pPr>
              <w:spacing w:before="60" w:after="60"/>
              <w:jc w:val="center"/>
              <w:rPr>
                <w:rFonts w:cs="Arial"/>
                <w:color w:val="000000"/>
                <w:szCs w:val="18"/>
                <w:highlight w:val="none"/>
              </w:rPr>
            </w:pPr>
          </w:p>
        </w:tc>
      </w:tr>
    </w:tbl>
    <w:p>
      <w:pPr>
        <w:spacing w:before="0" w:after="0" w:line="240" w:lineRule="exact"/>
        <w:ind w:left="-142" w:right="-1"/>
        <w:jc w:val="both"/>
        <w:rPr>
          <w:rFonts w:cs="Arial"/>
          <w:color w:val="auto"/>
          <w:sz w:val="20"/>
          <w:szCs w:val="20"/>
          <w:highlight w:val="none"/>
        </w:rPr>
      </w:pPr>
    </w:p>
    <w:p>
      <w:pPr>
        <w:numPr>
          <w:ilvl w:val="0"/>
          <w:numId w:val="9"/>
        </w:numPr>
        <w:spacing w:before="0" w:after="0"/>
        <w:ind w:left="0" w:leftChars="0" w:firstLine="0" w:firstLineChars="0"/>
        <w:jc w:val="both"/>
        <w:rPr>
          <w:b/>
          <w:bCs/>
          <w:sz w:val="20"/>
          <w:szCs w:val="20"/>
          <w:highlight w:val="none"/>
        </w:rPr>
      </w:pPr>
      <w:r>
        <w:rPr>
          <w:b/>
          <w:bCs/>
          <w:sz w:val="20"/>
          <w:szCs w:val="20"/>
          <w:highlight w:val="none"/>
        </w:rPr>
        <w:t xml:space="preserve">DOS PRAZOS E CONDIÇÕES DE </w:t>
      </w:r>
      <w:r>
        <w:rPr>
          <w:rFonts w:hint="default"/>
          <w:b/>
          <w:bCs/>
          <w:sz w:val="20"/>
          <w:szCs w:val="20"/>
          <w:highlight w:val="none"/>
          <w:lang w:val="pt-BR"/>
        </w:rPr>
        <w:t>EXECUÇÃO</w:t>
      </w:r>
      <w:r>
        <w:rPr>
          <w:b/>
          <w:bCs/>
          <w:sz w:val="20"/>
          <w:szCs w:val="20"/>
          <w:highlight w:val="none"/>
        </w:rPr>
        <w:t xml:space="preserve"> </w:t>
      </w:r>
    </w:p>
    <w:p>
      <w:pPr>
        <w:spacing w:before="0" w:after="0"/>
        <w:jc w:val="both"/>
        <w:rPr>
          <w:sz w:val="20"/>
          <w:szCs w:val="20"/>
          <w:highlight w:val="none"/>
        </w:rPr>
      </w:pPr>
    </w:p>
    <w:p>
      <w:pPr>
        <w:numPr>
          <w:ilvl w:val="0"/>
          <w:numId w:val="0"/>
        </w:numPr>
        <w:spacing w:before="0" w:after="0"/>
        <w:ind w:left="-180" w:leftChars="-100" w:firstLine="0" w:firstLineChars="0"/>
        <w:jc w:val="both"/>
        <w:rPr>
          <w:sz w:val="20"/>
          <w:szCs w:val="20"/>
          <w:highlight w:val="none"/>
        </w:rPr>
      </w:pPr>
      <w:r>
        <w:rPr>
          <w:sz w:val="20"/>
          <w:szCs w:val="20"/>
          <w:highlight w:val="none"/>
        </w:rPr>
        <w:t xml:space="preserve">O Objeto do presente pregão deverá ser </w:t>
      </w:r>
      <w:r>
        <w:rPr>
          <w:rFonts w:hint="default"/>
          <w:sz w:val="20"/>
          <w:szCs w:val="20"/>
          <w:highlight w:val="none"/>
          <w:lang w:val="pt-BR"/>
        </w:rPr>
        <w:t>executado</w:t>
      </w:r>
      <w:r>
        <w:rPr>
          <w:sz w:val="20"/>
          <w:szCs w:val="20"/>
          <w:highlight w:val="none"/>
        </w:rPr>
        <w:t xml:space="preserve"> conforme especificações constantes no Termo de Referência - Anexo I deste Edital, observando o seguinte:</w:t>
      </w:r>
    </w:p>
    <w:p>
      <w:pPr>
        <w:spacing w:before="0" w:after="0"/>
        <w:ind w:left="356" w:leftChars="-100" w:hanging="536" w:hangingChars="268"/>
        <w:jc w:val="both"/>
        <w:rPr>
          <w:sz w:val="20"/>
          <w:szCs w:val="20"/>
          <w:highlight w:val="none"/>
        </w:rPr>
      </w:pPr>
    </w:p>
    <w:p>
      <w:pPr>
        <w:numPr>
          <w:ilvl w:val="0"/>
          <w:numId w:val="10"/>
        </w:numPr>
        <w:tabs>
          <w:tab w:val="clear" w:pos="425"/>
        </w:tabs>
        <w:spacing w:before="0" w:after="0"/>
        <w:ind w:left="356" w:leftChars="-100" w:hanging="536" w:hangingChars="268"/>
        <w:jc w:val="both"/>
        <w:rPr>
          <w:sz w:val="20"/>
          <w:szCs w:val="20"/>
          <w:highlight w:val="none"/>
        </w:rPr>
      </w:pPr>
      <w:r>
        <w:rPr>
          <w:sz w:val="20"/>
          <w:szCs w:val="20"/>
          <w:highlight w:val="none"/>
        </w:rPr>
        <w:t xml:space="preserve">Os </w:t>
      </w:r>
      <w:r>
        <w:rPr>
          <w:rFonts w:hint="default"/>
          <w:sz w:val="20"/>
          <w:szCs w:val="20"/>
          <w:highlight w:val="none"/>
          <w:lang w:val="pt-BR"/>
        </w:rPr>
        <w:t>serviços</w:t>
      </w:r>
      <w:r>
        <w:rPr>
          <w:sz w:val="20"/>
          <w:szCs w:val="20"/>
          <w:highlight w:val="none"/>
        </w:rPr>
        <w:t xml:space="preserve"> serão </w:t>
      </w:r>
      <w:r>
        <w:rPr>
          <w:rFonts w:hint="default"/>
          <w:sz w:val="20"/>
          <w:szCs w:val="20"/>
          <w:highlight w:val="none"/>
          <w:lang w:val="pt-BR"/>
        </w:rPr>
        <w:t>executado</w:t>
      </w:r>
      <w:r>
        <w:rPr>
          <w:sz w:val="20"/>
          <w:szCs w:val="20"/>
          <w:highlight w:val="none"/>
        </w:rPr>
        <w:t xml:space="preserve">s de forma FRACIONADA, de acordo com as necessidades da Secretaria Municipal </w:t>
      </w:r>
      <w:r>
        <w:rPr>
          <w:rFonts w:hint="default"/>
          <w:sz w:val="20"/>
          <w:szCs w:val="20"/>
          <w:highlight w:val="none"/>
          <w:lang w:val="pt-BR"/>
        </w:rPr>
        <w:t>de Transportes e Serviços Rurais</w:t>
      </w:r>
      <w:r>
        <w:rPr>
          <w:sz w:val="20"/>
          <w:szCs w:val="20"/>
          <w:highlight w:val="none"/>
        </w:rPr>
        <w:t>.</w:t>
      </w:r>
    </w:p>
    <w:p>
      <w:pPr>
        <w:spacing w:before="0" w:after="0"/>
        <w:ind w:left="356" w:leftChars="-100" w:hanging="536" w:hangingChars="268"/>
        <w:jc w:val="both"/>
        <w:rPr>
          <w:sz w:val="20"/>
          <w:szCs w:val="20"/>
          <w:highlight w:val="none"/>
        </w:rPr>
      </w:pPr>
    </w:p>
    <w:p>
      <w:pPr>
        <w:numPr>
          <w:ilvl w:val="0"/>
          <w:numId w:val="10"/>
        </w:numPr>
        <w:tabs>
          <w:tab w:val="clear" w:pos="425"/>
        </w:tabs>
        <w:spacing w:before="0" w:after="0"/>
        <w:ind w:left="356" w:leftChars="-100" w:hanging="536" w:hangingChars="268"/>
        <w:jc w:val="both"/>
        <w:rPr>
          <w:sz w:val="20"/>
          <w:szCs w:val="20"/>
          <w:highlight w:val="none"/>
        </w:rPr>
      </w:pPr>
      <w:r>
        <w:rPr>
          <w:sz w:val="20"/>
          <w:szCs w:val="20"/>
          <w:highlight w:val="none"/>
        </w:rPr>
        <w:t xml:space="preserve">O prazo máximo para </w:t>
      </w:r>
      <w:r>
        <w:rPr>
          <w:rFonts w:hint="default"/>
          <w:sz w:val="20"/>
          <w:szCs w:val="20"/>
          <w:highlight w:val="none"/>
          <w:lang w:val="pt-BR"/>
        </w:rPr>
        <w:t>execução dos serviços</w:t>
      </w:r>
      <w:r>
        <w:rPr>
          <w:sz w:val="20"/>
          <w:szCs w:val="20"/>
          <w:highlight w:val="none"/>
        </w:rPr>
        <w:t xml:space="preserve"> será de </w:t>
      </w:r>
      <w:r>
        <w:rPr>
          <w:rFonts w:hint="default"/>
          <w:b/>
          <w:bCs/>
          <w:sz w:val="20"/>
          <w:szCs w:val="20"/>
          <w:highlight w:val="none"/>
          <w:lang w:val="pt-BR"/>
        </w:rPr>
        <w:t xml:space="preserve">30 </w:t>
      </w:r>
      <w:r>
        <w:rPr>
          <w:b/>
          <w:bCs/>
          <w:sz w:val="20"/>
          <w:szCs w:val="20"/>
          <w:highlight w:val="none"/>
        </w:rPr>
        <w:t>(</w:t>
      </w:r>
      <w:r>
        <w:rPr>
          <w:rFonts w:hint="default"/>
          <w:b/>
          <w:bCs/>
          <w:sz w:val="20"/>
          <w:szCs w:val="20"/>
          <w:highlight w:val="none"/>
          <w:lang w:val="pt-BR"/>
        </w:rPr>
        <w:t>trinta)</w:t>
      </w:r>
      <w:r>
        <w:rPr>
          <w:sz w:val="20"/>
          <w:szCs w:val="20"/>
          <w:highlight w:val="none"/>
        </w:rPr>
        <w:t xml:space="preserve"> dias, contados a partir do recebimento d</w:t>
      </w:r>
      <w:r>
        <w:rPr>
          <w:rFonts w:hint="default"/>
          <w:sz w:val="20"/>
          <w:szCs w:val="20"/>
          <w:highlight w:val="none"/>
          <w:lang w:val="pt-BR"/>
        </w:rPr>
        <w:t>a</w:t>
      </w:r>
      <w:r>
        <w:rPr>
          <w:sz w:val="20"/>
          <w:szCs w:val="20"/>
          <w:highlight w:val="none"/>
        </w:rPr>
        <w:t xml:space="preserve"> </w:t>
      </w:r>
      <w:r>
        <w:rPr>
          <w:rFonts w:hint="default"/>
          <w:sz w:val="20"/>
          <w:szCs w:val="20"/>
          <w:highlight w:val="none"/>
          <w:lang w:val="pt-BR"/>
        </w:rPr>
        <w:t>Autorização de Fornecimento/Serviços</w:t>
      </w:r>
      <w:r>
        <w:rPr>
          <w:sz w:val="20"/>
          <w:szCs w:val="20"/>
          <w:highlight w:val="none"/>
        </w:rPr>
        <w:t xml:space="preserve"> entregue pela Secretaria Municipal </w:t>
      </w:r>
      <w:r>
        <w:rPr>
          <w:rFonts w:hint="default"/>
          <w:sz w:val="20"/>
          <w:szCs w:val="20"/>
          <w:highlight w:val="none"/>
          <w:lang w:val="pt-BR"/>
        </w:rPr>
        <w:t>de Transportes e Serviços Rurais</w:t>
      </w:r>
      <w:r>
        <w:rPr>
          <w:sz w:val="20"/>
          <w:szCs w:val="20"/>
          <w:highlight w:val="none"/>
        </w:rPr>
        <w:t>.</w:t>
      </w:r>
    </w:p>
    <w:p>
      <w:pPr>
        <w:spacing w:before="0" w:after="0"/>
        <w:ind w:left="356" w:leftChars="-100" w:hanging="536" w:hangingChars="268"/>
        <w:jc w:val="both"/>
        <w:rPr>
          <w:sz w:val="20"/>
          <w:szCs w:val="20"/>
          <w:highlight w:val="none"/>
        </w:rPr>
      </w:pPr>
    </w:p>
    <w:p>
      <w:pPr>
        <w:numPr>
          <w:ilvl w:val="0"/>
          <w:numId w:val="10"/>
        </w:numPr>
        <w:tabs>
          <w:tab w:val="clear" w:pos="425"/>
        </w:tabs>
        <w:spacing w:before="0" w:after="0"/>
        <w:ind w:left="356" w:leftChars="-100" w:hanging="536" w:hangingChars="268"/>
        <w:jc w:val="both"/>
        <w:rPr>
          <w:rFonts w:hint="default"/>
          <w:sz w:val="20"/>
          <w:szCs w:val="20"/>
          <w:highlight w:val="none"/>
          <w:lang w:val="pt-BR"/>
        </w:rPr>
      </w:pPr>
      <w:r>
        <w:rPr>
          <w:rFonts w:hint="default"/>
          <w:sz w:val="20"/>
          <w:szCs w:val="20"/>
          <w:highlight w:val="none"/>
          <w:lang w:val="pt-BR"/>
        </w:rPr>
        <w:t>O</w:t>
      </w:r>
      <w:r>
        <w:rPr>
          <w:sz w:val="20"/>
          <w:szCs w:val="20"/>
          <w:highlight w:val="none"/>
        </w:rPr>
        <w:t xml:space="preserve">s </w:t>
      </w:r>
      <w:r>
        <w:rPr>
          <w:rFonts w:hint="default"/>
          <w:sz w:val="20"/>
          <w:szCs w:val="20"/>
          <w:highlight w:val="none"/>
          <w:lang w:val="pt-BR"/>
        </w:rPr>
        <w:t>serviços</w:t>
      </w:r>
      <w:r>
        <w:rPr>
          <w:sz w:val="20"/>
          <w:szCs w:val="20"/>
          <w:highlight w:val="none"/>
        </w:rPr>
        <w:t xml:space="preserve"> deverão ser </w:t>
      </w:r>
      <w:r>
        <w:rPr>
          <w:rFonts w:hint="default"/>
          <w:sz w:val="20"/>
          <w:szCs w:val="20"/>
          <w:highlight w:val="none"/>
          <w:lang w:val="pt-BR"/>
        </w:rPr>
        <w:t>executados</w:t>
      </w:r>
      <w:r>
        <w:rPr>
          <w:sz w:val="20"/>
          <w:szCs w:val="20"/>
          <w:highlight w:val="none"/>
        </w:rPr>
        <w:t xml:space="preserve"> n</w:t>
      </w:r>
      <w:r>
        <w:rPr>
          <w:rFonts w:hint="default"/>
          <w:sz w:val="20"/>
          <w:szCs w:val="20"/>
          <w:highlight w:val="none"/>
          <w:lang w:val="pt-BR"/>
        </w:rPr>
        <w:t xml:space="preserve">os endereços citados no </w:t>
      </w:r>
      <w:r>
        <w:rPr>
          <w:rFonts w:hint="default"/>
          <w:b/>
          <w:bCs/>
          <w:sz w:val="20"/>
          <w:szCs w:val="20"/>
          <w:highlight w:val="none"/>
          <w:lang w:val="pt-BR"/>
        </w:rPr>
        <w:t>ANEXO VII</w:t>
      </w:r>
      <w:r>
        <w:rPr>
          <w:rFonts w:hint="default"/>
          <w:sz w:val="20"/>
          <w:szCs w:val="20"/>
          <w:highlight w:val="none"/>
          <w:lang w:val="pt-BR"/>
        </w:rPr>
        <w:t>.</w:t>
      </w:r>
    </w:p>
    <w:p>
      <w:pPr>
        <w:spacing w:before="0" w:after="0"/>
        <w:ind w:left="356" w:leftChars="-100" w:hanging="536" w:hangingChars="268"/>
        <w:jc w:val="both"/>
        <w:rPr>
          <w:rFonts w:hint="default"/>
          <w:sz w:val="20"/>
          <w:szCs w:val="20"/>
          <w:highlight w:val="none"/>
          <w:lang w:val="pt-BR"/>
        </w:rPr>
      </w:pPr>
    </w:p>
    <w:p>
      <w:pPr>
        <w:numPr>
          <w:ilvl w:val="0"/>
          <w:numId w:val="10"/>
        </w:numPr>
        <w:tabs>
          <w:tab w:val="clear" w:pos="425"/>
        </w:tabs>
        <w:spacing w:before="0" w:after="0"/>
        <w:ind w:left="356" w:leftChars="-100" w:hanging="536" w:hangingChars="268"/>
        <w:jc w:val="both"/>
        <w:rPr>
          <w:sz w:val="20"/>
          <w:szCs w:val="20"/>
          <w:highlight w:val="none"/>
        </w:rPr>
      </w:pPr>
      <w:r>
        <w:rPr>
          <w:rFonts w:cs="Arial"/>
          <w:color w:val="auto"/>
          <w:sz w:val="20"/>
          <w:szCs w:val="20"/>
          <w:highlight w:val="none"/>
        </w:rPr>
        <w:t>A execução dos serviços ocorrerá totalmente por conta da contratada e deverão ser realizados com todos os tributos, fretes, embalagens, encargos sociais e quaisquer outras despesas que componham ou incidam no preço proposto.</w:t>
      </w:r>
    </w:p>
    <w:p>
      <w:pPr>
        <w:spacing w:before="0" w:after="0"/>
        <w:ind w:left="356" w:leftChars="-100" w:hanging="536" w:hangingChars="268"/>
        <w:jc w:val="both"/>
        <w:rPr>
          <w:sz w:val="20"/>
          <w:szCs w:val="20"/>
          <w:highlight w:val="none"/>
        </w:rPr>
      </w:pPr>
    </w:p>
    <w:p>
      <w:pPr>
        <w:numPr>
          <w:ilvl w:val="0"/>
          <w:numId w:val="10"/>
        </w:numPr>
        <w:tabs>
          <w:tab w:val="clear" w:pos="425"/>
        </w:tabs>
        <w:spacing w:before="0" w:after="0"/>
        <w:ind w:left="356" w:leftChars="-100" w:hanging="536" w:hangingChars="268"/>
        <w:jc w:val="both"/>
        <w:rPr>
          <w:sz w:val="20"/>
          <w:szCs w:val="20"/>
          <w:highlight w:val="none"/>
        </w:rPr>
      </w:pPr>
      <w:r>
        <w:rPr>
          <w:sz w:val="20"/>
          <w:szCs w:val="20"/>
          <w:highlight w:val="none"/>
        </w:rPr>
        <w:t>O não cumprimento do prazo estabelecido sem justificativas cabíveis por parte do detentor poderá acarretar na aplicação das sanções previstas neste Edital.</w:t>
      </w:r>
    </w:p>
    <w:p>
      <w:pPr>
        <w:numPr>
          <w:ilvl w:val="0"/>
          <w:numId w:val="0"/>
        </w:numPr>
        <w:spacing w:before="0" w:after="0"/>
        <w:ind w:left="356" w:leftChars="-100" w:hanging="536" w:hangingChars="268"/>
        <w:jc w:val="both"/>
        <w:rPr>
          <w:sz w:val="20"/>
          <w:szCs w:val="20"/>
          <w:highlight w:val="none"/>
        </w:rPr>
      </w:pPr>
    </w:p>
    <w:p>
      <w:pPr>
        <w:numPr>
          <w:ilvl w:val="0"/>
          <w:numId w:val="10"/>
        </w:numPr>
        <w:tabs>
          <w:tab w:val="clear" w:pos="425"/>
        </w:tabs>
        <w:spacing w:before="0" w:after="0"/>
        <w:ind w:left="356" w:leftChars="-100" w:hanging="536" w:hangingChars="268"/>
        <w:jc w:val="both"/>
        <w:rPr>
          <w:sz w:val="20"/>
          <w:szCs w:val="20"/>
          <w:highlight w:val="none"/>
        </w:rPr>
      </w:pPr>
      <w:r>
        <w:rPr>
          <w:sz w:val="20"/>
          <w:szCs w:val="20"/>
          <w:highlight w:val="none"/>
        </w:rPr>
        <w:t xml:space="preserve">O prazo de vigência do Contrato originado por esse processo licitatório será de </w:t>
      </w:r>
      <w:r>
        <w:rPr>
          <w:rFonts w:hint="default"/>
          <w:sz w:val="20"/>
          <w:szCs w:val="20"/>
          <w:highlight w:val="none"/>
          <w:lang w:val="pt-BR"/>
        </w:rPr>
        <w:t>18</w:t>
      </w:r>
      <w:r>
        <w:rPr>
          <w:sz w:val="20"/>
          <w:szCs w:val="20"/>
          <w:highlight w:val="none"/>
        </w:rPr>
        <w:t xml:space="preserve"> (</w:t>
      </w:r>
      <w:r>
        <w:rPr>
          <w:rFonts w:hint="default"/>
          <w:sz w:val="20"/>
          <w:szCs w:val="20"/>
          <w:highlight w:val="none"/>
          <w:lang w:val="pt-BR"/>
        </w:rPr>
        <w:t>dezoito</w:t>
      </w:r>
      <w:r>
        <w:rPr>
          <w:sz w:val="20"/>
          <w:szCs w:val="20"/>
          <w:highlight w:val="none"/>
        </w:rPr>
        <w:t xml:space="preserve">) </w:t>
      </w:r>
      <w:r>
        <w:rPr>
          <w:rFonts w:hint="default"/>
          <w:sz w:val="20"/>
          <w:szCs w:val="20"/>
          <w:highlight w:val="none"/>
          <w:lang w:val="pt-BR"/>
        </w:rPr>
        <w:t>meses,</w:t>
      </w:r>
      <w:r>
        <w:rPr>
          <w:sz w:val="20"/>
          <w:szCs w:val="20"/>
          <w:highlight w:val="none"/>
        </w:rPr>
        <w:t xml:space="preserve"> contados a partir de sua </w:t>
      </w:r>
      <w:r>
        <w:rPr>
          <w:rFonts w:hint="default"/>
          <w:sz w:val="20"/>
          <w:szCs w:val="20"/>
          <w:highlight w:val="none"/>
          <w:lang w:val="pt-BR"/>
        </w:rPr>
        <w:t>a</w:t>
      </w:r>
      <w:r>
        <w:rPr>
          <w:sz w:val="20"/>
          <w:szCs w:val="20"/>
          <w:highlight w:val="none"/>
        </w:rPr>
        <w:t>ssinatura, podendo ser prorrogado por igua</w:t>
      </w:r>
      <w:r>
        <w:rPr>
          <w:rFonts w:hint="default"/>
          <w:sz w:val="20"/>
          <w:szCs w:val="20"/>
          <w:highlight w:val="none"/>
          <w:lang w:val="pt-BR"/>
        </w:rPr>
        <w:t>l</w:t>
      </w:r>
      <w:r>
        <w:rPr>
          <w:sz w:val="20"/>
          <w:szCs w:val="20"/>
          <w:highlight w:val="none"/>
        </w:rPr>
        <w:t xml:space="preserve"> período, conforme art. </w:t>
      </w:r>
      <w:r>
        <w:rPr>
          <w:rFonts w:hint="default"/>
          <w:sz w:val="20"/>
          <w:szCs w:val="20"/>
          <w:highlight w:val="none"/>
          <w:lang w:val="pt-BR"/>
        </w:rPr>
        <w:t>10</w:t>
      </w:r>
      <w:r>
        <w:rPr>
          <w:sz w:val="20"/>
          <w:szCs w:val="20"/>
          <w:highlight w:val="none"/>
        </w:rPr>
        <w:t xml:space="preserve">7 </w:t>
      </w:r>
      <w:r>
        <w:rPr>
          <w:rFonts w:hint="default"/>
          <w:sz w:val="20"/>
          <w:szCs w:val="20"/>
          <w:highlight w:val="none"/>
          <w:lang w:val="pt-BR"/>
        </w:rPr>
        <w:t>L</w:t>
      </w:r>
      <w:r>
        <w:rPr>
          <w:sz w:val="20"/>
          <w:szCs w:val="20"/>
          <w:highlight w:val="none"/>
        </w:rPr>
        <w:t xml:space="preserve">ei Federal </w:t>
      </w:r>
      <w:r>
        <w:rPr>
          <w:rFonts w:hint="default"/>
          <w:sz w:val="20"/>
          <w:szCs w:val="20"/>
          <w:highlight w:val="none"/>
          <w:lang w:val="pt-BR"/>
        </w:rPr>
        <w:t>14.133/2021</w:t>
      </w:r>
      <w:r>
        <w:rPr>
          <w:sz w:val="20"/>
          <w:szCs w:val="20"/>
          <w:highlight w:val="none"/>
        </w:rPr>
        <w:t>.</w:t>
      </w:r>
    </w:p>
    <w:p>
      <w:pPr>
        <w:spacing w:before="0" w:after="0"/>
        <w:jc w:val="both"/>
        <w:rPr>
          <w:sz w:val="20"/>
          <w:szCs w:val="20"/>
          <w:highlight w:val="none"/>
        </w:rPr>
      </w:pPr>
    </w:p>
    <w:p>
      <w:pPr>
        <w:numPr>
          <w:ilvl w:val="0"/>
          <w:numId w:val="9"/>
        </w:numPr>
        <w:spacing w:before="0" w:after="0"/>
        <w:ind w:left="0" w:leftChars="0" w:firstLine="0" w:firstLineChars="0"/>
        <w:jc w:val="both"/>
        <w:rPr>
          <w:b/>
          <w:bCs/>
          <w:sz w:val="20"/>
          <w:szCs w:val="20"/>
          <w:highlight w:val="none"/>
        </w:rPr>
      </w:pPr>
      <w:r>
        <w:rPr>
          <w:b/>
          <w:bCs/>
          <w:sz w:val="20"/>
          <w:szCs w:val="20"/>
          <w:highlight w:val="none"/>
        </w:rPr>
        <w:t>DAS OBRIGAÇÕES DA CONTRATADA</w:t>
      </w:r>
    </w:p>
    <w:p>
      <w:pPr>
        <w:spacing w:before="0" w:after="0"/>
        <w:jc w:val="both"/>
        <w:rPr>
          <w:sz w:val="20"/>
          <w:szCs w:val="20"/>
          <w:highlight w:val="none"/>
        </w:rPr>
      </w:pPr>
    </w:p>
    <w:p>
      <w:pPr>
        <w:numPr>
          <w:ilvl w:val="0"/>
          <w:numId w:val="11"/>
        </w:numPr>
        <w:tabs>
          <w:tab w:val="left" w:pos="-1418"/>
          <w:tab w:val="clear" w:pos="425"/>
        </w:tabs>
        <w:spacing w:before="0" w:after="0"/>
        <w:ind w:left="358" w:leftChars="-100" w:hanging="538" w:hangingChars="269"/>
        <w:jc w:val="both"/>
        <w:rPr>
          <w:sz w:val="20"/>
          <w:szCs w:val="20"/>
          <w:highlight w:val="none"/>
        </w:rPr>
      </w:pPr>
      <w:r>
        <w:rPr>
          <w:sz w:val="20"/>
          <w:szCs w:val="20"/>
          <w:highlight w:val="none"/>
        </w:rPr>
        <w:t>Prestar os esclarecimentos que forem solicitados pela PREFEITURA MUNICIPAL DE ITAPEVA, se obri</w:t>
      </w:r>
      <w:r>
        <w:rPr>
          <w:sz w:val="20"/>
          <w:szCs w:val="20"/>
          <w:highlight w:val="none"/>
        </w:rPr>
        <w:softHyphen/>
      </w:r>
      <w:r>
        <w:rPr>
          <w:sz w:val="20"/>
          <w:szCs w:val="20"/>
          <w:highlight w:val="none"/>
        </w:rPr>
        <w:t>gando a atender prontamente reclamações, bem como dar ciência imediatamente e por escrito, de qualquer anormalidade que verificar quando da execução do contrato.</w:t>
      </w:r>
    </w:p>
    <w:p>
      <w:pPr>
        <w:spacing w:before="0" w:after="0"/>
        <w:ind w:left="358" w:leftChars="-100" w:hanging="538" w:hangingChars="269"/>
        <w:jc w:val="both"/>
        <w:rPr>
          <w:sz w:val="20"/>
          <w:szCs w:val="20"/>
          <w:highlight w:val="none"/>
        </w:rPr>
      </w:pPr>
    </w:p>
    <w:p>
      <w:pPr>
        <w:numPr>
          <w:ilvl w:val="0"/>
          <w:numId w:val="11"/>
        </w:numPr>
        <w:tabs>
          <w:tab w:val="left" w:pos="-1418"/>
          <w:tab w:val="clear" w:pos="425"/>
        </w:tabs>
        <w:spacing w:before="0" w:after="0"/>
        <w:ind w:left="358" w:leftChars="-100" w:hanging="538" w:hangingChars="269"/>
        <w:jc w:val="both"/>
        <w:rPr>
          <w:sz w:val="20"/>
          <w:szCs w:val="20"/>
          <w:highlight w:val="none"/>
        </w:rPr>
      </w:pPr>
      <w:r>
        <w:rPr>
          <w:sz w:val="20"/>
          <w:szCs w:val="20"/>
          <w:highlight w:val="none"/>
        </w:rPr>
        <w:t xml:space="preserve">Dar prioridade aos pedidos da PREFEITURA MUNICIPAL DE ITAPEVA. </w:t>
      </w:r>
    </w:p>
    <w:p>
      <w:pPr>
        <w:numPr>
          <w:ilvl w:val="0"/>
          <w:numId w:val="0"/>
        </w:numPr>
        <w:tabs>
          <w:tab w:val="left" w:pos="-1418"/>
        </w:tabs>
        <w:spacing w:before="0" w:after="0"/>
        <w:ind w:leftChars="-369"/>
        <w:jc w:val="both"/>
        <w:rPr>
          <w:sz w:val="20"/>
          <w:szCs w:val="20"/>
          <w:highlight w:val="none"/>
        </w:rPr>
      </w:pPr>
    </w:p>
    <w:p>
      <w:pPr>
        <w:numPr>
          <w:ilvl w:val="0"/>
          <w:numId w:val="11"/>
        </w:numPr>
        <w:tabs>
          <w:tab w:val="left" w:pos="-1418"/>
          <w:tab w:val="clear" w:pos="425"/>
        </w:tabs>
        <w:spacing w:before="0" w:after="0"/>
        <w:ind w:left="358" w:leftChars="-100" w:hanging="538" w:hangingChars="269"/>
        <w:jc w:val="both"/>
        <w:rPr>
          <w:sz w:val="20"/>
          <w:szCs w:val="20"/>
          <w:highlight w:val="none"/>
        </w:rPr>
      </w:pPr>
      <w:r>
        <w:rPr>
          <w:sz w:val="20"/>
          <w:szCs w:val="20"/>
          <w:highlight w:val="none"/>
        </w:rPr>
        <w:t>Providenciar e selecionar, ao seu exclusivo critério, e contratar, em seu nome, a mão-de-obra necessária à execução dos serviços, técnica ou administrativamente, respondendo por todos os encargos trabalhistas, previdenciários e sociais, não tendo vínculo empregatício algum com a Prefeitura Municipal.</w:t>
      </w:r>
    </w:p>
    <w:p>
      <w:pPr>
        <w:numPr>
          <w:ilvl w:val="0"/>
          <w:numId w:val="0"/>
        </w:numPr>
        <w:tabs>
          <w:tab w:val="left" w:pos="-1418"/>
        </w:tabs>
        <w:spacing w:before="0" w:after="0"/>
        <w:ind w:leftChars="-369"/>
        <w:jc w:val="both"/>
        <w:rPr>
          <w:sz w:val="20"/>
          <w:szCs w:val="20"/>
          <w:highlight w:val="none"/>
        </w:rPr>
      </w:pPr>
    </w:p>
    <w:p>
      <w:pPr>
        <w:numPr>
          <w:ilvl w:val="0"/>
          <w:numId w:val="11"/>
        </w:numPr>
        <w:tabs>
          <w:tab w:val="left" w:pos="-1418"/>
          <w:tab w:val="clear" w:pos="425"/>
        </w:tabs>
        <w:spacing w:before="0" w:after="0"/>
        <w:ind w:left="358" w:leftChars="-100" w:hanging="538" w:hangingChars="269"/>
        <w:jc w:val="both"/>
        <w:rPr>
          <w:sz w:val="20"/>
          <w:szCs w:val="20"/>
          <w:highlight w:val="none"/>
        </w:rPr>
      </w:pPr>
      <w:r>
        <w:rPr>
          <w:rFonts w:cs="Arial"/>
          <w:color w:val="auto"/>
          <w:sz w:val="20"/>
          <w:highlight w:val="none"/>
        </w:rPr>
        <w:t>Responsabilizar-se por todos os danos causados a PREFEITURA MUNICIPAL DE ITAPEVA ou terceiros, decorrentes de sua culpa ou dolo, provocado pela negligência, imprudência ou imperícia quando da execução dos serviços prestados, devendo repará-las as suas expensas.</w:t>
      </w:r>
    </w:p>
    <w:p>
      <w:pPr>
        <w:numPr>
          <w:ilvl w:val="0"/>
          <w:numId w:val="0"/>
        </w:numPr>
        <w:tabs>
          <w:tab w:val="left" w:pos="-1418"/>
        </w:tabs>
        <w:spacing w:before="0" w:after="0"/>
        <w:ind w:leftChars="-369"/>
        <w:jc w:val="both"/>
        <w:rPr>
          <w:sz w:val="20"/>
          <w:szCs w:val="20"/>
          <w:highlight w:val="none"/>
        </w:rPr>
      </w:pPr>
    </w:p>
    <w:p>
      <w:pPr>
        <w:numPr>
          <w:ilvl w:val="0"/>
          <w:numId w:val="11"/>
        </w:numPr>
        <w:tabs>
          <w:tab w:val="left" w:pos="-1418"/>
          <w:tab w:val="clear" w:pos="425"/>
        </w:tabs>
        <w:spacing w:before="0" w:after="0"/>
        <w:ind w:left="358" w:leftChars="-100" w:hanging="538" w:hangingChars="269"/>
        <w:jc w:val="both"/>
        <w:rPr>
          <w:sz w:val="20"/>
          <w:szCs w:val="20"/>
          <w:highlight w:val="none"/>
        </w:rPr>
      </w:pPr>
      <w:r>
        <w:rPr>
          <w:rFonts w:cs="Arial"/>
          <w:color w:val="auto"/>
          <w:sz w:val="20"/>
          <w:highlight w:val="none"/>
        </w:rPr>
        <w:t>Comunicar com antecedência a PREFEITURA MUNICIPAL DE ITAPEVA qualquer alteração que possa comprometer a manutenção do contrato.</w:t>
      </w:r>
    </w:p>
    <w:p>
      <w:pPr>
        <w:spacing w:before="0" w:after="0"/>
        <w:ind w:left="358" w:leftChars="-100" w:hanging="538" w:hangingChars="269"/>
        <w:jc w:val="both"/>
        <w:rPr>
          <w:sz w:val="20"/>
          <w:szCs w:val="20"/>
          <w:highlight w:val="none"/>
        </w:rPr>
      </w:pPr>
    </w:p>
    <w:p>
      <w:pPr>
        <w:numPr>
          <w:ilvl w:val="0"/>
          <w:numId w:val="11"/>
        </w:numPr>
        <w:tabs>
          <w:tab w:val="left" w:pos="-1418"/>
          <w:tab w:val="clear" w:pos="425"/>
        </w:tabs>
        <w:spacing w:before="0" w:after="0"/>
        <w:ind w:left="358" w:leftChars="-100" w:hanging="538" w:hangingChars="269"/>
        <w:jc w:val="both"/>
        <w:rPr>
          <w:sz w:val="20"/>
          <w:szCs w:val="20"/>
          <w:highlight w:val="none"/>
        </w:rPr>
      </w:pPr>
      <w:r>
        <w:rPr>
          <w:sz w:val="20"/>
          <w:szCs w:val="20"/>
          <w:highlight w:val="none"/>
        </w:rPr>
        <w:t xml:space="preserve">Caso algum </w:t>
      </w:r>
      <w:r>
        <w:rPr>
          <w:rFonts w:hint="default"/>
          <w:sz w:val="20"/>
          <w:szCs w:val="20"/>
          <w:highlight w:val="none"/>
          <w:lang w:val="pt-BR"/>
        </w:rPr>
        <w:t>serviço</w:t>
      </w:r>
      <w:r>
        <w:rPr>
          <w:sz w:val="20"/>
          <w:szCs w:val="20"/>
          <w:highlight w:val="none"/>
        </w:rPr>
        <w:t xml:space="preserve"> não corresponda ao exigido no instrumento convocatório, a contratada deverá providenciar sua </w:t>
      </w:r>
      <w:r>
        <w:rPr>
          <w:rFonts w:hint="default"/>
          <w:sz w:val="20"/>
          <w:szCs w:val="20"/>
          <w:highlight w:val="none"/>
          <w:lang w:val="pt-BR"/>
        </w:rPr>
        <w:t>ADEQUA</w:t>
      </w:r>
      <w:r>
        <w:rPr>
          <w:sz w:val="20"/>
          <w:szCs w:val="20"/>
          <w:highlight w:val="none"/>
        </w:rPr>
        <w:t>ÇÃO no prazo máximo de 5 (cinco) dias</w:t>
      </w:r>
      <w:r>
        <w:rPr>
          <w:rFonts w:hint="default"/>
          <w:sz w:val="20"/>
          <w:szCs w:val="20"/>
          <w:highlight w:val="none"/>
          <w:lang w:val="pt-BR"/>
        </w:rPr>
        <w:t xml:space="preserve"> úteis</w:t>
      </w:r>
      <w:r>
        <w:rPr>
          <w:sz w:val="20"/>
          <w:szCs w:val="20"/>
          <w:highlight w:val="none"/>
        </w:rPr>
        <w:t xml:space="preserve">, contados da data de notificação expedida pela contratante, visando o atendimento das especificações, sem prejuízo da incidência das sanções previstas no instrumento convocatório, na Lei nº </w:t>
      </w:r>
      <w:r>
        <w:rPr>
          <w:rFonts w:hint="default"/>
          <w:sz w:val="20"/>
          <w:szCs w:val="20"/>
          <w:highlight w:val="none"/>
          <w:lang w:val="pt-BR"/>
        </w:rPr>
        <w:t>14.133/2021</w:t>
      </w:r>
      <w:r>
        <w:rPr>
          <w:sz w:val="20"/>
          <w:szCs w:val="20"/>
          <w:highlight w:val="none"/>
        </w:rPr>
        <w:t xml:space="preserve"> e no Código de Defesa do Consumidor.</w:t>
      </w:r>
    </w:p>
    <w:p>
      <w:pPr>
        <w:spacing w:before="0" w:after="0"/>
        <w:jc w:val="both"/>
        <w:rPr>
          <w:sz w:val="20"/>
          <w:szCs w:val="20"/>
          <w:highlight w:val="none"/>
        </w:rPr>
      </w:pPr>
    </w:p>
    <w:p>
      <w:pPr>
        <w:numPr>
          <w:ilvl w:val="0"/>
          <w:numId w:val="9"/>
        </w:numPr>
        <w:spacing w:before="0" w:after="0"/>
        <w:ind w:left="0" w:leftChars="0" w:firstLine="0" w:firstLineChars="0"/>
        <w:jc w:val="both"/>
        <w:rPr>
          <w:b/>
          <w:bCs/>
          <w:sz w:val="20"/>
          <w:szCs w:val="20"/>
          <w:highlight w:val="none"/>
        </w:rPr>
      </w:pPr>
      <w:r>
        <w:rPr>
          <w:b/>
          <w:bCs/>
          <w:sz w:val="20"/>
          <w:szCs w:val="20"/>
          <w:highlight w:val="none"/>
        </w:rPr>
        <w:t xml:space="preserve">DAS CONDIÇÕES DE </w:t>
      </w:r>
      <w:r>
        <w:rPr>
          <w:rFonts w:hint="default"/>
          <w:b/>
          <w:bCs/>
          <w:sz w:val="20"/>
          <w:szCs w:val="20"/>
          <w:highlight w:val="none"/>
          <w:lang w:val="pt-BR"/>
        </w:rPr>
        <w:t>EXECUÇÃO</w:t>
      </w:r>
    </w:p>
    <w:p>
      <w:pPr>
        <w:spacing w:before="0" w:after="0"/>
        <w:jc w:val="both"/>
        <w:rPr>
          <w:sz w:val="20"/>
          <w:szCs w:val="20"/>
          <w:highlight w:val="none"/>
        </w:rPr>
      </w:pPr>
    </w:p>
    <w:p>
      <w:pPr>
        <w:numPr>
          <w:ilvl w:val="0"/>
          <w:numId w:val="12"/>
        </w:numPr>
        <w:tabs>
          <w:tab w:val="clear" w:pos="425"/>
        </w:tabs>
        <w:spacing w:before="0" w:after="0"/>
        <w:ind w:left="358" w:leftChars="-100" w:hanging="538" w:hangingChars="269"/>
        <w:jc w:val="both"/>
        <w:rPr>
          <w:sz w:val="20"/>
          <w:szCs w:val="20"/>
          <w:highlight w:val="none"/>
        </w:rPr>
      </w:pPr>
      <w:r>
        <w:rPr>
          <w:sz w:val="20"/>
          <w:szCs w:val="20"/>
          <w:highlight w:val="none"/>
        </w:rPr>
        <w:t xml:space="preserve">Constatadas irregularidades no objeto contratual, a PREFEITURA MUNICIPAL DE ITAPEVA poderá, se disser respeito à </w:t>
      </w:r>
      <w:r>
        <w:rPr>
          <w:rFonts w:hint="default"/>
          <w:sz w:val="20"/>
          <w:szCs w:val="20"/>
          <w:highlight w:val="none"/>
          <w:lang w:val="pt-BR"/>
        </w:rPr>
        <w:t>execu</w:t>
      </w:r>
      <w:r>
        <w:rPr>
          <w:sz w:val="20"/>
          <w:szCs w:val="20"/>
          <w:highlight w:val="none"/>
        </w:rPr>
        <w:t xml:space="preserve">ção, rejeitá-lo, determinando sua </w:t>
      </w:r>
      <w:r>
        <w:rPr>
          <w:rFonts w:hint="default"/>
          <w:sz w:val="20"/>
          <w:szCs w:val="20"/>
          <w:highlight w:val="none"/>
          <w:lang w:val="pt-BR"/>
        </w:rPr>
        <w:t>adequa</w:t>
      </w:r>
      <w:r>
        <w:rPr>
          <w:sz w:val="20"/>
          <w:szCs w:val="20"/>
          <w:highlight w:val="none"/>
        </w:rPr>
        <w:t>ção ou rescindindo a contratação, sem prejuízo das penalidades cabíveis.</w:t>
      </w:r>
    </w:p>
    <w:p>
      <w:pPr>
        <w:spacing w:before="0" w:after="0"/>
        <w:ind w:left="358" w:leftChars="-100" w:hanging="538" w:hangingChars="269"/>
        <w:jc w:val="both"/>
        <w:rPr>
          <w:sz w:val="20"/>
          <w:szCs w:val="20"/>
          <w:highlight w:val="none"/>
        </w:rPr>
      </w:pPr>
    </w:p>
    <w:p>
      <w:pPr>
        <w:numPr>
          <w:ilvl w:val="0"/>
          <w:numId w:val="12"/>
        </w:numPr>
        <w:tabs>
          <w:tab w:val="clear" w:pos="425"/>
        </w:tabs>
        <w:spacing w:before="0" w:after="0"/>
        <w:ind w:left="358" w:leftChars="-100" w:hanging="538" w:hangingChars="269"/>
        <w:jc w:val="both"/>
        <w:rPr>
          <w:sz w:val="20"/>
          <w:szCs w:val="20"/>
          <w:highlight w:val="none"/>
        </w:rPr>
      </w:pPr>
      <w:r>
        <w:rPr>
          <w:sz w:val="20"/>
          <w:szCs w:val="20"/>
          <w:highlight w:val="none"/>
        </w:rPr>
        <w:t xml:space="preserve">Para o seu recebimento, o Fiscal ou o Agente Fiscal do Contrato verificará a qualidade e especificações dos </w:t>
      </w:r>
      <w:r>
        <w:rPr>
          <w:rFonts w:hint="default"/>
          <w:sz w:val="20"/>
          <w:szCs w:val="20"/>
          <w:highlight w:val="none"/>
          <w:lang w:val="pt-BR"/>
        </w:rPr>
        <w:t>serviços executados</w:t>
      </w:r>
      <w:r>
        <w:rPr>
          <w:sz w:val="20"/>
          <w:szCs w:val="20"/>
          <w:highlight w:val="none"/>
        </w:rPr>
        <w:t xml:space="preserve"> conforme a proposta ofertada, a conferência do Documento Fiscal e Atestará a Vigência do contrato em seu verso.</w:t>
      </w:r>
    </w:p>
    <w:p>
      <w:pPr>
        <w:spacing w:before="0" w:after="0"/>
        <w:ind w:left="358" w:leftChars="-100" w:hanging="538" w:hangingChars="269"/>
        <w:jc w:val="both"/>
        <w:rPr>
          <w:sz w:val="20"/>
          <w:szCs w:val="20"/>
          <w:highlight w:val="none"/>
        </w:rPr>
      </w:pPr>
    </w:p>
    <w:p>
      <w:pPr>
        <w:numPr>
          <w:ilvl w:val="0"/>
          <w:numId w:val="12"/>
        </w:numPr>
        <w:tabs>
          <w:tab w:val="clear" w:pos="425"/>
        </w:tabs>
        <w:spacing w:before="0" w:after="0"/>
        <w:ind w:left="358" w:leftChars="-100" w:hanging="538" w:hangingChars="269"/>
        <w:jc w:val="both"/>
        <w:rPr>
          <w:sz w:val="20"/>
          <w:szCs w:val="20"/>
          <w:highlight w:val="none"/>
        </w:rPr>
      </w:pPr>
      <w:r>
        <w:rPr>
          <w:sz w:val="20"/>
          <w:szCs w:val="20"/>
          <w:highlight w:val="none"/>
        </w:rPr>
        <w:t xml:space="preserve">O aceite dos </w:t>
      </w:r>
      <w:r>
        <w:rPr>
          <w:rFonts w:hint="default"/>
          <w:sz w:val="20"/>
          <w:szCs w:val="20"/>
          <w:highlight w:val="none"/>
          <w:lang w:val="pt-BR"/>
        </w:rPr>
        <w:t>serviços</w:t>
      </w:r>
      <w:r>
        <w:rPr>
          <w:sz w:val="20"/>
          <w:szCs w:val="20"/>
          <w:highlight w:val="none"/>
        </w:rPr>
        <w:t xml:space="preserve"> pelo setor competente da PREFEITURA MUNICIPAL DE ITAPEVA não exclui a respon</w:t>
      </w:r>
      <w:r>
        <w:rPr>
          <w:sz w:val="20"/>
          <w:szCs w:val="20"/>
          <w:highlight w:val="none"/>
        </w:rPr>
        <w:softHyphen/>
      </w:r>
      <w:r>
        <w:rPr>
          <w:sz w:val="20"/>
          <w:szCs w:val="20"/>
          <w:highlight w:val="none"/>
        </w:rPr>
        <w:t xml:space="preserve">sabilidade do DETENTOR por vícios de </w:t>
      </w:r>
      <w:r>
        <w:rPr>
          <w:rFonts w:hint="default"/>
          <w:sz w:val="20"/>
          <w:szCs w:val="20"/>
          <w:highlight w:val="none"/>
          <w:lang w:val="pt-BR"/>
        </w:rPr>
        <w:t>execução</w:t>
      </w:r>
      <w:r>
        <w:rPr>
          <w:sz w:val="20"/>
          <w:szCs w:val="20"/>
          <w:highlight w:val="none"/>
        </w:rPr>
        <w:t xml:space="preserve">, de qualidade ou técnicos do </w:t>
      </w:r>
      <w:r>
        <w:rPr>
          <w:rFonts w:hint="default"/>
          <w:sz w:val="20"/>
          <w:szCs w:val="20"/>
          <w:highlight w:val="none"/>
          <w:lang w:val="pt-BR"/>
        </w:rPr>
        <w:t>serviço</w:t>
      </w:r>
      <w:r>
        <w:rPr>
          <w:sz w:val="20"/>
          <w:szCs w:val="20"/>
          <w:highlight w:val="none"/>
        </w:rPr>
        <w:t>, aparentes ou ocul</w:t>
      </w:r>
      <w:r>
        <w:rPr>
          <w:sz w:val="20"/>
          <w:szCs w:val="20"/>
          <w:highlight w:val="none"/>
        </w:rPr>
        <w:softHyphen/>
      </w:r>
      <w:r>
        <w:rPr>
          <w:sz w:val="20"/>
          <w:szCs w:val="20"/>
          <w:highlight w:val="none"/>
        </w:rPr>
        <w:t>tos, ou por desacordo com as especificações estabelecidas no respectivo Edital e verificadas posteriormente.</w:t>
      </w:r>
    </w:p>
    <w:p>
      <w:pPr>
        <w:spacing w:before="0" w:after="0"/>
        <w:ind w:left="358" w:leftChars="-100" w:hanging="538" w:hangingChars="269"/>
        <w:jc w:val="both"/>
        <w:rPr>
          <w:sz w:val="20"/>
          <w:szCs w:val="20"/>
          <w:highlight w:val="none"/>
        </w:rPr>
      </w:pPr>
    </w:p>
    <w:p>
      <w:pPr>
        <w:numPr>
          <w:ilvl w:val="0"/>
          <w:numId w:val="12"/>
        </w:numPr>
        <w:tabs>
          <w:tab w:val="clear" w:pos="425"/>
        </w:tabs>
        <w:spacing w:before="0" w:after="0"/>
        <w:ind w:left="358" w:leftChars="-100" w:hanging="538" w:hangingChars="269"/>
        <w:jc w:val="both"/>
        <w:rPr>
          <w:sz w:val="20"/>
          <w:szCs w:val="20"/>
          <w:highlight w:val="none"/>
        </w:rPr>
      </w:pPr>
      <w:r>
        <w:rPr>
          <w:sz w:val="20"/>
          <w:szCs w:val="20"/>
          <w:highlight w:val="none"/>
        </w:rPr>
        <w:t>O não cumprimento dos requisitos estabelecidos no Edital autoriza a PREFEITURA MUNICIPAL DE ITAPEVA a suspender o pagamento, até a devida regularização, sem prejuízo da aplicação das penalidades previstas na presente convocação.</w:t>
      </w:r>
    </w:p>
    <w:p>
      <w:pPr>
        <w:spacing w:before="0" w:after="0"/>
        <w:ind w:left="358" w:leftChars="-100" w:hanging="538" w:hangingChars="269"/>
        <w:jc w:val="both"/>
        <w:rPr>
          <w:sz w:val="20"/>
          <w:szCs w:val="20"/>
          <w:highlight w:val="none"/>
        </w:rPr>
      </w:pPr>
    </w:p>
    <w:p>
      <w:pPr>
        <w:numPr>
          <w:ilvl w:val="0"/>
          <w:numId w:val="12"/>
        </w:numPr>
        <w:tabs>
          <w:tab w:val="clear" w:pos="425"/>
        </w:tabs>
        <w:spacing w:before="0" w:after="0"/>
        <w:ind w:left="358" w:leftChars="-100" w:hanging="538" w:hangingChars="269"/>
        <w:jc w:val="both"/>
        <w:rPr>
          <w:sz w:val="20"/>
          <w:szCs w:val="20"/>
          <w:highlight w:val="none"/>
        </w:rPr>
      </w:pPr>
      <w:r>
        <w:rPr>
          <w:sz w:val="20"/>
          <w:szCs w:val="20"/>
          <w:highlight w:val="none"/>
        </w:rPr>
        <w:t xml:space="preserve">Caso a </w:t>
      </w:r>
      <w:r>
        <w:rPr>
          <w:rFonts w:hint="default"/>
          <w:sz w:val="20"/>
          <w:szCs w:val="20"/>
          <w:highlight w:val="none"/>
          <w:lang w:val="pt-BR"/>
        </w:rPr>
        <w:t>adequa</w:t>
      </w:r>
      <w:r>
        <w:rPr>
          <w:sz w:val="20"/>
          <w:szCs w:val="20"/>
          <w:highlight w:val="none"/>
        </w:rPr>
        <w:t xml:space="preserve">ção não ocorra no prazo determinado, estará a contratada incorrendo em atraso na </w:t>
      </w:r>
      <w:r>
        <w:rPr>
          <w:rFonts w:hint="default"/>
          <w:sz w:val="20"/>
          <w:szCs w:val="20"/>
          <w:highlight w:val="none"/>
          <w:lang w:val="pt-BR"/>
        </w:rPr>
        <w:t>execução</w:t>
      </w:r>
      <w:r>
        <w:rPr>
          <w:sz w:val="20"/>
          <w:szCs w:val="20"/>
          <w:highlight w:val="none"/>
        </w:rPr>
        <w:t xml:space="preserve"> e sujeita à aplicação das sanções previstas no Edital.</w:t>
      </w:r>
    </w:p>
    <w:p>
      <w:pPr>
        <w:numPr>
          <w:ilvl w:val="0"/>
          <w:numId w:val="0"/>
        </w:numPr>
        <w:spacing w:before="0" w:after="0"/>
        <w:ind w:leftChars="-369"/>
        <w:jc w:val="both"/>
        <w:rPr>
          <w:sz w:val="20"/>
          <w:szCs w:val="20"/>
          <w:highlight w:val="none"/>
        </w:rPr>
      </w:pPr>
    </w:p>
    <w:p>
      <w:pPr>
        <w:numPr>
          <w:ilvl w:val="0"/>
          <w:numId w:val="12"/>
        </w:numPr>
        <w:tabs>
          <w:tab w:val="clear" w:pos="425"/>
        </w:tabs>
        <w:spacing w:before="0" w:after="0"/>
        <w:ind w:left="358" w:leftChars="-100" w:hanging="538" w:hangingChars="269"/>
        <w:jc w:val="both"/>
        <w:rPr>
          <w:sz w:val="20"/>
          <w:szCs w:val="20"/>
          <w:highlight w:val="none"/>
        </w:rPr>
      </w:pPr>
      <w:r>
        <w:rPr>
          <w:rFonts w:hint="default" w:cs="Arial"/>
          <w:sz w:val="20"/>
          <w:szCs w:val="20"/>
          <w:highlight w:val="none"/>
          <w:lang w:val="pt-BR"/>
        </w:rPr>
        <w:t>D</w:t>
      </w:r>
      <w:r>
        <w:rPr>
          <w:rFonts w:hint="default" w:ascii="Arial" w:hAnsi="Arial" w:cs="Arial"/>
          <w:sz w:val="20"/>
          <w:szCs w:val="20"/>
          <w:highlight w:val="none"/>
        </w:rPr>
        <w:t>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r>
        <w:rPr>
          <w:rFonts w:hint="default" w:cs="Arial"/>
          <w:sz w:val="20"/>
          <w:szCs w:val="20"/>
          <w:highlight w:val="none"/>
          <w:lang w:val="pt-BR"/>
        </w:rPr>
        <w:t>.</w:t>
      </w:r>
    </w:p>
    <w:p>
      <w:pPr>
        <w:spacing w:before="0" w:after="0" w:line="240" w:lineRule="exact"/>
        <w:ind w:left="-142" w:right="-1"/>
        <w:jc w:val="both"/>
        <w:rPr>
          <w:rFonts w:cs="Arial"/>
          <w:color w:val="auto"/>
          <w:sz w:val="20"/>
          <w:szCs w:val="20"/>
          <w:highlight w:val="none"/>
        </w:rPr>
      </w:pPr>
    </w:p>
    <w:p>
      <w:pPr>
        <w:pStyle w:val="47"/>
        <w:spacing w:before="0" w:after="0"/>
        <w:ind w:left="-142" w:right="565"/>
        <w:rPr>
          <w:rFonts w:cs="Arial"/>
          <w:b/>
          <w:color w:val="auto"/>
          <w:sz w:val="20"/>
          <w:szCs w:val="20"/>
          <w:highlight w:val="none"/>
          <w:u w:val="single"/>
        </w:rPr>
      </w:pPr>
      <w:r>
        <w:rPr>
          <w:rFonts w:cs="Arial"/>
          <w:b/>
          <w:color w:val="auto"/>
          <w:sz w:val="20"/>
          <w:szCs w:val="20"/>
          <w:highlight w:val="none"/>
          <w:u w:val="single"/>
        </w:rPr>
        <w:t>CLÁUSULA 2ª – DO LOCAL E DATA</w:t>
      </w:r>
    </w:p>
    <w:p>
      <w:pPr>
        <w:spacing w:before="0" w:after="0"/>
        <w:ind w:left="-142" w:right="423"/>
        <w:rPr>
          <w:rFonts w:ascii="Tahoma" w:hAnsi="Tahoma" w:cs="Tahoma"/>
          <w:b/>
          <w:color w:val="auto"/>
          <w:sz w:val="19"/>
          <w:szCs w:val="19"/>
          <w:highlight w:val="none"/>
          <w:u w:val="single"/>
        </w:rPr>
      </w:pPr>
    </w:p>
    <w:p>
      <w:pPr>
        <w:spacing w:before="0" w:after="0"/>
        <w:ind w:left="-142" w:right="-2"/>
        <w:jc w:val="both"/>
        <w:rPr>
          <w:rFonts w:cs="Arial"/>
          <w:color w:val="auto"/>
          <w:sz w:val="20"/>
          <w:szCs w:val="20"/>
          <w:highlight w:val="none"/>
        </w:rPr>
      </w:pPr>
      <w:r>
        <w:rPr>
          <w:rFonts w:cs="Arial"/>
          <w:color w:val="auto"/>
          <w:sz w:val="20"/>
          <w:szCs w:val="20"/>
          <w:highlight w:val="none"/>
        </w:rPr>
        <w:t>O presente contrato administrativo é lavrado e assinado nesta cidade de Itapeva, Estado de São Paulo, no dia __ do mês de ___________ de 2023.</w:t>
      </w:r>
    </w:p>
    <w:p>
      <w:pPr>
        <w:pStyle w:val="47"/>
        <w:spacing w:before="0" w:after="0"/>
        <w:ind w:left="-142" w:right="565"/>
        <w:rPr>
          <w:rFonts w:cs="Arial"/>
          <w:b/>
          <w:color w:val="auto"/>
          <w:sz w:val="20"/>
          <w:szCs w:val="20"/>
          <w:highlight w:val="none"/>
          <w:u w:val="single"/>
        </w:rPr>
      </w:pPr>
    </w:p>
    <w:p>
      <w:pPr>
        <w:pStyle w:val="47"/>
        <w:spacing w:before="0" w:after="0"/>
        <w:ind w:left="-142" w:right="565"/>
        <w:rPr>
          <w:rFonts w:cs="Arial"/>
          <w:b/>
          <w:color w:val="auto"/>
          <w:sz w:val="20"/>
          <w:szCs w:val="20"/>
          <w:highlight w:val="none"/>
          <w:u w:val="single"/>
        </w:rPr>
      </w:pPr>
      <w:r>
        <w:rPr>
          <w:rFonts w:cs="Arial"/>
          <w:b/>
          <w:color w:val="auto"/>
          <w:sz w:val="20"/>
          <w:szCs w:val="20"/>
          <w:highlight w:val="none"/>
          <w:u w:val="single"/>
        </w:rPr>
        <w:t xml:space="preserve">CLÁUSULA </w:t>
      </w:r>
      <w:r>
        <w:rPr>
          <w:rFonts w:hint="default" w:cs="Arial"/>
          <w:b/>
          <w:color w:val="auto"/>
          <w:sz w:val="20"/>
          <w:szCs w:val="20"/>
          <w:highlight w:val="none"/>
          <w:u w:val="single"/>
          <w:lang w:val="pt-BR"/>
        </w:rPr>
        <w:t>3</w:t>
      </w:r>
      <w:r>
        <w:rPr>
          <w:rFonts w:cs="Arial"/>
          <w:b/>
          <w:color w:val="auto"/>
          <w:sz w:val="20"/>
          <w:szCs w:val="20"/>
          <w:highlight w:val="none"/>
          <w:u w:val="single"/>
        </w:rPr>
        <w:t>ª – DO VALOR E FORMA DE PAGAMENTO</w:t>
      </w:r>
    </w:p>
    <w:p>
      <w:pPr>
        <w:spacing w:before="0" w:after="0"/>
        <w:ind w:right="565"/>
        <w:rPr>
          <w:rFonts w:cs="Arial"/>
          <w:b/>
          <w:color w:val="auto"/>
          <w:sz w:val="20"/>
          <w:szCs w:val="20"/>
          <w:highlight w:val="none"/>
          <w:u w:val="single"/>
        </w:rPr>
      </w:pPr>
    </w:p>
    <w:p>
      <w:pPr>
        <w:spacing w:before="0" w:after="0"/>
        <w:ind w:left="-142" w:right="565"/>
        <w:rPr>
          <w:rFonts w:cs="Arial"/>
          <w:b/>
          <w:color w:val="auto"/>
          <w:sz w:val="20"/>
          <w:szCs w:val="20"/>
          <w:highlight w:val="none"/>
          <w:u w:val="single"/>
        </w:rPr>
      </w:pPr>
      <w:r>
        <w:rPr>
          <w:rFonts w:cs="Arial"/>
          <w:color w:val="auto"/>
          <w:sz w:val="20"/>
          <w:szCs w:val="20"/>
          <w:highlight w:val="none"/>
        </w:rPr>
        <w:t>O valor integral deste Contrato corresponde à R$ __.___,__  (Valor Por Extenso).</w:t>
      </w:r>
    </w:p>
    <w:p>
      <w:pPr>
        <w:spacing w:before="0" w:after="0"/>
        <w:ind w:left="284" w:right="-2" w:hanging="426"/>
        <w:jc w:val="both"/>
        <w:rPr>
          <w:rFonts w:cs="Arial"/>
          <w:color w:val="auto"/>
          <w:sz w:val="20"/>
          <w:szCs w:val="20"/>
          <w:highlight w:val="none"/>
        </w:rPr>
      </w:pPr>
    </w:p>
    <w:p>
      <w:pPr>
        <w:pStyle w:val="47"/>
        <w:numPr>
          <w:ilvl w:val="0"/>
          <w:numId w:val="13"/>
        </w:numPr>
        <w:spacing w:before="0" w:after="0"/>
        <w:ind w:left="284" w:right="-2" w:hanging="426"/>
        <w:jc w:val="both"/>
        <w:rPr>
          <w:rFonts w:cs="Arial"/>
          <w:color w:val="auto"/>
          <w:sz w:val="20"/>
          <w:szCs w:val="20"/>
          <w:highlight w:val="none"/>
        </w:rPr>
      </w:pPr>
      <w:r>
        <w:rPr>
          <w:rFonts w:cs="Arial"/>
          <w:color w:val="auto"/>
          <w:sz w:val="20"/>
          <w:szCs w:val="20"/>
          <w:highlight w:val="none"/>
        </w:rPr>
        <w:t>No preço estão incluídas todas as despesas diretas ou indiretas, ficando certo de que à CONTRATANTE, nenhum outro ônus caberá, além do pagamento estipulado acima.</w:t>
      </w:r>
    </w:p>
    <w:p>
      <w:pPr>
        <w:spacing w:before="0" w:after="0"/>
        <w:ind w:left="284" w:right="-2" w:hanging="426"/>
        <w:rPr>
          <w:rFonts w:cs="Arial"/>
          <w:color w:val="auto"/>
          <w:sz w:val="20"/>
          <w:szCs w:val="20"/>
          <w:highlight w:val="none"/>
        </w:rPr>
      </w:pPr>
    </w:p>
    <w:p>
      <w:pPr>
        <w:pStyle w:val="47"/>
        <w:numPr>
          <w:ilvl w:val="0"/>
          <w:numId w:val="13"/>
        </w:numPr>
        <w:spacing w:before="0" w:after="0"/>
        <w:ind w:left="284" w:right="-2" w:hanging="426"/>
        <w:jc w:val="both"/>
        <w:rPr>
          <w:rFonts w:cs="Arial"/>
          <w:color w:val="auto"/>
          <w:sz w:val="20"/>
          <w:szCs w:val="20"/>
          <w:highlight w:val="none"/>
        </w:rPr>
      </w:pPr>
      <w:r>
        <w:rPr>
          <w:sz w:val="20"/>
          <w:szCs w:val="20"/>
          <w:highlight w:val="none"/>
        </w:rPr>
        <w:t>Recebida a Nota Fiscal ou documento de cobrança equivalente, correrá o prazo de dez dias úteis para fins de liquidação, prorrogáveis po</w:t>
      </w:r>
      <w:r>
        <w:rPr>
          <w:color w:val="auto"/>
          <w:sz w:val="20"/>
          <w:szCs w:val="20"/>
          <w:highlight w:val="none"/>
        </w:rPr>
        <w:t xml:space="preserve">r igual período, nos termos do </w:t>
      </w:r>
      <w:r>
        <w:rPr>
          <w:color w:val="auto"/>
          <w:highlight w:val="none"/>
        </w:rPr>
        <w:fldChar w:fldCharType="begin"/>
      </w:r>
      <w:r>
        <w:rPr>
          <w:color w:val="auto"/>
          <w:highlight w:val="none"/>
        </w:rPr>
        <w:instrText xml:space="preserve"> HYPERLINK "https://in.gov.br/en/web/dou/-/instrucao-normativa-seges/me-n-77-de-4-de-novembro-de-2022-441681061" \l "art7§2" </w:instrText>
      </w:r>
      <w:r>
        <w:rPr>
          <w:color w:val="auto"/>
          <w:highlight w:val="none"/>
        </w:rPr>
        <w:fldChar w:fldCharType="separate"/>
      </w:r>
      <w:r>
        <w:rPr>
          <w:rStyle w:val="16"/>
          <w:color w:val="auto"/>
          <w:sz w:val="20"/>
          <w:szCs w:val="20"/>
          <w:highlight w:val="none"/>
        </w:rPr>
        <w:t>art. 7º, §2º da Instrução Normativa SEGES/ME nº 77/2022</w:t>
      </w:r>
      <w:r>
        <w:rPr>
          <w:rStyle w:val="16"/>
          <w:color w:val="auto"/>
          <w:sz w:val="20"/>
          <w:szCs w:val="20"/>
          <w:highlight w:val="none"/>
        </w:rPr>
        <w:fldChar w:fldCharType="end"/>
      </w:r>
      <w:r>
        <w:rPr>
          <w:color w:val="auto"/>
          <w:sz w:val="20"/>
          <w:szCs w:val="20"/>
          <w:highlight w:val="none"/>
        </w:rPr>
        <w:t>.</w:t>
      </w:r>
    </w:p>
    <w:p>
      <w:pPr>
        <w:spacing w:before="0" w:after="0"/>
        <w:ind w:right="-2"/>
        <w:jc w:val="both"/>
        <w:rPr>
          <w:rFonts w:cs="Arial"/>
          <w:color w:val="auto"/>
          <w:sz w:val="20"/>
          <w:szCs w:val="20"/>
          <w:highlight w:val="none"/>
        </w:rPr>
      </w:pPr>
    </w:p>
    <w:p>
      <w:pPr>
        <w:pStyle w:val="47"/>
        <w:numPr>
          <w:ilvl w:val="0"/>
          <w:numId w:val="13"/>
        </w:numPr>
        <w:spacing w:before="0" w:after="0"/>
        <w:ind w:left="284" w:right="-2" w:hanging="426"/>
        <w:jc w:val="both"/>
        <w:rPr>
          <w:rFonts w:cs="Arial"/>
          <w:color w:val="auto"/>
          <w:sz w:val="20"/>
          <w:szCs w:val="20"/>
          <w:highlight w:val="none"/>
        </w:rPr>
      </w:pPr>
      <w:r>
        <w:rPr>
          <w:color w:val="auto"/>
          <w:sz w:val="20"/>
          <w:szCs w:val="20"/>
          <w:highlight w:val="none"/>
        </w:rPr>
        <w:t xml:space="preserve">O prazo de que trata o item anterior será reduzido à metade, mantendo-se a possibilidade de prorrogação, no caso de contratações decorrentes de despesas cujos valores não ultrapassem o limite de que trata o </w:t>
      </w:r>
      <w:r>
        <w:rPr>
          <w:color w:val="auto"/>
          <w:highlight w:val="none"/>
        </w:rPr>
        <w:fldChar w:fldCharType="begin"/>
      </w:r>
      <w:r>
        <w:rPr>
          <w:color w:val="auto"/>
          <w:highlight w:val="none"/>
        </w:rPr>
        <w:instrText xml:space="preserve"> HYPERLINK "http://www.planalto.gov.br/ccivil_03/_ato2019-2022/2021/lei/L14133.htm" \l "art75" </w:instrText>
      </w:r>
      <w:r>
        <w:rPr>
          <w:color w:val="auto"/>
          <w:highlight w:val="none"/>
        </w:rPr>
        <w:fldChar w:fldCharType="separate"/>
      </w:r>
      <w:r>
        <w:rPr>
          <w:rStyle w:val="16"/>
          <w:color w:val="auto"/>
          <w:sz w:val="20"/>
          <w:szCs w:val="20"/>
          <w:highlight w:val="none"/>
        </w:rPr>
        <w:t>inciso II do art. 75 da Lei nº 14.133, de 2021</w:t>
      </w:r>
      <w:r>
        <w:rPr>
          <w:rStyle w:val="16"/>
          <w:color w:val="auto"/>
          <w:sz w:val="20"/>
          <w:szCs w:val="20"/>
          <w:highlight w:val="none"/>
        </w:rPr>
        <w:fldChar w:fldCharType="end"/>
      </w:r>
      <w:r>
        <w:rPr>
          <w:color w:val="auto"/>
          <w:highlight w:val="none"/>
        </w:rPr>
        <w:t>.</w:t>
      </w:r>
    </w:p>
    <w:p>
      <w:pPr>
        <w:spacing w:before="0" w:after="0"/>
        <w:ind w:left="284" w:right="-2" w:hanging="426"/>
        <w:rPr>
          <w:rFonts w:cs="Arial"/>
          <w:color w:val="auto"/>
          <w:sz w:val="20"/>
          <w:szCs w:val="20"/>
          <w:highlight w:val="none"/>
        </w:rPr>
      </w:pPr>
    </w:p>
    <w:p>
      <w:pPr>
        <w:pStyle w:val="47"/>
        <w:numPr>
          <w:ilvl w:val="0"/>
          <w:numId w:val="13"/>
        </w:numPr>
        <w:spacing w:before="0" w:after="0"/>
        <w:ind w:left="284" w:right="-2" w:hanging="426"/>
        <w:jc w:val="both"/>
        <w:rPr>
          <w:rFonts w:cs="Arial"/>
          <w:color w:val="auto"/>
          <w:sz w:val="20"/>
          <w:szCs w:val="20"/>
          <w:highlight w:val="none"/>
        </w:rPr>
      </w:pPr>
      <w:r>
        <w:rPr>
          <w:rFonts w:cs="Arial"/>
          <w:color w:val="auto"/>
          <w:sz w:val="20"/>
          <w:szCs w:val="20"/>
          <w:highlight w:val="none"/>
        </w:rPr>
        <w:t>O pagamento será feito mediante crédito em conta corrente da Contratada, devidamente cadastrada na Secretaria de Finanças, valendo como recibo o comprovante de depósito.</w:t>
      </w:r>
    </w:p>
    <w:p>
      <w:pPr>
        <w:spacing w:before="0" w:after="0"/>
        <w:ind w:left="284" w:right="-2" w:hanging="426"/>
        <w:rPr>
          <w:rFonts w:cs="Arial"/>
          <w:color w:val="auto"/>
          <w:sz w:val="20"/>
          <w:szCs w:val="20"/>
          <w:highlight w:val="none"/>
        </w:rPr>
      </w:pPr>
    </w:p>
    <w:p>
      <w:pPr>
        <w:pStyle w:val="47"/>
        <w:numPr>
          <w:ilvl w:val="0"/>
          <w:numId w:val="13"/>
        </w:numPr>
        <w:spacing w:before="0" w:after="0"/>
        <w:ind w:left="284" w:right="-2" w:hanging="426"/>
        <w:jc w:val="both"/>
        <w:rPr>
          <w:rFonts w:cs="Arial"/>
          <w:color w:val="auto"/>
          <w:sz w:val="20"/>
          <w:szCs w:val="20"/>
          <w:highlight w:val="none"/>
        </w:rPr>
      </w:pPr>
      <w:r>
        <w:rPr>
          <w:rFonts w:cs="Arial"/>
          <w:color w:val="auto"/>
          <w:sz w:val="20"/>
          <w:szCs w:val="20"/>
          <w:highlight w:val="none"/>
        </w:rPr>
        <w:t>O vencimento do Documento fiscal dar-se-á somente após o recebimento do Agente Fiscal na Nota Fiscal, e não da emissão do mesmo.</w:t>
      </w:r>
    </w:p>
    <w:p>
      <w:pPr>
        <w:spacing w:before="0" w:after="0"/>
        <w:ind w:left="284" w:right="-2" w:hanging="426"/>
        <w:rPr>
          <w:rFonts w:cs="Arial"/>
          <w:color w:val="auto"/>
          <w:sz w:val="20"/>
          <w:szCs w:val="20"/>
          <w:highlight w:val="none"/>
        </w:rPr>
      </w:pPr>
    </w:p>
    <w:p>
      <w:pPr>
        <w:pStyle w:val="47"/>
        <w:numPr>
          <w:ilvl w:val="0"/>
          <w:numId w:val="13"/>
        </w:numPr>
        <w:spacing w:before="0" w:after="0"/>
        <w:ind w:left="284" w:right="-2" w:hanging="426"/>
        <w:jc w:val="both"/>
        <w:rPr>
          <w:rFonts w:cs="Arial"/>
          <w:color w:val="auto"/>
          <w:sz w:val="20"/>
          <w:szCs w:val="20"/>
          <w:highlight w:val="none"/>
        </w:rPr>
      </w:pPr>
      <w:r>
        <w:rPr>
          <w:rFonts w:cs="Arial"/>
          <w:color w:val="auto"/>
          <w:sz w:val="20"/>
          <w:szCs w:val="20"/>
          <w:highlight w:val="none"/>
        </w:rPr>
        <w:t xml:space="preserve">Deverá constar no documento fiscal o nº da licitação - </w:t>
      </w:r>
      <w:r>
        <w:rPr>
          <w:rFonts w:cs="Arial"/>
          <w:b/>
          <w:color w:val="auto"/>
          <w:sz w:val="20"/>
          <w:szCs w:val="20"/>
          <w:highlight w:val="none"/>
        </w:rPr>
        <w:t xml:space="preserve">Pregão nº </w:t>
      </w:r>
      <w:r>
        <w:rPr>
          <w:rFonts w:hint="default" w:cs="Arial"/>
          <w:b/>
          <w:color w:val="auto"/>
          <w:sz w:val="20"/>
          <w:szCs w:val="20"/>
          <w:highlight w:val="none"/>
          <w:lang w:val="pt-BR"/>
        </w:rPr>
        <w:t>31</w:t>
      </w:r>
      <w:r>
        <w:rPr>
          <w:rFonts w:cs="Arial"/>
          <w:b/>
          <w:color w:val="auto"/>
          <w:sz w:val="20"/>
          <w:szCs w:val="20"/>
          <w:highlight w:val="none"/>
        </w:rPr>
        <w:t>/2023</w:t>
      </w:r>
      <w:r>
        <w:rPr>
          <w:rFonts w:cs="Arial"/>
          <w:color w:val="auto"/>
          <w:sz w:val="20"/>
          <w:szCs w:val="20"/>
          <w:highlight w:val="none"/>
        </w:rPr>
        <w:t>, nº d</w:t>
      </w:r>
      <w:r>
        <w:rPr>
          <w:rFonts w:hint="default" w:cs="Arial"/>
          <w:color w:val="auto"/>
          <w:sz w:val="20"/>
          <w:szCs w:val="20"/>
          <w:highlight w:val="none"/>
          <w:lang w:val="pt-BR"/>
        </w:rPr>
        <w:t>a</w:t>
      </w:r>
      <w:r>
        <w:rPr>
          <w:rFonts w:cs="Arial"/>
          <w:color w:val="auto"/>
          <w:sz w:val="20"/>
          <w:szCs w:val="20"/>
          <w:highlight w:val="none"/>
        </w:rPr>
        <w:t xml:space="preserve"> Autorização de Fornecimento/Serviços, nº do Empenho, </w:t>
      </w:r>
      <w:r>
        <w:rPr>
          <w:rFonts w:hint="default" w:cs="Arial"/>
          <w:color w:val="auto"/>
          <w:sz w:val="20"/>
          <w:szCs w:val="20"/>
          <w:highlight w:val="none"/>
          <w:lang w:val="pt-BR"/>
        </w:rPr>
        <w:t>l</w:t>
      </w:r>
      <w:r>
        <w:rPr>
          <w:rFonts w:cs="Arial"/>
          <w:color w:val="auto"/>
          <w:sz w:val="20"/>
          <w:szCs w:val="20"/>
          <w:highlight w:val="none"/>
        </w:rPr>
        <w:t xml:space="preserve">ocal da </w:t>
      </w:r>
      <w:r>
        <w:rPr>
          <w:rFonts w:hint="default" w:cs="Arial"/>
          <w:color w:val="auto"/>
          <w:sz w:val="20"/>
          <w:szCs w:val="20"/>
          <w:highlight w:val="none"/>
          <w:lang w:val="pt-BR"/>
        </w:rPr>
        <w:t>execução</w:t>
      </w:r>
      <w:r>
        <w:rPr>
          <w:rFonts w:cs="Arial"/>
          <w:color w:val="auto"/>
          <w:sz w:val="20"/>
          <w:szCs w:val="20"/>
          <w:highlight w:val="none"/>
        </w:rPr>
        <w:t xml:space="preserve">, bem como nome do Banco, nº da Conta Corrente e </w:t>
      </w:r>
      <w:r>
        <w:rPr>
          <w:rFonts w:cs="Arial"/>
          <w:color w:val="auto"/>
          <w:sz w:val="20"/>
          <w:szCs w:val="20"/>
          <w:highlight w:val="none"/>
          <w:lang w:val="pt-BR"/>
        </w:rPr>
        <w:t>Agência</w:t>
      </w:r>
      <w:r>
        <w:rPr>
          <w:rFonts w:cs="Arial"/>
          <w:color w:val="auto"/>
          <w:sz w:val="20"/>
          <w:szCs w:val="20"/>
          <w:highlight w:val="none"/>
        </w:rPr>
        <w:t xml:space="preserve"> bancária da empresa, sem os quais o pagamento ficará retido por falta de informações.</w:t>
      </w:r>
    </w:p>
    <w:p>
      <w:pPr>
        <w:spacing w:before="0" w:after="0"/>
        <w:ind w:left="284" w:right="-2" w:hanging="426"/>
        <w:rPr>
          <w:rFonts w:cs="Arial"/>
          <w:color w:val="auto"/>
          <w:sz w:val="20"/>
          <w:szCs w:val="20"/>
          <w:highlight w:val="none"/>
        </w:rPr>
      </w:pPr>
    </w:p>
    <w:p>
      <w:pPr>
        <w:pStyle w:val="47"/>
        <w:numPr>
          <w:ilvl w:val="0"/>
          <w:numId w:val="13"/>
        </w:numPr>
        <w:spacing w:before="0" w:after="0"/>
        <w:ind w:left="284" w:right="-2" w:hanging="426"/>
        <w:jc w:val="both"/>
        <w:rPr>
          <w:rFonts w:cs="Arial"/>
          <w:color w:val="auto"/>
          <w:sz w:val="20"/>
          <w:szCs w:val="20"/>
          <w:highlight w:val="none"/>
        </w:rPr>
      </w:pPr>
      <w:r>
        <w:rPr>
          <w:sz w:val="20"/>
          <w:szCs w:val="20"/>
          <w:highlight w:val="none"/>
        </w:rPr>
        <w:t>Para fins de liquidação, o setor competente deverá verificar se a nota fiscal ou instrumento de cobrança equivalente apresentado expressa os elementos necessários e essenciais do documento, tais como:</w:t>
      </w:r>
    </w:p>
    <w:p>
      <w:pPr>
        <w:pStyle w:val="47"/>
        <w:numPr>
          <w:ilvl w:val="0"/>
          <w:numId w:val="0"/>
        </w:numPr>
        <w:spacing w:before="0" w:after="0"/>
        <w:ind w:right="-2" w:rightChars="0"/>
        <w:jc w:val="both"/>
        <w:rPr>
          <w:rFonts w:hint="default"/>
          <w:sz w:val="20"/>
          <w:szCs w:val="20"/>
          <w:highlight w:val="none"/>
          <w:lang w:val="pt-BR"/>
        </w:rPr>
      </w:pPr>
    </w:p>
    <w:p>
      <w:pPr>
        <w:pStyle w:val="47"/>
        <w:numPr>
          <w:ilvl w:val="0"/>
          <w:numId w:val="14"/>
        </w:numPr>
        <w:spacing w:before="0" w:after="0"/>
        <w:ind w:left="425" w:leftChars="0" w:right="-2" w:rightChars="0" w:hanging="425" w:firstLineChars="0"/>
        <w:jc w:val="both"/>
        <w:rPr>
          <w:rFonts w:hint="default"/>
          <w:sz w:val="20"/>
          <w:szCs w:val="20"/>
          <w:highlight w:val="none"/>
          <w:lang w:val="pt-BR"/>
        </w:rPr>
      </w:pPr>
      <w:r>
        <w:rPr>
          <w:rFonts w:eastAsia="Calibri" w:cs="Arial"/>
          <w:color w:val="000000"/>
          <w:sz w:val="20"/>
          <w:szCs w:val="20"/>
          <w:highlight w:val="none"/>
        </w:rPr>
        <w:t>o prazo de validade;</w:t>
      </w:r>
    </w:p>
    <w:p>
      <w:pPr>
        <w:pStyle w:val="47"/>
        <w:numPr>
          <w:ilvl w:val="0"/>
          <w:numId w:val="0"/>
        </w:numPr>
        <w:spacing w:before="0" w:after="0"/>
        <w:ind w:leftChars="0" w:right="-2" w:rightChars="0"/>
        <w:jc w:val="both"/>
        <w:rPr>
          <w:rFonts w:hint="default"/>
          <w:sz w:val="20"/>
          <w:szCs w:val="20"/>
          <w:highlight w:val="none"/>
          <w:lang w:val="pt-BR"/>
        </w:rPr>
      </w:pPr>
    </w:p>
    <w:p>
      <w:pPr>
        <w:pStyle w:val="47"/>
        <w:numPr>
          <w:ilvl w:val="0"/>
          <w:numId w:val="14"/>
        </w:numPr>
        <w:spacing w:before="0" w:after="0"/>
        <w:ind w:left="425" w:leftChars="0" w:right="-2" w:rightChars="0" w:hanging="425" w:firstLineChars="0"/>
        <w:jc w:val="both"/>
        <w:rPr>
          <w:rFonts w:hint="default"/>
          <w:sz w:val="20"/>
          <w:szCs w:val="20"/>
          <w:highlight w:val="none"/>
          <w:lang w:val="pt-BR"/>
        </w:rPr>
      </w:pPr>
      <w:r>
        <w:rPr>
          <w:rFonts w:eastAsia="Calibri" w:cs="Arial"/>
          <w:color w:val="000000"/>
          <w:sz w:val="20"/>
          <w:szCs w:val="20"/>
          <w:highlight w:val="none"/>
        </w:rPr>
        <w:t>a data da emissão;</w:t>
      </w:r>
    </w:p>
    <w:p>
      <w:pPr>
        <w:pStyle w:val="47"/>
        <w:numPr>
          <w:ilvl w:val="0"/>
          <w:numId w:val="0"/>
        </w:numPr>
        <w:spacing w:before="0" w:after="0"/>
        <w:ind w:leftChars="0" w:right="-2" w:rightChars="0"/>
        <w:jc w:val="both"/>
        <w:rPr>
          <w:rFonts w:hint="default"/>
          <w:sz w:val="20"/>
          <w:szCs w:val="20"/>
          <w:highlight w:val="none"/>
          <w:lang w:val="pt-BR"/>
        </w:rPr>
      </w:pPr>
    </w:p>
    <w:p>
      <w:pPr>
        <w:pStyle w:val="47"/>
        <w:numPr>
          <w:ilvl w:val="0"/>
          <w:numId w:val="14"/>
        </w:numPr>
        <w:spacing w:before="0" w:after="0"/>
        <w:ind w:left="425" w:leftChars="0" w:right="-2" w:rightChars="0" w:hanging="425" w:firstLineChars="0"/>
        <w:jc w:val="both"/>
        <w:rPr>
          <w:rFonts w:hint="default"/>
          <w:sz w:val="20"/>
          <w:szCs w:val="20"/>
          <w:highlight w:val="none"/>
          <w:lang w:val="pt-BR"/>
        </w:rPr>
      </w:pPr>
      <w:r>
        <w:rPr>
          <w:rFonts w:eastAsia="Calibri" w:cs="Arial"/>
          <w:color w:val="000000"/>
          <w:sz w:val="20"/>
          <w:szCs w:val="20"/>
          <w:highlight w:val="none"/>
        </w:rPr>
        <w:t>os dados do contrato e do órgão contratante;</w:t>
      </w:r>
    </w:p>
    <w:p>
      <w:pPr>
        <w:pStyle w:val="47"/>
        <w:numPr>
          <w:ilvl w:val="0"/>
          <w:numId w:val="0"/>
        </w:numPr>
        <w:spacing w:before="0" w:after="0"/>
        <w:ind w:leftChars="0" w:right="-2" w:rightChars="0"/>
        <w:jc w:val="both"/>
        <w:rPr>
          <w:rFonts w:hint="default"/>
          <w:sz w:val="20"/>
          <w:szCs w:val="20"/>
          <w:highlight w:val="none"/>
          <w:lang w:val="pt-BR"/>
        </w:rPr>
      </w:pPr>
    </w:p>
    <w:p>
      <w:pPr>
        <w:pStyle w:val="47"/>
        <w:numPr>
          <w:ilvl w:val="0"/>
          <w:numId w:val="14"/>
        </w:numPr>
        <w:spacing w:before="0" w:after="0"/>
        <w:ind w:left="425" w:leftChars="0" w:right="-2" w:rightChars="0" w:hanging="425" w:firstLineChars="0"/>
        <w:jc w:val="both"/>
        <w:rPr>
          <w:rFonts w:hint="default"/>
          <w:sz w:val="20"/>
          <w:szCs w:val="20"/>
          <w:highlight w:val="none"/>
          <w:lang w:val="pt-BR"/>
        </w:rPr>
      </w:pPr>
      <w:r>
        <w:rPr>
          <w:rFonts w:eastAsia="Calibri" w:cs="Arial"/>
          <w:color w:val="000000"/>
          <w:sz w:val="20"/>
          <w:szCs w:val="20"/>
          <w:highlight w:val="none"/>
        </w:rPr>
        <w:t>o período respectivo de execução do contrato</w:t>
      </w:r>
      <w:r>
        <w:rPr>
          <w:rFonts w:hint="default" w:eastAsia="Calibri" w:cs="Arial"/>
          <w:color w:val="000000"/>
          <w:sz w:val="20"/>
          <w:szCs w:val="20"/>
          <w:highlight w:val="none"/>
          <w:lang w:val="pt-BR"/>
        </w:rPr>
        <w:t>;</w:t>
      </w:r>
    </w:p>
    <w:p>
      <w:pPr>
        <w:pStyle w:val="47"/>
        <w:numPr>
          <w:ilvl w:val="0"/>
          <w:numId w:val="0"/>
        </w:numPr>
        <w:spacing w:before="0" w:after="0"/>
        <w:ind w:leftChars="0" w:right="-2" w:rightChars="0"/>
        <w:jc w:val="both"/>
        <w:rPr>
          <w:rFonts w:hint="default"/>
          <w:sz w:val="20"/>
          <w:szCs w:val="20"/>
          <w:highlight w:val="none"/>
          <w:lang w:val="pt-BR"/>
        </w:rPr>
      </w:pPr>
    </w:p>
    <w:p>
      <w:pPr>
        <w:pStyle w:val="47"/>
        <w:numPr>
          <w:ilvl w:val="0"/>
          <w:numId w:val="14"/>
        </w:numPr>
        <w:spacing w:before="0" w:after="0"/>
        <w:ind w:left="425" w:leftChars="0" w:right="-2" w:rightChars="0" w:hanging="425" w:firstLineChars="0"/>
        <w:jc w:val="both"/>
        <w:rPr>
          <w:rFonts w:hint="default"/>
          <w:sz w:val="20"/>
          <w:szCs w:val="20"/>
          <w:highlight w:val="none"/>
          <w:lang w:val="pt-BR"/>
        </w:rPr>
      </w:pPr>
      <w:r>
        <w:rPr>
          <w:rFonts w:eastAsia="Calibri" w:cs="Arial"/>
          <w:color w:val="000000"/>
          <w:sz w:val="20"/>
          <w:szCs w:val="20"/>
          <w:highlight w:val="none"/>
        </w:rPr>
        <w:t>o valor a pagar; e</w:t>
      </w:r>
    </w:p>
    <w:p>
      <w:pPr>
        <w:pStyle w:val="47"/>
        <w:numPr>
          <w:ilvl w:val="0"/>
          <w:numId w:val="0"/>
        </w:numPr>
        <w:spacing w:before="0" w:after="0"/>
        <w:ind w:leftChars="0" w:right="-2" w:rightChars="0"/>
        <w:jc w:val="both"/>
        <w:rPr>
          <w:rFonts w:hint="default"/>
          <w:sz w:val="20"/>
          <w:szCs w:val="20"/>
          <w:highlight w:val="none"/>
          <w:lang w:val="pt-BR"/>
        </w:rPr>
      </w:pPr>
    </w:p>
    <w:p>
      <w:pPr>
        <w:pStyle w:val="47"/>
        <w:numPr>
          <w:ilvl w:val="0"/>
          <w:numId w:val="14"/>
        </w:numPr>
        <w:spacing w:before="0" w:after="0"/>
        <w:ind w:left="425" w:leftChars="0" w:right="-2" w:rightChars="0" w:hanging="425" w:firstLineChars="0"/>
        <w:jc w:val="both"/>
        <w:rPr>
          <w:rFonts w:hint="default"/>
          <w:sz w:val="20"/>
          <w:szCs w:val="20"/>
          <w:highlight w:val="none"/>
          <w:lang w:val="pt-BR"/>
        </w:rPr>
      </w:pPr>
      <w:r>
        <w:rPr>
          <w:rFonts w:eastAsia="Calibri" w:cs="Arial"/>
          <w:color w:val="000000"/>
          <w:sz w:val="20"/>
          <w:szCs w:val="20"/>
          <w:highlight w:val="none"/>
        </w:rPr>
        <w:t>eventual destaque do valor de retenções tributárias cabíveis.</w:t>
      </w:r>
    </w:p>
    <w:p>
      <w:pPr>
        <w:pStyle w:val="47"/>
        <w:numPr>
          <w:ilvl w:val="0"/>
          <w:numId w:val="0"/>
        </w:numPr>
        <w:spacing w:before="0" w:after="0"/>
        <w:ind w:left="-142" w:leftChars="0" w:right="-2" w:rightChars="0"/>
        <w:jc w:val="both"/>
        <w:rPr>
          <w:sz w:val="20"/>
          <w:szCs w:val="20"/>
          <w:highlight w:val="none"/>
        </w:rPr>
      </w:pPr>
    </w:p>
    <w:p>
      <w:pPr>
        <w:pStyle w:val="47"/>
        <w:numPr>
          <w:ilvl w:val="0"/>
          <w:numId w:val="13"/>
        </w:numPr>
        <w:spacing w:before="0" w:after="0"/>
        <w:ind w:left="284" w:right="-2" w:hanging="426"/>
        <w:jc w:val="both"/>
        <w:rPr>
          <w:rFonts w:cs="Arial"/>
          <w:color w:val="auto"/>
          <w:sz w:val="20"/>
          <w:szCs w:val="20"/>
          <w:highlight w:val="none"/>
        </w:rPr>
      </w:pPr>
      <w:r>
        <w:rPr>
          <w:rFonts w:eastAsia="Calibri"/>
          <w:sz w:val="20"/>
          <w:szCs w:val="20"/>
          <w:highlight w:val="none"/>
        </w:rPr>
        <w:t xml:space="preserve">Havendo erro na apresentação da nota fiscal ou instrumento de cobrança equivalente, ou circunstância que impeça a </w:t>
      </w:r>
      <w:r>
        <w:rPr>
          <w:sz w:val="20"/>
          <w:szCs w:val="20"/>
          <w:highlight w:val="none"/>
        </w:rPr>
        <w:t>liquidação da despesa, esta ficará sobrestada até que o contratado providencie as medidas saneadoras, reiniciando-se o prazo após a comprovação da regularização da situação, sem ônus ao contratante;</w:t>
      </w:r>
    </w:p>
    <w:p>
      <w:pPr>
        <w:pStyle w:val="47"/>
        <w:numPr>
          <w:ilvl w:val="0"/>
          <w:numId w:val="0"/>
        </w:numPr>
        <w:spacing w:before="0" w:after="0"/>
        <w:ind w:left="-142" w:leftChars="0" w:right="-2" w:rightChars="0"/>
        <w:jc w:val="both"/>
        <w:rPr>
          <w:rFonts w:cs="Arial"/>
          <w:color w:val="auto"/>
          <w:sz w:val="20"/>
          <w:szCs w:val="20"/>
          <w:highlight w:val="none"/>
        </w:rPr>
      </w:pPr>
    </w:p>
    <w:p>
      <w:pPr>
        <w:pStyle w:val="47"/>
        <w:numPr>
          <w:ilvl w:val="0"/>
          <w:numId w:val="13"/>
        </w:numPr>
        <w:spacing w:before="0" w:after="0"/>
        <w:ind w:left="284" w:right="-2" w:hanging="426"/>
        <w:jc w:val="both"/>
        <w:rPr>
          <w:rFonts w:cs="Arial"/>
          <w:color w:val="auto"/>
          <w:sz w:val="20"/>
          <w:szCs w:val="20"/>
          <w:highlight w:val="none"/>
        </w:rPr>
      </w:pPr>
      <w:r>
        <w:rPr>
          <w:rFonts w:cs="Arial"/>
          <w:color w:val="auto"/>
          <w:sz w:val="20"/>
          <w:szCs w:val="20"/>
          <w:highlight w:val="none"/>
        </w:rPr>
        <w:t>A PREFEITURA MUNICIPAL DE ITAPEVA reserva-se o direito de descontar do pagamento devido à Licitante vencedora, os valores correspondentes às multas que eventualmente forem aplicadas por descumprimento de cláusulas constantes neste Edital.</w:t>
      </w:r>
    </w:p>
    <w:p>
      <w:pPr>
        <w:pStyle w:val="47"/>
        <w:spacing w:before="0" w:after="0"/>
        <w:ind w:left="-142" w:right="-2"/>
        <w:rPr>
          <w:rFonts w:cs="Arial"/>
          <w:b/>
          <w:color w:val="auto"/>
          <w:sz w:val="20"/>
          <w:szCs w:val="20"/>
          <w:highlight w:val="none"/>
          <w:u w:val="single"/>
        </w:rPr>
      </w:pPr>
    </w:p>
    <w:p>
      <w:pPr>
        <w:pStyle w:val="47"/>
        <w:spacing w:before="0" w:after="0"/>
        <w:ind w:left="-142" w:right="-2"/>
        <w:rPr>
          <w:rFonts w:cs="Arial"/>
          <w:b/>
          <w:color w:val="auto"/>
          <w:sz w:val="20"/>
          <w:szCs w:val="20"/>
          <w:highlight w:val="none"/>
          <w:u w:val="single"/>
        </w:rPr>
      </w:pPr>
      <w:r>
        <w:rPr>
          <w:rFonts w:cs="Arial"/>
          <w:b/>
          <w:color w:val="auto"/>
          <w:sz w:val="20"/>
          <w:szCs w:val="20"/>
          <w:highlight w:val="none"/>
          <w:u w:val="single"/>
        </w:rPr>
        <w:t xml:space="preserve">CLÁUSULA </w:t>
      </w:r>
      <w:r>
        <w:rPr>
          <w:rFonts w:hint="default" w:cs="Arial"/>
          <w:b/>
          <w:color w:val="auto"/>
          <w:sz w:val="20"/>
          <w:szCs w:val="20"/>
          <w:highlight w:val="none"/>
          <w:u w:val="single"/>
          <w:lang w:val="pt-BR"/>
        </w:rPr>
        <w:t>4</w:t>
      </w:r>
      <w:r>
        <w:rPr>
          <w:rFonts w:cs="Arial"/>
          <w:b/>
          <w:color w:val="auto"/>
          <w:sz w:val="20"/>
          <w:szCs w:val="20"/>
          <w:highlight w:val="none"/>
          <w:u w:val="single"/>
        </w:rPr>
        <w:t>ª – DO FUNDAMENTO LEGAL</w:t>
      </w:r>
    </w:p>
    <w:p>
      <w:pPr>
        <w:pStyle w:val="47"/>
        <w:spacing w:before="0" w:after="0"/>
        <w:ind w:left="-142" w:right="-2"/>
        <w:rPr>
          <w:rFonts w:cs="Arial"/>
          <w:b/>
          <w:color w:val="auto"/>
          <w:sz w:val="20"/>
          <w:szCs w:val="20"/>
          <w:highlight w:val="none"/>
          <w:u w:val="single"/>
        </w:rPr>
      </w:pPr>
    </w:p>
    <w:p>
      <w:pPr>
        <w:spacing w:before="0" w:after="0"/>
        <w:ind w:left="-142" w:right="-2"/>
        <w:jc w:val="both"/>
        <w:rPr>
          <w:rFonts w:cs="Arial"/>
          <w:color w:val="auto"/>
          <w:sz w:val="20"/>
          <w:szCs w:val="20"/>
          <w:highlight w:val="none"/>
        </w:rPr>
      </w:pPr>
      <w:r>
        <w:rPr>
          <w:rFonts w:cs="Arial"/>
          <w:color w:val="auto"/>
          <w:sz w:val="20"/>
          <w:szCs w:val="20"/>
          <w:highlight w:val="none"/>
        </w:rPr>
        <w:t xml:space="preserve">Este contrato regula-se por todas as suas cláusulas e partes integrantes pelas disposições da Lei Federal nº </w:t>
      </w:r>
      <w:r>
        <w:rPr>
          <w:rFonts w:hint="default" w:cs="Arial"/>
          <w:color w:val="auto"/>
          <w:sz w:val="20"/>
          <w:szCs w:val="20"/>
          <w:highlight w:val="none"/>
          <w:lang w:val="pt-BR"/>
        </w:rPr>
        <w:t xml:space="preserve">14.133/2021 </w:t>
      </w:r>
      <w:r>
        <w:rPr>
          <w:rFonts w:cs="Arial"/>
          <w:color w:val="auto"/>
          <w:sz w:val="20"/>
          <w:szCs w:val="20"/>
          <w:highlight w:val="none"/>
        </w:rPr>
        <w:t>e Decreto Municipal nº 12.949/2022.</w:t>
      </w:r>
    </w:p>
    <w:p>
      <w:pPr>
        <w:spacing w:before="0" w:after="0"/>
        <w:ind w:left="-142" w:right="-2"/>
        <w:jc w:val="both"/>
        <w:rPr>
          <w:rFonts w:cs="Arial"/>
          <w:color w:val="auto"/>
          <w:sz w:val="20"/>
          <w:szCs w:val="20"/>
          <w:highlight w:val="none"/>
        </w:rPr>
      </w:pPr>
    </w:p>
    <w:p>
      <w:pPr>
        <w:pStyle w:val="47"/>
        <w:spacing w:before="0" w:after="0"/>
        <w:ind w:left="-142" w:right="-2"/>
        <w:rPr>
          <w:rFonts w:cs="Arial"/>
          <w:b/>
          <w:color w:val="auto"/>
          <w:sz w:val="20"/>
          <w:szCs w:val="20"/>
          <w:highlight w:val="none"/>
          <w:u w:val="single"/>
        </w:rPr>
      </w:pPr>
      <w:r>
        <w:rPr>
          <w:rFonts w:cs="Arial"/>
          <w:b/>
          <w:color w:val="auto"/>
          <w:sz w:val="20"/>
          <w:szCs w:val="20"/>
          <w:highlight w:val="none"/>
          <w:u w:val="single"/>
        </w:rPr>
        <w:t xml:space="preserve">CLÁUSULA </w:t>
      </w:r>
      <w:r>
        <w:rPr>
          <w:rFonts w:hint="default" w:cs="Arial"/>
          <w:b/>
          <w:color w:val="auto"/>
          <w:sz w:val="20"/>
          <w:szCs w:val="20"/>
          <w:highlight w:val="none"/>
          <w:u w:val="single"/>
          <w:lang w:val="pt-BR"/>
        </w:rPr>
        <w:t>5</w:t>
      </w:r>
      <w:r>
        <w:rPr>
          <w:rFonts w:cs="Arial"/>
          <w:b/>
          <w:color w:val="auto"/>
          <w:sz w:val="20"/>
          <w:szCs w:val="20"/>
          <w:highlight w:val="none"/>
          <w:u w:val="single"/>
        </w:rPr>
        <w:t>ª – DA DOTAÇÃO ORÇAMENTÁRIA</w:t>
      </w:r>
    </w:p>
    <w:p>
      <w:pPr>
        <w:spacing w:before="0" w:after="0"/>
        <w:ind w:left="-142" w:right="-2"/>
        <w:jc w:val="both"/>
        <w:rPr>
          <w:rFonts w:ascii="Tahoma" w:hAnsi="Tahoma" w:cs="Tahoma"/>
          <w:b/>
          <w:color w:val="auto"/>
          <w:sz w:val="19"/>
          <w:szCs w:val="19"/>
          <w:highlight w:val="none"/>
          <w:u w:val="single"/>
        </w:rPr>
      </w:pPr>
    </w:p>
    <w:p>
      <w:pPr>
        <w:spacing w:before="0" w:after="0"/>
        <w:ind w:left="-142" w:right="-2"/>
        <w:jc w:val="both"/>
        <w:rPr>
          <w:rFonts w:cs="Arial"/>
          <w:color w:val="auto"/>
          <w:sz w:val="20"/>
          <w:szCs w:val="20"/>
          <w:highlight w:val="none"/>
        </w:rPr>
      </w:pPr>
      <w:r>
        <w:rPr>
          <w:rFonts w:cs="Arial"/>
          <w:color w:val="auto"/>
          <w:sz w:val="20"/>
          <w:szCs w:val="20"/>
          <w:highlight w:val="none"/>
        </w:rPr>
        <w:t>As despesas decorrentes com a realização deste processo licitatório correrão por conta das dotações orçamentárias, abaixo especificadas, do presente exercício e vindouro. (art. 150 da Lei Federal nº 14.133/2021).</w:t>
      </w:r>
    </w:p>
    <w:p>
      <w:pPr>
        <w:spacing w:before="0" w:after="0"/>
        <w:ind w:left="-142" w:right="-2"/>
        <w:jc w:val="both"/>
        <w:rPr>
          <w:rFonts w:cs="Arial"/>
          <w:color w:val="auto"/>
          <w:sz w:val="20"/>
          <w:szCs w:val="20"/>
          <w:highlight w:val="none"/>
        </w:rPr>
      </w:pPr>
    </w:p>
    <w:tbl>
      <w:tblPr>
        <w:tblStyle w:val="35"/>
        <w:tblW w:w="8789" w:type="dxa"/>
        <w:tblInd w:w="817" w:type="dxa"/>
        <w:tblBorders>
          <w:top w:val="none" w:color="auto" w:sz="0" w:space="0"/>
          <w:left w:val="none" w:color="auto" w:sz="0" w:space="0"/>
          <w:bottom w:val="none" w:color="auto" w:sz="0" w:space="0"/>
          <w:right w:val="none" w:color="auto" w:sz="0" w:space="0"/>
          <w:insideH w:val="none" w:color="auto" w:sz="0" w:space="0"/>
          <w:insideV w:val="single" w:color="auto" w:sz="4" w:space="0"/>
        </w:tblBorders>
        <w:tblLayout w:type="autofit"/>
        <w:tblCellMar>
          <w:top w:w="0" w:type="dxa"/>
          <w:left w:w="108" w:type="dxa"/>
          <w:bottom w:w="0" w:type="dxa"/>
          <w:right w:w="108" w:type="dxa"/>
        </w:tblCellMar>
      </w:tblPr>
      <w:tblGrid>
        <w:gridCol w:w="1276"/>
        <w:gridCol w:w="7513"/>
      </w:tblGrid>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c>
          <w:tcPr>
            <w:tcW w:w="1276" w:type="dxa"/>
            <w:tcBorders>
              <w:top w:val="nil"/>
              <w:left w:val="nil"/>
              <w:bottom w:val="single" w:color="auto" w:sz="4" w:space="0"/>
              <w:right w:val="single" w:color="auto" w:sz="4" w:space="0"/>
            </w:tcBorders>
            <w:vAlign w:val="center"/>
          </w:tcPr>
          <w:p>
            <w:pPr>
              <w:tabs>
                <w:tab w:val="left" w:pos="709"/>
              </w:tabs>
              <w:spacing w:before="0" w:after="0"/>
              <w:ind w:right="-1" w:rightChars="0"/>
              <w:jc w:val="center"/>
              <w:rPr>
                <w:rFonts w:cs="Arial"/>
                <w:color w:val="auto"/>
                <w:sz w:val="20"/>
                <w:szCs w:val="20"/>
                <w:highlight w:val="none"/>
              </w:rPr>
            </w:pPr>
            <w:r>
              <w:rPr>
                <w:rFonts w:hint="default" w:cs="Arial"/>
                <w:color w:val="auto"/>
                <w:sz w:val="20"/>
                <w:szCs w:val="20"/>
                <w:highlight w:val="none"/>
                <w:lang w:val="pt-BR"/>
              </w:rPr>
              <w:t>5374</w:t>
            </w:r>
          </w:p>
        </w:tc>
        <w:tc>
          <w:tcPr>
            <w:tcW w:w="7513" w:type="dxa"/>
            <w:tcBorders>
              <w:top w:val="nil"/>
              <w:left w:val="single" w:color="auto" w:sz="4" w:space="0"/>
              <w:bottom w:val="single" w:color="auto" w:sz="4" w:space="0"/>
              <w:right w:val="nil"/>
            </w:tcBorders>
            <w:vAlign w:val="center"/>
          </w:tcPr>
          <w:p>
            <w:pPr>
              <w:tabs>
                <w:tab w:val="left" w:pos="709"/>
              </w:tabs>
              <w:spacing w:before="0" w:after="0"/>
              <w:ind w:right="-1" w:rightChars="0"/>
              <w:jc w:val="both"/>
              <w:rPr>
                <w:rFonts w:cs="Arial"/>
                <w:color w:val="auto"/>
                <w:sz w:val="20"/>
                <w:szCs w:val="20"/>
                <w:highlight w:val="none"/>
              </w:rPr>
            </w:pPr>
            <w:r>
              <w:rPr>
                <w:rFonts w:hint="default"/>
                <w:color w:val="auto"/>
                <w:sz w:val="20"/>
                <w:szCs w:val="20"/>
                <w:highlight w:val="none"/>
                <w:lang w:val="pt-BR"/>
              </w:rPr>
              <w:t>13</w:t>
            </w:r>
            <w:r>
              <w:rPr>
                <w:color w:val="auto"/>
                <w:sz w:val="20"/>
                <w:szCs w:val="20"/>
                <w:highlight w:val="none"/>
              </w:rPr>
              <w:t xml:space="preserve">.01.00 - </w:t>
            </w:r>
            <w:r>
              <w:rPr>
                <w:rFonts w:hint="default"/>
                <w:color w:val="auto"/>
                <w:sz w:val="20"/>
                <w:szCs w:val="20"/>
                <w:highlight w:val="none"/>
                <w:lang w:val="pt-BR"/>
              </w:rPr>
              <w:t>4.4.90.51</w:t>
            </w:r>
            <w:r>
              <w:rPr>
                <w:color w:val="auto"/>
                <w:sz w:val="20"/>
                <w:szCs w:val="20"/>
                <w:highlight w:val="none"/>
              </w:rPr>
              <w:t xml:space="preserve">.00 </w:t>
            </w:r>
            <w:r>
              <w:rPr>
                <w:rFonts w:hint="default"/>
                <w:color w:val="auto"/>
                <w:sz w:val="20"/>
                <w:szCs w:val="20"/>
                <w:highlight w:val="none"/>
                <w:lang w:val="pt-BR"/>
              </w:rPr>
              <w:t>17 511 5010</w:t>
            </w:r>
            <w:r>
              <w:rPr>
                <w:color w:val="auto"/>
                <w:sz w:val="20"/>
                <w:szCs w:val="20"/>
                <w:highlight w:val="none"/>
              </w:rPr>
              <w:t xml:space="preserve"> 2</w:t>
            </w:r>
            <w:r>
              <w:rPr>
                <w:rFonts w:hint="default"/>
                <w:color w:val="auto"/>
                <w:sz w:val="20"/>
                <w:szCs w:val="20"/>
                <w:highlight w:val="none"/>
                <w:lang w:val="pt-BR"/>
              </w:rPr>
              <w:t>383</w:t>
            </w:r>
            <w:r>
              <w:rPr>
                <w:color w:val="auto"/>
                <w:sz w:val="20"/>
                <w:szCs w:val="20"/>
                <w:highlight w:val="none"/>
              </w:rPr>
              <w:t xml:space="preserve"> 0</w:t>
            </w:r>
            <w:r>
              <w:rPr>
                <w:rFonts w:hint="default"/>
                <w:color w:val="auto"/>
                <w:sz w:val="20"/>
                <w:szCs w:val="20"/>
                <w:highlight w:val="none"/>
                <w:lang w:val="pt-BR"/>
              </w:rPr>
              <w:t>2</w:t>
            </w:r>
            <w:r>
              <w:rPr>
                <w:color w:val="auto"/>
                <w:sz w:val="20"/>
                <w:szCs w:val="20"/>
                <w:highlight w:val="none"/>
              </w:rPr>
              <w:t xml:space="preserve"> </w:t>
            </w:r>
            <w:r>
              <w:rPr>
                <w:rFonts w:hint="default"/>
                <w:color w:val="auto"/>
                <w:sz w:val="20"/>
                <w:szCs w:val="20"/>
                <w:highlight w:val="none"/>
                <w:lang w:val="pt-BR"/>
              </w:rPr>
              <w:t>1000237</w:t>
            </w:r>
            <w:r>
              <w:rPr>
                <w:color w:val="auto"/>
                <w:sz w:val="20"/>
                <w:szCs w:val="20"/>
                <w:highlight w:val="none"/>
              </w:rPr>
              <w:t xml:space="preserve"> - Recurso </w:t>
            </w:r>
            <w:r>
              <w:rPr>
                <w:rFonts w:hint="default"/>
                <w:color w:val="auto"/>
                <w:sz w:val="20"/>
                <w:szCs w:val="20"/>
                <w:highlight w:val="none"/>
                <w:lang w:val="pt-BR"/>
              </w:rPr>
              <w:t>Estadual</w:t>
            </w:r>
          </w:p>
        </w:tc>
      </w:tr>
    </w:tbl>
    <w:p>
      <w:pPr>
        <w:pStyle w:val="47"/>
        <w:spacing w:before="0" w:after="0" w:line="240" w:lineRule="exact"/>
        <w:ind w:left="-142" w:right="-2"/>
        <w:rPr>
          <w:rFonts w:cs="Arial"/>
          <w:b/>
          <w:color w:val="auto"/>
          <w:sz w:val="20"/>
          <w:szCs w:val="20"/>
          <w:highlight w:val="none"/>
          <w:u w:val="single"/>
        </w:rPr>
      </w:pPr>
    </w:p>
    <w:p>
      <w:pPr>
        <w:pStyle w:val="47"/>
        <w:spacing w:before="0" w:after="0" w:line="240" w:lineRule="exact"/>
        <w:ind w:left="-142" w:right="-2"/>
        <w:rPr>
          <w:rFonts w:cs="Arial"/>
          <w:b/>
          <w:color w:val="auto"/>
          <w:sz w:val="20"/>
          <w:szCs w:val="20"/>
          <w:highlight w:val="none"/>
          <w:u w:val="single"/>
        </w:rPr>
      </w:pPr>
      <w:r>
        <w:rPr>
          <w:rFonts w:cs="Arial"/>
          <w:b/>
          <w:color w:val="auto"/>
          <w:sz w:val="20"/>
          <w:szCs w:val="20"/>
          <w:highlight w:val="none"/>
          <w:u w:val="single"/>
        </w:rPr>
        <w:t xml:space="preserve">CLÁUSULA </w:t>
      </w:r>
      <w:r>
        <w:rPr>
          <w:rFonts w:hint="default" w:cs="Arial"/>
          <w:b/>
          <w:color w:val="auto"/>
          <w:sz w:val="20"/>
          <w:szCs w:val="20"/>
          <w:highlight w:val="none"/>
          <w:u w:val="single"/>
          <w:lang w:val="pt-BR"/>
        </w:rPr>
        <w:t>6</w:t>
      </w:r>
      <w:r>
        <w:rPr>
          <w:rFonts w:cs="Arial"/>
          <w:b/>
          <w:color w:val="auto"/>
          <w:sz w:val="20"/>
          <w:szCs w:val="20"/>
          <w:highlight w:val="none"/>
          <w:u w:val="single"/>
        </w:rPr>
        <w:t>ª – DA RESCISÃO</w:t>
      </w:r>
    </w:p>
    <w:p>
      <w:pPr>
        <w:spacing w:before="0" w:after="0" w:line="240" w:lineRule="exact"/>
        <w:ind w:left="-142" w:right="-2"/>
        <w:jc w:val="both"/>
        <w:rPr>
          <w:rFonts w:ascii="Tahoma" w:hAnsi="Tahoma" w:cs="Tahoma"/>
          <w:b/>
          <w:color w:val="auto"/>
          <w:sz w:val="19"/>
          <w:szCs w:val="19"/>
          <w:highlight w:val="none"/>
          <w:u w:val="single"/>
        </w:rPr>
      </w:pPr>
    </w:p>
    <w:p>
      <w:pPr>
        <w:spacing w:before="0" w:after="0" w:line="240" w:lineRule="exact"/>
        <w:ind w:left="-142" w:right="-2"/>
        <w:jc w:val="both"/>
        <w:rPr>
          <w:rFonts w:cs="Arial"/>
          <w:color w:val="auto"/>
          <w:sz w:val="20"/>
          <w:szCs w:val="20"/>
          <w:highlight w:val="none"/>
        </w:rPr>
      </w:pPr>
      <w:r>
        <w:rPr>
          <w:rFonts w:cs="Arial"/>
          <w:color w:val="auto"/>
          <w:sz w:val="20"/>
          <w:szCs w:val="20"/>
          <w:highlight w:val="none"/>
        </w:rPr>
        <w:t>O contrato poderá ser rescindido pela CONTRATANTE sem quaisquer ônus para a Municipalidade, nas seguintes hipóteses:</w:t>
      </w:r>
    </w:p>
    <w:p>
      <w:pPr>
        <w:spacing w:before="0" w:after="0" w:line="240" w:lineRule="exact"/>
        <w:ind w:left="-142" w:right="-2"/>
        <w:rPr>
          <w:rFonts w:ascii="Tahoma" w:hAnsi="Tahoma" w:cs="Tahoma"/>
          <w:color w:val="auto"/>
          <w:sz w:val="19"/>
          <w:szCs w:val="19"/>
          <w:highlight w:val="none"/>
        </w:rPr>
      </w:pPr>
    </w:p>
    <w:p>
      <w:pPr>
        <w:pStyle w:val="47"/>
        <w:numPr>
          <w:ilvl w:val="0"/>
          <w:numId w:val="15"/>
        </w:numPr>
        <w:spacing w:before="0" w:after="0" w:line="240" w:lineRule="exact"/>
        <w:ind w:left="284" w:right="-2" w:hanging="426"/>
        <w:jc w:val="both"/>
        <w:rPr>
          <w:rFonts w:cs="Arial"/>
          <w:color w:val="auto"/>
          <w:sz w:val="20"/>
          <w:szCs w:val="20"/>
          <w:highlight w:val="none"/>
        </w:rPr>
      </w:pPr>
      <w:r>
        <w:rPr>
          <w:rFonts w:cs="Arial"/>
          <w:color w:val="auto"/>
          <w:sz w:val="20"/>
          <w:szCs w:val="20"/>
          <w:highlight w:val="none"/>
        </w:rPr>
        <w:t>Se verificar a falência recuperação judicial e extrajudicial da CONTRATADA.</w:t>
      </w:r>
    </w:p>
    <w:p>
      <w:pPr>
        <w:pStyle w:val="47"/>
        <w:spacing w:before="0" w:after="0" w:line="240" w:lineRule="exact"/>
        <w:ind w:left="284" w:right="-2" w:hanging="426"/>
        <w:rPr>
          <w:rFonts w:cs="Arial"/>
          <w:color w:val="auto"/>
          <w:sz w:val="20"/>
          <w:szCs w:val="20"/>
          <w:highlight w:val="none"/>
        </w:rPr>
      </w:pPr>
    </w:p>
    <w:p>
      <w:pPr>
        <w:pStyle w:val="47"/>
        <w:numPr>
          <w:ilvl w:val="0"/>
          <w:numId w:val="15"/>
        </w:numPr>
        <w:spacing w:before="0" w:after="0" w:line="240" w:lineRule="exact"/>
        <w:ind w:left="284" w:right="-2" w:hanging="426"/>
        <w:jc w:val="both"/>
        <w:rPr>
          <w:rFonts w:cs="Arial"/>
          <w:color w:val="auto"/>
          <w:sz w:val="20"/>
          <w:szCs w:val="20"/>
          <w:highlight w:val="none"/>
        </w:rPr>
      </w:pPr>
      <w:r>
        <w:rPr>
          <w:rFonts w:cs="Arial"/>
          <w:color w:val="auto"/>
          <w:sz w:val="20"/>
          <w:szCs w:val="20"/>
          <w:highlight w:val="none"/>
        </w:rPr>
        <w:t>Se a CONTRATADA transferir o contrato no todo ou parte, sem anuência por escrito da CONTRATANTE.</w:t>
      </w:r>
    </w:p>
    <w:p>
      <w:pPr>
        <w:pStyle w:val="47"/>
        <w:spacing w:before="0" w:after="0" w:line="240" w:lineRule="exact"/>
        <w:ind w:left="284" w:right="-2" w:hanging="426"/>
        <w:rPr>
          <w:rFonts w:cs="Arial"/>
          <w:color w:val="auto"/>
          <w:sz w:val="20"/>
          <w:szCs w:val="20"/>
          <w:highlight w:val="none"/>
        </w:rPr>
      </w:pPr>
    </w:p>
    <w:p>
      <w:pPr>
        <w:pStyle w:val="47"/>
        <w:numPr>
          <w:ilvl w:val="0"/>
          <w:numId w:val="15"/>
        </w:numPr>
        <w:spacing w:before="0" w:after="0" w:line="240" w:lineRule="exact"/>
        <w:ind w:left="284" w:right="-2" w:hanging="426"/>
        <w:jc w:val="both"/>
        <w:rPr>
          <w:rFonts w:cs="Arial"/>
          <w:color w:val="auto"/>
          <w:sz w:val="20"/>
          <w:szCs w:val="20"/>
          <w:highlight w:val="none"/>
        </w:rPr>
      </w:pPr>
      <w:r>
        <w:rPr>
          <w:rFonts w:cs="Arial"/>
          <w:color w:val="auto"/>
          <w:sz w:val="20"/>
          <w:szCs w:val="20"/>
          <w:highlight w:val="none"/>
        </w:rPr>
        <w:t>Se ocorrer manifesta impossibilidade da CONTRATADA de dar cabal e perfeito desempenho das obrigações assumidas.</w:t>
      </w:r>
    </w:p>
    <w:p>
      <w:pPr>
        <w:pStyle w:val="47"/>
        <w:spacing w:before="0" w:after="0" w:line="240" w:lineRule="exact"/>
        <w:ind w:left="578" w:right="-2"/>
        <w:rPr>
          <w:rFonts w:cs="Arial"/>
          <w:color w:val="auto"/>
          <w:sz w:val="20"/>
          <w:szCs w:val="20"/>
          <w:highlight w:val="none"/>
        </w:rPr>
      </w:pPr>
    </w:p>
    <w:p>
      <w:pPr>
        <w:pStyle w:val="47"/>
        <w:numPr>
          <w:ilvl w:val="0"/>
          <w:numId w:val="15"/>
        </w:numPr>
        <w:spacing w:before="0" w:after="0" w:line="240" w:lineRule="exact"/>
        <w:ind w:left="284" w:right="-2" w:hanging="426"/>
        <w:jc w:val="both"/>
        <w:rPr>
          <w:rFonts w:cs="Arial"/>
          <w:color w:val="auto"/>
          <w:sz w:val="20"/>
          <w:szCs w:val="20"/>
          <w:highlight w:val="none"/>
        </w:rPr>
      </w:pPr>
      <w:r>
        <w:rPr>
          <w:rFonts w:cs="Arial"/>
          <w:color w:val="auto"/>
          <w:sz w:val="20"/>
          <w:szCs w:val="20"/>
          <w:highlight w:val="none"/>
        </w:rPr>
        <w:t>Caberá ainda rescisão administrativa deste contrato no caso da CONTRATADA, reincidentemente ou não, deixar de cumprir quaisquer das obrigações deste contrato, sem prejuízo da responsabilidade civil e criminal que o couber.</w:t>
      </w:r>
    </w:p>
    <w:p>
      <w:pPr>
        <w:pStyle w:val="47"/>
        <w:spacing w:before="0" w:after="0"/>
        <w:ind w:left="-142" w:right="-2"/>
        <w:rPr>
          <w:rFonts w:cs="Arial"/>
          <w:b/>
          <w:color w:val="auto"/>
          <w:sz w:val="20"/>
          <w:szCs w:val="20"/>
          <w:highlight w:val="none"/>
          <w:u w:val="single"/>
        </w:rPr>
      </w:pPr>
    </w:p>
    <w:p>
      <w:pPr>
        <w:pStyle w:val="47"/>
        <w:spacing w:before="0" w:after="0"/>
        <w:ind w:left="-142" w:right="-2"/>
        <w:rPr>
          <w:rFonts w:cs="Arial"/>
          <w:b/>
          <w:color w:val="auto"/>
          <w:sz w:val="20"/>
          <w:szCs w:val="20"/>
          <w:highlight w:val="none"/>
          <w:u w:val="single"/>
        </w:rPr>
      </w:pPr>
      <w:r>
        <w:rPr>
          <w:rFonts w:cs="Arial"/>
          <w:b/>
          <w:color w:val="auto"/>
          <w:sz w:val="20"/>
          <w:szCs w:val="20"/>
          <w:highlight w:val="none"/>
          <w:u w:val="single"/>
        </w:rPr>
        <w:t xml:space="preserve">CLAUSULA </w:t>
      </w:r>
      <w:r>
        <w:rPr>
          <w:rFonts w:hint="default" w:cs="Arial"/>
          <w:b/>
          <w:color w:val="auto"/>
          <w:sz w:val="20"/>
          <w:szCs w:val="20"/>
          <w:highlight w:val="none"/>
          <w:u w:val="single"/>
          <w:lang w:val="pt-BR"/>
        </w:rPr>
        <w:t>7</w:t>
      </w:r>
      <w:r>
        <w:rPr>
          <w:rFonts w:cs="Arial"/>
          <w:b/>
          <w:color w:val="auto"/>
          <w:sz w:val="20"/>
          <w:szCs w:val="20"/>
          <w:highlight w:val="none"/>
          <w:u w:val="single"/>
        </w:rPr>
        <w:t>ª – DAS SANÇÕES</w:t>
      </w:r>
    </w:p>
    <w:p>
      <w:pPr>
        <w:spacing w:before="0" w:after="0"/>
        <w:ind w:left="-142" w:right="-2"/>
        <w:rPr>
          <w:rFonts w:ascii="Tahoma" w:hAnsi="Tahoma" w:cs="Tahoma"/>
          <w:b/>
          <w:color w:val="auto"/>
          <w:sz w:val="19"/>
          <w:szCs w:val="19"/>
          <w:highlight w:val="none"/>
          <w:u w:val="single"/>
        </w:rPr>
      </w:pPr>
    </w:p>
    <w:p>
      <w:pPr>
        <w:spacing w:before="0" w:after="0"/>
        <w:ind w:left="-142" w:right="-2"/>
        <w:jc w:val="both"/>
        <w:rPr>
          <w:rFonts w:cs="Arial"/>
          <w:color w:val="auto"/>
          <w:sz w:val="20"/>
          <w:szCs w:val="20"/>
          <w:highlight w:val="none"/>
        </w:rPr>
      </w:pPr>
      <w:r>
        <w:rPr>
          <w:rFonts w:cs="Arial"/>
          <w:sz w:val="20"/>
          <w:szCs w:val="20"/>
          <w:highlight w:val="none"/>
        </w:rPr>
        <w:t>Comete infração administrativa, nos termos da lei, o licitante que, com dolo ou culpa:</w:t>
      </w:r>
    </w:p>
    <w:p>
      <w:pPr>
        <w:spacing w:before="0" w:after="0"/>
        <w:ind w:left="-142" w:right="-2"/>
        <w:jc w:val="both"/>
        <w:rPr>
          <w:rFonts w:ascii="Tahoma" w:hAnsi="Tahoma" w:cs="Tahoma"/>
          <w:color w:val="auto"/>
          <w:sz w:val="19"/>
          <w:szCs w:val="19"/>
          <w:highlight w:val="none"/>
        </w:rPr>
      </w:pPr>
    </w:p>
    <w:p>
      <w:pPr>
        <w:pStyle w:val="47"/>
        <w:numPr>
          <w:ilvl w:val="0"/>
          <w:numId w:val="16"/>
        </w:numPr>
        <w:tabs>
          <w:tab w:val="left" w:pos="284"/>
        </w:tabs>
        <w:spacing w:before="0" w:after="0"/>
        <w:ind w:left="284" w:right="-2" w:hanging="426"/>
        <w:jc w:val="both"/>
        <w:rPr>
          <w:rFonts w:cs="Arial"/>
          <w:color w:val="auto"/>
          <w:sz w:val="20"/>
          <w:szCs w:val="20"/>
          <w:highlight w:val="none"/>
        </w:rPr>
      </w:pPr>
      <w:r>
        <w:rPr>
          <w:rFonts w:cs="Arial"/>
          <w:sz w:val="20"/>
          <w:szCs w:val="20"/>
          <w:highlight w:val="none"/>
        </w:rPr>
        <w:t>deixar de entregar a documentação exigida para o certame ou não entregar qualquer documento que tenha sido solicitado pelo/a pregoeiro/a durante o certame;</w:t>
      </w:r>
    </w:p>
    <w:p>
      <w:pPr>
        <w:pStyle w:val="47"/>
        <w:numPr>
          <w:ilvl w:val="0"/>
          <w:numId w:val="0"/>
        </w:numPr>
        <w:tabs>
          <w:tab w:val="left" w:pos="284"/>
        </w:tabs>
        <w:spacing w:before="0" w:after="0"/>
        <w:ind w:left="-142" w:leftChars="0" w:right="-2" w:rightChars="0"/>
        <w:jc w:val="both"/>
        <w:rPr>
          <w:rFonts w:cs="Arial"/>
          <w:color w:val="auto"/>
          <w:sz w:val="20"/>
          <w:szCs w:val="20"/>
          <w:highlight w:val="none"/>
        </w:rPr>
      </w:pPr>
    </w:p>
    <w:p>
      <w:pPr>
        <w:pStyle w:val="47"/>
        <w:numPr>
          <w:ilvl w:val="0"/>
          <w:numId w:val="16"/>
        </w:numPr>
        <w:tabs>
          <w:tab w:val="left" w:pos="284"/>
        </w:tabs>
        <w:spacing w:before="0" w:after="0"/>
        <w:ind w:left="284" w:right="-2" w:hanging="426"/>
        <w:jc w:val="both"/>
        <w:rPr>
          <w:rFonts w:cs="Arial"/>
          <w:color w:val="auto"/>
          <w:sz w:val="20"/>
          <w:szCs w:val="20"/>
          <w:highlight w:val="none"/>
        </w:rPr>
      </w:pPr>
      <w:r>
        <w:rPr>
          <w:rFonts w:cs="Arial"/>
          <w:sz w:val="20"/>
          <w:szCs w:val="20"/>
          <w:highlight w:val="none"/>
        </w:rPr>
        <w:t>Salvo em decorrência de fato superveniente devidamente justificado, não mantiver a proposta em especial quando:</w:t>
      </w:r>
    </w:p>
    <w:p>
      <w:pPr>
        <w:pStyle w:val="47"/>
        <w:numPr>
          <w:ilvl w:val="0"/>
          <w:numId w:val="0"/>
        </w:numPr>
        <w:tabs>
          <w:tab w:val="left" w:pos="284"/>
        </w:tabs>
        <w:spacing w:before="0" w:after="0"/>
        <w:ind w:leftChars="0" w:right="-2" w:rightChars="0"/>
        <w:jc w:val="both"/>
        <w:rPr>
          <w:rFonts w:cs="Arial"/>
          <w:color w:val="auto"/>
          <w:sz w:val="20"/>
          <w:szCs w:val="20"/>
          <w:highlight w:val="none"/>
        </w:rPr>
      </w:pPr>
    </w:p>
    <w:p>
      <w:pPr>
        <w:pStyle w:val="47"/>
        <w:numPr>
          <w:ilvl w:val="0"/>
          <w:numId w:val="17"/>
        </w:numPr>
        <w:tabs>
          <w:tab w:val="left" w:pos="284"/>
          <w:tab w:val="clear" w:pos="425"/>
        </w:tabs>
        <w:spacing w:before="0" w:after="0"/>
        <w:ind w:left="425" w:leftChars="0" w:right="-2" w:rightChars="0" w:hanging="425" w:firstLineChars="0"/>
        <w:jc w:val="both"/>
        <w:rPr>
          <w:rFonts w:cs="Arial"/>
          <w:color w:val="auto"/>
          <w:sz w:val="20"/>
          <w:szCs w:val="20"/>
          <w:highlight w:val="none"/>
        </w:rPr>
      </w:pPr>
      <w:r>
        <w:rPr>
          <w:rFonts w:cs="Arial"/>
          <w:sz w:val="20"/>
          <w:szCs w:val="20"/>
          <w:highlight w:val="none"/>
        </w:rPr>
        <w:t>recusar-se a enviar o detalhamento da proposta quando exigível;</w:t>
      </w:r>
    </w:p>
    <w:p>
      <w:pPr>
        <w:pStyle w:val="47"/>
        <w:numPr>
          <w:ilvl w:val="0"/>
          <w:numId w:val="0"/>
        </w:numPr>
        <w:tabs>
          <w:tab w:val="left" w:pos="284"/>
        </w:tabs>
        <w:spacing w:before="0" w:after="0"/>
        <w:ind w:leftChars="0" w:right="-2" w:rightChars="0"/>
        <w:jc w:val="both"/>
        <w:rPr>
          <w:rFonts w:cs="Arial"/>
          <w:color w:val="auto"/>
          <w:sz w:val="20"/>
          <w:szCs w:val="20"/>
          <w:highlight w:val="none"/>
        </w:rPr>
      </w:pPr>
    </w:p>
    <w:p>
      <w:pPr>
        <w:pStyle w:val="47"/>
        <w:numPr>
          <w:ilvl w:val="0"/>
          <w:numId w:val="17"/>
        </w:numPr>
        <w:tabs>
          <w:tab w:val="left" w:pos="284"/>
          <w:tab w:val="clear" w:pos="425"/>
        </w:tabs>
        <w:spacing w:before="0" w:after="0"/>
        <w:ind w:left="425" w:leftChars="0" w:right="-2" w:rightChars="0" w:hanging="425" w:firstLineChars="0"/>
        <w:jc w:val="both"/>
        <w:rPr>
          <w:rFonts w:cs="Arial"/>
          <w:color w:val="auto"/>
          <w:sz w:val="20"/>
          <w:szCs w:val="20"/>
          <w:highlight w:val="none"/>
        </w:rPr>
      </w:pPr>
      <w:r>
        <w:rPr>
          <w:rFonts w:cs="Arial"/>
          <w:sz w:val="20"/>
          <w:szCs w:val="20"/>
          <w:highlight w:val="none"/>
        </w:rPr>
        <w:t>pedir para ser desclassificado quando encerrada a etapa competitiva; ou</w:t>
      </w:r>
    </w:p>
    <w:p>
      <w:pPr>
        <w:pStyle w:val="47"/>
        <w:numPr>
          <w:ilvl w:val="0"/>
          <w:numId w:val="0"/>
        </w:numPr>
        <w:tabs>
          <w:tab w:val="left" w:pos="284"/>
        </w:tabs>
        <w:spacing w:before="0" w:after="0"/>
        <w:ind w:leftChars="0" w:right="-2" w:rightChars="0"/>
        <w:jc w:val="both"/>
        <w:rPr>
          <w:rFonts w:cs="Arial"/>
          <w:color w:val="auto"/>
          <w:sz w:val="20"/>
          <w:szCs w:val="20"/>
          <w:highlight w:val="none"/>
        </w:rPr>
      </w:pPr>
    </w:p>
    <w:p>
      <w:pPr>
        <w:pStyle w:val="47"/>
        <w:numPr>
          <w:ilvl w:val="0"/>
          <w:numId w:val="17"/>
        </w:numPr>
        <w:tabs>
          <w:tab w:val="left" w:pos="284"/>
          <w:tab w:val="clear" w:pos="425"/>
        </w:tabs>
        <w:spacing w:before="0" w:after="0"/>
        <w:ind w:left="425" w:leftChars="0" w:right="-2" w:rightChars="0" w:hanging="425" w:firstLineChars="0"/>
        <w:jc w:val="both"/>
        <w:rPr>
          <w:rFonts w:cs="Arial"/>
          <w:color w:val="auto"/>
          <w:sz w:val="20"/>
          <w:szCs w:val="20"/>
          <w:highlight w:val="none"/>
        </w:rPr>
      </w:pPr>
      <w:r>
        <w:rPr>
          <w:rFonts w:cs="Arial"/>
          <w:sz w:val="20"/>
          <w:szCs w:val="20"/>
          <w:highlight w:val="none"/>
        </w:rPr>
        <w:t>deixar de apresentar amostra;</w:t>
      </w:r>
    </w:p>
    <w:p>
      <w:pPr>
        <w:pStyle w:val="47"/>
        <w:numPr>
          <w:ilvl w:val="0"/>
          <w:numId w:val="0"/>
        </w:numPr>
        <w:tabs>
          <w:tab w:val="left" w:pos="284"/>
        </w:tabs>
        <w:spacing w:before="0" w:after="0"/>
        <w:ind w:leftChars="0" w:right="-2" w:rightChars="0"/>
        <w:jc w:val="both"/>
        <w:rPr>
          <w:rFonts w:cs="Arial"/>
          <w:color w:val="auto"/>
          <w:sz w:val="20"/>
          <w:szCs w:val="20"/>
          <w:highlight w:val="none"/>
        </w:rPr>
      </w:pPr>
    </w:p>
    <w:p>
      <w:pPr>
        <w:pStyle w:val="47"/>
        <w:numPr>
          <w:ilvl w:val="0"/>
          <w:numId w:val="17"/>
        </w:numPr>
        <w:tabs>
          <w:tab w:val="left" w:pos="284"/>
          <w:tab w:val="clear" w:pos="425"/>
        </w:tabs>
        <w:spacing w:before="0" w:after="0"/>
        <w:ind w:left="425" w:leftChars="0" w:right="-2" w:rightChars="0" w:hanging="425" w:firstLineChars="0"/>
        <w:jc w:val="both"/>
        <w:rPr>
          <w:rFonts w:cs="Arial"/>
          <w:color w:val="auto"/>
          <w:sz w:val="20"/>
          <w:szCs w:val="20"/>
          <w:highlight w:val="none"/>
        </w:rPr>
      </w:pPr>
      <w:r>
        <w:rPr>
          <w:rFonts w:cs="Arial"/>
          <w:sz w:val="20"/>
          <w:szCs w:val="20"/>
          <w:highlight w:val="none"/>
        </w:rPr>
        <w:t>apresentar proposta ou amostra em desacordo com as especificações do edital;</w:t>
      </w:r>
    </w:p>
    <w:p>
      <w:pPr>
        <w:pStyle w:val="47"/>
        <w:numPr>
          <w:ilvl w:val="0"/>
          <w:numId w:val="0"/>
        </w:numPr>
        <w:tabs>
          <w:tab w:val="left" w:pos="284"/>
        </w:tabs>
        <w:spacing w:before="0" w:after="0"/>
        <w:ind w:left="-142" w:leftChars="0" w:right="-2" w:rightChars="0"/>
        <w:jc w:val="both"/>
        <w:rPr>
          <w:rFonts w:cs="Arial"/>
          <w:color w:val="auto"/>
          <w:sz w:val="20"/>
          <w:szCs w:val="20"/>
          <w:highlight w:val="none"/>
        </w:rPr>
      </w:pPr>
    </w:p>
    <w:p>
      <w:pPr>
        <w:pStyle w:val="47"/>
        <w:numPr>
          <w:ilvl w:val="0"/>
          <w:numId w:val="16"/>
        </w:numPr>
        <w:tabs>
          <w:tab w:val="left" w:pos="284"/>
        </w:tabs>
        <w:spacing w:before="0" w:after="0"/>
        <w:ind w:left="284" w:right="-2" w:hanging="426"/>
        <w:jc w:val="both"/>
        <w:rPr>
          <w:rFonts w:cs="Arial"/>
          <w:color w:val="auto"/>
          <w:sz w:val="20"/>
          <w:szCs w:val="20"/>
          <w:highlight w:val="none"/>
        </w:rPr>
      </w:pPr>
      <w:r>
        <w:rPr>
          <w:rFonts w:cs="Arial"/>
          <w:sz w:val="20"/>
          <w:szCs w:val="20"/>
          <w:highlight w:val="none"/>
        </w:rPr>
        <w:t>não celebrar o contrato ou não entregar a documentação exigida para a contratação, quando convocado dentro do prazo de validade de sua proposta;</w:t>
      </w:r>
    </w:p>
    <w:p>
      <w:pPr>
        <w:pStyle w:val="47"/>
        <w:numPr>
          <w:ilvl w:val="0"/>
          <w:numId w:val="0"/>
        </w:numPr>
        <w:tabs>
          <w:tab w:val="left" w:pos="284"/>
        </w:tabs>
        <w:spacing w:before="0" w:after="0"/>
        <w:ind w:left="-142" w:leftChars="0" w:right="-2" w:rightChars="0"/>
        <w:jc w:val="both"/>
        <w:rPr>
          <w:rFonts w:cs="Arial"/>
          <w:color w:val="auto"/>
          <w:sz w:val="20"/>
          <w:szCs w:val="20"/>
          <w:highlight w:val="none"/>
        </w:rPr>
      </w:pPr>
    </w:p>
    <w:p>
      <w:pPr>
        <w:pStyle w:val="47"/>
        <w:numPr>
          <w:ilvl w:val="0"/>
          <w:numId w:val="16"/>
        </w:numPr>
        <w:tabs>
          <w:tab w:val="left" w:pos="284"/>
        </w:tabs>
        <w:spacing w:before="0" w:after="0"/>
        <w:ind w:left="284" w:right="-2" w:hanging="426"/>
        <w:jc w:val="both"/>
        <w:rPr>
          <w:rFonts w:cs="Arial"/>
          <w:color w:val="auto"/>
          <w:sz w:val="20"/>
          <w:szCs w:val="20"/>
          <w:highlight w:val="none"/>
        </w:rPr>
      </w:pPr>
      <w:r>
        <w:rPr>
          <w:rFonts w:cs="Arial"/>
          <w:sz w:val="20"/>
          <w:szCs w:val="20"/>
          <w:highlight w:val="none"/>
        </w:rPr>
        <w:t>recusar-se, sem justificativa, a assinar o contrato ou a ata de registro de preço, ou a aceitar ou retirar o instrumento equivalente no prazo estabelecido pela Administração;</w:t>
      </w:r>
    </w:p>
    <w:p>
      <w:pPr>
        <w:pStyle w:val="47"/>
        <w:numPr>
          <w:ilvl w:val="0"/>
          <w:numId w:val="0"/>
        </w:numPr>
        <w:tabs>
          <w:tab w:val="left" w:pos="284"/>
        </w:tabs>
        <w:spacing w:before="0" w:after="0"/>
        <w:ind w:left="-142" w:leftChars="0" w:right="-2" w:rightChars="0"/>
        <w:jc w:val="both"/>
        <w:rPr>
          <w:rFonts w:cs="Arial"/>
          <w:color w:val="auto"/>
          <w:sz w:val="20"/>
          <w:szCs w:val="20"/>
          <w:highlight w:val="none"/>
        </w:rPr>
      </w:pPr>
    </w:p>
    <w:p>
      <w:pPr>
        <w:pStyle w:val="47"/>
        <w:numPr>
          <w:ilvl w:val="0"/>
          <w:numId w:val="16"/>
        </w:numPr>
        <w:tabs>
          <w:tab w:val="left" w:pos="284"/>
        </w:tabs>
        <w:spacing w:before="0" w:after="0"/>
        <w:ind w:left="284" w:right="-2" w:hanging="426"/>
        <w:jc w:val="both"/>
        <w:rPr>
          <w:rFonts w:cs="Arial"/>
          <w:color w:val="auto"/>
          <w:sz w:val="20"/>
          <w:szCs w:val="20"/>
          <w:highlight w:val="none"/>
        </w:rPr>
      </w:pPr>
      <w:r>
        <w:rPr>
          <w:rFonts w:cs="Arial"/>
          <w:sz w:val="20"/>
          <w:szCs w:val="20"/>
          <w:highlight w:val="none"/>
        </w:rPr>
        <w:t>apresentar declaração ou documentação falsa exigida para o certame ou prestar declaração falsa durante a licitação</w:t>
      </w:r>
    </w:p>
    <w:p>
      <w:pPr>
        <w:pStyle w:val="47"/>
        <w:numPr>
          <w:ilvl w:val="0"/>
          <w:numId w:val="0"/>
        </w:numPr>
        <w:tabs>
          <w:tab w:val="left" w:pos="284"/>
        </w:tabs>
        <w:spacing w:before="0" w:after="0"/>
        <w:ind w:left="-142" w:leftChars="0" w:right="-2" w:rightChars="0"/>
        <w:jc w:val="both"/>
        <w:rPr>
          <w:rFonts w:cs="Arial"/>
          <w:color w:val="auto"/>
          <w:sz w:val="20"/>
          <w:szCs w:val="20"/>
          <w:highlight w:val="none"/>
        </w:rPr>
      </w:pPr>
    </w:p>
    <w:p>
      <w:pPr>
        <w:pStyle w:val="47"/>
        <w:numPr>
          <w:ilvl w:val="0"/>
          <w:numId w:val="16"/>
        </w:numPr>
        <w:tabs>
          <w:tab w:val="left" w:pos="284"/>
        </w:tabs>
        <w:spacing w:before="0" w:after="0"/>
        <w:ind w:left="284" w:right="-2" w:hanging="426"/>
        <w:jc w:val="both"/>
        <w:rPr>
          <w:rFonts w:cs="Arial"/>
          <w:color w:val="auto"/>
          <w:sz w:val="20"/>
          <w:szCs w:val="20"/>
          <w:highlight w:val="none"/>
        </w:rPr>
      </w:pPr>
      <w:r>
        <w:rPr>
          <w:rFonts w:cs="Arial"/>
          <w:sz w:val="20"/>
          <w:szCs w:val="20"/>
          <w:highlight w:val="none"/>
        </w:rPr>
        <w:t>fraudar a licitação</w:t>
      </w:r>
      <w:r>
        <w:rPr>
          <w:rFonts w:hint="default" w:cs="Arial"/>
          <w:sz w:val="20"/>
          <w:szCs w:val="20"/>
          <w:highlight w:val="none"/>
          <w:lang w:val="pt-BR"/>
        </w:rPr>
        <w:t>.</w:t>
      </w:r>
    </w:p>
    <w:p>
      <w:pPr>
        <w:pStyle w:val="47"/>
        <w:numPr>
          <w:ilvl w:val="0"/>
          <w:numId w:val="0"/>
        </w:numPr>
        <w:tabs>
          <w:tab w:val="left" w:pos="284"/>
        </w:tabs>
        <w:spacing w:before="0" w:after="0"/>
        <w:ind w:left="-142" w:leftChars="0" w:right="-2" w:rightChars="0"/>
        <w:jc w:val="both"/>
        <w:rPr>
          <w:rFonts w:cs="Arial"/>
          <w:color w:val="auto"/>
          <w:sz w:val="20"/>
          <w:szCs w:val="20"/>
          <w:highlight w:val="none"/>
        </w:rPr>
      </w:pPr>
    </w:p>
    <w:p>
      <w:pPr>
        <w:pStyle w:val="47"/>
        <w:numPr>
          <w:ilvl w:val="0"/>
          <w:numId w:val="16"/>
        </w:numPr>
        <w:tabs>
          <w:tab w:val="left" w:pos="284"/>
        </w:tabs>
        <w:spacing w:before="0" w:after="0"/>
        <w:ind w:left="284" w:right="-2" w:hanging="426"/>
        <w:jc w:val="both"/>
        <w:rPr>
          <w:rFonts w:cs="Arial"/>
          <w:color w:val="auto"/>
          <w:sz w:val="20"/>
          <w:szCs w:val="20"/>
          <w:highlight w:val="none"/>
        </w:rPr>
      </w:pPr>
      <w:r>
        <w:rPr>
          <w:rFonts w:cs="Arial"/>
          <w:sz w:val="20"/>
          <w:szCs w:val="20"/>
          <w:highlight w:val="none"/>
        </w:rPr>
        <w:t>comportar-se de modo inidôneo ou cometer fraude de qualquer natureza, em especial quando:</w:t>
      </w:r>
    </w:p>
    <w:p>
      <w:pPr>
        <w:pStyle w:val="47"/>
        <w:numPr>
          <w:ilvl w:val="0"/>
          <w:numId w:val="0"/>
        </w:numPr>
        <w:tabs>
          <w:tab w:val="left" w:pos="284"/>
        </w:tabs>
        <w:spacing w:before="0" w:after="0"/>
        <w:ind w:left="-142" w:leftChars="0" w:right="-2" w:rightChars="0"/>
        <w:jc w:val="both"/>
        <w:rPr>
          <w:rFonts w:hint="default" w:cs="Arial"/>
          <w:sz w:val="20"/>
          <w:szCs w:val="20"/>
          <w:highlight w:val="none"/>
          <w:lang w:val="pt-BR"/>
        </w:rPr>
      </w:pPr>
    </w:p>
    <w:p>
      <w:pPr>
        <w:pStyle w:val="47"/>
        <w:numPr>
          <w:ilvl w:val="0"/>
          <w:numId w:val="18"/>
        </w:numPr>
        <w:tabs>
          <w:tab w:val="left" w:pos="284"/>
          <w:tab w:val="clear" w:pos="425"/>
        </w:tabs>
        <w:spacing w:before="0" w:after="0"/>
        <w:ind w:left="425" w:leftChars="0" w:right="-2" w:rightChars="0" w:hanging="425" w:firstLineChars="0"/>
        <w:jc w:val="both"/>
        <w:rPr>
          <w:rFonts w:hint="default" w:cs="Arial"/>
          <w:sz w:val="20"/>
          <w:szCs w:val="20"/>
          <w:highlight w:val="none"/>
          <w:lang w:val="pt-BR"/>
        </w:rPr>
      </w:pPr>
      <w:r>
        <w:rPr>
          <w:rFonts w:cs="Arial"/>
          <w:sz w:val="20"/>
          <w:szCs w:val="20"/>
          <w:highlight w:val="none"/>
        </w:rPr>
        <w:t>agir em conluio ou em desconformidade com a lei;</w:t>
      </w:r>
    </w:p>
    <w:p>
      <w:pPr>
        <w:pStyle w:val="47"/>
        <w:numPr>
          <w:ilvl w:val="0"/>
          <w:numId w:val="0"/>
        </w:numPr>
        <w:tabs>
          <w:tab w:val="left" w:pos="284"/>
        </w:tabs>
        <w:spacing w:before="0" w:after="0"/>
        <w:ind w:leftChars="0" w:right="-2" w:rightChars="0"/>
        <w:jc w:val="both"/>
        <w:rPr>
          <w:rFonts w:hint="default" w:cs="Arial"/>
          <w:sz w:val="20"/>
          <w:szCs w:val="20"/>
          <w:highlight w:val="none"/>
          <w:lang w:val="pt-BR"/>
        </w:rPr>
      </w:pPr>
    </w:p>
    <w:p>
      <w:pPr>
        <w:pStyle w:val="47"/>
        <w:numPr>
          <w:ilvl w:val="0"/>
          <w:numId w:val="18"/>
        </w:numPr>
        <w:tabs>
          <w:tab w:val="left" w:pos="284"/>
          <w:tab w:val="clear" w:pos="425"/>
        </w:tabs>
        <w:spacing w:before="0" w:after="0"/>
        <w:ind w:left="425" w:leftChars="0" w:right="-2" w:rightChars="0" w:hanging="425" w:firstLineChars="0"/>
        <w:jc w:val="both"/>
        <w:rPr>
          <w:rFonts w:hint="default" w:cs="Arial"/>
          <w:sz w:val="20"/>
          <w:szCs w:val="20"/>
          <w:highlight w:val="none"/>
          <w:lang w:val="pt-BR"/>
        </w:rPr>
      </w:pPr>
      <w:r>
        <w:rPr>
          <w:rFonts w:cs="Arial"/>
          <w:sz w:val="20"/>
          <w:szCs w:val="20"/>
          <w:highlight w:val="none"/>
        </w:rPr>
        <w:t>induzir deliberadamente a erro no julgamento;</w:t>
      </w:r>
    </w:p>
    <w:p>
      <w:pPr>
        <w:pStyle w:val="47"/>
        <w:numPr>
          <w:ilvl w:val="0"/>
          <w:numId w:val="0"/>
        </w:numPr>
        <w:tabs>
          <w:tab w:val="left" w:pos="284"/>
        </w:tabs>
        <w:spacing w:before="0" w:after="0"/>
        <w:ind w:leftChars="0" w:right="-2" w:rightChars="0"/>
        <w:jc w:val="both"/>
        <w:rPr>
          <w:rFonts w:hint="default" w:cs="Arial"/>
          <w:sz w:val="20"/>
          <w:szCs w:val="20"/>
          <w:highlight w:val="none"/>
          <w:lang w:val="pt-BR"/>
        </w:rPr>
      </w:pPr>
    </w:p>
    <w:p>
      <w:pPr>
        <w:pStyle w:val="47"/>
        <w:numPr>
          <w:ilvl w:val="0"/>
          <w:numId w:val="18"/>
        </w:numPr>
        <w:tabs>
          <w:tab w:val="left" w:pos="284"/>
          <w:tab w:val="clear" w:pos="425"/>
        </w:tabs>
        <w:spacing w:before="0" w:after="0"/>
        <w:ind w:left="425" w:leftChars="0" w:right="-2" w:rightChars="0" w:hanging="425" w:firstLineChars="0"/>
        <w:jc w:val="both"/>
        <w:rPr>
          <w:rFonts w:hint="default" w:cs="Arial"/>
          <w:sz w:val="20"/>
          <w:szCs w:val="20"/>
          <w:highlight w:val="none"/>
          <w:lang w:val="pt-BR"/>
        </w:rPr>
      </w:pPr>
      <w:r>
        <w:rPr>
          <w:rFonts w:cs="Arial"/>
          <w:sz w:val="20"/>
          <w:szCs w:val="20"/>
          <w:highlight w:val="none"/>
        </w:rPr>
        <w:t>apresentar amostra falsificada ou deteriorada;</w:t>
      </w:r>
    </w:p>
    <w:p>
      <w:pPr>
        <w:pStyle w:val="47"/>
        <w:numPr>
          <w:ilvl w:val="0"/>
          <w:numId w:val="0"/>
        </w:numPr>
        <w:tabs>
          <w:tab w:val="left" w:pos="284"/>
        </w:tabs>
        <w:spacing w:before="0" w:after="0"/>
        <w:ind w:left="-142" w:leftChars="0" w:right="-2" w:rightChars="0"/>
        <w:jc w:val="both"/>
        <w:rPr>
          <w:rFonts w:hint="default" w:cs="Arial"/>
          <w:sz w:val="20"/>
          <w:szCs w:val="20"/>
          <w:highlight w:val="none"/>
          <w:lang w:val="pt-BR"/>
        </w:rPr>
      </w:pPr>
    </w:p>
    <w:p>
      <w:pPr>
        <w:pStyle w:val="47"/>
        <w:numPr>
          <w:ilvl w:val="0"/>
          <w:numId w:val="16"/>
        </w:numPr>
        <w:tabs>
          <w:tab w:val="left" w:pos="284"/>
        </w:tabs>
        <w:spacing w:before="0" w:after="0"/>
        <w:ind w:left="284" w:right="-2" w:hanging="426"/>
        <w:jc w:val="both"/>
        <w:rPr>
          <w:rFonts w:cs="Arial"/>
          <w:color w:val="auto"/>
          <w:sz w:val="20"/>
          <w:szCs w:val="20"/>
          <w:highlight w:val="none"/>
        </w:rPr>
      </w:pPr>
      <w:r>
        <w:rPr>
          <w:rFonts w:cs="Arial"/>
          <w:sz w:val="20"/>
          <w:szCs w:val="20"/>
          <w:highlight w:val="none"/>
        </w:rPr>
        <w:t>praticar atos ilícitos com vistas a frustrar os objetivos da licitação</w:t>
      </w:r>
    </w:p>
    <w:p>
      <w:pPr>
        <w:pStyle w:val="47"/>
        <w:numPr>
          <w:ilvl w:val="0"/>
          <w:numId w:val="0"/>
        </w:numPr>
        <w:tabs>
          <w:tab w:val="left" w:pos="284"/>
        </w:tabs>
        <w:spacing w:before="0" w:after="0"/>
        <w:ind w:left="-142" w:leftChars="0" w:right="-2" w:rightChars="0"/>
        <w:jc w:val="both"/>
        <w:rPr>
          <w:rFonts w:cs="Arial"/>
          <w:color w:val="auto"/>
          <w:sz w:val="20"/>
          <w:szCs w:val="20"/>
          <w:highlight w:val="none"/>
        </w:rPr>
      </w:pPr>
    </w:p>
    <w:p>
      <w:pPr>
        <w:pStyle w:val="47"/>
        <w:numPr>
          <w:ilvl w:val="0"/>
          <w:numId w:val="16"/>
        </w:numPr>
        <w:tabs>
          <w:tab w:val="left" w:pos="284"/>
        </w:tabs>
        <w:spacing w:before="0" w:after="0"/>
        <w:ind w:left="284" w:right="-2" w:hanging="426"/>
        <w:jc w:val="both"/>
        <w:rPr>
          <w:rFonts w:cs="Arial"/>
          <w:color w:val="auto"/>
          <w:sz w:val="20"/>
          <w:szCs w:val="20"/>
          <w:highlight w:val="none"/>
        </w:rPr>
      </w:pPr>
      <w:r>
        <w:rPr>
          <w:rFonts w:cs="Arial"/>
          <w:color w:val="auto"/>
          <w:sz w:val="20"/>
          <w:szCs w:val="20"/>
          <w:highlight w:val="none"/>
        </w:rPr>
        <w:t xml:space="preserve">praticar ato lesivo previsto no </w:t>
      </w:r>
      <w:r>
        <w:rPr>
          <w:color w:val="auto"/>
          <w:highlight w:val="none"/>
        </w:rPr>
        <w:fldChar w:fldCharType="begin"/>
      </w:r>
      <w:r>
        <w:rPr>
          <w:color w:val="auto"/>
          <w:highlight w:val="none"/>
        </w:rPr>
        <w:instrText xml:space="preserve"> HYPERLINK "https://www.planalto.gov.br/ccivil_03/_ato2011-2014/2013/lei/l12846.htm" \l "art5" </w:instrText>
      </w:r>
      <w:r>
        <w:rPr>
          <w:color w:val="auto"/>
          <w:highlight w:val="none"/>
        </w:rPr>
        <w:fldChar w:fldCharType="separate"/>
      </w:r>
      <w:r>
        <w:rPr>
          <w:rStyle w:val="16"/>
          <w:rFonts w:cs="Arial"/>
          <w:color w:val="auto"/>
          <w:sz w:val="20"/>
          <w:szCs w:val="20"/>
          <w:highlight w:val="none"/>
        </w:rPr>
        <w:t>art. 5º da Lei n.º 12.846, de 2013</w:t>
      </w:r>
      <w:r>
        <w:rPr>
          <w:rStyle w:val="16"/>
          <w:rFonts w:cs="Arial"/>
          <w:color w:val="auto"/>
          <w:sz w:val="20"/>
          <w:szCs w:val="20"/>
          <w:highlight w:val="none"/>
        </w:rPr>
        <w:fldChar w:fldCharType="end"/>
      </w:r>
      <w:r>
        <w:rPr>
          <w:rFonts w:cs="Arial"/>
          <w:color w:val="auto"/>
          <w:sz w:val="20"/>
          <w:szCs w:val="20"/>
          <w:highlight w:val="none"/>
        </w:rPr>
        <w:t>.</w:t>
      </w:r>
    </w:p>
    <w:p>
      <w:pPr>
        <w:pStyle w:val="47"/>
        <w:numPr>
          <w:ilvl w:val="0"/>
          <w:numId w:val="0"/>
        </w:numPr>
        <w:tabs>
          <w:tab w:val="left" w:pos="284"/>
        </w:tabs>
        <w:spacing w:before="0" w:after="0"/>
        <w:ind w:left="-142" w:leftChars="0" w:right="-2" w:rightChars="0"/>
        <w:jc w:val="both"/>
        <w:rPr>
          <w:rFonts w:cs="Arial"/>
          <w:color w:val="auto"/>
          <w:sz w:val="20"/>
          <w:szCs w:val="20"/>
          <w:highlight w:val="none"/>
        </w:rPr>
      </w:pPr>
    </w:p>
    <w:p>
      <w:pPr>
        <w:pStyle w:val="47"/>
        <w:numPr>
          <w:ilvl w:val="0"/>
          <w:numId w:val="16"/>
        </w:numPr>
        <w:tabs>
          <w:tab w:val="left" w:pos="284"/>
        </w:tabs>
        <w:spacing w:before="0" w:after="0"/>
        <w:ind w:left="284" w:right="-2" w:hanging="426"/>
        <w:jc w:val="both"/>
        <w:rPr>
          <w:rFonts w:cs="Arial"/>
          <w:color w:val="auto"/>
          <w:sz w:val="20"/>
          <w:szCs w:val="20"/>
          <w:highlight w:val="none"/>
        </w:rPr>
      </w:pPr>
      <w:r>
        <w:rPr>
          <w:rFonts w:cs="Arial"/>
          <w:color w:val="auto"/>
          <w:sz w:val="20"/>
          <w:szCs w:val="20"/>
          <w:highlight w:val="none"/>
        </w:rPr>
        <w:t xml:space="preserve">Com fulcro na </w:t>
      </w:r>
      <w:r>
        <w:rPr>
          <w:color w:val="auto"/>
          <w:highlight w:val="none"/>
        </w:rPr>
        <w:fldChar w:fldCharType="begin"/>
      </w:r>
      <w:r>
        <w:rPr>
          <w:color w:val="auto"/>
          <w:highlight w:val="none"/>
        </w:rPr>
        <w:instrText xml:space="preserve"> HYPERLINK "http://www.planalto.gov.br/ccivil_03/_ato2019-2022/2021/lei/L14133.htm" </w:instrText>
      </w:r>
      <w:r>
        <w:rPr>
          <w:color w:val="auto"/>
          <w:highlight w:val="none"/>
        </w:rPr>
        <w:fldChar w:fldCharType="separate"/>
      </w:r>
      <w:r>
        <w:rPr>
          <w:rStyle w:val="16"/>
          <w:rFonts w:cs="Arial"/>
          <w:color w:val="auto"/>
          <w:sz w:val="20"/>
          <w:szCs w:val="20"/>
          <w:highlight w:val="none"/>
        </w:rPr>
        <w:t>Lei nº 14.133, de 2021</w:t>
      </w:r>
      <w:r>
        <w:rPr>
          <w:rStyle w:val="16"/>
          <w:rFonts w:cs="Arial"/>
          <w:color w:val="auto"/>
          <w:sz w:val="20"/>
          <w:szCs w:val="20"/>
          <w:highlight w:val="none"/>
        </w:rPr>
        <w:fldChar w:fldCharType="end"/>
      </w:r>
      <w:r>
        <w:rPr>
          <w:rFonts w:cs="Arial"/>
          <w:color w:val="auto"/>
          <w:sz w:val="20"/>
          <w:szCs w:val="20"/>
          <w:highlight w:val="none"/>
        </w:rPr>
        <w:t>, a Administração poderá, garantida a prévia defesa, aplicar aos licitantes e/ou adjudicatários as seguintes sanções, sem prejuízo das responsabilidades civil e criminal:</w:t>
      </w:r>
    </w:p>
    <w:p>
      <w:pPr>
        <w:pStyle w:val="47"/>
        <w:numPr>
          <w:ilvl w:val="0"/>
          <w:numId w:val="0"/>
        </w:numPr>
        <w:tabs>
          <w:tab w:val="left" w:pos="284"/>
        </w:tabs>
        <w:spacing w:before="0" w:after="0"/>
        <w:ind w:left="-142" w:leftChars="0" w:right="-2" w:rightChars="0"/>
        <w:jc w:val="both"/>
        <w:rPr>
          <w:rFonts w:cs="Arial"/>
          <w:color w:val="auto"/>
          <w:sz w:val="20"/>
          <w:szCs w:val="20"/>
          <w:highlight w:val="none"/>
        </w:rPr>
      </w:pPr>
    </w:p>
    <w:p>
      <w:pPr>
        <w:pStyle w:val="47"/>
        <w:numPr>
          <w:ilvl w:val="0"/>
          <w:numId w:val="19"/>
        </w:numPr>
        <w:tabs>
          <w:tab w:val="left" w:pos="284"/>
          <w:tab w:val="clear" w:pos="425"/>
        </w:tabs>
        <w:spacing w:before="0" w:after="0"/>
        <w:ind w:left="425" w:leftChars="0" w:right="-2" w:rightChars="0" w:hanging="425" w:firstLineChars="0"/>
        <w:jc w:val="both"/>
        <w:rPr>
          <w:rFonts w:cs="Arial"/>
          <w:color w:val="auto"/>
          <w:sz w:val="20"/>
          <w:szCs w:val="20"/>
          <w:highlight w:val="none"/>
        </w:rPr>
      </w:pPr>
      <w:r>
        <w:rPr>
          <w:rFonts w:cs="Arial"/>
          <w:sz w:val="20"/>
          <w:szCs w:val="20"/>
          <w:highlight w:val="none"/>
        </w:rPr>
        <w:t>advertência;</w:t>
      </w:r>
    </w:p>
    <w:p>
      <w:pPr>
        <w:pStyle w:val="47"/>
        <w:numPr>
          <w:ilvl w:val="0"/>
          <w:numId w:val="0"/>
        </w:numPr>
        <w:tabs>
          <w:tab w:val="left" w:pos="284"/>
        </w:tabs>
        <w:spacing w:before="0" w:after="0"/>
        <w:ind w:leftChars="0" w:right="-2" w:rightChars="0"/>
        <w:jc w:val="both"/>
        <w:rPr>
          <w:rFonts w:cs="Arial"/>
          <w:color w:val="auto"/>
          <w:sz w:val="20"/>
          <w:szCs w:val="20"/>
          <w:highlight w:val="none"/>
        </w:rPr>
      </w:pPr>
    </w:p>
    <w:p>
      <w:pPr>
        <w:pStyle w:val="47"/>
        <w:numPr>
          <w:ilvl w:val="0"/>
          <w:numId w:val="19"/>
        </w:numPr>
        <w:tabs>
          <w:tab w:val="left" w:pos="284"/>
          <w:tab w:val="clear" w:pos="425"/>
        </w:tabs>
        <w:spacing w:before="0" w:after="0"/>
        <w:ind w:left="425" w:leftChars="0" w:right="-2" w:rightChars="0" w:hanging="425" w:firstLineChars="0"/>
        <w:jc w:val="both"/>
        <w:rPr>
          <w:rFonts w:cs="Arial"/>
          <w:color w:val="auto"/>
          <w:sz w:val="20"/>
          <w:szCs w:val="20"/>
          <w:highlight w:val="none"/>
        </w:rPr>
      </w:pPr>
      <w:r>
        <w:rPr>
          <w:rFonts w:cs="Arial"/>
          <w:sz w:val="20"/>
          <w:szCs w:val="20"/>
          <w:highlight w:val="none"/>
        </w:rPr>
        <w:t>multa;</w:t>
      </w:r>
    </w:p>
    <w:p>
      <w:pPr>
        <w:pStyle w:val="47"/>
        <w:numPr>
          <w:ilvl w:val="0"/>
          <w:numId w:val="0"/>
        </w:numPr>
        <w:tabs>
          <w:tab w:val="left" w:pos="284"/>
        </w:tabs>
        <w:spacing w:before="0" w:after="0"/>
        <w:ind w:leftChars="0" w:right="-2" w:rightChars="0"/>
        <w:jc w:val="both"/>
        <w:rPr>
          <w:rFonts w:cs="Arial"/>
          <w:color w:val="auto"/>
          <w:sz w:val="20"/>
          <w:szCs w:val="20"/>
          <w:highlight w:val="none"/>
        </w:rPr>
      </w:pPr>
    </w:p>
    <w:p>
      <w:pPr>
        <w:pStyle w:val="47"/>
        <w:numPr>
          <w:ilvl w:val="0"/>
          <w:numId w:val="19"/>
        </w:numPr>
        <w:tabs>
          <w:tab w:val="left" w:pos="284"/>
          <w:tab w:val="clear" w:pos="425"/>
        </w:tabs>
        <w:spacing w:before="0" w:after="0"/>
        <w:ind w:left="425" w:leftChars="0" w:right="-2" w:rightChars="0" w:hanging="425" w:firstLineChars="0"/>
        <w:jc w:val="both"/>
        <w:rPr>
          <w:rFonts w:cs="Arial"/>
          <w:color w:val="auto"/>
          <w:sz w:val="20"/>
          <w:szCs w:val="20"/>
          <w:highlight w:val="none"/>
        </w:rPr>
      </w:pPr>
      <w:r>
        <w:rPr>
          <w:rFonts w:cs="Arial"/>
          <w:sz w:val="20"/>
          <w:szCs w:val="20"/>
          <w:highlight w:val="none"/>
        </w:rPr>
        <w:t>impedimento de licitar e contratar e</w:t>
      </w:r>
    </w:p>
    <w:p>
      <w:pPr>
        <w:pStyle w:val="47"/>
        <w:numPr>
          <w:ilvl w:val="0"/>
          <w:numId w:val="0"/>
        </w:numPr>
        <w:tabs>
          <w:tab w:val="left" w:pos="284"/>
        </w:tabs>
        <w:spacing w:before="0" w:after="0"/>
        <w:ind w:leftChars="0" w:right="-2" w:rightChars="0"/>
        <w:jc w:val="both"/>
        <w:rPr>
          <w:rFonts w:cs="Arial"/>
          <w:color w:val="auto"/>
          <w:sz w:val="20"/>
          <w:szCs w:val="20"/>
          <w:highlight w:val="none"/>
        </w:rPr>
      </w:pPr>
    </w:p>
    <w:p>
      <w:pPr>
        <w:pStyle w:val="47"/>
        <w:numPr>
          <w:ilvl w:val="0"/>
          <w:numId w:val="19"/>
        </w:numPr>
        <w:tabs>
          <w:tab w:val="left" w:pos="284"/>
          <w:tab w:val="clear" w:pos="425"/>
        </w:tabs>
        <w:spacing w:before="0" w:after="0"/>
        <w:ind w:left="360" w:leftChars="0" w:right="-2" w:rightChars="0" w:hanging="360" w:firstLineChars="0"/>
        <w:jc w:val="both"/>
        <w:rPr>
          <w:rFonts w:cs="Arial"/>
          <w:color w:val="auto"/>
          <w:sz w:val="20"/>
          <w:szCs w:val="20"/>
          <w:highlight w:val="none"/>
        </w:rPr>
      </w:pPr>
      <w:r>
        <w:rPr>
          <w:rFonts w:cs="Arial"/>
          <w:sz w:val="20"/>
          <w:szCs w:val="20"/>
          <w:highlight w:val="none"/>
        </w:rPr>
        <w:t>declaração de inidoneidade para licitar ou contratar, enquanto perdurarem os motivos determinantes da punição ou até que seja promovida sua reabilitação perante a própria autoridade que aplicou a penalidade.</w:t>
      </w:r>
    </w:p>
    <w:p>
      <w:pPr>
        <w:pStyle w:val="47"/>
        <w:numPr>
          <w:ilvl w:val="0"/>
          <w:numId w:val="0"/>
        </w:numPr>
        <w:tabs>
          <w:tab w:val="left" w:pos="284"/>
        </w:tabs>
        <w:spacing w:before="0" w:after="0"/>
        <w:ind w:left="-142" w:leftChars="0" w:right="-2" w:rightChars="0"/>
        <w:jc w:val="both"/>
        <w:rPr>
          <w:rFonts w:cs="Arial"/>
          <w:color w:val="auto"/>
          <w:sz w:val="20"/>
          <w:szCs w:val="20"/>
          <w:highlight w:val="none"/>
        </w:rPr>
      </w:pPr>
    </w:p>
    <w:p>
      <w:pPr>
        <w:pStyle w:val="47"/>
        <w:numPr>
          <w:ilvl w:val="0"/>
          <w:numId w:val="16"/>
        </w:numPr>
        <w:tabs>
          <w:tab w:val="left" w:pos="284"/>
        </w:tabs>
        <w:spacing w:before="0" w:after="0"/>
        <w:ind w:left="284" w:right="-2" w:hanging="426"/>
        <w:jc w:val="both"/>
        <w:rPr>
          <w:rFonts w:cs="Arial"/>
          <w:color w:val="auto"/>
          <w:sz w:val="20"/>
          <w:szCs w:val="20"/>
          <w:highlight w:val="none"/>
        </w:rPr>
      </w:pPr>
      <w:r>
        <w:rPr>
          <w:rFonts w:cs="Arial"/>
          <w:sz w:val="20"/>
          <w:szCs w:val="20"/>
          <w:highlight w:val="none"/>
        </w:rPr>
        <w:t>Na aplicação das sanções serão considerados:</w:t>
      </w:r>
    </w:p>
    <w:p>
      <w:pPr>
        <w:pStyle w:val="47"/>
        <w:numPr>
          <w:ilvl w:val="0"/>
          <w:numId w:val="0"/>
        </w:numPr>
        <w:tabs>
          <w:tab w:val="left" w:pos="284"/>
        </w:tabs>
        <w:spacing w:before="0" w:after="0"/>
        <w:ind w:right="-2" w:rightChars="0"/>
        <w:jc w:val="both"/>
        <w:rPr>
          <w:rFonts w:cs="Arial"/>
          <w:color w:val="auto"/>
          <w:sz w:val="20"/>
          <w:szCs w:val="20"/>
          <w:highlight w:val="none"/>
        </w:rPr>
      </w:pPr>
    </w:p>
    <w:p>
      <w:pPr>
        <w:pStyle w:val="47"/>
        <w:numPr>
          <w:ilvl w:val="0"/>
          <w:numId w:val="20"/>
        </w:numPr>
        <w:tabs>
          <w:tab w:val="left" w:pos="284"/>
          <w:tab w:val="clear" w:pos="425"/>
        </w:tabs>
        <w:spacing w:before="0" w:after="0"/>
        <w:ind w:left="425" w:leftChars="0" w:right="-2" w:rightChars="0" w:hanging="425" w:firstLineChars="0"/>
        <w:jc w:val="both"/>
        <w:rPr>
          <w:rFonts w:cs="Arial"/>
          <w:color w:val="auto"/>
          <w:sz w:val="20"/>
          <w:szCs w:val="20"/>
          <w:highlight w:val="none"/>
        </w:rPr>
      </w:pPr>
      <w:r>
        <w:rPr>
          <w:rFonts w:cs="Arial"/>
          <w:sz w:val="20"/>
          <w:szCs w:val="20"/>
          <w:highlight w:val="none"/>
        </w:rPr>
        <w:t>a natureza e a gravidade da infração cometida</w:t>
      </w:r>
      <w:r>
        <w:rPr>
          <w:rFonts w:hint="default" w:cs="Arial"/>
          <w:sz w:val="20"/>
          <w:szCs w:val="20"/>
          <w:highlight w:val="none"/>
          <w:lang w:val="pt-BR"/>
        </w:rPr>
        <w:t>;</w:t>
      </w:r>
    </w:p>
    <w:p>
      <w:pPr>
        <w:pStyle w:val="47"/>
        <w:numPr>
          <w:ilvl w:val="0"/>
          <w:numId w:val="0"/>
        </w:numPr>
        <w:tabs>
          <w:tab w:val="left" w:pos="284"/>
        </w:tabs>
        <w:spacing w:before="0" w:after="0"/>
        <w:ind w:leftChars="0" w:right="-2" w:rightChars="0"/>
        <w:jc w:val="both"/>
        <w:rPr>
          <w:rFonts w:cs="Arial"/>
          <w:color w:val="auto"/>
          <w:sz w:val="20"/>
          <w:szCs w:val="20"/>
          <w:highlight w:val="none"/>
        </w:rPr>
      </w:pPr>
    </w:p>
    <w:p>
      <w:pPr>
        <w:pStyle w:val="47"/>
        <w:numPr>
          <w:ilvl w:val="0"/>
          <w:numId w:val="20"/>
        </w:numPr>
        <w:tabs>
          <w:tab w:val="left" w:pos="284"/>
          <w:tab w:val="clear" w:pos="425"/>
        </w:tabs>
        <w:spacing w:before="0" w:after="0"/>
        <w:ind w:left="425" w:leftChars="0" w:right="-2" w:rightChars="0" w:hanging="425" w:firstLineChars="0"/>
        <w:jc w:val="both"/>
        <w:rPr>
          <w:rFonts w:cs="Arial"/>
          <w:color w:val="auto"/>
          <w:sz w:val="20"/>
          <w:szCs w:val="20"/>
          <w:highlight w:val="none"/>
        </w:rPr>
      </w:pPr>
      <w:r>
        <w:rPr>
          <w:rFonts w:cs="Arial"/>
          <w:sz w:val="20"/>
          <w:szCs w:val="20"/>
          <w:highlight w:val="none"/>
        </w:rPr>
        <w:t>as peculiaridades do caso concreto</w:t>
      </w:r>
      <w:r>
        <w:rPr>
          <w:rFonts w:hint="default" w:cs="Arial"/>
          <w:sz w:val="20"/>
          <w:szCs w:val="20"/>
          <w:highlight w:val="none"/>
          <w:lang w:val="pt-BR"/>
        </w:rPr>
        <w:t>;</w:t>
      </w:r>
    </w:p>
    <w:p>
      <w:pPr>
        <w:pStyle w:val="47"/>
        <w:numPr>
          <w:ilvl w:val="0"/>
          <w:numId w:val="0"/>
        </w:numPr>
        <w:tabs>
          <w:tab w:val="left" w:pos="284"/>
        </w:tabs>
        <w:spacing w:before="0" w:after="0"/>
        <w:ind w:leftChars="0" w:right="-2" w:rightChars="0"/>
        <w:jc w:val="both"/>
        <w:rPr>
          <w:rFonts w:cs="Arial"/>
          <w:color w:val="auto"/>
          <w:sz w:val="20"/>
          <w:szCs w:val="20"/>
          <w:highlight w:val="none"/>
        </w:rPr>
      </w:pPr>
    </w:p>
    <w:p>
      <w:pPr>
        <w:pStyle w:val="47"/>
        <w:numPr>
          <w:ilvl w:val="0"/>
          <w:numId w:val="20"/>
        </w:numPr>
        <w:tabs>
          <w:tab w:val="left" w:pos="284"/>
          <w:tab w:val="clear" w:pos="425"/>
        </w:tabs>
        <w:spacing w:before="0" w:after="0"/>
        <w:ind w:left="425" w:leftChars="0" w:right="-2" w:rightChars="0" w:hanging="425" w:firstLineChars="0"/>
        <w:jc w:val="both"/>
        <w:rPr>
          <w:rFonts w:cs="Arial"/>
          <w:color w:val="auto"/>
          <w:sz w:val="20"/>
          <w:szCs w:val="20"/>
          <w:highlight w:val="none"/>
        </w:rPr>
      </w:pPr>
      <w:r>
        <w:rPr>
          <w:rFonts w:cs="Arial"/>
          <w:sz w:val="20"/>
          <w:szCs w:val="20"/>
          <w:highlight w:val="none"/>
        </w:rPr>
        <w:t>as circunstâncias agravantes ou atenuantes</w:t>
      </w:r>
      <w:r>
        <w:rPr>
          <w:rFonts w:hint="default" w:cs="Arial"/>
          <w:sz w:val="20"/>
          <w:szCs w:val="20"/>
          <w:highlight w:val="none"/>
          <w:lang w:val="pt-BR"/>
        </w:rPr>
        <w:t>;</w:t>
      </w:r>
    </w:p>
    <w:p>
      <w:pPr>
        <w:pStyle w:val="47"/>
        <w:numPr>
          <w:ilvl w:val="0"/>
          <w:numId w:val="0"/>
        </w:numPr>
        <w:tabs>
          <w:tab w:val="left" w:pos="284"/>
        </w:tabs>
        <w:spacing w:before="0" w:after="0"/>
        <w:ind w:leftChars="0" w:right="-2" w:rightChars="0"/>
        <w:jc w:val="both"/>
        <w:rPr>
          <w:rFonts w:cs="Arial"/>
          <w:color w:val="auto"/>
          <w:sz w:val="20"/>
          <w:szCs w:val="20"/>
          <w:highlight w:val="none"/>
        </w:rPr>
      </w:pPr>
    </w:p>
    <w:p>
      <w:pPr>
        <w:pStyle w:val="47"/>
        <w:numPr>
          <w:ilvl w:val="0"/>
          <w:numId w:val="20"/>
        </w:numPr>
        <w:tabs>
          <w:tab w:val="left" w:pos="284"/>
          <w:tab w:val="clear" w:pos="425"/>
        </w:tabs>
        <w:spacing w:before="0" w:after="0"/>
        <w:ind w:left="425" w:leftChars="0" w:right="-2" w:rightChars="0" w:hanging="425" w:firstLineChars="0"/>
        <w:jc w:val="both"/>
        <w:rPr>
          <w:rFonts w:cs="Arial"/>
          <w:color w:val="auto"/>
          <w:sz w:val="20"/>
          <w:szCs w:val="20"/>
          <w:highlight w:val="none"/>
        </w:rPr>
      </w:pPr>
      <w:r>
        <w:rPr>
          <w:rFonts w:cs="Arial"/>
          <w:sz w:val="20"/>
          <w:szCs w:val="20"/>
          <w:highlight w:val="none"/>
        </w:rPr>
        <w:t>os danos que dela provierem para a Administração Pública</w:t>
      </w:r>
      <w:r>
        <w:rPr>
          <w:rFonts w:hint="default" w:cs="Arial"/>
          <w:sz w:val="20"/>
          <w:szCs w:val="20"/>
          <w:highlight w:val="none"/>
          <w:lang w:val="pt-BR"/>
        </w:rPr>
        <w:t>;</w:t>
      </w:r>
    </w:p>
    <w:p>
      <w:pPr>
        <w:pStyle w:val="47"/>
        <w:numPr>
          <w:ilvl w:val="0"/>
          <w:numId w:val="0"/>
        </w:numPr>
        <w:tabs>
          <w:tab w:val="left" w:pos="284"/>
        </w:tabs>
        <w:spacing w:before="0" w:after="0"/>
        <w:ind w:leftChars="0" w:right="-2" w:rightChars="0"/>
        <w:jc w:val="both"/>
        <w:rPr>
          <w:rFonts w:cs="Arial"/>
          <w:color w:val="auto"/>
          <w:sz w:val="20"/>
          <w:szCs w:val="20"/>
          <w:highlight w:val="none"/>
        </w:rPr>
      </w:pPr>
    </w:p>
    <w:p>
      <w:pPr>
        <w:pStyle w:val="47"/>
        <w:numPr>
          <w:ilvl w:val="0"/>
          <w:numId w:val="20"/>
        </w:numPr>
        <w:tabs>
          <w:tab w:val="left" w:pos="284"/>
          <w:tab w:val="clear" w:pos="425"/>
        </w:tabs>
        <w:spacing w:before="0" w:after="0"/>
        <w:ind w:left="425" w:leftChars="0" w:right="-2" w:rightChars="0" w:hanging="425" w:firstLineChars="0"/>
        <w:jc w:val="both"/>
        <w:rPr>
          <w:rFonts w:cs="Arial"/>
          <w:color w:val="auto"/>
          <w:sz w:val="20"/>
          <w:szCs w:val="20"/>
          <w:highlight w:val="none"/>
        </w:rPr>
      </w:pPr>
      <w:r>
        <w:rPr>
          <w:rFonts w:cs="Arial"/>
          <w:sz w:val="20"/>
          <w:szCs w:val="20"/>
          <w:highlight w:val="none"/>
        </w:rPr>
        <w:t>a implantação ou o aperfeiçoamento de programa de integridade, conforme normas e orientações dos órgãos de controle.</w:t>
      </w:r>
    </w:p>
    <w:p>
      <w:pPr>
        <w:pStyle w:val="47"/>
        <w:numPr>
          <w:ilvl w:val="0"/>
          <w:numId w:val="0"/>
        </w:numPr>
        <w:tabs>
          <w:tab w:val="left" w:pos="284"/>
        </w:tabs>
        <w:spacing w:before="0" w:after="0"/>
        <w:ind w:right="-2" w:rightChars="0"/>
        <w:jc w:val="both"/>
        <w:rPr>
          <w:rFonts w:cs="Arial"/>
          <w:color w:val="auto"/>
          <w:sz w:val="20"/>
          <w:szCs w:val="20"/>
          <w:highlight w:val="none"/>
        </w:rPr>
      </w:pPr>
    </w:p>
    <w:p>
      <w:pPr>
        <w:pStyle w:val="47"/>
        <w:numPr>
          <w:ilvl w:val="0"/>
          <w:numId w:val="16"/>
        </w:numPr>
        <w:tabs>
          <w:tab w:val="left" w:pos="284"/>
        </w:tabs>
        <w:spacing w:before="0" w:after="0"/>
        <w:ind w:left="284" w:right="-2" w:hanging="426"/>
        <w:jc w:val="both"/>
        <w:rPr>
          <w:rFonts w:cs="Arial"/>
          <w:color w:val="auto"/>
          <w:sz w:val="20"/>
          <w:szCs w:val="20"/>
          <w:highlight w:val="none"/>
        </w:rPr>
      </w:pPr>
      <w:r>
        <w:rPr>
          <w:rFonts w:cs="Arial"/>
          <w:sz w:val="20"/>
          <w:szCs w:val="20"/>
          <w:highlight w:val="none"/>
        </w:rPr>
        <w:t xml:space="preserve">A multa será recolhida em percentual de 0,5% a 30% incidente sobre o valor do contrato licitado, recolhida no prazo máximo </w:t>
      </w:r>
      <w:r>
        <w:rPr>
          <w:rFonts w:cs="Arial"/>
          <w:b/>
          <w:color w:val="auto"/>
          <w:sz w:val="20"/>
          <w:szCs w:val="20"/>
          <w:highlight w:val="none"/>
        </w:rPr>
        <w:t>de 10 (dez)</w:t>
      </w:r>
      <w:r>
        <w:rPr>
          <w:rFonts w:cs="Arial"/>
          <w:b/>
          <w:bCs/>
          <w:color w:val="auto"/>
          <w:sz w:val="20"/>
          <w:szCs w:val="20"/>
          <w:highlight w:val="none"/>
        </w:rPr>
        <w:t xml:space="preserve"> dias</w:t>
      </w:r>
      <w:r>
        <w:rPr>
          <w:rFonts w:cs="Arial"/>
          <w:b/>
          <w:color w:val="auto"/>
          <w:sz w:val="20"/>
          <w:szCs w:val="20"/>
          <w:highlight w:val="none"/>
        </w:rPr>
        <w:t xml:space="preserve"> úteis</w:t>
      </w:r>
      <w:r>
        <w:rPr>
          <w:rFonts w:cs="Arial"/>
          <w:sz w:val="20"/>
          <w:szCs w:val="20"/>
          <w:highlight w:val="none"/>
        </w:rPr>
        <w:t>, a contar da comunicação oficial.</w:t>
      </w:r>
    </w:p>
    <w:p>
      <w:pPr>
        <w:pStyle w:val="47"/>
        <w:numPr>
          <w:ilvl w:val="0"/>
          <w:numId w:val="0"/>
        </w:numPr>
        <w:tabs>
          <w:tab w:val="left" w:pos="284"/>
        </w:tabs>
        <w:spacing w:before="0" w:after="0"/>
        <w:ind w:left="-142" w:leftChars="0" w:right="-2" w:rightChars="0"/>
        <w:jc w:val="both"/>
        <w:rPr>
          <w:rFonts w:cs="Arial"/>
          <w:color w:val="auto"/>
          <w:sz w:val="20"/>
          <w:szCs w:val="20"/>
          <w:highlight w:val="none"/>
        </w:rPr>
      </w:pPr>
    </w:p>
    <w:p>
      <w:pPr>
        <w:pStyle w:val="47"/>
        <w:numPr>
          <w:ilvl w:val="0"/>
          <w:numId w:val="16"/>
        </w:numPr>
        <w:tabs>
          <w:tab w:val="left" w:pos="284"/>
        </w:tabs>
        <w:spacing w:before="0" w:after="0"/>
        <w:ind w:left="284" w:right="-2" w:hanging="426"/>
        <w:jc w:val="both"/>
        <w:rPr>
          <w:rFonts w:cs="Arial"/>
          <w:color w:val="auto"/>
          <w:sz w:val="20"/>
          <w:szCs w:val="20"/>
          <w:highlight w:val="none"/>
        </w:rPr>
      </w:pPr>
      <w:r>
        <w:rPr>
          <w:rFonts w:cs="Arial"/>
          <w:sz w:val="20"/>
          <w:szCs w:val="20"/>
          <w:highlight w:val="none"/>
        </w:rPr>
        <w:t xml:space="preserve">Para as infrações previstas nos itens </w:t>
      </w:r>
      <w:r>
        <w:rPr>
          <w:rFonts w:hint="default" w:cs="Arial"/>
          <w:sz w:val="20"/>
          <w:szCs w:val="20"/>
          <w:highlight w:val="none"/>
          <w:lang w:val="pt-BR"/>
        </w:rPr>
        <w:t>I</w:t>
      </w:r>
      <w:r>
        <w:rPr>
          <w:rFonts w:cs="Arial"/>
          <w:sz w:val="20"/>
          <w:szCs w:val="20"/>
          <w:highlight w:val="none"/>
        </w:rPr>
        <w:t xml:space="preserve">, </w:t>
      </w:r>
      <w:r>
        <w:rPr>
          <w:rFonts w:hint="default" w:cs="Arial"/>
          <w:sz w:val="20"/>
          <w:szCs w:val="20"/>
          <w:highlight w:val="none"/>
          <w:lang w:val="pt-BR"/>
        </w:rPr>
        <w:t>II</w:t>
      </w:r>
      <w:r>
        <w:rPr>
          <w:rFonts w:cs="Arial"/>
          <w:sz w:val="20"/>
          <w:szCs w:val="20"/>
          <w:highlight w:val="none"/>
        </w:rPr>
        <w:t xml:space="preserve"> e </w:t>
      </w:r>
      <w:r>
        <w:rPr>
          <w:rFonts w:hint="default" w:cs="Arial"/>
          <w:sz w:val="20"/>
          <w:szCs w:val="20"/>
          <w:highlight w:val="none"/>
          <w:lang w:val="pt-BR"/>
        </w:rPr>
        <w:t>III</w:t>
      </w:r>
      <w:r>
        <w:rPr>
          <w:rFonts w:cs="Arial"/>
          <w:sz w:val="20"/>
          <w:szCs w:val="20"/>
          <w:highlight w:val="none"/>
        </w:rPr>
        <w:t xml:space="preserve">, a multa será de </w:t>
      </w:r>
      <w:r>
        <w:rPr>
          <w:rFonts w:cs="Arial"/>
          <w:color w:val="auto"/>
          <w:sz w:val="20"/>
          <w:szCs w:val="20"/>
          <w:highlight w:val="none"/>
        </w:rPr>
        <w:t xml:space="preserve">0,5% a 15% </w:t>
      </w:r>
      <w:r>
        <w:rPr>
          <w:rFonts w:cs="Arial"/>
          <w:sz w:val="20"/>
          <w:szCs w:val="20"/>
          <w:highlight w:val="none"/>
        </w:rPr>
        <w:t>do valor do contrato licitado.</w:t>
      </w:r>
    </w:p>
    <w:p>
      <w:pPr>
        <w:pStyle w:val="47"/>
        <w:numPr>
          <w:ilvl w:val="0"/>
          <w:numId w:val="0"/>
        </w:numPr>
        <w:tabs>
          <w:tab w:val="left" w:pos="284"/>
        </w:tabs>
        <w:spacing w:before="0" w:after="0"/>
        <w:ind w:left="-142" w:leftChars="0" w:right="-2" w:rightChars="0"/>
        <w:jc w:val="both"/>
        <w:rPr>
          <w:rFonts w:cs="Arial"/>
          <w:color w:val="auto"/>
          <w:sz w:val="20"/>
          <w:szCs w:val="20"/>
          <w:highlight w:val="none"/>
        </w:rPr>
      </w:pPr>
    </w:p>
    <w:p>
      <w:pPr>
        <w:pStyle w:val="47"/>
        <w:numPr>
          <w:ilvl w:val="0"/>
          <w:numId w:val="16"/>
        </w:numPr>
        <w:tabs>
          <w:tab w:val="left" w:pos="284"/>
        </w:tabs>
        <w:spacing w:before="0" w:after="0"/>
        <w:ind w:left="284" w:right="-2" w:hanging="426"/>
        <w:jc w:val="both"/>
        <w:rPr>
          <w:rFonts w:cs="Arial"/>
          <w:color w:val="auto"/>
          <w:sz w:val="20"/>
          <w:szCs w:val="20"/>
          <w:highlight w:val="none"/>
        </w:rPr>
      </w:pPr>
      <w:r>
        <w:rPr>
          <w:rFonts w:cs="Arial"/>
          <w:color w:val="auto"/>
          <w:sz w:val="20"/>
          <w:szCs w:val="20"/>
          <w:highlight w:val="none"/>
        </w:rPr>
        <w:t xml:space="preserve">Para as infrações previstas nos itens </w:t>
      </w:r>
      <w:r>
        <w:rPr>
          <w:rFonts w:hint="default" w:cs="Arial"/>
          <w:color w:val="auto"/>
          <w:sz w:val="20"/>
          <w:szCs w:val="20"/>
          <w:highlight w:val="none"/>
          <w:lang w:val="pt-BR"/>
        </w:rPr>
        <w:t>IV</w:t>
      </w:r>
      <w:r>
        <w:rPr>
          <w:rFonts w:cs="Arial"/>
          <w:color w:val="auto"/>
          <w:sz w:val="20"/>
          <w:szCs w:val="20"/>
          <w:highlight w:val="none"/>
        </w:rPr>
        <w:t xml:space="preserve">, </w:t>
      </w:r>
      <w:r>
        <w:rPr>
          <w:rFonts w:hint="default" w:cs="Arial"/>
          <w:color w:val="auto"/>
          <w:sz w:val="20"/>
          <w:szCs w:val="20"/>
          <w:highlight w:val="none"/>
          <w:lang w:val="pt-BR"/>
        </w:rPr>
        <w:t>V</w:t>
      </w:r>
      <w:r>
        <w:rPr>
          <w:rFonts w:cs="Arial"/>
          <w:color w:val="auto"/>
          <w:sz w:val="20"/>
          <w:szCs w:val="20"/>
          <w:highlight w:val="none"/>
        </w:rPr>
        <w:t xml:space="preserve">, </w:t>
      </w:r>
      <w:r>
        <w:rPr>
          <w:rFonts w:hint="default" w:cs="Arial"/>
          <w:color w:val="auto"/>
          <w:sz w:val="20"/>
          <w:szCs w:val="20"/>
          <w:highlight w:val="none"/>
          <w:lang w:val="pt-BR"/>
        </w:rPr>
        <w:t>VI</w:t>
      </w:r>
      <w:r>
        <w:rPr>
          <w:rFonts w:cs="Arial"/>
          <w:color w:val="auto"/>
          <w:sz w:val="20"/>
          <w:szCs w:val="20"/>
          <w:highlight w:val="none"/>
        </w:rPr>
        <w:t xml:space="preserve">, </w:t>
      </w:r>
      <w:r>
        <w:rPr>
          <w:rFonts w:hint="default" w:cs="Arial"/>
          <w:color w:val="auto"/>
          <w:sz w:val="20"/>
          <w:szCs w:val="20"/>
          <w:highlight w:val="none"/>
          <w:lang w:val="pt-BR"/>
        </w:rPr>
        <w:t>VII</w:t>
      </w:r>
      <w:r>
        <w:rPr>
          <w:rFonts w:cs="Arial"/>
          <w:color w:val="auto"/>
          <w:sz w:val="20"/>
          <w:szCs w:val="20"/>
          <w:highlight w:val="none"/>
        </w:rPr>
        <w:t xml:space="preserve"> e </w:t>
      </w:r>
      <w:r>
        <w:rPr>
          <w:rFonts w:hint="default" w:cs="Arial"/>
          <w:color w:val="auto"/>
          <w:sz w:val="20"/>
          <w:szCs w:val="20"/>
          <w:highlight w:val="none"/>
          <w:lang w:val="pt-BR"/>
        </w:rPr>
        <w:t>VIII</w:t>
      </w:r>
      <w:r>
        <w:rPr>
          <w:rFonts w:cs="Arial"/>
          <w:color w:val="auto"/>
          <w:sz w:val="20"/>
          <w:szCs w:val="20"/>
          <w:highlight w:val="none"/>
        </w:rPr>
        <w:t>, a multa será de 15% a 30% do valor do contrato licitado</w:t>
      </w:r>
    </w:p>
    <w:p>
      <w:pPr>
        <w:pStyle w:val="47"/>
        <w:numPr>
          <w:ilvl w:val="0"/>
          <w:numId w:val="0"/>
        </w:numPr>
        <w:tabs>
          <w:tab w:val="left" w:pos="284"/>
        </w:tabs>
        <w:spacing w:before="0" w:after="0"/>
        <w:ind w:left="-142" w:leftChars="0" w:right="-2" w:rightChars="0"/>
        <w:jc w:val="both"/>
        <w:rPr>
          <w:rFonts w:cs="Arial"/>
          <w:color w:val="auto"/>
          <w:sz w:val="20"/>
          <w:szCs w:val="20"/>
          <w:highlight w:val="none"/>
        </w:rPr>
      </w:pPr>
    </w:p>
    <w:p>
      <w:pPr>
        <w:pStyle w:val="47"/>
        <w:numPr>
          <w:ilvl w:val="0"/>
          <w:numId w:val="16"/>
        </w:numPr>
        <w:tabs>
          <w:tab w:val="left" w:pos="284"/>
        </w:tabs>
        <w:spacing w:before="0" w:after="0"/>
        <w:ind w:left="284" w:right="-2" w:hanging="426"/>
        <w:jc w:val="both"/>
        <w:rPr>
          <w:rFonts w:cs="Arial"/>
          <w:color w:val="auto"/>
          <w:sz w:val="20"/>
          <w:szCs w:val="20"/>
          <w:highlight w:val="none"/>
        </w:rPr>
      </w:pPr>
      <w:r>
        <w:rPr>
          <w:rFonts w:cs="Arial"/>
          <w:sz w:val="20"/>
          <w:szCs w:val="20"/>
          <w:highlight w:val="none"/>
        </w:rPr>
        <w:t>As sanções de advertência, impedimento de licitar e contratar e declaração de inidoneidade para licitar ou contratar poderão ser aplicadas, cumulativamente ou não, à penalidade de multa.</w:t>
      </w:r>
    </w:p>
    <w:p>
      <w:pPr>
        <w:pStyle w:val="47"/>
        <w:numPr>
          <w:ilvl w:val="0"/>
          <w:numId w:val="0"/>
        </w:numPr>
        <w:tabs>
          <w:tab w:val="left" w:pos="284"/>
        </w:tabs>
        <w:spacing w:before="0" w:after="0"/>
        <w:ind w:left="-142" w:leftChars="0" w:right="-2" w:rightChars="0"/>
        <w:jc w:val="both"/>
        <w:rPr>
          <w:rFonts w:cs="Arial"/>
          <w:color w:val="auto"/>
          <w:sz w:val="20"/>
          <w:szCs w:val="20"/>
          <w:highlight w:val="none"/>
        </w:rPr>
      </w:pPr>
    </w:p>
    <w:p>
      <w:pPr>
        <w:pStyle w:val="47"/>
        <w:numPr>
          <w:ilvl w:val="0"/>
          <w:numId w:val="16"/>
        </w:numPr>
        <w:tabs>
          <w:tab w:val="left" w:pos="284"/>
        </w:tabs>
        <w:spacing w:before="0" w:after="0"/>
        <w:ind w:left="284" w:right="-2" w:hanging="426"/>
        <w:jc w:val="both"/>
        <w:rPr>
          <w:rFonts w:cs="Arial"/>
          <w:color w:val="auto"/>
          <w:sz w:val="20"/>
          <w:szCs w:val="20"/>
          <w:highlight w:val="none"/>
        </w:rPr>
      </w:pPr>
      <w:r>
        <w:rPr>
          <w:rFonts w:cs="Arial"/>
          <w:sz w:val="20"/>
          <w:szCs w:val="20"/>
          <w:highlight w:val="none"/>
        </w:rPr>
        <w:t>Na aplicação da sanção de multa será facultada a defesa do interessado no prazo de 15 (quinze) dias úteis, contado da data de sua intimação</w:t>
      </w:r>
      <w:r>
        <w:rPr>
          <w:rFonts w:hint="default" w:cs="Arial"/>
          <w:sz w:val="20"/>
          <w:szCs w:val="20"/>
          <w:highlight w:val="none"/>
          <w:lang w:val="pt-BR"/>
        </w:rPr>
        <w:t>.</w:t>
      </w:r>
    </w:p>
    <w:p>
      <w:pPr>
        <w:pStyle w:val="47"/>
        <w:numPr>
          <w:ilvl w:val="0"/>
          <w:numId w:val="0"/>
        </w:numPr>
        <w:tabs>
          <w:tab w:val="left" w:pos="284"/>
        </w:tabs>
        <w:spacing w:before="0" w:after="0"/>
        <w:ind w:left="-142" w:leftChars="0" w:right="-2" w:rightChars="0"/>
        <w:jc w:val="both"/>
        <w:rPr>
          <w:rFonts w:cs="Arial"/>
          <w:color w:val="auto"/>
          <w:sz w:val="20"/>
          <w:szCs w:val="20"/>
          <w:highlight w:val="none"/>
        </w:rPr>
      </w:pPr>
    </w:p>
    <w:p>
      <w:pPr>
        <w:pStyle w:val="47"/>
        <w:numPr>
          <w:ilvl w:val="0"/>
          <w:numId w:val="16"/>
        </w:numPr>
        <w:tabs>
          <w:tab w:val="left" w:pos="180"/>
        </w:tabs>
        <w:spacing w:before="0" w:after="0"/>
        <w:ind w:left="284" w:right="-2" w:hanging="426"/>
        <w:jc w:val="both"/>
        <w:rPr>
          <w:rFonts w:cs="Arial"/>
          <w:color w:val="auto"/>
          <w:sz w:val="20"/>
          <w:szCs w:val="20"/>
          <w:highlight w:val="none"/>
        </w:rPr>
      </w:pPr>
      <w:r>
        <w:rPr>
          <w:rFonts w:cs="Arial"/>
          <w:sz w:val="20"/>
          <w:szCs w:val="20"/>
          <w:highlight w:val="none"/>
        </w:rPr>
        <w:t xml:space="preserve">A sanção de impedimento de licitar e contratar será aplicada ao responsável em decorrência das infrações administrativas relacionadas nos itens </w:t>
      </w:r>
      <w:r>
        <w:rPr>
          <w:rFonts w:hint="default" w:cs="Arial"/>
          <w:sz w:val="20"/>
          <w:szCs w:val="20"/>
          <w:highlight w:val="none"/>
          <w:lang w:val="pt-BR"/>
        </w:rPr>
        <w:t>I</w:t>
      </w:r>
      <w:r>
        <w:rPr>
          <w:rFonts w:cs="Arial"/>
          <w:sz w:val="20"/>
          <w:szCs w:val="20"/>
          <w:highlight w:val="none"/>
        </w:rPr>
        <w:t xml:space="preserve">, </w:t>
      </w:r>
      <w:r>
        <w:rPr>
          <w:rFonts w:hint="default" w:cs="Arial"/>
          <w:sz w:val="20"/>
          <w:szCs w:val="20"/>
          <w:highlight w:val="none"/>
          <w:lang w:val="pt-BR"/>
        </w:rPr>
        <w:t>II</w:t>
      </w:r>
      <w:r>
        <w:rPr>
          <w:rFonts w:cs="Arial"/>
          <w:sz w:val="20"/>
          <w:szCs w:val="20"/>
          <w:highlight w:val="none"/>
        </w:rPr>
        <w:t xml:space="preserve"> e </w:t>
      </w:r>
      <w:r>
        <w:rPr>
          <w:rFonts w:hint="default" w:cs="Arial"/>
          <w:sz w:val="20"/>
          <w:szCs w:val="20"/>
          <w:highlight w:val="none"/>
          <w:lang w:val="pt-BR"/>
        </w:rPr>
        <w:t>III</w:t>
      </w:r>
      <w:r>
        <w:rPr>
          <w:rFonts w:cs="Arial"/>
          <w:sz w:val="20"/>
          <w:szCs w:val="20"/>
          <w:highlight w:val="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r>
        <w:rPr>
          <w:rFonts w:hint="default" w:cs="Arial"/>
          <w:sz w:val="20"/>
          <w:szCs w:val="20"/>
          <w:highlight w:val="none"/>
          <w:lang w:val="pt-BR"/>
        </w:rPr>
        <w:t>.</w:t>
      </w:r>
    </w:p>
    <w:p>
      <w:pPr>
        <w:pStyle w:val="47"/>
        <w:numPr>
          <w:ilvl w:val="0"/>
          <w:numId w:val="0"/>
        </w:numPr>
        <w:tabs>
          <w:tab w:val="left" w:pos="284"/>
        </w:tabs>
        <w:spacing w:before="0" w:after="0"/>
        <w:ind w:left="-142" w:leftChars="0" w:right="-2" w:rightChars="0"/>
        <w:jc w:val="both"/>
        <w:rPr>
          <w:rFonts w:cs="Arial"/>
          <w:color w:val="auto"/>
          <w:sz w:val="20"/>
          <w:szCs w:val="20"/>
          <w:highlight w:val="none"/>
        </w:rPr>
      </w:pPr>
    </w:p>
    <w:p>
      <w:pPr>
        <w:pStyle w:val="47"/>
        <w:numPr>
          <w:ilvl w:val="0"/>
          <w:numId w:val="16"/>
        </w:numPr>
        <w:tabs>
          <w:tab w:val="left" w:pos="284"/>
        </w:tabs>
        <w:spacing w:before="0" w:after="0"/>
        <w:ind w:left="284" w:right="-2" w:hanging="426"/>
        <w:jc w:val="both"/>
        <w:rPr>
          <w:rFonts w:cs="Arial"/>
          <w:color w:val="auto"/>
          <w:sz w:val="20"/>
          <w:szCs w:val="20"/>
          <w:highlight w:val="none"/>
        </w:rPr>
      </w:pPr>
      <w:r>
        <w:rPr>
          <w:rFonts w:cs="Arial"/>
          <w:sz w:val="20"/>
          <w:szCs w:val="20"/>
          <w:highlight w:val="none"/>
        </w:rPr>
        <w:t xml:space="preserve">Poderá ser aplicada ao responsável a sanção de declaração de inidoneidade para licitar ou contratar, em decorrência da prática das infrações dispostas nos itens </w:t>
      </w:r>
      <w:r>
        <w:rPr>
          <w:rFonts w:cs="Arial"/>
          <w:sz w:val="20"/>
          <w:szCs w:val="20"/>
          <w:highlight w:val="none"/>
        </w:rPr>
        <w:fldChar w:fldCharType="begin"/>
      </w:r>
      <w:r>
        <w:rPr>
          <w:rFonts w:cs="Arial"/>
          <w:sz w:val="20"/>
          <w:szCs w:val="20"/>
          <w:highlight w:val="none"/>
        </w:rPr>
        <w:instrText xml:space="preserve"> REF _Ref114668249 \r \h  \* MERGEFORMAT </w:instrText>
      </w:r>
      <w:r>
        <w:rPr>
          <w:rFonts w:cs="Arial"/>
          <w:sz w:val="20"/>
          <w:szCs w:val="20"/>
          <w:highlight w:val="none"/>
        </w:rPr>
        <w:fldChar w:fldCharType="separate"/>
      </w:r>
      <w:r>
        <w:rPr>
          <w:rFonts w:hint="default" w:cs="Arial"/>
          <w:sz w:val="20"/>
          <w:szCs w:val="20"/>
          <w:highlight w:val="none"/>
          <w:lang w:val="pt-BR"/>
        </w:rPr>
        <w:t>14</w:t>
      </w:r>
      <w:r>
        <w:rPr>
          <w:rFonts w:cs="Arial"/>
          <w:sz w:val="20"/>
          <w:szCs w:val="20"/>
          <w:highlight w:val="none"/>
        </w:rPr>
        <w:t>.1.4</w:t>
      </w:r>
      <w:r>
        <w:rPr>
          <w:rFonts w:cs="Arial"/>
          <w:sz w:val="20"/>
          <w:szCs w:val="20"/>
          <w:highlight w:val="none"/>
        </w:rPr>
        <w:fldChar w:fldCharType="end"/>
      </w:r>
      <w:r>
        <w:rPr>
          <w:rFonts w:cs="Arial"/>
          <w:sz w:val="20"/>
          <w:szCs w:val="20"/>
          <w:highlight w:val="none"/>
        </w:rPr>
        <w:t xml:space="preserve">, </w:t>
      </w:r>
      <w:r>
        <w:rPr>
          <w:rFonts w:cs="Arial"/>
          <w:sz w:val="20"/>
          <w:szCs w:val="20"/>
          <w:highlight w:val="none"/>
        </w:rPr>
        <w:fldChar w:fldCharType="begin"/>
      </w:r>
      <w:r>
        <w:rPr>
          <w:rFonts w:cs="Arial"/>
          <w:sz w:val="20"/>
          <w:szCs w:val="20"/>
          <w:highlight w:val="none"/>
        </w:rPr>
        <w:instrText xml:space="preserve"> REF _Ref114668245 \r \h  \* MERGEFORMAT </w:instrText>
      </w:r>
      <w:r>
        <w:rPr>
          <w:rFonts w:cs="Arial"/>
          <w:sz w:val="20"/>
          <w:szCs w:val="20"/>
          <w:highlight w:val="none"/>
        </w:rPr>
        <w:fldChar w:fldCharType="separate"/>
      </w:r>
      <w:r>
        <w:rPr>
          <w:rFonts w:hint="default" w:cs="Arial"/>
          <w:sz w:val="20"/>
          <w:szCs w:val="20"/>
          <w:highlight w:val="none"/>
          <w:lang w:val="pt-BR"/>
        </w:rPr>
        <w:t>14</w:t>
      </w:r>
      <w:r>
        <w:rPr>
          <w:rFonts w:cs="Arial"/>
          <w:sz w:val="20"/>
          <w:szCs w:val="20"/>
          <w:highlight w:val="none"/>
        </w:rPr>
        <w:t>.1.5</w:t>
      </w:r>
      <w:r>
        <w:rPr>
          <w:rFonts w:cs="Arial"/>
          <w:sz w:val="20"/>
          <w:szCs w:val="20"/>
          <w:highlight w:val="none"/>
        </w:rPr>
        <w:fldChar w:fldCharType="end"/>
      </w:r>
      <w:r>
        <w:rPr>
          <w:rFonts w:cs="Arial"/>
          <w:sz w:val="20"/>
          <w:szCs w:val="20"/>
          <w:highlight w:val="none"/>
        </w:rPr>
        <w:t xml:space="preserve">, </w:t>
      </w:r>
      <w:r>
        <w:rPr>
          <w:rFonts w:cs="Arial"/>
          <w:sz w:val="20"/>
          <w:szCs w:val="20"/>
          <w:highlight w:val="none"/>
        </w:rPr>
        <w:fldChar w:fldCharType="begin"/>
      </w:r>
      <w:r>
        <w:rPr>
          <w:rFonts w:cs="Arial"/>
          <w:sz w:val="20"/>
          <w:szCs w:val="20"/>
          <w:highlight w:val="none"/>
        </w:rPr>
        <w:instrText xml:space="preserve"> REF _Ref114668247 \r \h  \* MERGEFORMAT </w:instrText>
      </w:r>
      <w:r>
        <w:rPr>
          <w:rFonts w:cs="Arial"/>
          <w:sz w:val="20"/>
          <w:szCs w:val="20"/>
          <w:highlight w:val="none"/>
        </w:rPr>
        <w:fldChar w:fldCharType="separate"/>
      </w:r>
      <w:r>
        <w:rPr>
          <w:rFonts w:hint="default" w:cs="Arial"/>
          <w:sz w:val="20"/>
          <w:szCs w:val="20"/>
          <w:highlight w:val="none"/>
          <w:lang w:val="pt-BR"/>
        </w:rPr>
        <w:t>14</w:t>
      </w:r>
      <w:r>
        <w:rPr>
          <w:rFonts w:cs="Arial"/>
          <w:sz w:val="20"/>
          <w:szCs w:val="20"/>
          <w:highlight w:val="none"/>
        </w:rPr>
        <w:t>.1.6</w:t>
      </w:r>
      <w:r>
        <w:rPr>
          <w:rFonts w:cs="Arial"/>
          <w:sz w:val="20"/>
          <w:szCs w:val="20"/>
          <w:highlight w:val="none"/>
        </w:rPr>
        <w:fldChar w:fldCharType="end"/>
      </w:r>
      <w:r>
        <w:rPr>
          <w:rFonts w:cs="Arial"/>
          <w:sz w:val="20"/>
          <w:szCs w:val="20"/>
          <w:highlight w:val="none"/>
        </w:rPr>
        <w:t xml:space="preserve">, </w:t>
      </w:r>
      <w:r>
        <w:rPr>
          <w:rFonts w:cs="Arial"/>
          <w:sz w:val="20"/>
          <w:szCs w:val="20"/>
          <w:highlight w:val="none"/>
        </w:rPr>
        <w:fldChar w:fldCharType="begin"/>
      </w:r>
      <w:r>
        <w:rPr>
          <w:rFonts w:cs="Arial"/>
          <w:sz w:val="20"/>
          <w:szCs w:val="20"/>
          <w:highlight w:val="none"/>
        </w:rPr>
        <w:instrText xml:space="preserve"> REF _Ref114668251 \r \h  \* MERGEFORMAT </w:instrText>
      </w:r>
      <w:r>
        <w:rPr>
          <w:rFonts w:cs="Arial"/>
          <w:sz w:val="20"/>
          <w:szCs w:val="20"/>
          <w:highlight w:val="none"/>
        </w:rPr>
        <w:fldChar w:fldCharType="separate"/>
      </w:r>
      <w:r>
        <w:rPr>
          <w:rFonts w:hint="default" w:cs="Arial"/>
          <w:sz w:val="20"/>
          <w:szCs w:val="20"/>
          <w:highlight w:val="none"/>
          <w:lang w:val="pt-BR"/>
        </w:rPr>
        <w:t>14</w:t>
      </w:r>
      <w:r>
        <w:rPr>
          <w:rFonts w:cs="Arial"/>
          <w:sz w:val="20"/>
          <w:szCs w:val="20"/>
          <w:highlight w:val="none"/>
        </w:rPr>
        <w:t>.1.7</w:t>
      </w:r>
      <w:r>
        <w:rPr>
          <w:rFonts w:cs="Arial"/>
          <w:sz w:val="20"/>
          <w:szCs w:val="20"/>
          <w:highlight w:val="none"/>
        </w:rPr>
        <w:fldChar w:fldCharType="end"/>
      </w:r>
      <w:r>
        <w:rPr>
          <w:rFonts w:cs="Arial"/>
          <w:sz w:val="20"/>
          <w:szCs w:val="20"/>
          <w:highlight w:val="none"/>
        </w:rPr>
        <w:t xml:space="preserve"> e </w:t>
      </w:r>
      <w:r>
        <w:rPr>
          <w:rFonts w:cs="Arial"/>
          <w:sz w:val="20"/>
          <w:szCs w:val="20"/>
          <w:highlight w:val="none"/>
        </w:rPr>
        <w:fldChar w:fldCharType="begin"/>
      </w:r>
      <w:r>
        <w:rPr>
          <w:rFonts w:cs="Arial"/>
          <w:sz w:val="20"/>
          <w:szCs w:val="20"/>
          <w:highlight w:val="none"/>
        </w:rPr>
        <w:instrText xml:space="preserve"> REF _Ref114668252 \r \h  \* MERGEFORMAT </w:instrText>
      </w:r>
      <w:r>
        <w:rPr>
          <w:rFonts w:cs="Arial"/>
          <w:sz w:val="20"/>
          <w:szCs w:val="20"/>
          <w:highlight w:val="none"/>
        </w:rPr>
        <w:fldChar w:fldCharType="separate"/>
      </w:r>
      <w:r>
        <w:rPr>
          <w:rFonts w:hint="default" w:cs="Arial"/>
          <w:sz w:val="20"/>
          <w:szCs w:val="20"/>
          <w:highlight w:val="none"/>
          <w:lang w:val="pt-BR"/>
        </w:rPr>
        <w:t>14</w:t>
      </w:r>
      <w:r>
        <w:rPr>
          <w:rFonts w:cs="Arial"/>
          <w:sz w:val="20"/>
          <w:szCs w:val="20"/>
          <w:highlight w:val="none"/>
        </w:rPr>
        <w:t>.1.8</w:t>
      </w:r>
      <w:r>
        <w:rPr>
          <w:rFonts w:cs="Arial"/>
          <w:sz w:val="20"/>
          <w:szCs w:val="20"/>
          <w:highlight w:val="none"/>
        </w:rPr>
        <w:fldChar w:fldCharType="end"/>
      </w:r>
      <w:r>
        <w:rPr>
          <w:rFonts w:cs="Arial"/>
          <w:sz w:val="20"/>
          <w:szCs w:val="20"/>
          <w:highlight w:val="none"/>
        </w:rPr>
        <w:t xml:space="preserve">, bem como pelas infrações administrativas previstas nos itens </w:t>
      </w:r>
      <w:r>
        <w:rPr>
          <w:rFonts w:cs="Arial"/>
          <w:sz w:val="20"/>
          <w:szCs w:val="20"/>
          <w:highlight w:val="none"/>
        </w:rPr>
        <w:fldChar w:fldCharType="begin"/>
      </w:r>
      <w:r>
        <w:rPr>
          <w:rFonts w:cs="Arial"/>
          <w:sz w:val="20"/>
          <w:szCs w:val="20"/>
          <w:highlight w:val="none"/>
        </w:rPr>
        <w:instrText xml:space="preserve"> REF _Ref114668085 \r \h  \* MERGEFORMAT </w:instrText>
      </w:r>
      <w:r>
        <w:rPr>
          <w:rFonts w:cs="Arial"/>
          <w:sz w:val="20"/>
          <w:szCs w:val="20"/>
          <w:highlight w:val="none"/>
        </w:rPr>
        <w:fldChar w:fldCharType="separate"/>
      </w:r>
      <w:r>
        <w:rPr>
          <w:rFonts w:hint="default" w:cs="Arial"/>
          <w:sz w:val="20"/>
          <w:szCs w:val="20"/>
          <w:highlight w:val="none"/>
          <w:lang w:val="pt-BR"/>
        </w:rPr>
        <w:t>14</w:t>
      </w:r>
      <w:r>
        <w:rPr>
          <w:rFonts w:cs="Arial"/>
          <w:sz w:val="20"/>
          <w:szCs w:val="20"/>
          <w:highlight w:val="none"/>
        </w:rPr>
        <w:t>.1.1</w:t>
      </w:r>
      <w:r>
        <w:rPr>
          <w:rFonts w:cs="Arial"/>
          <w:sz w:val="20"/>
          <w:szCs w:val="20"/>
          <w:highlight w:val="none"/>
        </w:rPr>
        <w:fldChar w:fldCharType="end"/>
      </w:r>
      <w:r>
        <w:rPr>
          <w:rFonts w:cs="Arial"/>
          <w:sz w:val="20"/>
          <w:szCs w:val="20"/>
          <w:highlight w:val="none"/>
        </w:rPr>
        <w:t xml:space="preserve">, </w:t>
      </w:r>
      <w:r>
        <w:rPr>
          <w:rFonts w:cs="Arial"/>
          <w:sz w:val="20"/>
          <w:szCs w:val="20"/>
          <w:highlight w:val="none"/>
        </w:rPr>
        <w:fldChar w:fldCharType="begin"/>
      </w:r>
      <w:r>
        <w:rPr>
          <w:rFonts w:cs="Arial"/>
          <w:sz w:val="20"/>
          <w:szCs w:val="20"/>
          <w:highlight w:val="none"/>
        </w:rPr>
        <w:instrText xml:space="preserve"> REF _Ref114668108 \r \h  \* MERGEFORMAT </w:instrText>
      </w:r>
      <w:r>
        <w:rPr>
          <w:rFonts w:cs="Arial"/>
          <w:sz w:val="20"/>
          <w:szCs w:val="20"/>
          <w:highlight w:val="none"/>
        </w:rPr>
        <w:fldChar w:fldCharType="separate"/>
      </w:r>
      <w:r>
        <w:rPr>
          <w:rFonts w:hint="default" w:cs="Arial"/>
          <w:sz w:val="20"/>
          <w:szCs w:val="20"/>
          <w:highlight w:val="none"/>
          <w:lang w:val="pt-BR"/>
        </w:rPr>
        <w:t>14</w:t>
      </w:r>
      <w:r>
        <w:rPr>
          <w:rFonts w:cs="Arial"/>
          <w:sz w:val="20"/>
          <w:szCs w:val="20"/>
          <w:highlight w:val="none"/>
        </w:rPr>
        <w:t>.1.2</w:t>
      </w:r>
      <w:r>
        <w:rPr>
          <w:rFonts w:cs="Arial"/>
          <w:sz w:val="20"/>
          <w:szCs w:val="20"/>
          <w:highlight w:val="none"/>
        </w:rPr>
        <w:fldChar w:fldCharType="end"/>
      </w:r>
      <w:r>
        <w:rPr>
          <w:rFonts w:cs="Arial"/>
          <w:sz w:val="20"/>
          <w:szCs w:val="20"/>
          <w:highlight w:val="none"/>
        </w:rPr>
        <w:t xml:space="preserve"> e </w:t>
      </w:r>
      <w:r>
        <w:rPr>
          <w:rFonts w:cs="Arial"/>
          <w:sz w:val="20"/>
          <w:szCs w:val="20"/>
          <w:highlight w:val="none"/>
        </w:rPr>
        <w:fldChar w:fldCharType="begin"/>
      </w:r>
      <w:r>
        <w:rPr>
          <w:rFonts w:cs="Arial"/>
          <w:sz w:val="20"/>
          <w:szCs w:val="20"/>
          <w:highlight w:val="none"/>
        </w:rPr>
        <w:instrText xml:space="preserve"> REF _Ref114668139 \r \h  \* MERGEFORMAT </w:instrText>
      </w:r>
      <w:r>
        <w:rPr>
          <w:rFonts w:cs="Arial"/>
          <w:sz w:val="20"/>
          <w:szCs w:val="20"/>
          <w:highlight w:val="none"/>
        </w:rPr>
        <w:fldChar w:fldCharType="separate"/>
      </w:r>
      <w:r>
        <w:rPr>
          <w:rFonts w:hint="default" w:cs="Arial"/>
          <w:sz w:val="20"/>
          <w:szCs w:val="20"/>
          <w:highlight w:val="none"/>
          <w:lang w:val="pt-BR"/>
        </w:rPr>
        <w:t>14</w:t>
      </w:r>
      <w:r>
        <w:rPr>
          <w:rFonts w:cs="Arial"/>
          <w:sz w:val="20"/>
          <w:szCs w:val="20"/>
          <w:highlight w:val="none"/>
        </w:rPr>
        <w:t>.1.3</w:t>
      </w:r>
      <w:r>
        <w:rPr>
          <w:rFonts w:cs="Arial"/>
          <w:sz w:val="20"/>
          <w:szCs w:val="20"/>
          <w:highlight w:val="none"/>
        </w:rPr>
        <w:fldChar w:fldCharType="end"/>
      </w:r>
      <w:r>
        <w:rPr>
          <w:rFonts w:hint="default" w:cs="Arial"/>
          <w:sz w:val="20"/>
          <w:szCs w:val="20"/>
          <w:highlight w:val="none"/>
          <w:lang w:val="pt-BR"/>
        </w:rPr>
        <w:t xml:space="preserve"> do edital</w:t>
      </w:r>
      <w:r>
        <w:rPr>
          <w:rFonts w:cs="Arial"/>
          <w:sz w:val="20"/>
          <w:szCs w:val="20"/>
          <w:highlight w:val="none"/>
        </w:rPr>
        <w:t xml:space="preserve"> que justifiquem a imposição de penalidade mais grave que a sanção de impedimento de licitar e </w:t>
      </w:r>
      <w:r>
        <w:rPr>
          <w:rFonts w:cs="Arial"/>
          <w:color w:val="auto"/>
          <w:sz w:val="20"/>
          <w:szCs w:val="20"/>
          <w:highlight w:val="none"/>
        </w:rPr>
        <w:t xml:space="preserve">contratar, cuja duração observará o prazo previsto no </w:t>
      </w:r>
      <w:r>
        <w:rPr>
          <w:color w:val="auto"/>
          <w:highlight w:val="none"/>
        </w:rPr>
        <w:fldChar w:fldCharType="begin"/>
      </w:r>
      <w:r>
        <w:rPr>
          <w:color w:val="auto"/>
          <w:highlight w:val="none"/>
        </w:rPr>
        <w:instrText xml:space="preserve"> HYPERLINK "http://www.planalto.gov.br/ccivil_03/_ato2019-2022/2021/lei/L14133.htm" \l "art156§5" </w:instrText>
      </w:r>
      <w:r>
        <w:rPr>
          <w:color w:val="auto"/>
          <w:highlight w:val="none"/>
        </w:rPr>
        <w:fldChar w:fldCharType="separate"/>
      </w:r>
      <w:r>
        <w:rPr>
          <w:rStyle w:val="16"/>
          <w:rFonts w:cs="Arial"/>
          <w:color w:val="auto"/>
          <w:sz w:val="20"/>
          <w:szCs w:val="20"/>
          <w:highlight w:val="none"/>
        </w:rPr>
        <w:t>art. 156, §</w:t>
      </w:r>
      <w:r>
        <w:rPr>
          <w:rStyle w:val="16"/>
          <w:rFonts w:hint="default" w:cs="Arial"/>
          <w:color w:val="auto"/>
          <w:sz w:val="20"/>
          <w:szCs w:val="20"/>
          <w:highlight w:val="none"/>
          <w:lang w:val="pt-BR"/>
        </w:rPr>
        <w:t xml:space="preserve"> </w:t>
      </w:r>
      <w:r>
        <w:rPr>
          <w:rStyle w:val="16"/>
          <w:rFonts w:cs="Arial"/>
          <w:color w:val="auto"/>
          <w:sz w:val="20"/>
          <w:szCs w:val="20"/>
          <w:highlight w:val="none"/>
        </w:rPr>
        <w:t>5º, da Lei n.º 14.133/2021</w:t>
      </w:r>
      <w:r>
        <w:rPr>
          <w:rStyle w:val="16"/>
          <w:rFonts w:cs="Arial"/>
          <w:color w:val="auto"/>
          <w:sz w:val="20"/>
          <w:szCs w:val="20"/>
          <w:highlight w:val="none"/>
        </w:rPr>
        <w:fldChar w:fldCharType="end"/>
      </w:r>
      <w:r>
        <w:rPr>
          <w:rStyle w:val="16"/>
          <w:rFonts w:hint="default" w:cs="Arial"/>
          <w:color w:val="auto"/>
          <w:sz w:val="20"/>
          <w:szCs w:val="20"/>
          <w:highlight w:val="none"/>
          <w:lang w:val="pt-BR"/>
        </w:rPr>
        <w:t>.</w:t>
      </w:r>
    </w:p>
    <w:p>
      <w:pPr>
        <w:pStyle w:val="47"/>
        <w:numPr>
          <w:ilvl w:val="0"/>
          <w:numId w:val="0"/>
        </w:numPr>
        <w:tabs>
          <w:tab w:val="left" w:pos="284"/>
        </w:tabs>
        <w:spacing w:before="0" w:after="0"/>
        <w:ind w:left="-142" w:leftChars="0" w:right="-2" w:rightChars="0"/>
        <w:jc w:val="both"/>
        <w:rPr>
          <w:rFonts w:cs="Arial"/>
          <w:color w:val="auto"/>
          <w:sz w:val="20"/>
          <w:szCs w:val="20"/>
          <w:highlight w:val="none"/>
        </w:rPr>
      </w:pPr>
    </w:p>
    <w:p>
      <w:pPr>
        <w:pStyle w:val="47"/>
        <w:numPr>
          <w:ilvl w:val="0"/>
          <w:numId w:val="16"/>
        </w:numPr>
        <w:tabs>
          <w:tab w:val="left" w:pos="284"/>
        </w:tabs>
        <w:spacing w:before="0" w:after="0"/>
        <w:ind w:left="284" w:right="-2" w:hanging="426"/>
        <w:jc w:val="both"/>
        <w:rPr>
          <w:rFonts w:cs="Arial"/>
          <w:color w:val="auto"/>
          <w:sz w:val="20"/>
          <w:szCs w:val="20"/>
          <w:highlight w:val="none"/>
        </w:rPr>
      </w:pPr>
      <w:r>
        <w:rPr>
          <w:rFonts w:cs="Arial"/>
          <w:sz w:val="20"/>
          <w:szCs w:val="20"/>
          <w:highlight w:val="none"/>
        </w:rPr>
        <w:t xml:space="preserve">A recusa injustificada do adjudicatário em assinar o contrato ou a ata de registro de preço, ou em aceitar ou retirar o instrumento equivalente no prazo estabelecido pela Administração, descrita no item </w:t>
      </w:r>
      <w:r>
        <w:rPr>
          <w:rFonts w:cs="Arial"/>
          <w:sz w:val="20"/>
          <w:szCs w:val="20"/>
          <w:highlight w:val="none"/>
        </w:rPr>
        <w:fldChar w:fldCharType="begin"/>
      </w:r>
      <w:r>
        <w:rPr>
          <w:rFonts w:cs="Arial"/>
          <w:sz w:val="20"/>
          <w:szCs w:val="20"/>
          <w:highlight w:val="none"/>
        </w:rPr>
        <w:instrText xml:space="preserve"> REF _Ref114668139 \r \h  \* MERGEFORMAT </w:instrText>
      </w:r>
      <w:r>
        <w:rPr>
          <w:rFonts w:cs="Arial"/>
          <w:sz w:val="20"/>
          <w:szCs w:val="20"/>
          <w:highlight w:val="none"/>
        </w:rPr>
        <w:fldChar w:fldCharType="separate"/>
      </w:r>
      <w:r>
        <w:rPr>
          <w:rFonts w:cs="Arial"/>
          <w:sz w:val="20"/>
          <w:szCs w:val="20"/>
          <w:highlight w:val="none"/>
        </w:rPr>
        <w:t>14.1.3</w:t>
      </w:r>
      <w:r>
        <w:rPr>
          <w:rFonts w:cs="Arial"/>
          <w:sz w:val="20"/>
          <w:szCs w:val="20"/>
          <w:highlight w:val="none"/>
        </w:rPr>
        <w:fldChar w:fldCharType="end"/>
      </w:r>
      <w:r>
        <w:rPr>
          <w:rFonts w:cs="Arial"/>
          <w:sz w:val="20"/>
          <w:szCs w:val="20"/>
          <w:highlight w:val="none"/>
        </w:rPr>
        <w:t>, caracterizará o descumprimento total da obrigação assumida e o sujeitará às penalidades e à imediata perda da garantia de proposta em favor do órgão ou entidade promotora da licitação</w:t>
      </w:r>
      <w:r>
        <w:rPr>
          <w:rFonts w:hint="default" w:cs="Arial"/>
          <w:sz w:val="20"/>
          <w:szCs w:val="20"/>
          <w:highlight w:val="none"/>
          <w:lang w:val="pt-BR"/>
        </w:rPr>
        <w:t>.</w:t>
      </w:r>
    </w:p>
    <w:p>
      <w:pPr>
        <w:pStyle w:val="47"/>
        <w:numPr>
          <w:ilvl w:val="0"/>
          <w:numId w:val="0"/>
        </w:numPr>
        <w:tabs>
          <w:tab w:val="left" w:pos="284"/>
        </w:tabs>
        <w:spacing w:before="0" w:after="0"/>
        <w:ind w:left="-142" w:leftChars="0" w:right="-2" w:rightChars="0"/>
        <w:jc w:val="both"/>
        <w:rPr>
          <w:rFonts w:cs="Arial"/>
          <w:color w:val="auto"/>
          <w:sz w:val="20"/>
          <w:szCs w:val="20"/>
          <w:highlight w:val="none"/>
        </w:rPr>
      </w:pPr>
    </w:p>
    <w:p>
      <w:pPr>
        <w:pStyle w:val="47"/>
        <w:numPr>
          <w:ilvl w:val="0"/>
          <w:numId w:val="16"/>
        </w:numPr>
        <w:tabs>
          <w:tab w:val="left" w:pos="284"/>
        </w:tabs>
        <w:spacing w:before="0" w:after="0"/>
        <w:ind w:left="284" w:right="-2" w:hanging="426"/>
        <w:jc w:val="both"/>
        <w:rPr>
          <w:rFonts w:cs="Arial"/>
          <w:color w:val="auto"/>
          <w:sz w:val="20"/>
          <w:szCs w:val="20"/>
          <w:highlight w:val="none"/>
        </w:rPr>
      </w:pPr>
      <w:r>
        <w:rPr>
          <w:rFonts w:cs="Arial"/>
          <w:sz w:val="20"/>
          <w:szCs w:val="20"/>
          <w:highlight w:val="none"/>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pPr>
        <w:pStyle w:val="47"/>
        <w:numPr>
          <w:ilvl w:val="0"/>
          <w:numId w:val="0"/>
        </w:numPr>
        <w:tabs>
          <w:tab w:val="left" w:pos="284"/>
        </w:tabs>
        <w:spacing w:before="0" w:after="0"/>
        <w:ind w:left="-142" w:leftChars="0" w:right="-2" w:rightChars="0"/>
        <w:jc w:val="both"/>
        <w:rPr>
          <w:rFonts w:cs="Arial"/>
          <w:color w:val="auto"/>
          <w:sz w:val="20"/>
          <w:szCs w:val="20"/>
          <w:highlight w:val="none"/>
        </w:rPr>
      </w:pPr>
    </w:p>
    <w:p>
      <w:pPr>
        <w:pStyle w:val="47"/>
        <w:numPr>
          <w:ilvl w:val="0"/>
          <w:numId w:val="16"/>
        </w:numPr>
        <w:tabs>
          <w:tab w:val="left" w:pos="284"/>
        </w:tabs>
        <w:spacing w:before="0" w:after="0"/>
        <w:ind w:left="284" w:right="-2" w:hanging="426"/>
        <w:jc w:val="both"/>
        <w:rPr>
          <w:rFonts w:cs="Arial"/>
          <w:color w:val="auto"/>
          <w:sz w:val="20"/>
          <w:szCs w:val="20"/>
          <w:highlight w:val="none"/>
        </w:rPr>
      </w:pPr>
      <w:r>
        <w:rPr>
          <w:rFonts w:cs="Arial"/>
          <w:sz w:val="20"/>
          <w:szCs w:val="20"/>
          <w:highlight w:val="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47"/>
        <w:numPr>
          <w:ilvl w:val="0"/>
          <w:numId w:val="0"/>
        </w:numPr>
        <w:tabs>
          <w:tab w:val="left" w:pos="284"/>
        </w:tabs>
        <w:spacing w:before="0" w:after="0"/>
        <w:ind w:left="-142" w:leftChars="0" w:right="-2" w:rightChars="0"/>
        <w:jc w:val="both"/>
        <w:rPr>
          <w:rFonts w:cs="Arial"/>
          <w:color w:val="auto"/>
          <w:sz w:val="20"/>
          <w:szCs w:val="20"/>
          <w:highlight w:val="none"/>
        </w:rPr>
      </w:pPr>
    </w:p>
    <w:p>
      <w:pPr>
        <w:pStyle w:val="47"/>
        <w:numPr>
          <w:ilvl w:val="0"/>
          <w:numId w:val="16"/>
        </w:numPr>
        <w:tabs>
          <w:tab w:val="left" w:pos="284"/>
        </w:tabs>
        <w:spacing w:before="0" w:after="0"/>
        <w:ind w:left="284" w:leftChars="0" w:right="-2" w:hanging="464" w:firstLineChars="0"/>
        <w:jc w:val="both"/>
        <w:rPr>
          <w:rFonts w:cs="Arial"/>
          <w:color w:val="auto"/>
          <w:sz w:val="20"/>
          <w:szCs w:val="20"/>
          <w:highlight w:val="none"/>
        </w:rPr>
      </w:pPr>
      <w:r>
        <w:rPr>
          <w:rFonts w:cs="Arial"/>
          <w:sz w:val="20"/>
          <w:szCs w:val="20"/>
          <w:highlight w:val="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47"/>
        <w:numPr>
          <w:ilvl w:val="0"/>
          <w:numId w:val="0"/>
        </w:numPr>
        <w:tabs>
          <w:tab w:val="left" w:pos="284"/>
        </w:tabs>
        <w:spacing w:before="0" w:after="0"/>
        <w:ind w:left="-142" w:leftChars="0" w:right="-2" w:rightChars="0"/>
        <w:jc w:val="both"/>
        <w:rPr>
          <w:rFonts w:cs="Arial"/>
          <w:color w:val="auto"/>
          <w:sz w:val="20"/>
          <w:szCs w:val="20"/>
          <w:highlight w:val="none"/>
        </w:rPr>
      </w:pPr>
    </w:p>
    <w:p>
      <w:pPr>
        <w:pStyle w:val="47"/>
        <w:keepNext w:val="0"/>
        <w:keepLines w:val="0"/>
        <w:pageBreakBefore w:val="0"/>
        <w:widowControl/>
        <w:numPr>
          <w:ilvl w:val="0"/>
          <w:numId w:val="16"/>
        </w:numPr>
        <w:kinsoku/>
        <w:wordWrap/>
        <w:overflowPunct/>
        <w:topLinePunct w:val="0"/>
        <w:autoSpaceDE/>
        <w:autoSpaceDN/>
        <w:bidi w:val="0"/>
        <w:adjustRightInd/>
        <w:snapToGrid/>
        <w:spacing w:before="0" w:after="0"/>
        <w:ind w:left="-180" w:leftChars="-100" w:right="0" w:firstLine="0" w:firstLineChars="0"/>
        <w:jc w:val="both"/>
        <w:textAlignment w:val="auto"/>
        <w:rPr>
          <w:rFonts w:cs="Arial"/>
          <w:color w:val="auto"/>
          <w:sz w:val="20"/>
          <w:szCs w:val="20"/>
          <w:highlight w:val="none"/>
        </w:rPr>
      </w:pPr>
      <w:r>
        <w:rPr>
          <w:rFonts w:hint="default" w:cs="Arial"/>
          <w:sz w:val="20"/>
          <w:szCs w:val="20"/>
          <w:highlight w:val="none"/>
          <w:lang w:val="pt-BR"/>
        </w:rPr>
        <w:t xml:space="preserve">       </w:t>
      </w:r>
      <w:r>
        <w:rPr>
          <w:rFonts w:cs="Arial"/>
          <w:sz w:val="20"/>
          <w:szCs w:val="20"/>
          <w:highlight w:val="none"/>
        </w:rPr>
        <w:t>O recurso e o pedido de reconsideração terão efeito suspensivo do ato ou da decisão recorrida até que sobrevenha decisão final da autoridade competente.</w:t>
      </w:r>
    </w:p>
    <w:p>
      <w:pPr>
        <w:pStyle w:val="47"/>
        <w:numPr>
          <w:ilvl w:val="0"/>
          <w:numId w:val="0"/>
        </w:numPr>
        <w:tabs>
          <w:tab w:val="left" w:pos="284"/>
        </w:tabs>
        <w:spacing w:before="0" w:after="0"/>
        <w:ind w:left="-142" w:leftChars="0" w:right="-2" w:rightChars="0"/>
        <w:jc w:val="both"/>
        <w:rPr>
          <w:rFonts w:cs="Arial"/>
          <w:color w:val="auto"/>
          <w:sz w:val="20"/>
          <w:szCs w:val="20"/>
          <w:highlight w:val="none"/>
        </w:rPr>
      </w:pPr>
    </w:p>
    <w:p>
      <w:pPr>
        <w:pStyle w:val="47"/>
        <w:numPr>
          <w:ilvl w:val="0"/>
          <w:numId w:val="16"/>
        </w:numPr>
        <w:tabs>
          <w:tab w:val="left" w:pos="0"/>
        </w:tabs>
        <w:spacing w:before="0" w:after="0"/>
        <w:ind w:left="356" w:leftChars="-100" w:right="-2" w:hanging="536" w:hangingChars="268"/>
        <w:jc w:val="both"/>
        <w:rPr>
          <w:rFonts w:cs="Arial"/>
          <w:color w:val="auto"/>
          <w:sz w:val="20"/>
          <w:szCs w:val="20"/>
          <w:highlight w:val="none"/>
        </w:rPr>
      </w:pPr>
      <w:r>
        <w:rPr>
          <w:rFonts w:cs="Arial"/>
          <w:sz w:val="20"/>
          <w:szCs w:val="20"/>
          <w:highlight w:val="none"/>
        </w:rPr>
        <w:t>A aplicação das sanções previstas neste edital não exclui, em hipótese alguma, a obrigação de reparação integral dos danos causados.</w:t>
      </w:r>
    </w:p>
    <w:p>
      <w:pPr>
        <w:pStyle w:val="47"/>
        <w:tabs>
          <w:tab w:val="left" w:pos="284"/>
        </w:tabs>
        <w:spacing w:before="0" w:after="0"/>
        <w:ind w:left="284" w:right="-1"/>
        <w:jc w:val="both"/>
        <w:rPr>
          <w:rFonts w:cs="Arial"/>
          <w:color w:val="auto"/>
          <w:sz w:val="20"/>
          <w:szCs w:val="20"/>
          <w:highlight w:val="none"/>
        </w:rPr>
      </w:pPr>
    </w:p>
    <w:p>
      <w:pPr>
        <w:pStyle w:val="47"/>
        <w:spacing w:before="0" w:after="0"/>
        <w:ind w:left="-142" w:right="-2"/>
        <w:rPr>
          <w:rFonts w:cs="Arial"/>
          <w:b/>
          <w:color w:val="auto"/>
          <w:sz w:val="20"/>
          <w:szCs w:val="20"/>
          <w:highlight w:val="none"/>
          <w:u w:val="single"/>
        </w:rPr>
      </w:pPr>
      <w:r>
        <w:rPr>
          <w:rFonts w:cs="Arial"/>
          <w:b/>
          <w:color w:val="auto"/>
          <w:sz w:val="20"/>
          <w:szCs w:val="20"/>
          <w:highlight w:val="none"/>
          <w:u w:val="single"/>
        </w:rPr>
        <w:t xml:space="preserve">CLÁUSULA </w:t>
      </w:r>
      <w:r>
        <w:rPr>
          <w:rFonts w:hint="default" w:cs="Arial"/>
          <w:b/>
          <w:color w:val="auto"/>
          <w:sz w:val="20"/>
          <w:szCs w:val="20"/>
          <w:highlight w:val="none"/>
          <w:u w:val="single"/>
          <w:lang w:val="pt-BR"/>
        </w:rPr>
        <w:t>8</w:t>
      </w:r>
      <w:r>
        <w:rPr>
          <w:rFonts w:cs="Arial"/>
          <w:b/>
          <w:color w:val="auto"/>
          <w:sz w:val="20"/>
          <w:szCs w:val="20"/>
          <w:highlight w:val="none"/>
          <w:u w:val="single"/>
        </w:rPr>
        <w:t>ª – DAS CONDIÇÕES DE RECEBIMENTO DO OBJETO</w:t>
      </w:r>
    </w:p>
    <w:p>
      <w:pPr>
        <w:spacing w:before="0" w:after="0"/>
        <w:ind w:left="-142" w:right="-2"/>
        <w:jc w:val="center"/>
        <w:rPr>
          <w:rFonts w:ascii="Tahoma" w:hAnsi="Tahoma" w:cs="Tahoma"/>
          <w:b/>
          <w:color w:val="auto"/>
          <w:sz w:val="19"/>
          <w:szCs w:val="19"/>
          <w:highlight w:val="none"/>
          <w:u w:val="single"/>
        </w:rPr>
      </w:pPr>
    </w:p>
    <w:p>
      <w:pPr>
        <w:spacing w:before="0" w:after="0"/>
        <w:ind w:left="-142" w:right="-2"/>
        <w:jc w:val="both"/>
        <w:rPr>
          <w:rFonts w:cs="Arial"/>
          <w:color w:val="auto"/>
          <w:sz w:val="20"/>
          <w:szCs w:val="20"/>
          <w:highlight w:val="none"/>
        </w:rPr>
      </w:pPr>
      <w:r>
        <w:rPr>
          <w:rFonts w:cs="Arial"/>
          <w:color w:val="auto"/>
          <w:sz w:val="20"/>
          <w:szCs w:val="20"/>
          <w:highlight w:val="none"/>
        </w:rPr>
        <w:t xml:space="preserve">Constatadas irregularidades no objeto contratual, a Contratante poderá, se disser respeito à especificação, rejeitá-lo, determinando sua </w:t>
      </w:r>
      <w:r>
        <w:rPr>
          <w:rFonts w:hint="default" w:cs="Arial"/>
          <w:color w:val="auto"/>
          <w:sz w:val="20"/>
          <w:szCs w:val="20"/>
          <w:highlight w:val="none"/>
          <w:lang w:val="pt-BR"/>
        </w:rPr>
        <w:t>adequaç</w:t>
      </w:r>
      <w:r>
        <w:rPr>
          <w:rFonts w:cs="Arial"/>
          <w:color w:val="auto"/>
          <w:sz w:val="20"/>
          <w:szCs w:val="20"/>
          <w:highlight w:val="none"/>
        </w:rPr>
        <w:t>ão ou rescindindo a contratação, sem prejuízo das penalidades cabíveis.</w:t>
      </w:r>
    </w:p>
    <w:p>
      <w:pPr>
        <w:spacing w:before="0" w:after="0"/>
        <w:ind w:left="284" w:right="-2" w:hanging="426"/>
        <w:rPr>
          <w:rFonts w:cs="Arial"/>
          <w:color w:val="auto"/>
          <w:sz w:val="20"/>
          <w:szCs w:val="20"/>
          <w:highlight w:val="none"/>
        </w:rPr>
      </w:pPr>
    </w:p>
    <w:p>
      <w:pPr>
        <w:pStyle w:val="47"/>
        <w:numPr>
          <w:ilvl w:val="0"/>
          <w:numId w:val="21"/>
        </w:numPr>
        <w:tabs>
          <w:tab w:val="left" w:pos="-142"/>
          <w:tab w:val="left" w:pos="709"/>
          <w:tab w:val="left" w:pos="9498"/>
        </w:tabs>
        <w:spacing w:before="0" w:after="0"/>
        <w:ind w:left="284" w:right="-1" w:hanging="426"/>
        <w:jc w:val="both"/>
        <w:rPr>
          <w:rFonts w:cs="Arial"/>
          <w:color w:val="auto"/>
          <w:sz w:val="20"/>
          <w:highlight w:val="none"/>
        </w:rPr>
      </w:pPr>
      <w:r>
        <w:rPr>
          <w:rFonts w:cs="Arial"/>
          <w:color w:val="auto"/>
          <w:sz w:val="20"/>
          <w:highlight w:val="none"/>
        </w:rPr>
        <w:t xml:space="preserve">Para o recebimento, a Agente Fiscal do contrato verificará a qualidade e especificações dos </w:t>
      </w:r>
      <w:r>
        <w:rPr>
          <w:rFonts w:hint="default" w:cs="Arial"/>
          <w:color w:val="auto"/>
          <w:sz w:val="20"/>
          <w:highlight w:val="none"/>
          <w:lang w:val="pt-BR"/>
        </w:rPr>
        <w:t>serviços executados</w:t>
      </w:r>
      <w:r>
        <w:rPr>
          <w:rFonts w:cs="Arial"/>
          <w:color w:val="auto"/>
          <w:sz w:val="20"/>
          <w:highlight w:val="none"/>
        </w:rPr>
        <w:t xml:space="preserve"> conforme a proposta ofertada, a conferência do Documento Fiscal e Atestará a Vigência do contrato em seu verso.</w:t>
      </w:r>
    </w:p>
    <w:p>
      <w:pPr>
        <w:pStyle w:val="47"/>
        <w:spacing w:before="0" w:after="0"/>
        <w:ind w:left="284" w:hanging="426"/>
        <w:rPr>
          <w:rFonts w:cs="Arial"/>
          <w:color w:val="auto"/>
          <w:sz w:val="20"/>
          <w:highlight w:val="none"/>
        </w:rPr>
      </w:pPr>
    </w:p>
    <w:p>
      <w:pPr>
        <w:pStyle w:val="47"/>
        <w:numPr>
          <w:ilvl w:val="0"/>
          <w:numId w:val="21"/>
        </w:numPr>
        <w:tabs>
          <w:tab w:val="left" w:pos="-142"/>
          <w:tab w:val="left" w:pos="709"/>
          <w:tab w:val="left" w:pos="9498"/>
        </w:tabs>
        <w:spacing w:before="0" w:after="0"/>
        <w:ind w:left="284" w:right="-1" w:hanging="426"/>
        <w:jc w:val="both"/>
        <w:rPr>
          <w:rFonts w:cs="Arial"/>
          <w:color w:val="auto"/>
          <w:sz w:val="20"/>
          <w:highlight w:val="none"/>
        </w:rPr>
      </w:pPr>
      <w:r>
        <w:rPr>
          <w:rFonts w:cs="Arial"/>
          <w:color w:val="auto"/>
          <w:sz w:val="20"/>
          <w:szCs w:val="20"/>
          <w:highlight w:val="none"/>
        </w:rPr>
        <w:t xml:space="preserve">O recebimento não exime a Contratada de sua responsabilidade, na forma da Lei, pela qualidade, adequação e segurança do </w:t>
      </w:r>
      <w:r>
        <w:rPr>
          <w:rFonts w:hint="default" w:cs="Arial"/>
          <w:color w:val="auto"/>
          <w:sz w:val="20"/>
          <w:szCs w:val="20"/>
          <w:highlight w:val="none"/>
          <w:lang w:val="pt-BR"/>
        </w:rPr>
        <w:t>o</w:t>
      </w:r>
      <w:r>
        <w:rPr>
          <w:rFonts w:cs="Arial"/>
          <w:color w:val="auto"/>
          <w:sz w:val="20"/>
          <w:szCs w:val="20"/>
          <w:highlight w:val="none"/>
        </w:rPr>
        <w:t>bjeto licitado.</w:t>
      </w:r>
    </w:p>
    <w:p>
      <w:pPr>
        <w:spacing w:before="0" w:after="0"/>
        <w:ind w:right="-2"/>
        <w:rPr>
          <w:rFonts w:ascii="Tahoma" w:hAnsi="Tahoma" w:cs="Tahoma"/>
          <w:b/>
          <w:color w:val="auto"/>
          <w:sz w:val="19"/>
          <w:szCs w:val="19"/>
          <w:highlight w:val="none"/>
          <w:u w:val="single"/>
        </w:rPr>
      </w:pPr>
    </w:p>
    <w:p>
      <w:pPr>
        <w:pStyle w:val="47"/>
        <w:spacing w:before="0" w:after="0" w:line="240" w:lineRule="exact"/>
        <w:ind w:left="-142" w:right="-2"/>
        <w:rPr>
          <w:rFonts w:ascii="Tahoma" w:hAnsi="Tahoma" w:cs="Tahoma"/>
          <w:b/>
          <w:color w:val="auto"/>
          <w:sz w:val="19"/>
          <w:szCs w:val="19"/>
          <w:highlight w:val="none"/>
          <w:u w:val="single"/>
        </w:rPr>
      </w:pPr>
      <w:r>
        <w:rPr>
          <w:rFonts w:cs="Arial"/>
          <w:b/>
          <w:color w:val="auto"/>
          <w:sz w:val="20"/>
          <w:szCs w:val="20"/>
          <w:highlight w:val="none"/>
          <w:u w:val="single"/>
        </w:rPr>
        <w:t xml:space="preserve">CLÁUSULA </w:t>
      </w:r>
      <w:r>
        <w:rPr>
          <w:rFonts w:hint="default" w:cs="Arial"/>
          <w:b/>
          <w:color w:val="auto"/>
          <w:sz w:val="20"/>
          <w:szCs w:val="20"/>
          <w:highlight w:val="none"/>
          <w:u w:val="single"/>
          <w:lang w:val="pt-BR"/>
        </w:rPr>
        <w:t>9</w:t>
      </w:r>
      <w:r>
        <w:rPr>
          <w:rFonts w:cs="Arial"/>
          <w:b/>
          <w:color w:val="auto"/>
          <w:sz w:val="20"/>
          <w:szCs w:val="20"/>
          <w:highlight w:val="none"/>
          <w:u w:val="single"/>
        </w:rPr>
        <w:t>ª – DO ACOMPANHAMENTO E FISCALIZAÇÃO</w:t>
      </w:r>
    </w:p>
    <w:p>
      <w:pPr>
        <w:spacing w:before="0" w:after="0" w:line="240" w:lineRule="exact"/>
        <w:ind w:left="-142" w:right="-2"/>
        <w:rPr>
          <w:rFonts w:ascii="Tahoma" w:hAnsi="Tahoma" w:cs="Tahoma"/>
          <w:b/>
          <w:color w:val="auto"/>
          <w:sz w:val="19"/>
          <w:szCs w:val="19"/>
          <w:highlight w:val="none"/>
          <w:u w:val="single"/>
        </w:rPr>
      </w:pPr>
    </w:p>
    <w:p>
      <w:pPr>
        <w:spacing w:before="0" w:after="0" w:line="240" w:lineRule="exact"/>
        <w:ind w:left="-142" w:right="-2"/>
        <w:jc w:val="both"/>
        <w:rPr>
          <w:rFonts w:cs="Arial"/>
          <w:color w:val="auto"/>
          <w:sz w:val="20"/>
          <w:highlight w:val="none"/>
        </w:rPr>
      </w:pPr>
      <w:r>
        <w:rPr>
          <w:rFonts w:eastAsia="Arial"/>
          <w:sz w:val="20"/>
          <w:szCs w:val="20"/>
          <w:highlight w:val="none"/>
        </w:rPr>
        <w:t>Fica designad</w:t>
      </w:r>
      <w:r>
        <w:rPr>
          <w:rFonts w:hint="default" w:eastAsia="Arial"/>
          <w:sz w:val="20"/>
          <w:szCs w:val="20"/>
          <w:highlight w:val="none"/>
          <w:lang w:val="pt-BR"/>
        </w:rPr>
        <w:t>o(</w:t>
      </w:r>
      <w:r>
        <w:rPr>
          <w:rFonts w:eastAsia="Arial"/>
          <w:sz w:val="20"/>
          <w:szCs w:val="20"/>
          <w:highlight w:val="none"/>
        </w:rPr>
        <w:t>a</w:t>
      </w:r>
      <w:r>
        <w:rPr>
          <w:rFonts w:hint="default" w:eastAsia="Arial"/>
          <w:sz w:val="20"/>
          <w:szCs w:val="20"/>
          <w:highlight w:val="none"/>
          <w:lang w:val="pt-BR"/>
        </w:rPr>
        <w:t>)</w:t>
      </w:r>
      <w:r>
        <w:rPr>
          <w:rFonts w:eastAsia="Arial"/>
          <w:sz w:val="20"/>
          <w:szCs w:val="20"/>
          <w:highlight w:val="none"/>
        </w:rPr>
        <w:t xml:space="preserve"> como Agente Fiscal de execução do Contrato</w:t>
      </w:r>
      <w:r>
        <w:rPr>
          <w:rFonts w:hint="default" w:eastAsia="Arial"/>
          <w:sz w:val="20"/>
          <w:szCs w:val="20"/>
          <w:highlight w:val="none"/>
          <w:lang w:val="pt-BR"/>
        </w:rPr>
        <w:t>,</w:t>
      </w:r>
      <w:r>
        <w:rPr>
          <w:rFonts w:eastAsia="Arial"/>
          <w:sz w:val="20"/>
          <w:szCs w:val="20"/>
          <w:highlight w:val="none"/>
        </w:rPr>
        <w:t xml:space="preserve"> através da Portaria </w:t>
      </w:r>
      <w:r>
        <w:rPr>
          <w:sz w:val="20"/>
          <w:szCs w:val="20"/>
          <w:highlight w:val="none"/>
        </w:rPr>
        <w:t>nº</w:t>
      </w:r>
      <w:r>
        <w:rPr>
          <w:rFonts w:eastAsia="Arial"/>
          <w:sz w:val="20"/>
          <w:szCs w:val="20"/>
          <w:highlight w:val="none"/>
        </w:rPr>
        <w:t xml:space="preserve"> </w:t>
      </w:r>
      <w:r>
        <w:rPr>
          <w:rFonts w:hint="default" w:eastAsia="Arial"/>
          <w:sz w:val="20"/>
          <w:szCs w:val="20"/>
          <w:highlight w:val="none"/>
          <w:lang w:val="pt-BR"/>
        </w:rPr>
        <w:t>9.025/2023</w:t>
      </w:r>
      <w:r>
        <w:rPr>
          <w:rFonts w:eastAsia="Arial"/>
          <w:sz w:val="20"/>
          <w:szCs w:val="20"/>
          <w:highlight w:val="none"/>
        </w:rPr>
        <w:t xml:space="preserve"> </w:t>
      </w:r>
      <w:r>
        <w:rPr>
          <w:rFonts w:hint="default" w:eastAsia="Arial"/>
          <w:sz w:val="20"/>
          <w:szCs w:val="20"/>
          <w:highlight w:val="none"/>
          <w:lang w:val="pt-BR"/>
        </w:rPr>
        <w:t>o(</w:t>
      </w:r>
      <w:r>
        <w:rPr>
          <w:rFonts w:eastAsia="Arial"/>
          <w:sz w:val="20"/>
          <w:szCs w:val="20"/>
          <w:highlight w:val="none"/>
        </w:rPr>
        <w:t>a</w:t>
      </w:r>
      <w:r>
        <w:rPr>
          <w:rFonts w:hint="default" w:eastAsia="Arial"/>
          <w:sz w:val="20"/>
          <w:szCs w:val="20"/>
          <w:highlight w:val="none"/>
          <w:lang w:val="pt-BR"/>
        </w:rPr>
        <w:t>)</w:t>
      </w:r>
      <w:r>
        <w:rPr>
          <w:rFonts w:eastAsia="Arial"/>
          <w:sz w:val="20"/>
          <w:szCs w:val="20"/>
          <w:highlight w:val="none"/>
        </w:rPr>
        <w:t xml:space="preserve"> Sr</w:t>
      </w:r>
      <w:r>
        <w:rPr>
          <w:rFonts w:hint="default" w:eastAsia="Arial"/>
          <w:sz w:val="20"/>
          <w:szCs w:val="20"/>
          <w:highlight w:val="none"/>
          <w:lang w:val="pt-BR"/>
        </w:rPr>
        <w:t>(</w:t>
      </w:r>
      <w:r>
        <w:rPr>
          <w:rFonts w:eastAsia="Arial"/>
          <w:sz w:val="20"/>
          <w:szCs w:val="20"/>
          <w:highlight w:val="none"/>
        </w:rPr>
        <w:t>a</w:t>
      </w:r>
      <w:r>
        <w:rPr>
          <w:rFonts w:hint="default" w:eastAsia="Arial"/>
          <w:sz w:val="20"/>
          <w:szCs w:val="20"/>
          <w:highlight w:val="none"/>
          <w:lang w:val="pt-BR"/>
        </w:rPr>
        <w:t>)</w:t>
      </w:r>
      <w:r>
        <w:rPr>
          <w:sz w:val="20"/>
          <w:szCs w:val="20"/>
          <w:highlight w:val="none"/>
        </w:rPr>
        <w:t xml:space="preserve">. </w:t>
      </w:r>
      <w:r>
        <w:rPr>
          <w:rFonts w:hint="default"/>
          <w:sz w:val="20"/>
          <w:szCs w:val="20"/>
          <w:highlight w:val="none"/>
          <w:lang w:val="pt-BR"/>
        </w:rPr>
        <w:t>Catia Regina da Silva</w:t>
      </w:r>
      <w:r>
        <w:rPr>
          <w:sz w:val="20"/>
          <w:szCs w:val="20"/>
          <w:highlight w:val="none"/>
        </w:rPr>
        <w:t xml:space="preserve">, portadora da Cédula de Identidade RG nº </w:t>
      </w:r>
      <w:r>
        <w:rPr>
          <w:rFonts w:hint="default"/>
          <w:sz w:val="20"/>
          <w:szCs w:val="20"/>
          <w:highlight w:val="none"/>
          <w:lang w:val="pt-BR"/>
        </w:rPr>
        <w:t>35.552.665-70</w:t>
      </w:r>
      <w:r>
        <w:rPr>
          <w:sz w:val="20"/>
          <w:szCs w:val="20"/>
          <w:highlight w:val="none"/>
        </w:rPr>
        <w:t xml:space="preserve"> e inscrito</w:t>
      </w:r>
      <w:r>
        <w:rPr>
          <w:rFonts w:hint="default"/>
          <w:sz w:val="20"/>
          <w:szCs w:val="20"/>
          <w:highlight w:val="none"/>
          <w:lang w:val="pt-BR"/>
        </w:rPr>
        <w:t>(a)</w:t>
      </w:r>
      <w:r>
        <w:rPr>
          <w:sz w:val="20"/>
          <w:szCs w:val="20"/>
          <w:highlight w:val="none"/>
        </w:rPr>
        <w:t xml:space="preserve"> no CPF nº  </w:t>
      </w:r>
      <w:r>
        <w:rPr>
          <w:rFonts w:hint="default"/>
          <w:sz w:val="20"/>
          <w:szCs w:val="20"/>
          <w:highlight w:val="none"/>
          <w:lang w:val="pt-BR"/>
        </w:rPr>
        <w:t>406.576.068-20</w:t>
      </w:r>
      <w:r>
        <w:rPr>
          <w:sz w:val="20"/>
          <w:szCs w:val="20"/>
          <w:highlight w:val="none"/>
        </w:rPr>
        <w:t xml:space="preserve">, </w:t>
      </w:r>
      <w:r>
        <w:rPr>
          <w:rFonts w:eastAsia="Arial"/>
          <w:sz w:val="20"/>
          <w:szCs w:val="20"/>
          <w:highlight w:val="none"/>
        </w:rPr>
        <w:t xml:space="preserve">que acompanhara e fiscalizara a execução do Processo nos termos do Art. </w:t>
      </w:r>
      <w:r>
        <w:rPr>
          <w:rFonts w:hint="default" w:eastAsia="Arial"/>
          <w:sz w:val="20"/>
          <w:szCs w:val="20"/>
          <w:highlight w:val="none"/>
          <w:lang w:val="pt-BR"/>
        </w:rPr>
        <w:t>11</w:t>
      </w:r>
      <w:r>
        <w:rPr>
          <w:rFonts w:eastAsia="Arial"/>
          <w:sz w:val="20"/>
          <w:szCs w:val="20"/>
          <w:highlight w:val="none"/>
        </w:rPr>
        <w:t>7 da Lei</w:t>
      </w:r>
      <w:r>
        <w:rPr>
          <w:rFonts w:hint="default" w:eastAsia="Arial"/>
          <w:sz w:val="20"/>
          <w:szCs w:val="20"/>
          <w:highlight w:val="none"/>
          <w:lang w:val="pt-BR"/>
        </w:rPr>
        <w:t xml:space="preserve"> Federal</w:t>
      </w:r>
      <w:r>
        <w:rPr>
          <w:rFonts w:eastAsia="Arial"/>
          <w:sz w:val="20"/>
          <w:szCs w:val="20"/>
          <w:highlight w:val="none"/>
        </w:rPr>
        <w:t xml:space="preserve"> </w:t>
      </w:r>
      <w:r>
        <w:rPr>
          <w:rFonts w:hint="default" w:eastAsia="Arial"/>
          <w:sz w:val="20"/>
          <w:szCs w:val="20"/>
          <w:highlight w:val="none"/>
          <w:lang w:val="pt-BR"/>
        </w:rPr>
        <w:t>14.133/2021</w:t>
      </w:r>
      <w:r>
        <w:rPr>
          <w:rFonts w:eastAsia="Arial"/>
          <w:sz w:val="20"/>
          <w:szCs w:val="20"/>
          <w:highlight w:val="none"/>
        </w:rPr>
        <w:t>.</w:t>
      </w:r>
    </w:p>
    <w:p>
      <w:pPr>
        <w:spacing w:before="0" w:after="0" w:line="240" w:lineRule="exact"/>
        <w:ind w:left="-142" w:right="-2"/>
        <w:rPr>
          <w:rFonts w:ascii="Tahoma" w:hAnsi="Tahoma" w:cs="Tahoma"/>
          <w:color w:val="auto"/>
          <w:sz w:val="19"/>
          <w:szCs w:val="19"/>
          <w:highlight w:val="none"/>
        </w:rPr>
      </w:pPr>
    </w:p>
    <w:p>
      <w:pPr>
        <w:pStyle w:val="47"/>
        <w:numPr>
          <w:ilvl w:val="0"/>
          <w:numId w:val="22"/>
        </w:numPr>
        <w:spacing w:before="0" w:after="0" w:line="240" w:lineRule="exact"/>
        <w:ind w:left="284" w:right="-2" w:hanging="426"/>
        <w:jc w:val="both"/>
        <w:rPr>
          <w:rFonts w:cs="Arial"/>
          <w:color w:val="auto"/>
          <w:sz w:val="20"/>
          <w:szCs w:val="20"/>
          <w:highlight w:val="none"/>
        </w:rPr>
      </w:pPr>
      <w:r>
        <w:rPr>
          <w:sz w:val="20"/>
          <w:szCs w:val="20"/>
          <w:highlight w:val="none"/>
        </w:rPr>
        <w:t xml:space="preserve">Para o seu recebimento, o Fiscal ou o Agente Fiscal do Contrato verificará a qualidade e especificações dos </w:t>
      </w:r>
      <w:r>
        <w:rPr>
          <w:rFonts w:hint="default"/>
          <w:sz w:val="20"/>
          <w:szCs w:val="20"/>
          <w:highlight w:val="none"/>
          <w:lang w:val="pt-BR"/>
        </w:rPr>
        <w:t>serviços executados</w:t>
      </w:r>
      <w:r>
        <w:rPr>
          <w:sz w:val="20"/>
          <w:szCs w:val="20"/>
          <w:highlight w:val="none"/>
        </w:rPr>
        <w:t xml:space="preserve"> conforme a proposta ofertada, a conferência do Documento Fiscal e Atestará a Vigência do contrato em seu verso.</w:t>
      </w:r>
    </w:p>
    <w:p>
      <w:pPr>
        <w:spacing w:before="0" w:after="0" w:line="240" w:lineRule="exact"/>
        <w:ind w:left="-142" w:right="-2"/>
        <w:rPr>
          <w:rFonts w:ascii="Tahoma" w:hAnsi="Tahoma" w:cs="Tahoma"/>
          <w:b/>
          <w:color w:val="auto"/>
          <w:sz w:val="19"/>
          <w:szCs w:val="19"/>
          <w:highlight w:val="none"/>
          <w:u w:val="single"/>
        </w:rPr>
      </w:pPr>
    </w:p>
    <w:p>
      <w:pPr>
        <w:pStyle w:val="47"/>
        <w:spacing w:before="0" w:after="0" w:line="240" w:lineRule="exact"/>
        <w:ind w:left="-142" w:right="-2"/>
        <w:rPr>
          <w:rFonts w:cs="Arial"/>
          <w:b/>
          <w:color w:val="auto"/>
          <w:sz w:val="20"/>
          <w:szCs w:val="20"/>
          <w:highlight w:val="none"/>
          <w:u w:val="single"/>
        </w:rPr>
      </w:pPr>
      <w:r>
        <w:rPr>
          <w:rFonts w:cs="Arial"/>
          <w:b/>
          <w:color w:val="auto"/>
          <w:sz w:val="20"/>
          <w:szCs w:val="20"/>
          <w:highlight w:val="none"/>
          <w:u w:val="single"/>
        </w:rPr>
        <w:t>CLÁUSULA 1</w:t>
      </w:r>
      <w:r>
        <w:rPr>
          <w:rFonts w:hint="default" w:cs="Arial"/>
          <w:b/>
          <w:color w:val="auto"/>
          <w:sz w:val="20"/>
          <w:szCs w:val="20"/>
          <w:highlight w:val="none"/>
          <w:u w:val="single"/>
          <w:lang w:val="pt-BR"/>
        </w:rPr>
        <w:t>0</w:t>
      </w:r>
      <w:r>
        <w:rPr>
          <w:rFonts w:cs="Arial"/>
          <w:b/>
          <w:color w:val="auto"/>
          <w:sz w:val="20"/>
          <w:szCs w:val="20"/>
          <w:highlight w:val="none"/>
          <w:u w:val="single"/>
        </w:rPr>
        <w:t>ª – DAS DISPOSIÇÕES GERAIS</w:t>
      </w:r>
    </w:p>
    <w:p>
      <w:pPr>
        <w:spacing w:before="0" w:after="0" w:line="240" w:lineRule="exact"/>
        <w:ind w:left="-142" w:right="-2"/>
        <w:jc w:val="both"/>
        <w:rPr>
          <w:rFonts w:cs="Arial"/>
          <w:color w:val="auto"/>
          <w:sz w:val="20"/>
          <w:szCs w:val="20"/>
          <w:highlight w:val="none"/>
        </w:rPr>
      </w:pPr>
    </w:p>
    <w:p>
      <w:pPr>
        <w:spacing w:before="0" w:after="0" w:line="240" w:lineRule="exact"/>
        <w:ind w:left="-142" w:right="-2"/>
        <w:jc w:val="both"/>
        <w:rPr>
          <w:rFonts w:cs="Arial"/>
          <w:color w:val="auto"/>
          <w:sz w:val="20"/>
          <w:szCs w:val="20"/>
          <w:highlight w:val="none"/>
        </w:rPr>
      </w:pPr>
      <w:r>
        <w:rPr>
          <w:rFonts w:cs="Arial"/>
          <w:color w:val="auto"/>
          <w:sz w:val="20"/>
          <w:szCs w:val="20"/>
          <w:highlight w:val="none"/>
        </w:rPr>
        <w:t>São partes integrantes deste Contrato, independentemente de transcrição, o Edital do Pregão Eletr</w:t>
      </w:r>
      <w:r>
        <w:rPr>
          <w:rFonts w:hint="default" w:cs="Arial"/>
          <w:color w:val="auto"/>
          <w:sz w:val="20"/>
          <w:szCs w:val="20"/>
          <w:highlight w:val="none"/>
          <w:lang w:val="pt-BR"/>
        </w:rPr>
        <w:t>ô</w:t>
      </w:r>
      <w:r>
        <w:rPr>
          <w:rFonts w:cs="Arial"/>
          <w:color w:val="auto"/>
          <w:sz w:val="20"/>
          <w:szCs w:val="20"/>
          <w:highlight w:val="none"/>
        </w:rPr>
        <w:t xml:space="preserve">nico nº </w:t>
      </w:r>
      <w:r>
        <w:rPr>
          <w:rFonts w:hint="default" w:cs="Arial"/>
          <w:color w:val="auto"/>
          <w:sz w:val="20"/>
          <w:szCs w:val="20"/>
          <w:highlight w:val="none"/>
          <w:lang w:val="pt-BR"/>
        </w:rPr>
        <w:t>31</w:t>
      </w:r>
      <w:r>
        <w:rPr>
          <w:rFonts w:cs="Arial"/>
          <w:color w:val="auto"/>
          <w:sz w:val="20"/>
          <w:szCs w:val="20"/>
          <w:highlight w:val="none"/>
        </w:rPr>
        <w:t>/2023, o Processo Administrativo nº _____/2023 e a Pro</w:t>
      </w:r>
      <w:r>
        <w:rPr>
          <w:rFonts w:cs="Arial"/>
          <w:color w:val="auto"/>
          <w:sz w:val="20"/>
          <w:szCs w:val="20"/>
          <w:highlight w:val="none"/>
        </w:rPr>
        <w:softHyphen/>
      </w:r>
      <w:r>
        <w:rPr>
          <w:rFonts w:cs="Arial"/>
          <w:color w:val="auto"/>
          <w:sz w:val="20"/>
          <w:szCs w:val="20"/>
          <w:highlight w:val="none"/>
        </w:rPr>
        <w:t>posta da CONTRATADA, com os documentos que a acompanham.</w:t>
      </w:r>
    </w:p>
    <w:p>
      <w:pPr>
        <w:spacing w:before="0" w:after="0" w:line="240" w:lineRule="exact"/>
        <w:ind w:left="-142" w:right="-2"/>
        <w:rPr>
          <w:rFonts w:cs="Arial"/>
          <w:color w:val="auto"/>
          <w:sz w:val="20"/>
          <w:szCs w:val="20"/>
          <w:highlight w:val="none"/>
        </w:rPr>
      </w:pPr>
    </w:p>
    <w:p>
      <w:pPr>
        <w:pStyle w:val="47"/>
        <w:spacing w:before="0" w:after="0" w:line="240" w:lineRule="exact"/>
        <w:ind w:left="-142" w:right="-2"/>
        <w:rPr>
          <w:rFonts w:cs="Arial"/>
          <w:b/>
          <w:color w:val="auto"/>
          <w:sz w:val="20"/>
          <w:szCs w:val="20"/>
          <w:highlight w:val="none"/>
          <w:u w:val="single"/>
        </w:rPr>
      </w:pPr>
      <w:r>
        <w:rPr>
          <w:rFonts w:cs="Arial"/>
          <w:b/>
          <w:color w:val="auto"/>
          <w:sz w:val="20"/>
          <w:szCs w:val="20"/>
          <w:highlight w:val="none"/>
          <w:u w:val="single"/>
        </w:rPr>
        <w:t>CLÁUSULA 1</w:t>
      </w:r>
      <w:r>
        <w:rPr>
          <w:rFonts w:hint="default" w:cs="Arial"/>
          <w:b/>
          <w:color w:val="auto"/>
          <w:sz w:val="20"/>
          <w:szCs w:val="20"/>
          <w:highlight w:val="none"/>
          <w:u w:val="single"/>
          <w:lang w:val="pt-BR"/>
        </w:rPr>
        <w:t>1</w:t>
      </w:r>
      <w:r>
        <w:rPr>
          <w:rFonts w:cs="Arial"/>
          <w:b/>
          <w:color w:val="auto"/>
          <w:sz w:val="20"/>
          <w:szCs w:val="20"/>
          <w:highlight w:val="none"/>
          <w:u w:val="single"/>
        </w:rPr>
        <w:t>ª – DA REVISÃO DOS PREÇOS</w:t>
      </w:r>
    </w:p>
    <w:p>
      <w:pPr>
        <w:pStyle w:val="47"/>
        <w:spacing w:before="0" w:after="0" w:line="240" w:lineRule="exact"/>
        <w:ind w:left="-142" w:right="-2"/>
        <w:rPr>
          <w:rFonts w:ascii="Tahoma" w:hAnsi="Tahoma" w:cs="Tahoma"/>
          <w:b/>
          <w:color w:val="auto"/>
          <w:sz w:val="19"/>
          <w:szCs w:val="19"/>
          <w:highlight w:val="none"/>
          <w:u w:val="single"/>
        </w:rPr>
      </w:pPr>
    </w:p>
    <w:p>
      <w:pPr>
        <w:spacing w:before="0" w:after="0" w:line="240" w:lineRule="exact"/>
        <w:ind w:left="-142" w:right="-2"/>
        <w:jc w:val="both"/>
        <w:rPr>
          <w:rFonts w:cs="Arial"/>
          <w:color w:val="auto"/>
          <w:sz w:val="20"/>
          <w:szCs w:val="20"/>
          <w:highlight w:val="none"/>
        </w:rPr>
      </w:pPr>
      <w:r>
        <w:rPr>
          <w:rFonts w:cs="Arial"/>
          <w:color w:val="auto"/>
          <w:sz w:val="20"/>
          <w:szCs w:val="20"/>
          <w:highlight w:val="none"/>
        </w:rPr>
        <w:t xml:space="preserve">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a relação que as partes pactuaram inicialmente entre os encargos da empresa Contratada e a retribuição do Contratante para a justa remuneração do objeto da licitação, </w:t>
      </w:r>
      <w:r>
        <w:rPr>
          <w:rFonts w:cs="Arial"/>
          <w:b/>
          <w:color w:val="auto"/>
          <w:sz w:val="20"/>
          <w:szCs w:val="20"/>
          <w:highlight w:val="none"/>
        </w:rPr>
        <w:t>poderá ser repactuado o preço, objetivando a manutenção do equilíbrio econômico–financeiro inicial do Contrato</w:t>
      </w:r>
      <w:r>
        <w:rPr>
          <w:rFonts w:cs="Arial"/>
          <w:color w:val="auto"/>
          <w:sz w:val="20"/>
          <w:szCs w:val="20"/>
          <w:highlight w:val="none"/>
        </w:rPr>
        <w:t>.</w:t>
      </w:r>
    </w:p>
    <w:p>
      <w:pPr>
        <w:spacing w:before="0" w:after="0" w:line="240" w:lineRule="exact"/>
        <w:ind w:left="-142" w:right="-2"/>
        <w:jc w:val="both"/>
        <w:rPr>
          <w:rFonts w:cs="Arial"/>
          <w:color w:val="auto"/>
          <w:sz w:val="20"/>
          <w:szCs w:val="20"/>
          <w:highlight w:val="none"/>
        </w:rPr>
      </w:pPr>
    </w:p>
    <w:p>
      <w:pPr>
        <w:pStyle w:val="47"/>
        <w:numPr>
          <w:ilvl w:val="0"/>
          <w:numId w:val="23"/>
        </w:numPr>
        <w:spacing w:before="0" w:after="0" w:line="240" w:lineRule="exact"/>
        <w:ind w:left="284" w:right="-2" w:hanging="426"/>
        <w:jc w:val="both"/>
        <w:rPr>
          <w:rFonts w:cs="Arial"/>
          <w:color w:val="auto"/>
          <w:sz w:val="20"/>
          <w:szCs w:val="20"/>
          <w:highlight w:val="none"/>
        </w:rPr>
      </w:pPr>
      <w:r>
        <w:rPr>
          <w:rFonts w:cs="Arial"/>
          <w:color w:val="auto"/>
          <w:sz w:val="20"/>
          <w:szCs w:val="20"/>
          <w:highlight w:val="none"/>
        </w:rPr>
        <w:t>Quaisquer tributos ou encargos legais criados, alterados ou extintos, bem como a superveniência de disposições legais, quando ocorridas após a data de apresentação da proposta, de comprovada repercussão nos preços contratados, poderão implicar na revisão destes para mais ou menos, conforme o caso.</w:t>
      </w:r>
    </w:p>
    <w:p>
      <w:pPr>
        <w:spacing w:before="0" w:after="0" w:line="240" w:lineRule="exact"/>
        <w:ind w:left="284" w:right="-2" w:hanging="426"/>
        <w:jc w:val="both"/>
        <w:rPr>
          <w:rFonts w:cs="Arial"/>
          <w:color w:val="auto"/>
          <w:sz w:val="20"/>
          <w:szCs w:val="20"/>
          <w:highlight w:val="none"/>
        </w:rPr>
      </w:pPr>
    </w:p>
    <w:p>
      <w:pPr>
        <w:pStyle w:val="47"/>
        <w:numPr>
          <w:ilvl w:val="0"/>
          <w:numId w:val="23"/>
        </w:numPr>
        <w:spacing w:before="0" w:after="0" w:line="240" w:lineRule="exact"/>
        <w:ind w:left="284" w:right="-2" w:hanging="426"/>
        <w:jc w:val="both"/>
        <w:rPr>
          <w:rFonts w:cs="Arial"/>
          <w:color w:val="auto"/>
          <w:sz w:val="20"/>
          <w:szCs w:val="20"/>
          <w:highlight w:val="none"/>
        </w:rPr>
      </w:pPr>
      <w:r>
        <w:rPr>
          <w:rFonts w:cs="Arial"/>
          <w:color w:val="auto"/>
          <w:sz w:val="20"/>
          <w:szCs w:val="20"/>
          <w:highlight w:val="none"/>
        </w:rPr>
        <w:t>Na hipótese da empresa solicitar alteração de preço, a mesma terá que justificar o pedido, através de planilha detalhada de custos, acompanhada de documento que comprove a procedência do pedido, tais como: lista de preços de fabricantes, notas fiscais ou matérias-primas, etc.</w:t>
      </w:r>
    </w:p>
    <w:p>
      <w:pPr>
        <w:pStyle w:val="47"/>
        <w:spacing w:before="0" w:after="0" w:line="240" w:lineRule="exact"/>
        <w:ind w:left="-142" w:right="-2"/>
        <w:rPr>
          <w:rFonts w:cs="Arial"/>
          <w:b/>
          <w:color w:val="auto"/>
          <w:sz w:val="20"/>
          <w:szCs w:val="20"/>
          <w:highlight w:val="none"/>
        </w:rPr>
      </w:pPr>
    </w:p>
    <w:p>
      <w:pPr>
        <w:pStyle w:val="47"/>
        <w:numPr>
          <w:ilvl w:val="0"/>
          <w:numId w:val="23"/>
        </w:numPr>
        <w:spacing w:before="0" w:after="0" w:line="240" w:lineRule="exact"/>
        <w:ind w:left="284" w:right="-2" w:hanging="426"/>
        <w:jc w:val="both"/>
        <w:rPr>
          <w:rFonts w:cs="Arial"/>
          <w:color w:val="auto"/>
          <w:sz w:val="20"/>
          <w:szCs w:val="20"/>
          <w:highlight w:val="none"/>
          <w:lang w:eastAsia="zh-CN"/>
        </w:rPr>
      </w:pPr>
      <w:r>
        <w:rPr>
          <w:rFonts w:hint="default" w:cs="Arial"/>
          <w:color w:val="auto"/>
          <w:sz w:val="20"/>
          <w:szCs w:val="20"/>
          <w:highlight w:val="none"/>
          <w:lang w:val="pt-BR" w:eastAsia="zh-CN"/>
        </w:rPr>
        <w:t>O reajustamento de</w:t>
      </w:r>
      <w:r>
        <w:rPr>
          <w:rFonts w:cs="Arial"/>
          <w:color w:val="auto"/>
          <w:sz w:val="20"/>
          <w:szCs w:val="20"/>
          <w:highlight w:val="none"/>
          <w:lang w:eastAsia="zh-CN"/>
        </w:rPr>
        <w:t xml:space="preserve"> preços poderá ser utilizad</w:t>
      </w:r>
      <w:r>
        <w:rPr>
          <w:rFonts w:hint="default" w:cs="Arial"/>
          <w:color w:val="auto"/>
          <w:sz w:val="20"/>
          <w:szCs w:val="20"/>
          <w:highlight w:val="none"/>
          <w:lang w:val="pt-BR" w:eastAsia="zh-CN"/>
        </w:rPr>
        <w:t>o</w:t>
      </w:r>
      <w:r>
        <w:rPr>
          <w:rFonts w:cs="Arial"/>
          <w:color w:val="auto"/>
          <w:sz w:val="20"/>
          <w:szCs w:val="20"/>
          <w:highlight w:val="none"/>
          <w:lang w:eastAsia="zh-CN"/>
        </w:rPr>
        <w:t xml:space="preserve"> na presente contratação</w:t>
      </w:r>
      <w:r>
        <w:rPr>
          <w:rFonts w:hint="default" w:cs="Arial"/>
          <w:color w:val="auto"/>
          <w:sz w:val="20"/>
          <w:szCs w:val="20"/>
          <w:highlight w:val="none"/>
          <w:lang w:val="pt-BR" w:eastAsia="zh-CN"/>
        </w:rPr>
        <w:t>,</w:t>
      </w:r>
      <w:r>
        <w:rPr>
          <w:rFonts w:cs="Arial"/>
          <w:color w:val="auto"/>
          <w:sz w:val="20"/>
          <w:szCs w:val="20"/>
          <w:highlight w:val="none"/>
          <w:lang w:eastAsia="zh-CN"/>
        </w:rPr>
        <w:t xml:space="preserve"> desde que observado o </w:t>
      </w:r>
      <w:r>
        <w:rPr>
          <w:rFonts w:hint="default" w:cs="Arial"/>
          <w:color w:val="auto"/>
          <w:sz w:val="20"/>
          <w:szCs w:val="20"/>
          <w:highlight w:val="none"/>
          <w:lang w:val="pt-BR" w:eastAsia="zh-CN"/>
        </w:rPr>
        <w:t>interregno</w:t>
      </w:r>
      <w:r>
        <w:rPr>
          <w:rFonts w:cs="Arial"/>
          <w:color w:val="auto"/>
          <w:sz w:val="20"/>
          <w:szCs w:val="20"/>
          <w:highlight w:val="none"/>
          <w:lang w:eastAsia="zh-CN"/>
        </w:rPr>
        <w:t xml:space="preserve"> mínimo de 1 (um) ano,</w:t>
      </w:r>
      <w:r>
        <w:rPr>
          <w:rFonts w:hint="default" w:cs="Arial"/>
          <w:color w:val="auto"/>
          <w:sz w:val="20"/>
          <w:szCs w:val="20"/>
          <w:highlight w:val="none"/>
          <w:lang w:val="pt-BR" w:eastAsia="zh-CN"/>
        </w:rPr>
        <w:t xml:space="preserve"> contado da data da apresentação da proposta ou da data do último reajuste,</w:t>
      </w:r>
      <w:r>
        <w:rPr>
          <w:rFonts w:cs="Arial"/>
          <w:color w:val="auto"/>
          <w:sz w:val="20"/>
          <w:szCs w:val="20"/>
          <w:highlight w:val="none"/>
          <w:lang w:eastAsia="zh-CN"/>
        </w:rPr>
        <w:t xml:space="preserve"> utilizando-se como índice para cálculo o Índice Nacional de Preços ao Consumidor - INPC, divulgado pelo Instituto Brasileiro de Geografia e Estatística - IBGE, ou índice que venha a substituí-lo.</w:t>
      </w:r>
    </w:p>
    <w:p>
      <w:pPr>
        <w:pStyle w:val="47"/>
        <w:numPr>
          <w:ilvl w:val="0"/>
          <w:numId w:val="0"/>
        </w:numPr>
        <w:spacing w:before="0" w:after="0" w:line="240" w:lineRule="exact"/>
        <w:ind w:left="-142" w:leftChars="0" w:right="-2" w:rightChars="0"/>
        <w:jc w:val="both"/>
        <w:rPr>
          <w:rFonts w:cs="Arial"/>
          <w:color w:val="auto"/>
          <w:sz w:val="20"/>
          <w:szCs w:val="20"/>
          <w:highlight w:val="none"/>
          <w:lang w:eastAsia="zh-CN"/>
        </w:rPr>
      </w:pPr>
    </w:p>
    <w:p>
      <w:pPr>
        <w:pStyle w:val="47"/>
        <w:numPr>
          <w:ilvl w:val="0"/>
          <w:numId w:val="23"/>
        </w:numPr>
        <w:spacing w:before="0" w:after="0" w:line="240" w:lineRule="exact"/>
        <w:ind w:left="284" w:right="-2" w:hanging="426"/>
        <w:jc w:val="both"/>
        <w:rPr>
          <w:rFonts w:cs="Arial"/>
          <w:color w:val="auto"/>
          <w:sz w:val="20"/>
          <w:szCs w:val="20"/>
          <w:highlight w:val="none"/>
          <w:lang w:eastAsia="zh-CN"/>
        </w:rPr>
      </w:pPr>
      <w:r>
        <w:rPr>
          <w:rFonts w:hint="default" w:eastAsia="SimSun" w:cs="Arial"/>
          <w:b w:val="0"/>
          <w:bCs w:val="0"/>
          <w:i w:val="0"/>
          <w:iCs w:val="0"/>
          <w:color w:val="000000"/>
          <w:sz w:val="20"/>
          <w:szCs w:val="20"/>
          <w:highlight w:val="none"/>
          <w:lang w:val="pt-BR"/>
        </w:rPr>
        <w:t>O reajustamento</w:t>
      </w:r>
      <w:r>
        <w:rPr>
          <w:rFonts w:ascii="Arial" w:hAnsi="Arial" w:eastAsia="SimSun" w:cs="Arial"/>
          <w:b w:val="0"/>
          <w:bCs w:val="0"/>
          <w:i w:val="0"/>
          <w:iCs w:val="0"/>
          <w:color w:val="000000"/>
          <w:sz w:val="20"/>
          <w:szCs w:val="20"/>
          <w:highlight w:val="none"/>
        </w:rPr>
        <w:t xml:space="preserve"> será precedid</w:t>
      </w:r>
      <w:r>
        <w:rPr>
          <w:rFonts w:hint="default" w:eastAsia="SimSun" w:cs="Arial"/>
          <w:b w:val="0"/>
          <w:bCs w:val="0"/>
          <w:i w:val="0"/>
          <w:iCs w:val="0"/>
          <w:color w:val="000000"/>
          <w:sz w:val="20"/>
          <w:szCs w:val="20"/>
          <w:highlight w:val="none"/>
          <w:lang w:val="pt-BR"/>
        </w:rPr>
        <w:t>o</w:t>
      </w:r>
      <w:r>
        <w:rPr>
          <w:rFonts w:ascii="Arial" w:hAnsi="Arial" w:eastAsia="SimSun" w:cs="Arial"/>
          <w:b w:val="0"/>
          <w:bCs w:val="0"/>
          <w:i w:val="0"/>
          <w:iCs w:val="0"/>
          <w:color w:val="000000"/>
          <w:sz w:val="20"/>
          <w:szCs w:val="20"/>
          <w:highlight w:val="none"/>
        </w:rPr>
        <w:t xml:space="preserve"> de solicitação do contratado, acompanhada de demonstração analítica da variação dos custos, por meio de apresentação da planilha de custos e formação de preços, ou do novo acordo, convenção ou sentença normativa que fundamenta a repactuação.</w:t>
      </w:r>
      <w:r>
        <w:rPr>
          <w:rFonts w:ascii="SimSun" w:hAnsi="SimSun" w:eastAsia="SimSun" w:cs="SimSun"/>
          <w:sz w:val="24"/>
          <w:szCs w:val="24"/>
          <w:highlight w:val="none"/>
        </w:rPr>
        <w:t xml:space="preserve"> </w:t>
      </w:r>
    </w:p>
    <w:p>
      <w:pPr>
        <w:pStyle w:val="47"/>
        <w:spacing w:before="0" w:after="0" w:line="240" w:lineRule="exact"/>
        <w:ind w:left="578" w:right="-2"/>
        <w:jc w:val="both"/>
        <w:rPr>
          <w:rFonts w:cs="Arial"/>
          <w:color w:val="auto"/>
          <w:sz w:val="20"/>
          <w:szCs w:val="20"/>
          <w:highlight w:val="none"/>
        </w:rPr>
      </w:pPr>
      <w:r>
        <w:rPr>
          <w:rFonts w:cs="Arial"/>
          <w:color w:val="auto"/>
          <w:sz w:val="20"/>
          <w:szCs w:val="20"/>
          <w:highlight w:val="none"/>
          <w:lang w:eastAsia="pt-BR"/>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73660</wp:posOffset>
                </wp:positionV>
                <wp:extent cx="5784850" cy="1409700"/>
                <wp:effectExtent l="0" t="0" r="0" b="0"/>
                <wp:wrapNone/>
                <wp:docPr id="4" name="Retângulo 4"/>
                <wp:cNvGraphicFramePr/>
                <a:graphic xmlns:a="http://schemas.openxmlformats.org/drawingml/2006/main">
                  <a:graphicData uri="http://schemas.microsoft.com/office/word/2010/wordprocessingShape">
                    <wps:wsp>
                      <wps:cNvSpPr/>
                      <wps:spPr>
                        <a:xfrm>
                          <a:off x="0" y="0"/>
                          <a:ext cx="5784850" cy="1409700"/>
                        </a:xfrm>
                        <a:prstGeom prst="rect">
                          <a:avLst/>
                        </a:prstGeom>
                        <a:noFill/>
                        <a:ln w="3175">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top:5.8pt;height:111pt;width:455.5pt;mso-position-horizontal:center;mso-position-horizontal-relative:margin;z-index:251668480;v-text-anchor:middle;mso-width-relative:page;mso-height-relative:page;" filled="f" stroked="f" coordsize="21600,21600" o:gfxdata="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BOr19jVAAAABwEAAA8AAAAA&#10;AAAAAQAgAAAAIgAAAGRycy9kb3ducmV2LnhtbFBLAQIUABQAAAAIAIdO4kDzPkp8UAIAAJoEAAAO&#10;AAAAAAAAAAEAIAAAACQBAABkcnMvZTJvRG9jLnhtbFBLBQYAAAAABgAGAFkBAADmBQAAAAA=&#10;">
                <v:fill on="f" focussize="0,0"/>
                <v:stroke on="f" weight="0.25pt"/>
                <v:imagedata o:title=""/>
                <o:lock v:ext="edit" aspectratio="f"/>
                <v:textbox>
                  <w:txbxContent>
                    <w:p>
                      <w:pPr>
                        <w:jc w:val="center"/>
                      </w:pPr>
                    </w:p>
                  </w:txbxContent>
                </v:textbox>
              </v:rect>
            </w:pict>
          </mc:Fallback>
        </mc:AlternateContent>
      </w:r>
    </w:p>
    <w:p>
      <w:pPr>
        <w:pStyle w:val="47"/>
        <w:spacing w:before="0" w:after="0" w:line="240" w:lineRule="exact"/>
        <w:ind w:left="578" w:right="-2"/>
        <w:jc w:val="center"/>
        <w:rPr>
          <w:rFonts w:cs="Arial"/>
          <w:b/>
          <w:color w:val="auto"/>
          <w:sz w:val="20"/>
          <w:szCs w:val="20"/>
          <w:highlight w:val="none"/>
        </w:rPr>
      </w:pPr>
      <w:r>
        <w:rPr>
          <w:rFonts w:cs="Arial"/>
          <w:b/>
          <w:color w:val="auto"/>
          <w:sz w:val="20"/>
          <w:szCs w:val="20"/>
          <w:highlight w:val="none"/>
        </w:rPr>
        <w:t xml:space="preserve">R = </w:t>
      </w:r>
      <w:r>
        <w:rPr>
          <w:rFonts w:cs="Arial"/>
          <w:b/>
          <w:color w:val="auto"/>
          <w:sz w:val="20"/>
          <w:szCs w:val="20"/>
          <w:highlight w:val="none"/>
          <w:u w:val="single"/>
        </w:rPr>
        <w:t>V x i</w:t>
      </w:r>
      <w:r>
        <w:rPr>
          <w:rFonts w:cs="Arial"/>
          <w:b/>
          <w:color w:val="auto"/>
          <w:sz w:val="20"/>
          <w:szCs w:val="20"/>
          <w:highlight w:val="none"/>
        </w:rPr>
        <w:t xml:space="preserve"> - Io</w:t>
      </w:r>
    </w:p>
    <w:p>
      <w:pPr>
        <w:pStyle w:val="47"/>
        <w:spacing w:before="0" w:after="0" w:line="240" w:lineRule="exact"/>
        <w:ind w:left="578" w:right="-2"/>
        <w:jc w:val="center"/>
        <w:rPr>
          <w:rFonts w:cs="Arial"/>
          <w:b/>
          <w:color w:val="auto"/>
          <w:sz w:val="20"/>
          <w:szCs w:val="20"/>
          <w:highlight w:val="none"/>
        </w:rPr>
      </w:pPr>
      <w:r>
        <w:rPr>
          <w:rFonts w:cs="Arial"/>
          <w:b/>
          <w:color w:val="auto"/>
          <w:sz w:val="20"/>
          <w:szCs w:val="20"/>
          <w:highlight w:val="none"/>
        </w:rPr>
        <w:t xml:space="preserve">  Io</w:t>
      </w:r>
    </w:p>
    <w:p>
      <w:pPr>
        <w:pStyle w:val="47"/>
        <w:spacing w:before="0" w:after="0" w:line="240" w:lineRule="exact"/>
        <w:ind w:left="578" w:right="-2"/>
        <w:rPr>
          <w:rFonts w:cs="Arial"/>
          <w:b/>
          <w:color w:val="auto"/>
          <w:sz w:val="20"/>
          <w:szCs w:val="20"/>
          <w:highlight w:val="none"/>
        </w:rPr>
      </w:pPr>
    </w:p>
    <w:p>
      <w:pPr>
        <w:pStyle w:val="47"/>
        <w:spacing w:before="0" w:after="0" w:line="240" w:lineRule="exact"/>
        <w:ind w:left="578" w:right="-2"/>
        <w:rPr>
          <w:rFonts w:cs="Arial"/>
          <w:color w:val="auto"/>
          <w:sz w:val="20"/>
          <w:szCs w:val="20"/>
          <w:highlight w:val="none"/>
        </w:rPr>
      </w:pPr>
      <w:r>
        <w:rPr>
          <w:rFonts w:cs="Arial"/>
          <w:b/>
          <w:color w:val="auto"/>
          <w:sz w:val="20"/>
          <w:szCs w:val="20"/>
          <w:highlight w:val="none"/>
        </w:rPr>
        <w:t>Sendo:</w:t>
      </w:r>
      <w:r>
        <w:rPr>
          <w:rFonts w:cs="Arial"/>
          <w:color w:val="auto"/>
          <w:sz w:val="20"/>
          <w:szCs w:val="20"/>
          <w:highlight w:val="none"/>
        </w:rPr>
        <w:t xml:space="preserve"> </w:t>
      </w:r>
    </w:p>
    <w:p>
      <w:pPr>
        <w:pStyle w:val="47"/>
        <w:spacing w:before="0" w:after="0" w:line="240" w:lineRule="exact"/>
        <w:ind w:left="578" w:right="-2"/>
        <w:rPr>
          <w:rFonts w:cs="Arial"/>
          <w:color w:val="auto"/>
          <w:sz w:val="20"/>
          <w:szCs w:val="20"/>
          <w:highlight w:val="none"/>
        </w:rPr>
      </w:pPr>
      <w:r>
        <w:rPr>
          <w:rFonts w:cs="Arial"/>
          <w:color w:val="auto"/>
          <w:sz w:val="20"/>
          <w:szCs w:val="20"/>
          <w:highlight w:val="none"/>
        </w:rPr>
        <w:t>R = valor do reajuste procurado</w:t>
      </w:r>
    </w:p>
    <w:p>
      <w:pPr>
        <w:pStyle w:val="47"/>
        <w:spacing w:before="0" w:after="0" w:line="240" w:lineRule="exact"/>
        <w:ind w:left="578" w:right="-2"/>
        <w:rPr>
          <w:rFonts w:cs="Arial"/>
          <w:color w:val="auto"/>
          <w:sz w:val="20"/>
          <w:szCs w:val="20"/>
          <w:highlight w:val="none"/>
        </w:rPr>
      </w:pPr>
      <w:r>
        <w:rPr>
          <w:rFonts w:cs="Arial"/>
          <w:color w:val="auto"/>
          <w:sz w:val="20"/>
          <w:szCs w:val="20"/>
          <w:highlight w:val="none"/>
        </w:rPr>
        <w:t>V = valor contratual</w:t>
      </w:r>
    </w:p>
    <w:p>
      <w:pPr>
        <w:pStyle w:val="47"/>
        <w:spacing w:before="0" w:after="0" w:line="240" w:lineRule="exact"/>
        <w:ind w:left="578" w:right="-2"/>
        <w:rPr>
          <w:rFonts w:cs="Arial"/>
          <w:color w:val="auto"/>
          <w:sz w:val="20"/>
          <w:szCs w:val="20"/>
          <w:highlight w:val="none"/>
        </w:rPr>
      </w:pPr>
      <w:r>
        <w:rPr>
          <w:rFonts w:cs="Arial"/>
          <w:color w:val="auto"/>
          <w:sz w:val="20"/>
          <w:szCs w:val="20"/>
          <w:highlight w:val="none"/>
        </w:rPr>
        <w:t>i = índice relativo ao mês do reajuste</w:t>
      </w:r>
    </w:p>
    <w:p>
      <w:pPr>
        <w:pStyle w:val="47"/>
        <w:spacing w:before="0" w:after="0" w:line="240" w:lineRule="exact"/>
        <w:ind w:left="578" w:right="-2"/>
        <w:rPr>
          <w:rFonts w:cs="Arial"/>
          <w:color w:val="auto"/>
          <w:sz w:val="20"/>
          <w:szCs w:val="20"/>
          <w:highlight w:val="none"/>
        </w:rPr>
      </w:pPr>
      <w:r>
        <w:rPr>
          <w:rFonts w:cs="Arial"/>
          <w:color w:val="auto"/>
          <w:sz w:val="20"/>
          <w:szCs w:val="20"/>
          <w:highlight w:val="none"/>
        </w:rPr>
        <w:t>Io = índice inicial</w:t>
      </w:r>
    </w:p>
    <w:p>
      <w:pPr>
        <w:pStyle w:val="47"/>
        <w:spacing w:before="0" w:after="0" w:line="240" w:lineRule="exact"/>
        <w:ind w:left="578" w:right="-2"/>
        <w:jc w:val="both"/>
        <w:rPr>
          <w:rFonts w:cs="Arial"/>
          <w:color w:val="auto"/>
          <w:sz w:val="28"/>
          <w:szCs w:val="28"/>
          <w:highlight w:val="none"/>
        </w:rPr>
      </w:pPr>
    </w:p>
    <w:p>
      <w:pPr>
        <w:pStyle w:val="47"/>
        <w:numPr>
          <w:ilvl w:val="0"/>
          <w:numId w:val="23"/>
        </w:numPr>
        <w:spacing w:before="0" w:after="0" w:line="240" w:lineRule="exact"/>
        <w:ind w:left="284" w:right="-2" w:hanging="426"/>
        <w:jc w:val="both"/>
        <w:rPr>
          <w:rFonts w:cs="Arial"/>
          <w:color w:val="auto"/>
          <w:sz w:val="20"/>
          <w:szCs w:val="20"/>
          <w:highlight w:val="none"/>
          <w:lang w:eastAsia="zh-CN"/>
        </w:rPr>
      </w:pPr>
      <w:r>
        <w:rPr>
          <w:rFonts w:cs="Arial"/>
          <w:color w:val="auto"/>
          <w:sz w:val="20"/>
          <w:szCs w:val="20"/>
          <w:highlight w:val="none"/>
          <w:lang w:eastAsia="zh-CN"/>
        </w:rPr>
        <w:t>Os reajust</w:t>
      </w:r>
      <w:r>
        <w:rPr>
          <w:rFonts w:hint="default" w:cs="Arial"/>
          <w:color w:val="auto"/>
          <w:sz w:val="20"/>
          <w:szCs w:val="20"/>
          <w:highlight w:val="none"/>
          <w:lang w:val="pt-BR" w:eastAsia="zh-CN"/>
        </w:rPr>
        <w:t>amentos</w:t>
      </w:r>
      <w:r>
        <w:rPr>
          <w:rFonts w:cs="Arial"/>
          <w:color w:val="auto"/>
          <w:sz w:val="20"/>
          <w:szCs w:val="20"/>
          <w:highlight w:val="none"/>
          <w:lang w:eastAsia="zh-CN"/>
        </w:rPr>
        <w:t xml:space="preserve"> serão formalizados por meio de apostilamento e não poderão alterar o equilíbrio econômico-financeiro dos contratos</w:t>
      </w:r>
      <w:r>
        <w:rPr>
          <w:rFonts w:hint="default" w:cs="Arial"/>
          <w:color w:val="auto"/>
          <w:sz w:val="20"/>
          <w:szCs w:val="20"/>
          <w:highlight w:val="none"/>
          <w:lang w:val="pt-BR" w:eastAsia="zh-CN"/>
        </w:rPr>
        <w:t>.</w:t>
      </w:r>
    </w:p>
    <w:p>
      <w:pPr>
        <w:pStyle w:val="47"/>
        <w:numPr>
          <w:ilvl w:val="0"/>
          <w:numId w:val="0"/>
        </w:numPr>
        <w:spacing w:before="0" w:after="0" w:line="240" w:lineRule="exact"/>
        <w:ind w:left="-142" w:leftChars="0" w:right="-2" w:rightChars="0"/>
        <w:jc w:val="both"/>
        <w:rPr>
          <w:rFonts w:cs="Arial"/>
          <w:color w:val="auto"/>
          <w:sz w:val="20"/>
          <w:szCs w:val="20"/>
          <w:highlight w:val="none"/>
          <w:lang w:eastAsia="zh-CN"/>
        </w:rPr>
      </w:pPr>
    </w:p>
    <w:p>
      <w:pPr>
        <w:pStyle w:val="47"/>
        <w:numPr>
          <w:ilvl w:val="0"/>
          <w:numId w:val="23"/>
        </w:numPr>
        <w:spacing w:before="0" w:after="0" w:line="240" w:lineRule="exact"/>
        <w:ind w:left="284" w:right="-2" w:hanging="426"/>
        <w:jc w:val="both"/>
        <w:rPr>
          <w:rFonts w:cs="Arial"/>
          <w:color w:val="auto"/>
          <w:sz w:val="20"/>
          <w:szCs w:val="20"/>
          <w:highlight w:val="none"/>
          <w:lang w:eastAsia="zh-CN"/>
        </w:rPr>
      </w:pPr>
      <w:r>
        <w:rPr>
          <w:rFonts w:cs="Arial"/>
          <w:color w:val="auto"/>
          <w:sz w:val="20"/>
          <w:szCs w:val="20"/>
          <w:highlight w:val="none"/>
          <w:lang w:eastAsia="zh-CN"/>
        </w:rPr>
        <w:t>O reajuste não interfere no direito das partes de solicitar, a qualquer momento, a manutenção do equilíbrio econômico-financeiro dos contratos com base no disposto n</w:t>
      </w:r>
      <w:r>
        <w:rPr>
          <w:rFonts w:hint="default" w:cs="Arial"/>
          <w:color w:val="auto"/>
          <w:sz w:val="20"/>
          <w:szCs w:val="20"/>
          <w:highlight w:val="none"/>
          <w:lang w:val="pt-BR" w:eastAsia="zh-CN"/>
        </w:rPr>
        <w:t>a</w:t>
      </w:r>
      <w:r>
        <w:rPr>
          <w:rFonts w:cs="Arial"/>
          <w:color w:val="auto"/>
          <w:sz w:val="20"/>
          <w:szCs w:val="20"/>
          <w:highlight w:val="none"/>
          <w:lang w:eastAsia="zh-CN"/>
        </w:rPr>
        <w:t xml:space="preserve"> </w:t>
      </w:r>
      <w:r>
        <w:rPr>
          <w:rFonts w:hint="default" w:cs="Arial"/>
          <w:color w:val="auto"/>
          <w:sz w:val="20"/>
          <w:szCs w:val="20"/>
          <w:highlight w:val="none"/>
          <w:lang w:val="pt-BR" w:eastAsia="zh-CN"/>
        </w:rPr>
        <w:t>alínea “d”, inciso II, art. 124</w:t>
      </w:r>
      <w:r>
        <w:rPr>
          <w:rFonts w:cs="Arial"/>
          <w:color w:val="auto"/>
          <w:sz w:val="20"/>
          <w:szCs w:val="20"/>
          <w:highlight w:val="none"/>
          <w:lang w:eastAsia="zh-CN"/>
        </w:rPr>
        <w:t xml:space="preserve"> da Lei </w:t>
      </w:r>
      <w:r>
        <w:rPr>
          <w:rFonts w:hint="default" w:cs="Arial"/>
          <w:color w:val="auto"/>
          <w:sz w:val="20"/>
          <w:szCs w:val="20"/>
          <w:highlight w:val="none"/>
          <w:lang w:val="pt-BR" w:eastAsia="zh-CN"/>
        </w:rPr>
        <w:t>Federal 14.133/2021</w:t>
      </w:r>
      <w:r>
        <w:rPr>
          <w:rFonts w:cs="Arial"/>
          <w:color w:val="auto"/>
          <w:sz w:val="20"/>
          <w:szCs w:val="20"/>
          <w:highlight w:val="none"/>
          <w:lang w:eastAsia="zh-CN"/>
        </w:rPr>
        <w:t>.</w:t>
      </w:r>
    </w:p>
    <w:p>
      <w:pPr>
        <w:pStyle w:val="47"/>
        <w:spacing w:before="0" w:after="0" w:line="240" w:lineRule="exact"/>
        <w:ind w:left="-142" w:right="-2"/>
        <w:rPr>
          <w:rFonts w:cs="Arial"/>
          <w:b/>
          <w:color w:val="auto"/>
          <w:sz w:val="20"/>
          <w:szCs w:val="20"/>
          <w:highlight w:val="none"/>
        </w:rPr>
      </w:pPr>
    </w:p>
    <w:p>
      <w:pPr>
        <w:pStyle w:val="47"/>
        <w:spacing w:before="0" w:after="0" w:line="240" w:lineRule="exact"/>
        <w:ind w:left="-142" w:right="-2"/>
        <w:rPr>
          <w:rFonts w:cs="Arial"/>
          <w:b/>
          <w:color w:val="auto"/>
          <w:sz w:val="20"/>
          <w:szCs w:val="20"/>
          <w:highlight w:val="none"/>
          <w:u w:val="single"/>
        </w:rPr>
      </w:pPr>
      <w:r>
        <w:rPr>
          <w:rFonts w:cs="Arial"/>
          <w:b/>
          <w:color w:val="auto"/>
          <w:sz w:val="20"/>
          <w:szCs w:val="20"/>
          <w:highlight w:val="none"/>
          <w:u w:val="single"/>
        </w:rPr>
        <w:t>CLÁUSULA 1</w:t>
      </w:r>
      <w:r>
        <w:rPr>
          <w:rFonts w:hint="default" w:cs="Arial"/>
          <w:b/>
          <w:color w:val="auto"/>
          <w:sz w:val="20"/>
          <w:szCs w:val="20"/>
          <w:highlight w:val="none"/>
          <w:u w:val="single"/>
          <w:lang w:val="pt-BR"/>
        </w:rPr>
        <w:t>2</w:t>
      </w:r>
      <w:r>
        <w:rPr>
          <w:rFonts w:cs="Arial"/>
          <w:b/>
          <w:color w:val="auto"/>
          <w:sz w:val="20"/>
          <w:szCs w:val="20"/>
          <w:highlight w:val="none"/>
          <w:u w:val="single"/>
        </w:rPr>
        <w:t>ª – DA ALTERAÇÃO CONTRATUAL</w:t>
      </w:r>
    </w:p>
    <w:p>
      <w:pPr>
        <w:pStyle w:val="47"/>
        <w:spacing w:before="0" w:after="0" w:line="240" w:lineRule="exact"/>
        <w:ind w:left="-142" w:right="-2"/>
        <w:jc w:val="both"/>
        <w:rPr>
          <w:rFonts w:ascii="Tahoma" w:hAnsi="Tahoma" w:cs="Tahoma"/>
          <w:b/>
          <w:color w:val="auto"/>
          <w:sz w:val="19"/>
          <w:szCs w:val="19"/>
          <w:highlight w:val="none"/>
          <w:u w:val="single"/>
        </w:rPr>
      </w:pPr>
    </w:p>
    <w:p>
      <w:pPr>
        <w:pStyle w:val="47"/>
        <w:spacing w:before="0" w:after="0" w:line="240" w:lineRule="exact"/>
        <w:ind w:left="-142" w:right="-2"/>
        <w:jc w:val="both"/>
        <w:rPr>
          <w:rFonts w:cs="Arial"/>
          <w:color w:val="auto"/>
          <w:sz w:val="20"/>
          <w:szCs w:val="20"/>
          <w:highlight w:val="none"/>
        </w:rPr>
      </w:pPr>
      <w:r>
        <w:rPr>
          <w:rFonts w:cs="Arial"/>
          <w:color w:val="auto"/>
          <w:sz w:val="20"/>
          <w:szCs w:val="20"/>
          <w:highlight w:val="none"/>
        </w:rPr>
        <w:t xml:space="preserve">Fica a CONTRATADA obrigada a aceitar, nas mesmas condições contratuais, acréscimos ou supressões do objeto deste instrumento, observados os termos e limites previstos no </w:t>
      </w:r>
      <w:r>
        <w:rPr>
          <w:rFonts w:hint="default" w:cs="Arial"/>
          <w:color w:val="auto"/>
          <w:sz w:val="20"/>
          <w:szCs w:val="20"/>
          <w:highlight w:val="none"/>
          <w:lang w:val="pt-BR"/>
        </w:rPr>
        <w:t>art. 125</w:t>
      </w:r>
      <w:r>
        <w:rPr>
          <w:rFonts w:cs="Arial"/>
          <w:color w:val="auto"/>
          <w:sz w:val="20"/>
          <w:szCs w:val="20"/>
          <w:highlight w:val="none"/>
        </w:rPr>
        <w:t xml:space="preserve"> da Lei Federal nº </w:t>
      </w:r>
      <w:r>
        <w:rPr>
          <w:rFonts w:hint="default" w:cs="Arial"/>
          <w:color w:val="auto"/>
          <w:sz w:val="20"/>
          <w:szCs w:val="20"/>
          <w:highlight w:val="none"/>
          <w:lang w:val="pt-BR"/>
        </w:rPr>
        <w:t>14.133/2021</w:t>
      </w:r>
      <w:r>
        <w:rPr>
          <w:rFonts w:cs="Arial"/>
          <w:color w:val="auto"/>
          <w:sz w:val="20"/>
          <w:szCs w:val="20"/>
          <w:highlight w:val="none"/>
        </w:rPr>
        <w:t>.</w:t>
      </w:r>
    </w:p>
    <w:p>
      <w:pPr>
        <w:spacing w:before="0" w:after="0" w:line="240" w:lineRule="exact"/>
        <w:ind w:left="-142" w:right="-2"/>
        <w:jc w:val="both"/>
        <w:rPr>
          <w:rFonts w:ascii="Tahoma" w:hAnsi="Tahoma" w:cs="Tahoma"/>
          <w:color w:val="auto"/>
          <w:sz w:val="19"/>
          <w:szCs w:val="19"/>
          <w:highlight w:val="none"/>
        </w:rPr>
      </w:pPr>
    </w:p>
    <w:p>
      <w:pPr>
        <w:pStyle w:val="47"/>
        <w:numPr>
          <w:ilvl w:val="0"/>
          <w:numId w:val="24"/>
        </w:numPr>
        <w:spacing w:before="0" w:after="0" w:line="240" w:lineRule="exact"/>
        <w:ind w:left="284" w:right="-2" w:hanging="426"/>
        <w:jc w:val="both"/>
        <w:rPr>
          <w:rFonts w:cs="Arial"/>
          <w:color w:val="auto"/>
          <w:sz w:val="20"/>
          <w:szCs w:val="20"/>
          <w:highlight w:val="none"/>
        </w:rPr>
      </w:pPr>
      <w:r>
        <w:rPr>
          <w:rFonts w:cs="Arial"/>
          <w:color w:val="auto"/>
          <w:sz w:val="20"/>
          <w:szCs w:val="20"/>
          <w:highlight w:val="none"/>
        </w:rPr>
        <w:t xml:space="preserve">Eventual alteração será obrigatoriamente formalizada por meio de Termo Aditivo ao presente contrato, respeitadas as disposições da Lei Federal nº </w:t>
      </w:r>
      <w:r>
        <w:rPr>
          <w:rFonts w:hint="default" w:cs="Arial"/>
          <w:color w:val="auto"/>
          <w:sz w:val="20"/>
          <w:szCs w:val="20"/>
          <w:highlight w:val="none"/>
          <w:lang w:val="pt-BR"/>
        </w:rPr>
        <w:t>14.133/2021</w:t>
      </w:r>
      <w:r>
        <w:rPr>
          <w:rFonts w:cs="Arial"/>
          <w:color w:val="auto"/>
          <w:sz w:val="20"/>
          <w:szCs w:val="20"/>
          <w:highlight w:val="none"/>
        </w:rPr>
        <w:t>.</w:t>
      </w:r>
    </w:p>
    <w:p>
      <w:pPr>
        <w:spacing w:before="0" w:after="0" w:line="240" w:lineRule="exact"/>
        <w:ind w:left="-142" w:right="-2"/>
        <w:jc w:val="both"/>
        <w:rPr>
          <w:rFonts w:ascii="Tahoma" w:hAnsi="Tahoma" w:cs="Tahoma"/>
          <w:b/>
          <w:color w:val="auto"/>
          <w:sz w:val="19"/>
          <w:szCs w:val="19"/>
          <w:highlight w:val="none"/>
          <w:u w:val="single"/>
        </w:rPr>
      </w:pPr>
    </w:p>
    <w:p>
      <w:pPr>
        <w:pStyle w:val="47"/>
        <w:spacing w:before="0" w:after="0" w:line="240" w:lineRule="exact"/>
        <w:ind w:left="-142" w:right="-2"/>
        <w:rPr>
          <w:rFonts w:cs="Arial"/>
          <w:b/>
          <w:color w:val="auto"/>
          <w:sz w:val="20"/>
          <w:szCs w:val="20"/>
          <w:highlight w:val="none"/>
          <w:u w:val="single"/>
        </w:rPr>
      </w:pPr>
      <w:r>
        <w:rPr>
          <w:rFonts w:cs="Arial"/>
          <w:b/>
          <w:color w:val="auto"/>
          <w:sz w:val="20"/>
          <w:szCs w:val="20"/>
          <w:highlight w:val="none"/>
          <w:u w:val="single"/>
        </w:rPr>
        <w:t>CLÁUSULA 1</w:t>
      </w:r>
      <w:r>
        <w:rPr>
          <w:rFonts w:hint="default" w:cs="Arial"/>
          <w:b/>
          <w:color w:val="auto"/>
          <w:sz w:val="20"/>
          <w:szCs w:val="20"/>
          <w:highlight w:val="none"/>
          <w:u w:val="single"/>
          <w:lang w:val="pt-BR"/>
        </w:rPr>
        <w:t>3</w:t>
      </w:r>
      <w:r>
        <w:rPr>
          <w:rFonts w:cs="Arial"/>
          <w:b/>
          <w:color w:val="auto"/>
          <w:sz w:val="20"/>
          <w:szCs w:val="20"/>
          <w:highlight w:val="none"/>
          <w:u w:val="single"/>
        </w:rPr>
        <w:t>ª – DO FORO</w:t>
      </w:r>
    </w:p>
    <w:p>
      <w:pPr>
        <w:pStyle w:val="47"/>
        <w:spacing w:before="0" w:after="0" w:line="240" w:lineRule="exact"/>
        <w:ind w:left="-142" w:right="-2"/>
        <w:rPr>
          <w:rFonts w:cs="Arial"/>
          <w:b/>
          <w:color w:val="auto"/>
          <w:sz w:val="20"/>
          <w:szCs w:val="20"/>
          <w:highlight w:val="none"/>
          <w:u w:val="single"/>
        </w:rPr>
      </w:pPr>
    </w:p>
    <w:p>
      <w:pPr>
        <w:pStyle w:val="47"/>
        <w:spacing w:before="0" w:after="0" w:line="240" w:lineRule="exact"/>
        <w:ind w:left="-142" w:right="-2"/>
        <w:jc w:val="both"/>
        <w:rPr>
          <w:rFonts w:cs="Arial"/>
          <w:color w:val="auto"/>
          <w:sz w:val="20"/>
          <w:szCs w:val="20"/>
          <w:highlight w:val="none"/>
        </w:rPr>
      </w:pPr>
      <w:r>
        <w:rPr>
          <w:rFonts w:cs="Arial"/>
          <w:color w:val="auto"/>
          <w:sz w:val="20"/>
          <w:szCs w:val="20"/>
          <w:highlight w:val="none"/>
        </w:rPr>
        <w:t>Para dirimir questões que resultem deste Contrato, a CONTRATANTE e a CONTRATADA, elegem o Foro da Comarca de Itapeva, com renúncia expressa de qualquer outro por mais privilegiado que o seja.</w:t>
      </w:r>
    </w:p>
    <w:p>
      <w:pPr>
        <w:spacing w:before="0" w:after="0" w:line="240" w:lineRule="exact"/>
        <w:ind w:left="-142" w:right="-2"/>
        <w:jc w:val="both"/>
        <w:rPr>
          <w:rFonts w:cs="Arial"/>
          <w:color w:val="auto"/>
          <w:sz w:val="20"/>
          <w:szCs w:val="20"/>
          <w:highlight w:val="none"/>
        </w:rPr>
      </w:pPr>
    </w:p>
    <w:p>
      <w:pPr>
        <w:spacing w:before="0" w:after="0" w:line="240" w:lineRule="exact"/>
        <w:ind w:left="-142" w:right="-2"/>
        <w:jc w:val="both"/>
        <w:rPr>
          <w:rFonts w:cs="Arial"/>
          <w:color w:val="auto"/>
          <w:sz w:val="20"/>
          <w:szCs w:val="20"/>
          <w:highlight w:val="none"/>
        </w:rPr>
      </w:pPr>
      <w:r>
        <w:rPr>
          <w:rFonts w:cs="Arial"/>
          <w:color w:val="auto"/>
          <w:sz w:val="20"/>
          <w:szCs w:val="20"/>
          <w:highlight w:val="none"/>
        </w:rPr>
        <w:t>E por estarem de acordo com todas as cláusulas aqui contidas, vai assinado pelos representantes legais das partes, inicialmente nomeados, juntamente com duas testemunhas.</w:t>
      </w:r>
    </w:p>
    <w:p>
      <w:pPr>
        <w:spacing w:before="0" w:after="0" w:line="240" w:lineRule="exact"/>
        <w:ind w:left="-142" w:right="-2"/>
        <w:jc w:val="right"/>
        <w:rPr>
          <w:rFonts w:cs="Arial"/>
          <w:color w:val="auto"/>
          <w:sz w:val="20"/>
          <w:szCs w:val="20"/>
          <w:highlight w:val="none"/>
        </w:rPr>
      </w:pPr>
    </w:p>
    <w:p>
      <w:pPr>
        <w:spacing w:before="0" w:after="0" w:line="240" w:lineRule="exact"/>
        <w:ind w:left="-142" w:right="-2"/>
        <w:jc w:val="right"/>
        <w:rPr>
          <w:rFonts w:cs="Arial"/>
          <w:color w:val="auto"/>
          <w:sz w:val="20"/>
          <w:szCs w:val="20"/>
          <w:highlight w:val="none"/>
        </w:rPr>
      </w:pPr>
      <w:r>
        <w:rPr>
          <w:rFonts w:cs="Arial"/>
          <w:color w:val="auto"/>
          <w:sz w:val="20"/>
          <w:szCs w:val="20"/>
          <w:highlight w:val="none"/>
        </w:rPr>
        <w:t>Itapeva, __ de ___________ de 2023.</w:t>
      </w:r>
    </w:p>
    <w:p>
      <w:pPr>
        <w:spacing w:before="0" w:after="0" w:line="240" w:lineRule="exact"/>
        <w:jc w:val="center"/>
        <w:rPr>
          <w:rFonts w:ascii="Arial Narrow" w:hAnsi="Arial Narrow" w:cs="Arial"/>
          <w:b/>
          <w:color w:val="auto"/>
          <w:szCs w:val="22"/>
          <w:highlight w:val="none"/>
          <w:u w:val="single"/>
        </w:rPr>
      </w:pPr>
    </w:p>
    <w:p>
      <w:pPr>
        <w:spacing w:before="0" w:after="0"/>
        <w:rPr>
          <w:rFonts w:ascii="Arial Narrow" w:hAnsi="Arial Narrow"/>
          <w:color w:val="auto"/>
          <w:sz w:val="20"/>
          <w:szCs w:val="20"/>
          <w:highlight w:val="none"/>
          <w:u w:val="single"/>
        </w:rPr>
      </w:pPr>
    </w:p>
    <w:p>
      <w:pPr>
        <w:spacing w:before="0" w:after="0"/>
        <w:rPr>
          <w:rFonts w:ascii="Arial Narrow" w:hAnsi="Arial Narrow"/>
          <w:color w:val="auto"/>
          <w:sz w:val="20"/>
          <w:szCs w:val="20"/>
          <w:highlight w:val="none"/>
          <w:u w:val="single"/>
        </w:rPr>
      </w:pPr>
    </w:p>
    <w:p>
      <w:pPr>
        <w:spacing w:before="0" w:after="0"/>
        <w:rPr>
          <w:rFonts w:ascii="Arial Narrow" w:hAnsi="Arial Narrow"/>
          <w:color w:val="auto"/>
          <w:sz w:val="20"/>
          <w:szCs w:val="20"/>
          <w:highlight w:val="none"/>
          <w:u w:val="single"/>
        </w:rPr>
      </w:pPr>
    </w:p>
    <w:p>
      <w:pPr>
        <w:spacing w:before="0" w:after="0"/>
        <w:rPr>
          <w:rFonts w:ascii="Arial Narrow" w:hAnsi="Arial Narrow"/>
          <w:color w:val="auto"/>
          <w:sz w:val="20"/>
          <w:szCs w:val="20"/>
          <w:highlight w:val="none"/>
          <w:u w:val="single"/>
        </w:rPr>
      </w:pPr>
    </w:p>
    <w:p>
      <w:pPr>
        <w:spacing w:before="0" w:after="0"/>
        <w:rPr>
          <w:rFonts w:ascii="Arial Narrow" w:hAnsi="Arial Narrow"/>
          <w:color w:val="auto"/>
          <w:sz w:val="20"/>
          <w:szCs w:val="20"/>
          <w:highlight w:val="none"/>
          <w:u w:val="single"/>
        </w:rPr>
      </w:pPr>
    </w:p>
    <w:p>
      <w:pPr>
        <w:spacing w:before="0" w:after="0"/>
        <w:rPr>
          <w:rFonts w:ascii="Arial Narrow" w:hAnsi="Arial Narrow"/>
          <w:color w:val="auto"/>
          <w:sz w:val="20"/>
          <w:szCs w:val="20"/>
          <w:highlight w:val="none"/>
          <w:u w:val="single"/>
        </w:rPr>
      </w:pPr>
    </w:p>
    <w:p>
      <w:pPr>
        <w:spacing w:before="0" w:after="0"/>
        <w:rPr>
          <w:rFonts w:ascii="Arial Narrow" w:hAnsi="Arial Narrow"/>
          <w:color w:val="auto"/>
          <w:sz w:val="20"/>
          <w:szCs w:val="20"/>
          <w:highlight w:val="none"/>
          <w:u w:val="single"/>
        </w:rPr>
      </w:pPr>
    </w:p>
    <w:tbl>
      <w:tblPr>
        <w:tblStyle w:val="3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818"/>
        <w:gridCol w:w="48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818" w:type="dxa"/>
          </w:tcPr>
          <w:p>
            <w:pPr>
              <w:spacing w:before="0" w:after="0"/>
              <w:jc w:val="center"/>
              <w:rPr>
                <w:rFonts w:ascii="Arial Narrow" w:hAnsi="Arial Narrow" w:cs="Arial"/>
                <w:b/>
                <w:color w:val="auto"/>
                <w:sz w:val="20"/>
                <w:szCs w:val="20"/>
                <w:highlight w:val="none"/>
              </w:rPr>
            </w:pPr>
            <w:r>
              <w:rPr>
                <w:rFonts w:ascii="Arial Narrow" w:hAnsi="Arial Narrow"/>
                <w:b/>
                <w:color w:val="auto"/>
                <w:sz w:val="20"/>
                <w:szCs w:val="20"/>
                <w:highlight w:val="none"/>
              </w:rPr>
              <w:t>MÁRIO SÉRGIO TASSINARI</w:t>
            </w:r>
          </w:p>
          <w:p>
            <w:pPr>
              <w:spacing w:before="0" w:after="0"/>
              <w:jc w:val="center"/>
              <w:rPr>
                <w:rFonts w:ascii="Arial Narrow" w:hAnsi="Arial Narrow" w:cs="Arial"/>
                <w:color w:val="auto"/>
                <w:sz w:val="20"/>
                <w:szCs w:val="20"/>
                <w:highlight w:val="none"/>
              </w:rPr>
            </w:pPr>
            <w:r>
              <w:rPr>
                <w:rFonts w:ascii="Arial Narrow" w:hAnsi="Arial Narrow" w:cs="Arial"/>
                <w:color w:val="auto"/>
                <w:sz w:val="20"/>
                <w:szCs w:val="20"/>
                <w:highlight w:val="none"/>
              </w:rPr>
              <w:t>Prefeito Municipal</w:t>
            </w:r>
          </w:p>
          <w:p>
            <w:pPr>
              <w:spacing w:before="0" w:after="0"/>
              <w:jc w:val="center"/>
              <w:rPr>
                <w:rFonts w:ascii="Arial Narrow" w:hAnsi="Arial Narrow"/>
                <w:b/>
                <w:color w:val="auto"/>
                <w:sz w:val="20"/>
                <w:szCs w:val="20"/>
                <w:highlight w:val="none"/>
              </w:rPr>
            </w:pPr>
            <w:r>
              <w:rPr>
                <w:rFonts w:ascii="Arial Narrow" w:hAnsi="Arial Narrow" w:cs="Arial"/>
                <w:color w:val="auto"/>
                <w:sz w:val="20"/>
                <w:szCs w:val="20"/>
                <w:highlight w:val="none"/>
              </w:rPr>
              <w:t>CPF. Nº 015.384.138-92</w:t>
            </w:r>
          </w:p>
        </w:tc>
        <w:tc>
          <w:tcPr>
            <w:tcW w:w="4819" w:type="dxa"/>
          </w:tcPr>
          <w:p>
            <w:pPr>
              <w:spacing w:before="0" w:after="0"/>
              <w:jc w:val="center"/>
              <w:rPr>
                <w:rFonts w:ascii="Arial Narrow" w:hAnsi="Arial Narrow"/>
                <w:b/>
                <w:color w:val="auto"/>
                <w:sz w:val="20"/>
                <w:szCs w:val="20"/>
                <w:highlight w:val="none"/>
              </w:rPr>
            </w:pPr>
            <w:r>
              <w:rPr>
                <w:rFonts w:ascii="Arial Narrow" w:hAnsi="Arial Narrow"/>
                <w:b/>
                <w:color w:val="auto"/>
                <w:sz w:val="20"/>
                <w:szCs w:val="20"/>
                <w:highlight w:val="none"/>
              </w:rPr>
              <w:t>NOME DO REPRESENTANTE</w:t>
            </w:r>
          </w:p>
          <w:p>
            <w:pPr>
              <w:spacing w:before="0" w:after="0"/>
              <w:jc w:val="center"/>
              <w:rPr>
                <w:rFonts w:ascii="Arial Narrow" w:hAnsi="Arial Narrow"/>
                <w:color w:val="auto"/>
                <w:sz w:val="20"/>
                <w:szCs w:val="20"/>
                <w:highlight w:val="none"/>
              </w:rPr>
            </w:pPr>
            <w:r>
              <w:rPr>
                <w:rFonts w:ascii="Arial Narrow" w:hAnsi="Arial Narrow"/>
                <w:color w:val="auto"/>
                <w:sz w:val="20"/>
                <w:szCs w:val="20"/>
                <w:highlight w:val="none"/>
              </w:rPr>
              <w:t>Empresa</w:t>
            </w:r>
          </w:p>
          <w:p>
            <w:pPr>
              <w:spacing w:before="0" w:after="0"/>
              <w:jc w:val="center"/>
              <w:rPr>
                <w:rFonts w:ascii="Arial Narrow" w:hAnsi="Arial Narrow" w:cs="Arial"/>
                <w:color w:val="auto"/>
                <w:sz w:val="20"/>
                <w:szCs w:val="20"/>
                <w:highlight w:val="none"/>
              </w:rPr>
            </w:pPr>
            <w:r>
              <w:rPr>
                <w:rFonts w:ascii="Arial Narrow" w:hAnsi="Arial Narrow" w:cs="Arial"/>
                <w:color w:val="auto"/>
                <w:sz w:val="20"/>
                <w:szCs w:val="20"/>
                <w:highlight w:val="none"/>
              </w:rPr>
              <w:t>CPF. Nº ___.___.___-__</w:t>
            </w:r>
          </w:p>
          <w:p>
            <w:pPr>
              <w:spacing w:before="0" w:after="0"/>
              <w:jc w:val="center"/>
              <w:rPr>
                <w:rFonts w:ascii="Arial Narrow" w:hAnsi="Arial Narrow"/>
                <w:b/>
                <w:color w:val="auto"/>
                <w:sz w:val="20"/>
                <w:szCs w:val="20"/>
                <w:highlight w:val="none"/>
                <w:u w:val="single"/>
              </w:rPr>
            </w:pPr>
          </w:p>
        </w:tc>
      </w:tr>
    </w:tbl>
    <w:p>
      <w:pPr>
        <w:rPr>
          <w:highlight w:val="none"/>
        </w:rPr>
      </w:pPr>
    </w:p>
    <w:p>
      <w:pPr>
        <w:rPr>
          <w:highlight w:val="none"/>
        </w:rPr>
      </w:pPr>
    </w:p>
    <w:p>
      <w:pPr>
        <w:rPr>
          <w:highlight w:val="none"/>
        </w:rPr>
      </w:pPr>
    </w:p>
    <w:p>
      <w:pPr>
        <w:rPr>
          <w:highlight w:val="none"/>
        </w:rPr>
      </w:pPr>
    </w:p>
    <w:tbl>
      <w:tblPr>
        <w:tblStyle w:val="3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818"/>
        <w:gridCol w:w="48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818" w:type="dxa"/>
          </w:tcPr>
          <w:p>
            <w:pPr>
              <w:spacing w:before="0" w:after="0"/>
              <w:jc w:val="center"/>
              <w:rPr>
                <w:rFonts w:ascii="Arial Narrow" w:hAnsi="Arial Narrow"/>
                <w:b/>
                <w:color w:val="auto"/>
                <w:sz w:val="20"/>
                <w:szCs w:val="20"/>
                <w:highlight w:val="none"/>
              </w:rPr>
            </w:pPr>
            <w:r>
              <w:rPr>
                <w:rFonts w:ascii="Arial Narrow" w:hAnsi="Arial Narrow"/>
                <w:b/>
                <w:color w:val="auto"/>
                <w:sz w:val="20"/>
                <w:szCs w:val="20"/>
                <w:highlight w:val="none"/>
              </w:rPr>
              <w:t>NOME DO SECRETÁRIO</w:t>
            </w:r>
          </w:p>
          <w:p>
            <w:pPr>
              <w:spacing w:before="0" w:after="0"/>
              <w:jc w:val="center"/>
              <w:rPr>
                <w:rFonts w:ascii="Arial Narrow" w:hAnsi="Arial Narrow"/>
                <w:color w:val="auto"/>
                <w:sz w:val="20"/>
                <w:szCs w:val="20"/>
                <w:highlight w:val="none"/>
              </w:rPr>
            </w:pPr>
            <w:r>
              <w:rPr>
                <w:rFonts w:ascii="Arial Narrow" w:hAnsi="Arial Narrow"/>
                <w:color w:val="auto"/>
                <w:sz w:val="20"/>
                <w:szCs w:val="20"/>
                <w:highlight w:val="none"/>
              </w:rPr>
              <w:t>Secretário Municipal de __________</w:t>
            </w:r>
          </w:p>
          <w:p>
            <w:pPr>
              <w:spacing w:before="0" w:after="0"/>
              <w:jc w:val="center"/>
              <w:rPr>
                <w:rFonts w:ascii="Arial Narrow" w:hAnsi="Arial Narrow"/>
                <w:color w:val="auto"/>
                <w:sz w:val="20"/>
                <w:szCs w:val="20"/>
                <w:highlight w:val="none"/>
                <w:u w:val="single"/>
              </w:rPr>
            </w:pPr>
            <w:r>
              <w:rPr>
                <w:rFonts w:ascii="Arial Narrow" w:hAnsi="Arial Narrow" w:cs="Arial"/>
                <w:color w:val="auto"/>
                <w:sz w:val="20"/>
                <w:szCs w:val="20"/>
                <w:highlight w:val="none"/>
              </w:rPr>
              <w:t>CPF. Nº ___.___.___-__</w:t>
            </w:r>
          </w:p>
        </w:tc>
        <w:tc>
          <w:tcPr>
            <w:tcW w:w="4819" w:type="dxa"/>
          </w:tcPr>
          <w:p>
            <w:pPr>
              <w:spacing w:before="0" w:after="0"/>
              <w:jc w:val="center"/>
              <w:rPr>
                <w:rFonts w:ascii="Arial Narrow" w:hAnsi="Arial Narrow"/>
                <w:b/>
                <w:color w:val="auto"/>
                <w:sz w:val="20"/>
                <w:szCs w:val="20"/>
                <w:highlight w:val="none"/>
              </w:rPr>
            </w:pPr>
            <w:r>
              <w:rPr>
                <w:rFonts w:ascii="Arial Narrow" w:hAnsi="Arial Narrow"/>
                <w:b/>
                <w:color w:val="auto"/>
                <w:sz w:val="20"/>
                <w:szCs w:val="20"/>
                <w:highlight w:val="none"/>
              </w:rPr>
              <w:t>NOME DO AGENTE FISCAL</w:t>
            </w:r>
          </w:p>
          <w:p>
            <w:pPr>
              <w:spacing w:before="0" w:after="0"/>
              <w:jc w:val="center"/>
              <w:rPr>
                <w:rFonts w:ascii="Arial Narrow" w:hAnsi="Arial Narrow"/>
                <w:color w:val="auto"/>
                <w:sz w:val="20"/>
                <w:szCs w:val="20"/>
                <w:highlight w:val="none"/>
              </w:rPr>
            </w:pPr>
            <w:r>
              <w:rPr>
                <w:rFonts w:ascii="Arial Narrow" w:hAnsi="Arial Narrow"/>
                <w:color w:val="auto"/>
                <w:sz w:val="20"/>
                <w:szCs w:val="20"/>
                <w:highlight w:val="none"/>
              </w:rPr>
              <w:t>Agente Fiscal</w:t>
            </w:r>
          </w:p>
          <w:p>
            <w:pPr>
              <w:spacing w:before="0" w:after="0"/>
              <w:jc w:val="center"/>
              <w:rPr>
                <w:rFonts w:ascii="Arial Narrow" w:hAnsi="Arial Narrow"/>
                <w:b/>
                <w:color w:val="auto"/>
                <w:sz w:val="20"/>
                <w:szCs w:val="20"/>
                <w:highlight w:val="none"/>
                <w:u w:val="single"/>
              </w:rPr>
            </w:pPr>
            <w:r>
              <w:rPr>
                <w:rFonts w:ascii="Arial Narrow" w:hAnsi="Arial Narrow" w:cs="Arial"/>
                <w:color w:val="auto"/>
                <w:sz w:val="20"/>
                <w:szCs w:val="20"/>
                <w:highlight w:val="none"/>
              </w:rPr>
              <w:t>CPF. Nº ___.___.___-__</w:t>
            </w:r>
          </w:p>
        </w:tc>
      </w:tr>
    </w:tbl>
    <w:p>
      <w:pPr>
        <w:spacing w:before="0" w:after="0"/>
        <w:rPr>
          <w:rFonts w:ascii="Arial Narrow" w:hAnsi="Arial Narrow"/>
          <w:color w:val="auto"/>
          <w:sz w:val="20"/>
          <w:szCs w:val="20"/>
          <w:highlight w:val="none"/>
          <w:u w:val="single"/>
        </w:rPr>
        <w:sectPr>
          <w:pgSz w:w="11906" w:h="16838"/>
          <w:pgMar w:top="714" w:right="991" w:bottom="714" w:left="1418" w:header="397" w:footer="244" w:gutter="0"/>
          <w:cols w:space="720" w:num="1"/>
          <w:docGrid w:linePitch="299" w:charSpace="0"/>
        </w:sectPr>
      </w:pPr>
    </w:p>
    <w:p>
      <w:pPr>
        <w:spacing w:before="0" w:after="0"/>
        <w:jc w:val="center"/>
        <w:rPr>
          <w:b/>
          <w:color w:val="auto"/>
          <w:sz w:val="20"/>
          <w:szCs w:val="20"/>
          <w:highlight w:val="none"/>
          <w:u w:val="single"/>
        </w:rPr>
      </w:pPr>
      <w:r>
        <w:rPr>
          <w:b/>
          <w:color w:val="auto"/>
          <w:sz w:val="20"/>
          <w:szCs w:val="20"/>
          <w:highlight w:val="none"/>
          <w:u w:val="single"/>
        </w:rPr>
        <w:t>TERMO DE CIÊNCIA E NOTIFICAÇÃO</w:t>
      </w:r>
    </w:p>
    <w:p>
      <w:pPr>
        <w:jc w:val="center"/>
        <w:rPr>
          <w:bCs/>
          <w:color w:val="auto"/>
          <w:highlight w:val="none"/>
        </w:rPr>
      </w:pPr>
    </w:p>
    <w:p>
      <w:pPr>
        <w:rPr>
          <w:bCs/>
          <w:color w:val="auto"/>
          <w:highlight w:val="none"/>
        </w:rPr>
      </w:pPr>
    </w:p>
    <w:p>
      <w:pPr>
        <w:spacing w:before="0" w:after="0" w:line="360" w:lineRule="auto"/>
        <w:ind w:left="-142"/>
        <w:rPr>
          <w:bCs/>
          <w:color w:val="auto"/>
          <w:sz w:val="20"/>
          <w:szCs w:val="20"/>
          <w:highlight w:val="none"/>
        </w:rPr>
      </w:pPr>
      <w:r>
        <w:rPr>
          <w:bCs/>
          <w:color w:val="auto"/>
          <w:sz w:val="20"/>
          <w:szCs w:val="20"/>
          <w:highlight w:val="none"/>
        </w:rPr>
        <w:t xml:space="preserve">CONTRATANTE: </w:t>
      </w:r>
      <w:r>
        <w:rPr>
          <w:b/>
          <w:bCs/>
          <w:color w:val="auto"/>
          <w:sz w:val="20"/>
          <w:szCs w:val="20"/>
          <w:highlight w:val="none"/>
        </w:rPr>
        <w:t>PREFEITURA MUNICIPAL DE ITAPEVA</w:t>
      </w:r>
    </w:p>
    <w:p>
      <w:pPr>
        <w:spacing w:before="0" w:after="0" w:line="360" w:lineRule="auto"/>
        <w:ind w:left="-142"/>
        <w:rPr>
          <w:bCs/>
          <w:color w:val="auto"/>
          <w:sz w:val="20"/>
          <w:szCs w:val="20"/>
          <w:highlight w:val="none"/>
        </w:rPr>
      </w:pPr>
      <w:r>
        <w:rPr>
          <w:bCs/>
          <w:color w:val="auto"/>
          <w:sz w:val="20"/>
          <w:szCs w:val="20"/>
          <w:highlight w:val="none"/>
        </w:rPr>
        <w:t>CONTRATADA: ________________________________________</w:t>
      </w:r>
    </w:p>
    <w:p>
      <w:pPr>
        <w:spacing w:before="0" w:after="0" w:line="360" w:lineRule="auto"/>
        <w:ind w:left="-142" w:right="423"/>
        <w:rPr>
          <w:rFonts w:cs="Arial"/>
          <w:color w:val="auto"/>
          <w:sz w:val="20"/>
          <w:szCs w:val="20"/>
          <w:highlight w:val="none"/>
        </w:rPr>
      </w:pPr>
      <w:r>
        <w:rPr>
          <w:rFonts w:cs="Arial"/>
          <w:color w:val="auto"/>
          <w:sz w:val="20"/>
          <w:szCs w:val="20"/>
          <w:highlight w:val="none"/>
        </w:rPr>
        <w:t>CONTRATO Nº __/2023</w:t>
      </w:r>
      <w:r>
        <w:rPr>
          <w:rFonts w:cs="Arial"/>
          <w:color w:val="auto"/>
          <w:sz w:val="20"/>
          <w:szCs w:val="20"/>
          <w:highlight w:val="none"/>
        </w:rPr>
        <w:br w:type="textWrapping"/>
      </w:r>
      <w:r>
        <w:rPr>
          <w:rFonts w:cs="Arial"/>
          <w:color w:val="auto"/>
          <w:sz w:val="20"/>
          <w:szCs w:val="20"/>
          <w:highlight w:val="none"/>
        </w:rPr>
        <w:t xml:space="preserve">PREGÃO ELETRÔNICO Nº </w:t>
      </w:r>
      <w:r>
        <w:rPr>
          <w:rFonts w:hint="default" w:cs="Arial"/>
          <w:color w:val="auto"/>
          <w:sz w:val="20"/>
          <w:szCs w:val="20"/>
          <w:highlight w:val="none"/>
          <w:lang w:val="pt-BR"/>
        </w:rPr>
        <w:t>31</w:t>
      </w:r>
      <w:r>
        <w:rPr>
          <w:rFonts w:cs="Arial"/>
          <w:color w:val="auto"/>
          <w:sz w:val="20"/>
          <w:szCs w:val="20"/>
          <w:highlight w:val="none"/>
        </w:rPr>
        <w:t>/2023</w:t>
      </w:r>
    </w:p>
    <w:p>
      <w:pPr>
        <w:spacing w:before="0" w:after="0" w:line="360" w:lineRule="auto"/>
        <w:ind w:left="-142" w:right="423"/>
        <w:rPr>
          <w:rFonts w:cs="Arial"/>
          <w:color w:val="auto"/>
          <w:sz w:val="20"/>
          <w:szCs w:val="20"/>
          <w:highlight w:val="none"/>
        </w:rPr>
      </w:pPr>
      <w:r>
        <w:rPr>
          <w:rFonts w:cs="Arial"/>
          <w:color w:val="auto"/>
          <w:sz w:val="20"/>
          <w:szCs w:val="20"/>
          <w:highlight w:val="none"/>
        </w:rPr>
        <w:t>OBJETO: AQUISIÇÃO DE EQUIPAMENTOS ODONTOLÓGICOS.</w:t>
      </w:r>
    </w:p>
    <w:p>
      <w:pPr>
        <w:spacing w:line="276" w:lineRule="auto"/>
        <w:rPr>
          <w:rFonts w:eastAsia="Calibri" w:cs="Arial"/>
          <w:sz w:val="20"/>
          <w:szCs w:val="20"/>
          <w:highlight w:val="none"/>
        </w:rPr>
      </w:pPr>
      <w:bookmarkStart w:id="241" w:name="_Hlk95394973"/>
      <w:bookmarkStart w:id="242" w:name="_Hlk98169115"/>
      <w:bookmarkStart w:id="243" w:name="_Toc480904814"/>
      <w:r>
        <w:rPr>
          <w:rFonts w:eastAsia="Calibri" w:cs="Arial"/>
          <w:sz w:val="20"/>
          <w:szCs w:val="20"/>
          <w:highlight w:val="none"/>
        </w:rPr>
        <w:t>ADVOGADO (S)/ Nº OAB/email: (*)______________________________________</w:t>
      </w:r>
    </w:p>
    <w:bookmarkEnd w:id="241"/>
    <w:p>
      <w:pPr>
        <w:spacing w:line="276" w:lineRule="auto"/>
        <w:rPr>
          <w:rFonts w:eastAsia="Calibri" w:cs="Arial"/>
          <w:sz w:val="20"/>
          <w:szCs w:val="20"/>
          <w:highlight w:val="none"/>
        </w:rPr>
      </w:pPr>
    </w:p>
    <w:p>
      <w:pPr>
        <w:spacing w:line="276" w:lineRule="auto"/>
        <w:rPr>
          <w:rFonts w:eastAsia="Calibri" w:cs="Arial"/>
          <w:sz w:val="20"/>
          <w:szCs w:val="20"/>
          <w:highlight w:val="none"/>
        </w:rPr>
      </w:pPr>
      <w:r>
        <w:rPr>
          <w:rFonts w:eastAsia="Calibri" w:cs="Arial"/>
          <w:sz w:val="20"/>
          <w:szCs w:val="20"/>
          <w:highlight w:val="none"/>
        </w:rPr>
        <w:t>Pelo presente TERMO, nós, abaixo identificados:</w:t>
      </w:r>
    </w:p>
    <w:p>
      <w:pPr>
        <w:spacing w:line="276" w:lineRule="auto"/>
        <w:rPr>
          <w:rFonts w:eastAsia="Calibri" w:cs="Arial"/>
          <w:b/>
          <w:sz w:val="20"/>
          <w:szCs w:val="20"/>
          <w:highlight w:val="none"/>
        </w:rPr>
      </w:pPr>
      <w:r>
        <w:rPr>
          <w:rFonts w:eastAsia="Calibri" w:cs="Arial"/>
          <w:b/>
          <w:sz w:val="20"/>
          <w:szCs w:val="20"/>
          <w:highlight w:val="none"/>
        </w:rPr>
        <w:t>1.</w:t>
      </w:r>
      <w:r>
        <w:rPr>
          <w:rFonts w:eastAsia="Calibri" w:cs="Arial"/>
          <w:b/>
          <w:sz w:val="20"/>
          <w:szCs w:val="20"/>
          <w:highlight w:val="none"/>
        </w:rPr>
        <w:tab/>
      </w:r>
      <w:r>
        <w:rPr>
          <w:rFonts w:eastAsia="Calibri" w:cs="Arial"/>
          <w:b/>
          <w:sz w:val="20"/>
          <w:szCs w:val="20"/>
          <w:highlight w:val="none"/>
        </w:rPr>
        <w:t>Estamos CIENTES de que:</w:t>
      </w:r>
    </w:p>
    <w:p>
      <w:pPr>
        <w:spacing w:line="276" w:lineRule="auto"/>
        <w:rPr>
          <w:rFonts w:eastAsia="Calibri" w:cs="Arial"/>
          <w:sz w:val="20"/>
          <w:szCs w:val="20"/>
          <w:highlight w:val="none"/>
        </w:rPr>
      </w:pPr>
      <w:r>
        <w:rPr>
          <w:rFonts w:eastAsia="Calibri" w:cs="Arial"/>
          <w:sz w:val="20"/>
          <w:szCs w:val="20"/>
          <w:highlight w:val="none"/>
        </w:rPr>
        <w:t>a)</w:t>
      </w:r>
      <w:r>
        <w:rPr>
          <w:rFonts w:eastAsia="Calibri" w:cs="Arial"/>
          <w:sz w:val="20"/>
          <w:szCs w:val="20"/>
          <w:highlight w:val="none"/>
        </w:rPr>
        <w:tab/>
      </w:r>
      <w:r>
        <w:rPr>
          <w:rFonts w:eastAsia="Calibri" w:cs="Arial"/>
          <w:sz w:val="20"/>
          <w:szCs w:val="20"/>
          <w:highlight w:val="none"/>
        </w:rPr>
        <w:t>o ajuste acima referido, seus aditamentos, bem como o acompanhamento de sua execução contratual, estarão sujeitos a análise e julgamento pelo Tribunal de Contas do Estado de São Paulo, cujo trâmite processual ocorrerá pelo sistema eletrônico;</w:t>
      </w:r>
    </w:p>
    <w:p>
      <w:pPr>
        <w:spacing w:line="276" w:lineRule="auto"/>
        <w:rPr>
          <w:rFonts w:eastAsia="Calibri" w:cs="Arial"/>
          <w:sz w:val="20"/>
          <w:szCs w:val="20"/>
          <w:highlight w:val="none"/>
        </w:rPr>
      </w:pPr>
      <w:r>
        <w:rPr>
          <w:rFonts w:eastAsia="Calibri" w:cs="Arial"/>
          <w:sz w:val="20"/>
          <w:szCs w:val="20"/>
          <w:highlight w:val="none"/>
        </w:rPr>
        <w:t>b)</w:t>
      </w:r>
      <w:r>
        <w:rPr>
          <w:rFonts w:eastAsia="Calibri" w:cs="Arial"/>
          <w:sz w:val="20"/>
          <w:szCs w:val="20"/>
          <w:highlight w:val="none"/>
        </w:rPr>
        <w:tab/>
      </w:r>
      <w:r>
        <w:rPr>
          <w:rFonts w:eastAsia="Calibri" w:cs="Arial"/>
          <w:sz w:val="20"/>
          <w:szCs w:val="20"/>
          <w:highlight w:val="none"/>
        </w:rPr>
        <w:t>poderemos ter acesso ao processo, tendo vista e extraindo cópias das manifestações de interesse, Despachos e Decisões, mediante regular cadastramento no Sistema de Processo Eletrônico, em consonância com o estabelecido na Resolução nº 01/2011 do TCESP;</w:t>
      </w:r>
    </w:p>
    <w:p>
      <w:pPr>
        <w:spacing w:line="276" w:lineRule="auto"/>
        <w:rPr>
          <w:rFonts w:eastAsia="Calibri" w:cs="Arial"/>
          <w:sz w:val="20"/>
          <w:szCs w:val="20"/>
          <w:highlight w:val="none"/>
        </w:rPr>
      </w:pPr>
      <w:r>
        <w:rPr>
          <w:rFonts w:eastAsia="Calibri" w:cs="Arial"/>
          <w:sz w:val="20"/>
          <w:szCs w:val="20"/>
          <w:highlight w:val="none"/>
        </w:rPr>
        <w:t>c)</w:t>
      </w:r>
      <w:r>
        <w:rPr>
          <w:rFonts w:eastAsia="Calibri" w:cs="Arial"/>
          <w:sz w:val="20"/>
          <w:szCs w:val="20"/>
          <w:highlight w:val="none"/>
        </w:rPr>
        <w:tab/>
      </w:r>
      <w:r>
        <w:rPr>
          <w:rFonts w:eastAsia="Calibri" w:cs="Arial"/>
          <w:sz w:val="20"/>
          <w:szCs w:val="20"/>
          <w:highlight w:val="none"/>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pPr>
        <w:spacing w:line="276" w:lineRule="auto"/>
        <w:rPr>
          <w:rFonts w:eastAsia="Calibri" w:cs="Arial"/>
          <w:sz w:val="20"/>
          <w:szCs w:val="20"/>
          <w:highlight w:val="none"/>
        </w:rPr>
      </w:pPr>
      <w:r>
        <w:rPr>
          <w:rFonts w:eastAsia="Calibri" w:cs="Arial"/>
          <w:sz w:val="20"/>
          <w:szCs w:val="20"/>
          <w:highlight w:val="none"/>
        </w:rPr>
        <w:t xml:space="preserve">d) as informações pessoais dos responsáveis pela </w:t>
      </w:r>
      <w:r>
        <w:rPr>
          <w:rFonts w:eastAsia="Calibri" w:cs="Arial"/>
          <w:sz w:val="20"/>
          <w:szCs w:val="20"/>
          <w:highlight w:val="none"/>
          <w:u w:val="single"/>
        </w:rPr>
        <w:t>contratante</w:t>
      </w:r>
      <w:r>
        <w:rPr>
          <w:rFonts w:eastAsia="Calibri" w:cs="Arial"/>
          <w:sz w:val="20"/>
          <w:szCs w:val="20"/>
          <w:highlight w:val="none"/>
        </w:rPr>
        <w:t xml:space="preserve"> estão cadastradas no módulo eletrônico do </w:t>
      </w:r>
      <w:r>
        <w:rPr>
          <w:rFonts w:cs="Arial"/>
          <w:sz w:val="20"/>
          <w:szCs w:val="20"/>
          <w:highlight w:val="none"/>
        </w:rPr>
        <w:t>“Cadastro Corporativo TCESP – CadTCESP”,</w:t>
      </w:r>
      <w:r>
        <w:rPr>
          <w:rFonts w:eastAsia="Calibri" w:cs="Arial"/>
          <w:sz w:val="20"/>
          <w:szCs w:val="20"/>
          <w:highlight w:val="none"/>
        </w:rPr>
        <w:t xml:space="preserve"> nos termos previstos no Artigo 2º das Instruções nº01/2020, conforme “Declaração(ões) de Atualização Cadastral” anexa (s);</w:t>
      </w:r>
    </w:p>
    <w:p>
      <w:pPr>
        <w:spacing w:line="276" w:lineRule="auto"/>
        <w:rPr>
          <w:rFonts w:eastAsia="Calibri" w:cs="Arial"/>
          <w:sz w:val="20"/>
          <w:szCs w:val="20"/>
          <w:highlight w:val="none"/>
        </w:rPr>
      </w:pPr>
      <w:r>
        <w:rPr>
          <w:rFonts w:eastAsia="Calibri" w:cs="Arial"/>
          <w:sz w:val="20"/>
          <w:szCs w:val="20"/>
          <w:highlight w:val="none"/>
        </w:rPr>
        <w:t>e) é de exclusiva responsabilidade do contratado manter seus dados sempre atualizados.</w:t>
      </w:r>
    </w:p>
    <w:p>
      <w:pPr>
        <w:spacing w:line="276" w:lineRule="auto"/>
        <w:rPr>
          <w:rFonts w:eastAsia="Calibri" w:cs="Arial"/>
          <w:b/>
          <w:sz w:val="20"/>
          <w:szCs w:val="20"/>
          <w:highlight w:val="none"/>
        </w:rPr>
      </w:pPr>
      <w:r>
        <w:rPr>
          <w:rFonts w:eastAsia="Calibri" w:cs="Arial"/>
          <w:b/>
          <w:sz w:val="20"/>
          <w:szCs w:val="20"/>
          <w:highlight w:val="none"/>
        </w:rPr>
        <w:t>2.</w:t>
      </w:r>
      <w:r>
        <w:rPr>
          <w:rFonts w:eastAsia="Calibri" w:cs="Arial"/>
          <w:b/>
          <w:sz w:val="20"/>
          <w:szCs w:val="20"/>
          <w:highlight w:val="none"/>
        </w:rPr>
        <w:tab/>
      </w:r>
      <w:r>
        <w:rPr>
          <w:rFonts w:eastAsia="Calibri" w:cs="Arial"/>
          <w:b/>
          <w:sz w:val="20"/>
          <w:szCs w:val="20"/>
          <w:highlight w:val="none"/>
        </w:rPr>
        <w:t>Damo-nos por NOTIFICADOS para:</w:t>
      </w:r>
    </w:p>
    <w:p>
      <w:pPr>
        <w:spacing w:line="276" w:lineRule="auto"/>
        <w:rPr>
          <w:rFonts w:eastAsia="Calibri" w:cs="Arial"/>
          <w:sz w:val="20"/>
          <w:szCs w:val="20"/>
          <w:highlight w:val="none"/>
        </w:rPr>
      </w:pPr>
      <w:r>
        <w:rPr>
          <w:rFonts w:eastAsia="Calibri" w:cs="Arial"/>
          <w:sz w:val="20"/>
          <w:szCs w:val="20"/>
          <w:highlight w:val="none"/>
        </w:rPr>
        <w:t>a)</w:t>
      </w:r>
      <w:r>
        <w:rPr>
          <w:rFonts w:eastAsia="Calibri" w:cs="Arial"/>
          <w:sz w:val="20"/>
          <w:szCs w:val="20"/>
          <w:highlight w:val="none"/>
        </w:rPr>
        <w:tab/>
      </w:r>
      <w:r>
        <w:rPr>
          <w:rFonts w:eastAsia="Calibri" w:cs="Arial"/>
          <w:sz w:val="20"/>
          <w:szCs w:val="20"/>
          <w:highlight w:val="none"/>
        </w:rPr>
        <w:t>O acompanhamento dos atos do processo até seu julgamento final e consequente publicação;</w:t>
      </w:r>
    </w:p>
    <w:p>
      <w:pPr>
        <w:spacing w:line="276" w:lineRule="auto"/>
        <w:rPr>
          <w:rFonts w:eastAsia="Calibri" w:cs="Arial"/>
          <w:sz w:val="20"/>
          <w:szCs w:val="20"/>
          <w:highlight w:val="none"/>
        </w:rPr>
      </w:pPr>
      <w:r>
        <w:rPr>
          <w:rFonts w:eastAsia="Calibri" w:cs="Arial"/>
          <w:sz w:val="20"/>
          <w:szCs w:val="20"/>
          <w:highlight w:val="none"/>
        </w:rPr>
        <w:t>b)</w:t>
      </w:r>
      <w:r>
        <w:rPr>
          <w:rFonts w:eastAsia="Calibri" w:cs="Arial"/>
          <w:sz w:val="20"/>
          <w:szCs w:val="20"/>
          <w:highlight w:val="none"/>
        </w:rPr>
        <w:tab/>
      </w:r>
      <w:r>
        <w:rPr>
          <w:rFonts w:eastAsia="Calibri" w:cs="Arial"/>
          <w:sz w:val="20"/>
          <w:szCs w:val="20"/>
          <w:highlight w:val="none"/>
        </w:rPr>
        <w:t>Se for o caso e de nosso interesse, nos prazos e nas formas legais e regimentais, exercer o direito de defesa, interpor recursos e o que mais couber.</w:t>
      </w:r>
    </w:p>
    <w:p>
      <w:pPr>
        <w:spacing w:line="276" w:lineRule="auto"/>
        <w:rPr>
          <w:rFonts w:eastAsia="Calibri" w:cs="Arial"/>
          <w:b/>
          <w:sz w:val="16"/>
          <w:szCs w:val="16"/>
          <w:highlight w:val="none"/>
        </w:rPr>
      </w:pPr>
    </w:p>
    <w:p>
      <w:pPr>
        <w:spacing w:line="276" w:lineRule="auto"/>
        <w:rPr>
          <w:rFonts w:eastAsia="Calibri" w:cs="Arial"/>
          <w:b/>
          <w:sz w:val="20"/>
          <w:szCs w:val="20"/>
          <w:highlight w:val="none"/>
        </w:rPr>
      </w:pPr>
      <w:r>
        <w:rPr>
          <w:rFonts w:eastAsia="Calibri" w:cs="Arial"/>
          <w:b/>
          <w:sz w:val="20"/>
          <w:szCs w:val="20"/>
          <w:highlight w:val="none"/>
        </w:rPr>
        <w:t>LOCAL e DATA: _________________________________________________</w:t>
      </w:r>
    </w:p>
    <w:p>
      <w:pPr>
        <w:spacing w:line="276" w:lineRule="auto"/>
        <w:rPr>
          <w:rFonts w:eastAsia="Calibri" w:cs="Arial"/>
          <w:b/>
          <w:sz w:val="16"/>
          <w:szCs w:val="16"/>
          <w:highlight w:val="none"/>
          <w:u w:val="single"/>
        </w:rPr>
      </w:pPr>
    </w:p>
    <w:p>
      <w:pPr>
        <w:spacing w:line="276" w:lineRule="auto"/>
        <w:rPr>
          <w:rFonts w:eastAsia="Calibri" w:cs="Arial"/>
          <w:b/>
          <w:sz w:val="20"/>
          <w:szCs w:val="20"/>
          <w:highlight w:val="none"/>
        </w:rPr>
      </w:pPr>
      <w:r>
        <w:rPr>
          <w:rFonts w:eastAsia="Calibri" w:cs="Arial"/>
          <w:b/>
          <w:sz w:val="20"/>
          <w:szCs w:val="20"/>
          <w:highlight w:val="none"/>
          <w:u w:val="single"/>
        </w:rPr>
        <w:t>AUTORIDADE MÁXIMA DO ÓRGÃO/ENTIDADE</w:t>
      </w:r>
      <w:r>
        <w:rPr>
          <w:rFonts w:eastAsia="Calibri" w:cs="Arial"/>
          <w:b/>
          <w:strike/>
          <w:sz w:val="20"/>
          <w:szCs w:val="20"/>
          <w:highlight w:val="none"/>
        </w:rPr>
        <w:t>:</w:t>
      </w:r>
    </w:p>
    <w:p>
      <w:pPr>
        <w:spacing w:line="276" w:lineRule="auto"/>
        <w:rPr>
          <w:rFonts w:eastAsia="Calibri" w:cs="Arial"/>
          <w:sz w:val="20"/>
          <w:szCs w:val="20"/>
          <w:highlight w:val="none"/>
        </w:rPr>
      </w:pPr>
      <w:r>
        <w:rPr>
          <w:rFonts w:eastAsia="Calibri" w:cs="Arial"/>
          <w:sz w:val="20"/>
          <w:szCs w:val="20"/>
          <w:highlight w:val="none"/>
        </w:rPr>
        <w:t>Nome: _________________________________________________________</w:t>
      </w:r>
    </w:p>
    <w:p>
      <w:pPr>
        <w:spacing w:line="276" w:lineRule="auto"/>
        <w:rPr>
          <w:rFonts w:eastAsia="Calibri" w:cs="Arial"/>
          <w:sz w:val="20"/>
          <w:szCs w:val="20"/>
          <w:highlight w:val="none"/>
        </w:rPr>
      </w:pPr>
      <w:r>
        <w:rPr>
          <w:rFonts w:eastAsia="Calibri" w:cs="Arial"/>
          <w:sz w:val="20"/>
          <w:szCs w:val="20"/>
          <w:highlight w:val="none"/>
        </w:rPr>
        <w:t>Cargo:__________________________________________________________</w:t>
      </w:r>
    </w:p>
    <w:p>
      <w:pPr>
        <w:spacing w:line="276" w:lineRule="auto"/>
        <w:rPr>
          <w:rFonts w:eastAsia="Calibri" w:cs="Arial"/>
          <w:strike/>
          <w:sz w:val="20"/>
          <w:szCs w:val="20"/>
          <w:highlight w:val="none"/>
        </w:rPr>
      </w:pPr>
      <w:r>
        <w:rPr>
          <w:rFonts w:eastAsia="Calibri" w:cs="Arial"/>
          <w:sz w:val="20"/>
          <w:szCs w:val="20"/>
          <w:highlight w:val="none"/>
        </w:rPr>
        <w:t xml:space="preserve">CPF: ____________________________ </w:t>
      </w:r>
    </w:p>
    <w:p>
      <w:pPr>
        <w:spacing w:line="276" w:lineRule="auto"/>
        <w:rPr>
          <w:rFonts w:eastAsia="Calibri" w:cs="Arial"/>
          <w:b/>
          <w:sz w:val="16"/>
          <w:szCs w:val="16"/>
          <w:highlight w:val="none"/>
          <w:u w:val="single"/>
        </w:rPr>
      </w:pPr>
    </w:p>
    <w:p>
      <w:pPr>
        <w:spacing w:line="276" w:lineRule="auto"/>
        <w:rPr>
          <w:rFonts w:eastAsia="Calibri" w:cs="Arial"/>
          <w:b/>
          <w:sz w:val="20"/>
          <w:szCs w:val="20"/>
          <w:highlight w:val="none"/>
          <w:u w:val="single"/>
        </w:rPr>
      </w:pPr>
      <w:r>
        <w:rPr>
          <w:rFonts w:eastAsia="Calibri" w:cs="Arial"/>
          <w:b/>
          <w:sz w:val="20"/>
          <w:szCs w:val="20"/>
          <w:highlight w:val="none"/>
          <w:u w:val="single"/>
        </w:rPr>
        <w:t>RESPONSÁVEIS PELA HOMOLOGAÇÃO DO CERTAME:</w:t>
      </w:r>
    </w:p>
    <w:p>
      <w:pPr>
        <w:spacing w:line="276" w:lineRule="auto"/>
        <w:rPr>
          <w:rFonts w:eastAsia="Calibri" w:cs="Arial"/>
          <w:sz w:val="20"/>
          <w:szCs w:val="20"/>
          <w:highlight w:val="none"/>
        </w:rPr>
      </w:pPr>
      <w:r>
        <w:rPr>
          <w:rFonts w:eastAsia="Calibri" w:cs="Arial"/>
          <w:sz w:val="20"/>
          <w:szCs w:val="20"/>
          <w:highlight w:val="none"/>
        </w:rPr>
        <w:t>Nome: _________________________________________________________</w:t>
      </w:r>
    </w:p>
    <w:p>
      <w:pPr>
        <w:spacing w:line="276" w:lineRule="auto"/>
        <w:rPr>
          <w:rFonts w:eastAsia="Calibri" w:cs="Arial"/>
          <w:sz w:val="20"/>
          <w:szCs w:val="20"/>
          <w:highlight w:val="none"/>
        </w:rPr>
      </w:pPr>
      <w:r>
        <w:rPr>
          <w:rFonts w:eastAsia="Calibri" w:cs="Arial"/>
          <w:sz w:val="20"/>
          <w:szCs w:val="20"/>
          <w:highlight w:val="none"/>
        </w:rPr>
        <w:t>Cargo:__________________________________________________________</w:t>
      </w:r>
    </w:p>
    <w:p>
      <w:pPr>
        <w:spacing w:line="276" w:lineRule="auto"/>
        <w:rPr>
          <w:rFonts w:eastAsia="Calibri" w:cs="Arial"/>
          <w:strike/>
          <w:sz w:val="20"/>
          <w:szCs w:val="20"/>
          <w:highlight w:val="none"/>
        </w:rPr>
      </w:pPr>
      <w:r>
        <w:rPr>
          <w:rFonts w:eastAsia="Calibri" w:cs="Arial"/>
          <w:sz w:val="20"/>
          <w:szCs w:val="20"/>
          <w:highlight w:val="none"/>
        </w:rPr>
        <w:t xml:space="preserve">CPF: ____________________________ </w:t>
      </w:r>
    </w:p>
    <w:p>
      <w:pPr>
        <w:spacing w:line="276" w:lineRule="auto"/>
        <w:rPr>
          <w:rFonts w:eastAsia="Calibri" w:cs="Arial"/>
          <w:sz w:val="20"/>
          <w:szCs w:val="20"/>
          <w:highlight w:val="none"/>
        </w:rPr>
      </w:pPr>
      <w:r>
        <w:rPr>
          <w:rFonts w:eastAsia="Calibri" w:cs="Arial"/>
          <w:sz w:val="20"/>
          <w:szCs w:val="20"/>
          <w:highlight w:val="none"/>
        </w:rPr>
        <w:t>Assinatura: ______________________________________________________</w:t>
      </w:r>
    </w:p>
    <w:p>
      <w:pPr>
        <w:spacing w:line="276" w:lineRule="auto"/>
        <w:rPr>
          <w:rFonts w:eastAsia="Calibri" w:cs="Arial"/>
          <w:b/>
          <w:sz w:val="24"/>
          <w:highlight w:val="none"/>
          <w:u w:val="single"/>
        </w:rPr>
      </w:pPr>
    </w:p>
    <w:p>
      <w:pPr>
        <w:spacing w:line="276" w:lineRule="auto"/>
        <w:rPr>
          <w:rFonts w:eastAsia="Calibri" w:cs="Arial"/>
          <w:b/>
          <w:sz w:val="20"/>
          <w:szCs w:val="20"/>
          <w:highlight w:val="none"/>
          <w:u w:val="single"/>
        </w:rPr>
      </w:pPr>
      <w:r>
        <w:rPr>
          <w:rFonts w:eastAsia="Calibri" w:cs="Arial"/>
          <w:b/>
          <w:sz w:val="20"/>
          <w:szCs w:val="20"/>
          <w:highlight w:val="none"/>
          <w:u w:val="single"/>
        </w:rPr>
        <w:t>RESPONSÁVEIS QUE ASSINARAM O AJUSTE:</w:t>
      </w:r>
    </w:p>
    <w:p>
      <w:pPr>
        <w:spacing w:line="276" w:lineRule="auto"/>
        <w:rPr>
          <w:rFonts w:eastAsia="Calibri" w:cs="Arial"/>
          <w:b/>
          <w:sz w:val="20"/>
          <w:szCs w:val="20"/>
          <w:highlight w:val="none"/>
        </w:rPr>
      </w:pPr>
      <w:r>
        <w:rPr>
          <w:rFonts w:eastAsia="Calibri" w:cs="Arial"/>
          <w:b/>
          <w:sz w:val="20"/>
          <w:szCs w:val="20"/>
          <w:highlight w:val="none"/>
          <w:u w:val="single"/>
        </w:rPr>
        <w:t>Pelo contratante</w:t>
      </w:r>
      <w:r>
        <w:rPr>
          <w:rFonts w:eastAsia="Calibri" w:cs="Arial"/>
          <w:b/>
          <w:sz w:val="20"/>
          <w:szCs w:val="20"/>
          <w:highlight w:val="none"/>
        </w:rPr>
        <w:t>:</w:t>
      </w:r>
    </w:p>
    <w:p>
      <w:pPr>
        <w:spacing w:line="276" w:lineRule="auto"/>
        <w:rPr>
          <w:rFonts w:eastAsia="Calibri" w:cs="Arial"/>
          <w:sz w:val="20"/>
          <w:szCs w:val="20"/>
          <w:highlight w:val="none"/>
        </w:rPr>
      </w:pPr>
      <w:r>
        <w:rPr>
          <w:rFonts w:eastAsia="Calibri" w:cs="Arial"/>
          <w:sz w:val="20"/>
          <w:szCs w:val="20"/>
          <w:highlight w:val="none"/>
        </w:rPr>
        <w:t>Nome: _________________________________________________________</w:t>
      </w:r>
    </w:p>
    <w:p>
      <w:pPr>
        <w:spacing w:line="276" w:lineRule="auto"/>
        <w:rPr>
          <w:rFonts w:eastAsia="Calibri" w:cs="Arial"/>
          <w:sz w:val="20"/>
          <w:szCs w:val="20"/>
          <w:highlight w:val="none"/>
        </w:rPr>
      </w:pPr>
      <w:r>
        <w:rPr>
          <w:rFonts w:eastAsia="Calibri" w:cs="Arial"/>
          <w:sz w:val="20"/>
          <w:szCs w:val="20"/>
          <w:highlight w:val="none"/>
        </w:rPr>
        <w:t>Cargo:__________________________________________________________</w:t>
      </w:r>
    </w:p>
    <w:p>
      <w:pPr>
        <w:spacing w:line="276" w:lineRule="auto"/>
        <w:rPr>
          <w:rFonts w:eastAsia="Calibri" w:cs="Arial"/>
          <w:sz w:val="20"/>
          <w:szCs w:val="20"/>
          <w:highlight w:val="none"/>
        </w:rPr>
      </w:pPr>
      <w:r>
        <w:rPr>
          <w:rFonts w:eastAsia="Calibri" w:cs="Arial"/>
          <w:sz w:val="20"/>
          <w:szCs w:val="20"/>
          <w:highlight w:val="none"/>
        </w:rPr>
        <w:t xml:space="preserve">CPF: ____________________________ </w:t>
      </w:r>
    </w:p>
    <w:p>
      <w:pPr>
        <w:spacing w:line="276" w:lineRule="auto"/>
        <w:rPr>
          <w:rFonts w:eastAsia="Calibri" w:cs="Arial"/>
          <w:sz w:val="20"/>
          <w:szCs w:val="20"/>
          <w:highlight w:val="none"/>
        </w:rPr>
      </w:pPr>
      <w:r>
        <w:rPr>
          <w:rFonts w:eastAsia="Calibri" w:cs="Arial"/>
          <w:sz w:val="20"/>
          <w:szCs w:val="20"/>
          <w:highlight w:val="none"/>
        </w:rPr>
        <w:t>Assinatura: ______________________________________________________</w:t>
      </w:r>
    </w:p>
    <w:p>
      <w:pPr>
        <w:spacing w:line="276" w:lineRule="auto"/>
        <w:rPr>
          <w:rFonts w:eastAsia="Calibri" w:cs="Arial"/>
          <w:b/>
          <w:sz w:val="20"/>
          <w:szCs w:val="20"/>
          <w:highlight w:val="none"/>
        </w:rPr>
      </w:pPr>
      <w:r>
        <w:rPr>
          <w:rFonts w:eastAsia="Calibri" w:cs="Arial"/>
          <w:b/>
          <w:sz w:val="20"/>
          <w:szCs w:val="20"/>
          <w:highlight w:val="none"/>
          <w:u w:val="single"/>
        </w:rPr>
        <w:t>Pela contratada</w:t>
      </w:r>
      <w:r>
        <w:rPr>
          <w:rFonts w:eastAsia="Calibri" w:cs="Arial"/>
          <w:b/>
          <w:sz w:val="20"/>
          <w:szCs w:val="20"/>
          <w:highlight w:val="none"/>
        </w:rPr>
        <w:t>:</w:t>
      </w:r>
    </w:p>
    <w:p>
      <w:pPr>
        <w:spacing w:line="276" w:lineRule="auto"/>
        <w:rPr>
          <w:rFonts w:eastAsia="Calibri" w:cs="Arial"/>
          <w:sz w:val="20"/>
          <w:szCs w:val="20"/>
          <w:highlight w:val="none"/>
        </w:rPr>
      </w:pPr>
      <w:r>
        <w:rPr>
          <w:rFonts w:eastAsia="Calibri" w:cs="Arial"/>
          <w:sz w:val="20"/>
          <w:szCs w:val="20"/>
          <w:highlight w:val="none"/>
        </w:rPr>
        <w:t>Nome: _________________________________________________________</w:t>
      </w:r>
    </w:p>
    <w:p>
      <w:pPr>
        <w:spacing w:line="276" w:lineRule="auto"/>
        <w:rPr>
          <w:rFonts w:eastAsia="Calibri" w:cs="Arial"/>
          <w:sz w:val="20"/>
          <w:szCs w:val="20"/>
          <w:highlight w:val="none"/>
        </w:rPr>
      </w:pPr>
      <w:r>
        <w:rPr>
          <w:rFonts w:eastAsia="Calibri" w:cs="Arial"/>
          <w:sz w:val="20"/>
          <w:szCs w:val="20"/>
          <w:highlight w:val="none"/>
        </w:rPr>
        <w:t>Cargo:__________________________________________________________</w:t>
      </w:r>
    </w:p>
    <w:p>
      <w:pPr>
        <w:spacing w:line="276" w:lineRule="auto"/>
        <w:rPr>
          <w:rFonts w:eastAsia="Calibri" w:cs="Arial"/>
          <w:sz w:val="20"/>
          <w:szCs w:val="20"/>
          <w:highlight w:val="none"/>
        </w:rPr>
      </w:pPr>
      <w:r>
        <w:rPr>
          <w:rFonts w:eastAsia="Calibri" w:cs="Arial"/>
          <w:sz w:val="20"/>
          <w:szCs w:val="20"/>
          <w:highlight w:val="none"/>
        </w:rPr>
        <w:t xml:space="preserve">CPF: ____________________________ </w:t>
      </w:r>
    </w:p>
    <w:p>
      <w:pPr>
        <w:spacing w:line="276" w:lineRule="auto"/>
        <w:rPr>
          <w:rFonts w:eastAsia="Calibri" w:cs="Arial"/>
          <w:sz w:val="20"/>
          <w:szCs w:val="20"/>
          <w:highlight w:val="none"/>
        </w:rPr>
      </w:pPr>
      <w:r>
        <w:rPr>
          <w:rFonts w:eastAsia="Calibri" w:cs="Arial"/>
          <w:sz w:val="20"/>
          <w:szCs w:val="20"/>
          <w:highlight w:val="none"/>
        </w:rPr>
        <w:t>Assinatura: ______________________________________________________</w:t>
      </w:r>
    </w:p>
    <w:p>
      <w:pPr>
        <w:spacing w:line="276" w:lineRule="auto"/>
        <w:rPr>
          <w:rFonts w:eastAsia="Calibri" w:cs="Arial"/>
          <w:b/>
          <w:sz w:val="24"/>
          <w:highlight w:val="none"/>
          <w:u w:val="single"/>
        </w:rPr>
      </w:pPr>
    </w:p>
    <w:p>
      <w:pPr>
        <w:spacing w:line="276" w:lineRule="auto"/>
        <w:rPr>
          <w:rFonts w:eastAsia="Calibri" w:cs="Arial"/>
          <w:b/>
          <w:sz w:val="20"/>
          <w:szCs w:val="20"/>
          <w:highlight w:val="none"/>
        </w:rPr>
      </w:pPr>
      <w:r>
        <w:rPr>
          <w:rFonts w:eastAsia="Calibri" w:cs="Arial"/>
          <w:b/>
          <w:sz w:val="20"/>
          <w:szCs w:val="20"/>
          <w:highlight w:val="none"/>
          <w:u w:val="single"/>
        </w:rPr>
        <w:t>ORDENADOR DE DESPESAS DA CONTRATANTE</w:t>
      </w:r>
      <w:r>
        <w:rPr>
          <w:rFonts w:eastAsia="Calibri" w:cs="Arial"/>
          <w:b/>
          <w:sz w:val="20"/>
          <w:szCs w:val="20"/>
          <w:highlight w:val="none"/>
        </w:rPr>
        <w:t>:</w:t>
      </w:r>
    </w:p>
    <w:p>
      <w:pPr>
        <w:spacing w:line="276" w:lineRule="auto"/>
        <w:rPr>
          <w:rFonts w:eastAsia="Calibri" w:cs="Arial"/>
          <w:sz w:val="20"/>
          <w:szCs w:val="20"/>
          <w:highlight w:val="none"/>
        </w:rPr>
      </w:pPr>
      <w:r>
        <w:rPr>
          <w:rFonts w:eastAsia="Calibri" w:cs="Arial"/>
          <w:sz w:val="20"/>
          <w:szCs w:val="20"/>
          <w:highlight w:val="none"/>
        </w:rPr>
        <w:t>Nome: _________________________________________________________</w:t>
      </w:r>
    </w:p>
    <w:p>
      <w:pPr>
        <w:spacing w:line="276" w:lineRule="auto"/>
        <w:rPr>
          <w:rFonts w:eastAsia="Calibri" w:cs="Arial"/>
          <w:sz w:val="20"/>
          <w:szCs w:val="20"/>
          <w:highlight w:val="none"/>
        </w:rPr>
      </w:pPr>
      <w:r>
        <w:rPr>
          <w:rFonts w:eastAsia="Calibri" w:cs="Arial"/>
          <w:sz w:val="20"/>
          <w:szCs w:val="20"/>
          <w:highlight w:val="none"/>
        </w:rPr>
        <w:t>Cargo:__________________________________________________________</w:t>
      </w:r>
    </w:p>
    <w:p>
      <w:pPr>
        <w:spacing w:line="276" w:lineRule="auto"/>
        <w:rPr>
          <w:rFonts w:eastAsia="Calibri" w:cs="Arial"/>
          <w:strike/>
          <w:sz w:val="20"/>
          <w:szCs w:val="20"/>
          <w:highlight w:val="none"/>
        </w:rPr>
      </w:pPr>
      <w:r>
        <w:rPr>
          <w:rFonts w:eastAsia="Calibri" w:cs="Arial"/>
          <w:sz w:val="20"/>
          <w:szCs w:val="20"/>
          <w:highlight w:val="none"/>
        </w:rPr>
        <w:t xml:space="preserve">CPF: ____________________________ </w:t>
      </w:r>
    </w:p>
    <w:p>
      <w:pPr>
        <w:spacing w:line="276" w:lineRule="auto"/>
        <w:rPr>
          <w:rFonts w:eastAsia="Calibri" w:cs="Arial"/>
          <w:sz w:val="20"/>
          <w:szCs w:val="20"/>
          <w:highlight w:val="none"/>
        </w:rPr>
      </w:pPr>
      <w:r>
        <w:rPr>
          <w:rFonts w:eastAsia="Calibri" w:cs="Arial"/>
          <w:sz w:val="20"/>
          <w:szCs w:val="20"/>
          <w:highlight w:val="none"/>
        </w:rPr>
        <w:t>Assinatura: ______________________________________________________</w:t>
      </w:r>
    </w:p>
    <w:p>
      <w:pPr>
        <w:spacing w:before="0" w:after="0" w:line="360" w:lineRule="auto"/>
        <w:ind w:left="-142" w:right="139" w:firstLine="879"/>
        <w:jc w:val="both"/>
        <w:rPr>
          <w:rFonts w:cs="Arial"/>
          <w:color w:val="auto"/>
          <w:sz w:val="20"/>
          <w:szCs w:val="20"/>
          <w:highlight w:val="none"/>
        </w:rPr>
      </w:pPr>
      <w:r>
        <w:rPr>
          <w:rFonts w:eastAsia="Calibri" w:cs="Arial"/>
          <w:highlight w:val="none"/>
        </w:rPr>
        <w:t xml:space="preserve">(*) </w:t>
      </w:r>
      <w:bookmarkStart w:id="244" w:name="_Hlk98168925"/>
      <w:r>
        <w:rPr>
          <w:rFonts w:eastAsia="Calibri" w:cs="Arial"/>
          <w:highlight w:val="none"/>
        </w:rPr>
        <w:t xml:space="preserve">- </w:t>
      </w:r>
      <w:r>
        <w:rPr>
          <w:rFonts w:eastAsia="Arial" w:cs="Arial"/>
          <w:color w:val="auto"/>
          <w:sz w:val="20"/>
          <w:szCs w:val="20"/>
          <w:highlight w:val="none"/>
        </w:rPr>
        <w:t>O Termo de Ciência e Notificação e/ou Cadastro do(s) Responsável(is) deve identificar as pessoas físicas que tenham concorrido para a prática do ato jurídico,  na  condição  de  ordenador  da  despesa;  de  partes  contratantes;</w:t>
      </w:r>
      <w:r>
        <w:rPr>
          <w:rFonts w:eastAsia="Arial" w:cs="Arial"/>
          <w:color w:val="auto"/>
          <w:spacing w:val="-20"/>
          <w:sz w:val="20"/>
          <w:szCs w:val="20"/>
          <w:highlight w:val="none"/>
        </w:rPr>
        <w:t xml:space="preserve"> </w:t>
      </w:r>
      <w:r>
        <w:rPr>
          <w:rFonts w:eastAsia="Arial" w:cs="Arial"/>
          <w:color w:val="auto"/>
          <w:sz w:val="20"/>
          <w:szCs w:val="20"/>
          <w:highlight w:val="none"/>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Pr>
          <w:rFonts w:eastAsia="Arial" w:cs="Arial"/>
          <w:i/>
          <w:color w:val="auto"/>
          <w:sz w:val="20"/>
          <w:szCs w:val="20"/>
          <w:highlight w:val="none"/>
        </w:rPr>
        <w:t xml:space="preserve">. </w:t>
      </w:r>
      <w:r>
        <w:rPr>
          <w:rFonts w:eastAsia="Arial" w:cs="Arial"/>
          <w:color w:val="auto"/>
          <w:sz w:val="20"/>
          <w:szCs w:val="20"/>
          <w:highlight w:val="none"/>
        </w:rPr>
        <w:t xml:space="preserve">Na hipótese de prestações de contas, caso o signatário do parecer conclusivo seja distinto daqueles já arrolados como subscritores do Termo de Ciência e Notificação, será ele objeto de notificação específica. </w:t>
      </w:r>
      <w:r>
        <w:rPr>
          <w:rFonts w:eastAsia="Arial" w:cs="Arial"/>
          <w:i/>
          <w:color w:val="auto"/>
          <w:sz w:val="20"/>
          <w:szCs w:val="20"/>
          <w:highlight w:val="none"/>
        </w:rPr>
        <w:t>(inciso acrescido pela Resolução nº 11/2021</w:t>
      </w:r>
      <w:bookmarkEnd w:id="242"/>
      <w:bookmarkEnd w:id="244"/>
      <w:r>
        <w:rPr>
          <w:rFonts w:eastAsia="Arial" w:cs="Arial"/>
          <w:i/>
          <w:color w:val="auto"/>
          <w:sz w:val="20"/>
          <w:szCs w:val="20"/>
          <w:highlight w:val="none"/>
        </w:rPr>
        <w:t>)</w:t>
      </w:r>
      <w:r>
        <w:rPr>
          <w:rFonts w:cs="Arial"/>
          <w:color w:val="auto"/>
          <w:sz w:val="20"/>
          <w:szCs w:val="20"/>
          <w:highlight w:val="none"/>
        </w:rPr>
        <w:t>.</w:t>
      </w:r>
    </w:p>
    <w:p>
      <w:pPr>
        <w:rPr>
          <w:rFonts w:cs="Arial"/>
          <w:color w:val="auto"/>
          <w:szCs w:val="22"/>
          <w:highlight w:val="none"/>
        </w:rPr>
      </w:pPr>
      <w:r>
        <w:rPr>
          <w:rFonts w:cs="Arial"/>
          <w:color w:val="auto"/>
          <w:szCs w:val="22"/>
          <w:highlight w:val="none"/>
        </w:rPr>
        <w:br w:type="page"/>
      </w:r>
    </w:p>
    <w:p>
      <w:pPr>
        <w:pStyle w:val="5"/>
        <w:bidi w:val="0"/>
        <w:rPr>
          <w:rFonts w:hint="default"/>
          <w:highlight w:val="none"/>
          <w:lang w:val="pt-BR"/>
        </w:rPr>
      </w:pPr>
      <w:r>
        <w:rPr>
          <w:highlight w:val="none"/>
        </w:rPr>
        <w:t xml:space="preserve">ANEXO </w:t>
      </w:r>
      <w:r>
        <w:rPr>
          <w:rFonts w:hint="default"/>
          <w:highlight w:val="none"/>
          <w:lang w:val="pt-BR"/>
        </w:rPr>
        <w:t>VII</w:t>
      </w:r>
      <w:r>
        <w:rPr>
          <w:highlight w:val="none"/>
        </w:rPr>
        <w:br w:type="textWrapping"/>
      </w:r>
      <w:r>
        <w:rPr>
          <w:rFonts w:hint="default"/>
          <w:b w:val="0"/>
          <w:bCs/>
          <w:highlight w:val="none"/>
          <w:lang w:val="pt-BR"/>
        </w:rPr>
        <w:t>Endereços</w:t>
      </w:r>
    </w:p>
    <w:p>
      <w:pPr>
        <w:spacing w:before="0" w:after="0" w:line="240" w:lineRule="exact"/>
        <w:contextualSpacing/>
        <w:jc w:val="center"/>
        <w:rPr>
          <w:rFonts w:hint="default"/>
          <w:b/>
          <w:bCs/>
          <w:highlight w:val="none"/>
          <w:lang w:val="pt-BR"/>
        </w:rPr>
      </w:pP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26"/>
        <w:gridCol w:w="49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6" w:type="dxa"/>
          </w:tcPr>
          <w:p>
            <w:pPr>
              <w:spacing w:before="0" w:after="0" w:line="240" w:lineRule="exact"/>
              <w:contextualSpacing/>
              <w:jc w:val="center"/>
              <w:rPr>
                <w:rFonts w:hint="default"/>
                <w:b/>
                <w:bCs/>
                <w:highlight w:val="none"/>
                <w:vertAlign w:val="baseline"/>
                <w:lang w:val="pt-BR"/>
              </w:rPr>
            </w:pPr>
            <w:r>
              <w:rPr>
                <w:rFonts w:hint="default"/>
                <w:b/>
                <w:bCs/>
                <w:highlight w:val="none"/>
                <w:vertAlign w:val="baseline"/>
                <w:lang w:val="pt-BR"/>
              </w:rPr>
              <w:t>Bairros</w:t>
            </w:r>
          </w:p>
        </w:tc>
        <w:tc>
          <w:tcPr>
            <w:tcW w:w="4927" w:type="dxa"/>
          </w:tcPr>
          <w:p>
            <w:pPr>
              <w:spacing w:before="0" w:after="0" w:line="240" w:lineRule="exact"/>
              <w:contextualSpacing/>
              <w:jc w:val="center"/>
              <w:rPr>
                <w:rFonts w:hint="default"/>
                <w:b/>
                <w:bCs/>
                <w:highlight w:val="none"/>
                <w:vertAlign w:val="baseline"/>
                <w:lang w:val="pt-BR"/>
              </w:rPr>
            </w:pPr>
            <w:r>
              <w:rPr>
                <w:rFonts w:hint="default"/>
                <w:b/>
                <w:bCs/>
                <w:highlight w:val="none"/>
                <w:vertAlign w:val="baseline"/>
                <w:lang w:val="pt-BR"/>
              </w:rPr>
              <w:t>Numeros de USI’s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6" w:type="dxa"/>
          </w:tcPr>
          <w:p>
            <w:pPr>
              <w:spacing w:before="0" w:after="0" w:line="240" w:lineRule="exact"/>
              <w:contextualSpacing/>
              <w:jc w:val="center"/>
              <w:rPr>
                <w:rFonts w:hint="default"/>
                <w:b w:val="0"/>
                <w:bCs w:val="0"/>
                <w:highlight w:val="none"/>
                <w:vertAlign w:val="baseline"/>
                <w:lang w:val="pt-BR"/>
              </w:rPr>
            </w:pPr>
            <w:r>
              <w:rPr>
                <w:rFonts w:hint="default"/>
                <w:b w:val="0"/>
                <w:bCs w:val="0"/>
                <w:highlight w:val="none"/>
                <w:vertAlign w:val="baseline"/>
                <w:lang w:val="pt-BR"/>
              </w:rPr>
              <w:t>Leme</w:t>
            </w:r>
          </w:p>
        </w:tc>
        <w:tc>
          <w:tcPr>
            <w:tcW w:w="4927" w:type="dxa"/>
          </w:tcPr>
          <w:p>
            <w:pPr>
              <w:spacing w:before="0" w:after="0" w:line="240" w:lineRule="exact"/>
              <w:contextualSpacing/>
              <w:jc w:val="center"/>
              <w:rPr>
                <w:rFonts w:hint="default"/>
                <w:b w:val="0"/>
                <w:bCs w:val="0"/>
                <w:highlight w:val="none"/>
                <w:vertAlign w:val="baseline"/>
                <w:lang w:val="pt-BR"/>
              </w:rPr>
            </w:pPr>
            <w:r>
              <w:rPr>
                <w:rFonts w:hint="default"/>
                <w:b w:val="0"/>
                <w:bCs w:val="0"/>
                <w:highlight w:val="none"/>
                <w:vertAlign w:val="baseline"/>
                <w:lang w:val="pt-BR"/>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6" w:type="dxa"/>
          </w:tcPr>
          <w:p>
            <w:pPr>
              <w:spacing w:before="0" w:after="0" w:line="240" w:lineRule="exact"/>
              <w:contextualSpacing/>
              <w:jc w:val="center"/>
              <w:rPr>
                <w:rFonts w:hint="default"/>
                <w:b w:val="0"/>
                <w:bCs w:val="0"/>
                <w:highlight w:val="none"/>
                <w:vertAlign w:val="baseline"/>
                <w:lang w:val="pt-BR"/>
              </w:rPr>
            </w:pPr>
            <w:r>
              <w:rPr>
                <w:rFonts w:hint="default"/>
                <w:b w:val="0"/>
                <w:bCs w:val="0"/>
                <w:highlight w:val="none"/>
                <w:vertAlign w:val="baseline"/>
                <w:lang w:val="pt-BR"/>
              </w:rPr>
              <w:t>Macuco</w:t>
            </w:r>
          </w:p>
        </w:tc>
        <w:tc>
          <w:tcPr>
            <w:tcW w:w="4927" w:type="dxa"/>
          </w:tcPr>
          <w:p>
            <w:pPr>
              <w:spacing w:before="0" w:after="0" w:line="240" w:lineRule="exact"/>
              <w:contextualSpacing/>
              <w:jc w:val="center"/>
              <w:rPr>
                <w:rFonts w:hint="default"/>
                <w:b w:val="0"/>
                <w:bCs w:val="0"/>
                <w:highlight w:val="none"/>
                <w:vertAlign w:val="baseline"/>
                <w:lang w:val="pt-BR"/>
              </w:rPr>
            </w:pPr>
            <w:r>
              <w:rPr>
                <w:rFonts w:hint="default"/>
                <w:b w:val="0"/>
                <w:bCs w:val="0"/>
                <w:highlight w:val="none"/>
                <w:vertAlign w:val="baseline"/>
                <w:lang w:val="pt-BR"/>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6" w:type="dxa"/>
          </w:tcPr>
          <w:p>
            <w:pPr>
              <w:spacing w:before="0" w:after="0" w:line="240" w:lineRule="exact"/>
              <w:contextualSpacing/>
              <w:jc w:val="center"/>
              <w:rPr>
                <w:rFonts w:hint="default"/>
                <w:b w:val="0"/>
                <w:bCs w:val="0"/>
                <w:highlight w:val="none"/>
                <w:vertAlign w:val="baseline"/>
                <w:lang w:val="pt-BR"/>
              </w:rPr>
            </w:pPr>
            <w:r>
              <w:rPr>
                <w:rFonts w:hint="default"/>
                <w:b w:val="0"/>
                <w:bCs w:val="0"/>
                <w:highlight w:val="none"/>
                <w:vertAlign w:val="baseline"/>
                <w:lang w:val="pt-BR"/>
              </w:rPr>
              <w:t>Mato Dentro/Pintos</w:t>
            </w:r>
          </w:p>
        </w:tc>
        <w:tc>
          <w:tcPr>
            <w:tcW w:w="4927" w:type="dxa"/>
          </w:tcPr>
          <w:p>
            <w:pPr>
              <w:spacing w:before="0" w:after="0" w:line="240" w:lineRule="exact"/>
              <w:contextualSpacing/>
              <w:jc w:val="center"/>
              <w:rPr>
                <w:rFonts w:hint="default"/>
                <w:b w:val="0"/>
                <w:bCs w:val="0"/>
                <w:highlight w:val="none"/>
                <w:vertAlign w:val="baseline"/>
                <w:lang w:val="pt-BR"/>
              </w:rPr>
            </w:pPr>
            <w:r>
              <w:rPr>
                <w:rFonts w:hint="default"/>
                <w:b w:val="0"/>
                <w:bCs w:val="0"/>
                <w:highlight w:val="none"/>
                <w:vertAlign w:val="baseline"/>
                <w:lang w:val="pt-BR"/>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6" w:type="dxa"/>
          </w:tcPr>
          <w:p>
            <w:pPr>
              <w:spacing w:before="0" w:after="0" w:line="240" w:lineRule="exact"/>
              <w:contextualSpacing/>
              <w:jc w:val="center"/>
              <w:rPr>
                <w:rFonts w:hint="default"/>
                <w:b w:val="0"/>
                <w:bCs w:val="0"/>
                <w:highlight w:val="none"/>
                <w:vertAlign w:val="baseline"/>
                <w:lang w:val="pt-BR"/>
              </w:rPr>
            </w:pPr>
            <w:r>
              <w:rPr>
                <w:rFonts w:hint="default"/>
                <w:b w:val="0"/>
                <w:bCs w:val="0"/>
                <w:highlight w:val="none"/>
                <w:vertAlign w:val="baseline"/>
                <w:lang w:val="pt-BR"/>
              </w:rPr>
              <w:t>Taquaral</w:t>
            </w:r>
          </w:p>
        </w:tc>
        <w:tc>
          <w:tcPr>
            <w:tcW w:w="4927" w:type="dxa"/>
          </w:tcPr>
          <w:p>
            <w:pPr>
              <w:spacing w:before="0" w:after="0" w:line="240" w:lineRule="exact"/>
              <w:contextualSpacing/>
              <w:jc w:val="center"/>
              <w:rPr>
                <w:rFonts w:hint="default"/>
                <w:b w:val="0"/>
                <w:bCs w:val="0"/>
                <w:highlight w:val="none"/>
                <w:vertAlign w:val="baseline"/>
                <w:lang w:val="pt-BR"/>
              </w:rPr>
            </w:pPr>
            <w:r>
              <w:rPr>
                <w:rFonts w:hint="default"/>
                <w:b w:val="0"/>
                <w:bCs w:val="0"/>
                <w:highlight w:val="none"/>
                <w:vertAlign w:val="baseline"/>
                <w:lang w:val="pt-BR"/>
              </w:rPr>
              <w:t>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6" w:type="dxa"/>
          </w:tcPr>
          <w:p>
            <w:pPr>
              <w:spacing w:before="0" w:after="0" w:line="240" w:lineRule="exact"/>
              <w:contextualSpacing/>
              <w:jc w:val="center"/>
              <w:rPr>
                <w:rFonts w:hint="default"/>
                <w:b w:val="0"/>
                <w:bCs w:val="0"/>
                <w:highlight w:val="none"/>
                <w:vertAlign w:val="baseline"/>
                <w:lang w:val="pt-BR"/>
              </w:rPr>
            </w:pPr>
            <w:r>
              <w:rPr>
                <w:rFonts w:hint="default"/>
                <w:b w:val="0"/>
                <w:bCs w:val="0"/>
                <w:highlight w:val="none"/>
                <w:vertAlign w:val="baseline"/>
                <w:lang w:val="pt-BR"/>
              </w:rPr>
              <w:t>Coelhos/Carvalho</w:t>
            </w:r>
          </w:p>
        </w:tc>
        <w:tc>
          <w:tcPr>
            <w:tcW w:w="4927" w:type="dxa"/>
          </w:tcPr>
          <w:p>
            <w:pPr>
              <w:spacing w:before="0" w:after="0" w:line="240" w:lineRule="exact"/>
              <w:contextualSpacing/>
              <w:jc w:val="center"/>
              <w:rPr>
                <w:rFonts w:hint="default"/>
                <w:b w:val="0"/>
                <w:bCs w:val="0"/>
                <w:highlight w:val="none"/>
                <w:vertAlign w:val="baseline"/>
                <w:lang w:val="pt-BR"/>
              </w:rPr>
            </w:pPr>
            <w:r>
              <w:rPr>
                <w:rFonts w:hint="default"/>
                <w:b w:val="0"/>
                <w:bCs w:val="0"/>
                <w:highlight w:val="none"/>
                <w:vertAlign w:val="baseline"/>
                <w:lang w:val="pt-BR"/>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6" w:type="dxa"/>
          </w:tcPr>
          <w:p>
            <w:pPr>
              <w:spacing w:before="0" w:after="0" w:line="240" w:lineRule="exact"/>
              <w:contextualSpacing/>
              <w:jc w:val="center"/>
              <w:rPr>
                <w:rFonts w:hint="default"/>
                <w:b w:val="0"/>
                <w:bCs w:val="0"/>
                <w:highlight w:val="none"/>
                <w:vertAlign w:val="baseline"/>
                <w:lang w:val="pt-BR"/>
              </w:rPr>
            </w:pPr>
            <w:r>
              <w:rPr>
                <w:rFonts w:hint="default"/>
                <w:b w:val="0"/>
                <w:bCs w:val="0"/>
                <w:highlight w:val="none"/>
                <w:vertAlign w:val="baseline"/>
                <w:lang w:val="pt-BR"/>
              </w:rPr>
              <w:t>Taipinha/Lazaro</w:t>
            </w:r>
          </w:p>
        </w:tc>
        <w:tc>
          <w:tcPr>
            <w:tcW w:w="4927" w:type="dxa"/>
          </w:tcPr>
          <w:p>
            <w:pPr>
              <w:spacing w:before="0" w:after="0" w:line="240" w:lineRule="exact"/>
              <w:contextualSpacing/>
              <w:jc w:val="center"/>
              <w:rPr>
                <w:rFonts w:hint="default"/>
                <w:b w:val="0"/>
                <w:bCs w:val="0"/>
                <w:highlight w:val="none"/>
                <w:vertAlign w:val="baseline"/>
                <w:lang w:val="pt-BR"/>
              </w:rPr>
            </w:pPr>
            <w:r>
              <w:rPr>
                <w:rFonts w:hint="default"/>
                <w:b w:val="0"/>
                <w:bCs w:val="0"/>
                <w:highlight w:val="none"/>
                <w:vertAlign w:val="baseline"/>
                <w:lang w:val="pt-BR"/>
              </w:rPr>
              <w:t>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6" w:type="dxa"/>
          </w:tcPr>
          <w:p>
            <w:pPr>
              <w:spacing w:before="0" w:after="0" w:line="240" w:lineRule="exact"/>
              <w:contextualSpacing/>
              <w:jc w:val="center"/>
              <w:rPr>
                <w:rFonts w:hint="default"/>
                <w:b w:val="0"/>
                <w:bCs w:val="0"/>
                <w:highlight w:val="none"/>
                <w:vertAlign w:val="baseline"/>
                <w:lang w:val="pt-BR"/>
              </w:rPr>
            </w:pPr>
            <w:r>
              <w:rPr>
                <w:rFonts w:hint="default"/>
                <w:b w:val="0"/>
                <w:bCs w:val="0"/>
                <w:highlight w:val="none"/>
                <w:vertAlign w:val="baseline"/>
                <w:lang w:val="pt-BR"/>
              </w:rPr>
              <w:t>São Dimas</w:t>
            </w:r>
          </w:p>
        </w:tc>
        <w:tc>
          <w:tcPr>
            <w:tcW w:w="4927" w:type="dxa"/>
          </w:tcPr>
          <w:p>
            <w:pPr>
              <w:spacing w:before="0" w:after="0" w:line="240" w:lineRule="exact"/>
              <w:contextualSpacing/>
              <w:jc w:val="center"/>
              <w:rPr>
                <w:rFonts w:hint="default"/>
                <w:b w:val="0"/>
                <w:bCs w:val="0"/>
                <w:highlight w:val="none"/>
                <w:vertAlign w:val="baseline"/>
                <w:lang w:val="pt-BR"/>
              </w:rPr>
            </w:pPr>
            <w:r>
              <w:rPr>
                <w:rFonts w:hint="default"/>
                <w:b w:val="0"/>
                <w:bCs w:val="0"/>
                <w:highlight w:val="none"/>
                <w:vertAlign w:val="baseline"/>
                <w:lang w:val="pt-B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6" w:type="dxa"/>
          </w:tcPr>
          <w:p>
            <w:pPr>
              <w:spacing w:before="0" w:after="0" w:line="240" w:lineRule="exact"/>
              <w:contextualSpacing/>
              <w:jc w:val="center"/>
              <w:rPr>
                <w:rFonts w:hint="default"/>
                <w:b w:val="0"/>
                <w:bCs w:val="0"/>
                <w:highlight w:val="none"/>
                <w:vertAlign w:val="baseline"/>
                <w:lang w:val="pt-BR"/>
              </w:rPr>
            </w:pPr>
            <w:r>
              <w:rPr>
                <w:rFonts w:hint="default"/>
                <w:b w:val="0"/>
                <w:bCs w:val="0"/>
                <w:highlight w:val="none"/>
                <w:vertAlign w:val="baseline"/>
                <w:lang w:val="pt-BR"/>
              </w:rPr>
              <w:t>Morro Cavado</w:t>
            </w:r>
          </w:p>
        </w:tc>
        <w:tc>
          <w:tcPr>
            <w:tcW w:w="4927" w:type="dxa"/>
          </w:tcPr>
          <w:p>
            <w:pPr>
              <w:spacing w:before="0" w:after="0" w:line="240" w:lineRule="exact"/>
              <w:contextualSpacing/>
              <w:jc w:val="center"/>
              <w:rPr>
                <w:rFonts w:hint="default"/>
                <w:b w:val="0"/>
                <w:bCs w:val="0"/>
                <w:highlight w:val="none"/>
                <w:vertAlign w:val="baseline"/>
                <w:lang w:val="pt-BR"/>
              </w:rPr>
            </w:pPr>
            <w:r>
              <w:rPr>
                <w:rFonts w:hint="default"/>
                <w:b w:val="0"/>
                <w:bCs w:val="0"/>
                <w:highlight w:val="none"/>
                <w:vertAlign w:val="baseline"/>
                <w:lang w:val="pt-BR"/>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6" w:type="dxa"/>
          </w:tcPr>
          <w:p>
            <w:pPr>
              <w:spacing w:before="0" w:after="0" w:line="240" w:lineRule="exact"/>
              <w:contextualSpacing/>
              <w:jc w:val="center"/>
              <w:rPr>
                <w:rFonts w:hint="default"/>
                <w:b w:val="0"/>
                <w:bCs w:val="0"/>
                <w:highlight w:val="none"/>
                <w:vertAlign w:val="baseline"/>
                <w:lang w:val="pt-BR"/>
              </w:rPr>
            </w:pPr>
            <w:r>
              <w:rPr>
                <w:rFonts w:hint="default"/>
                <w:b w:val="0"/>
                <w:bCs w:val="0"/>
                <w:highlight w:val="none"/>
                <w:vertAlign w:val="baseline"/>
                <w:lang w:val="pt-BR"/>
              </w:rPr>
              <w:t>Lagoa Grande</w:t>
            </w:r>
          </w:p>
        </w:tc>
        <w:tc>
          <w:tcPr>
            <w:tcW w:w="4927" w:type="dxa"/>
          </w:tcPr>
          <w:p>
            <w:pPr>
              <w:spacing w:before="0" w:after="0" w:line="240" w:lineRule="exact"/>
              <w:contextualSpacing/>
              <w:jc w:val="center"/>
              <w:rPr>
                <w:rFonts w:hint="default"/>
                <w:b w:val="0"/>
                <w:bCs w:val="0"/>
                <w:highlight w:val="none"/>
                <w:vertAlign w:val="baseline"/>
                <w:lang w:val="pt-BR"/>
              </w:rPr>
            </w:pPr>
            <w:r>
              <w:rPr>
                <w:rFonts w:hint="default"/>
                <w:b w:val="0"/>
                <w:bCs w:val="0"/>
                <w:highlight w:val="none"/>
                <w:vertAlign w:val="baseline"/>
                <w:lang w:val="pt-BR"/>
              </w:rPr>
              <w:t>6</w:t>
            </w:r>
          </w:p>
        </w:tc>
      </w:tr>
    </w:tbl>
    <w:p>
      <w:pPr>
        <w:rPr>
          <w:rFonts w:cs="Arial"/>
          <w:color w:val="auto"/>
          <w:szCs w:val="22"/>
          <w:highlight w:val="none"/>
        </w:rPr>
      </w:pPr>
      <w:r>
        <w:rPr>
          <w:rFonts w:cs="Arial"/>
          <w:color w:val="auto"/>
          <w:szCs w:val="22"/>
          <w:highlight w:val="none"/>
        </w:rPr>
        <w:br w:type="page"/>
      </w:r>
    </w:p>
    <w:p>
      <w:pPr>
        <w:pStyle w:val="5"/>
        <w:bidi w:val="0"/>
        <w:rPr>
          <w:rFonts w:hint="default"/>
          <w:highlight w:val="none"/>
          <w:lang w:val="pt-BR"/>
        </w:rPr>
      </w:pPr>
      <w:r>
        <w:rPr>
          <w:highlight w:val="none"/>
        </w:rPr>
        <w:t xml:space="preserve">ANEXO </w:t>
      </w:r>
      <w:r>
        <w:rPr>
          <w:rFonts w:hint="default"/>
          <w:highlight w:val="none"/>
          <w:lang w:val="pt-BR"/>
        </w:rPr>
        <w:t>VIII</w:t>
      </w:r>
      <w:r>
        <w:rPr>
          <w:highlight w:val="none"/>
        </w:rPr>
        <w:br w:type="textWrapping"/>
      </w:r>
      <w:r>
        <w:rPr>
          <w:rFonts w:hint="default"/>
          <w:b w:val="0"/>
          <w:bCs/>
          <w:highlight w:val="none"/>
          <w:lang w:val="pt-BR"/>
        </w:rPr>
        <w:t>Esquema básico</w:t>
      </w:r>
    </w:p>
    <w:p>
      <w:pPr>
        <w:spacing w:line="360" w:lineRule="auto"/>
        <w:ind w:left="-142" w:right="423" w:firstLine="568"/>
        <w:rPr>
          <w:rFonts w:cs="Arial"/>
          <w:color w:val="auto"/>
          <w:szCs w:val="22"/>
          <w:highlight w:val="none"/>
        </w:rPr>
      </w:pPr>
    </w:p>
    <w:p>
      <w:pPr>
        <w:spacing w:line="360" w:lineRule="auto"/>
        <w:ind w:left="-142" w:leftChars="0" w:right="423" w:hanging="38" w:firstLineChars="0"/>
        <w:rPr>
          <w:rFonts w:cs="Arial"/>
          <w:color w:val="auto"/>
          <w:szCs w:val="22"/>
          <w:highlight w:val="none"/>
        </w:rPr>
      </w:pPr>
      <w:r>
        <w:drawing>
          <wp:inline distT="0" distB="0" distL="114300" distR="114300">
            <wp:extent cx="6116320" cy="7868920"/>
            <wp:effectExtent l="0" t="0" r="17780" b="17780"/>
            <wp:docPr id="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2"/>
                    <pic:cNvPicPr>
                      <a:picLocks noChangeAspect="1"/>
                    </pic:cNvPicPr>
                  </pic:nvPicPr>
                  <pic:blipFill>
                    <a:blip r:embed="rId13"/>
                    <a:stretch>
                      <a:fillRect/>
                    </a:stretch>
                  </pic:blipFill>
                  <pic:spPr>
                    <a:xfrm>
                      <a:off x="0" y="0"/>
                      <a:ext cx="6116320" cy="7868920"/>
                    </a:xfrm>
                    <a:prstGeom prst="rect">
                      <a:avLst/>
                    </a:prstGeom>
                    <a:noFill/>
                    <a:ln>
                      <a:noFill/>
                    </a:ln>
                  </pic:spPr>
                </pic:pic>
              </a:graphicData>
            </a:graphic>
          </wp:inline>
        </w:drawing>
      </w:r>
    </w:p>
    <w:p>
      <w:pPr>
        <w:rPr>
          <w:rFonts w:cs="Arial"/>
          <w:color w:val="auto"/>
          <w:szCs w:val="22"/>
          <w:highlight w:val="none"/>
        </w:rPr>
      </w:pPr>
      <w:r>
        <w:rPr>
          <w:rFonts w:cs="Arial"/>
          <w:color w:val="auto"/>
          <w:szCs w:val="22"/>
          <w:highlight w:val="none"/>
        </w:rPr>
        <w:br w:type="page"/>
      </w:r>
    </w:p>
    <w:p>
      <w:pPr>
        <w:spacing w:line="360" w:lineRule="auto"/>
        <w:ind w:left="-142" w:right="423" w:firstLine="568"/>
        <w:rPr>
          <w:rFonts w:cs="Arial"/>
          <w:color w:val="auto"/>
          <w:szCs w:val="22"/>
          <w:highlight w:val="none"/>
        </w:rPr>
      </w:pPr>
    </w:p>
    <w:p>
      <w:pPr>
        <w:spacing w:line="360" w:lineRule="auto"/>
        <w:ind w:left="-142" w:right="423" w:firstLine="568"/>
        <w:rPr>
          <w:rFonts w:cs="Arial"/>
          <w:color w:val="auto"/>
          <w:szCs w:val="22"/>
          <w:highlight w:val="none"/>
        </w:rPr>
      </w:pPr>
      <w:r>
        <w:drawing>
          <wp:inline distT="0" distB="0" distL="114300" distR="114300">
            <wp:extent cx="6113780" cy="8211820"/>
            <wp:effectExtent l="0" t="0" r="1270" b="17780"/>
            <wp:docPr id="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3"/>
                    <pic:cNvPicPr>
                      <a:picLocks noChangeAspect="1"/>
                    </pic:cNvPicPr>
                  </pic:nvPicPr>
                  <pic:blipFill>
                    <a:blip r:embed="rId14"/>
                    <a:stretch>
                      <a:fillRect/>
                    </a:stretch>
                  </pic:blipFill>
                  <pic:spPr>
                    <a:xfrm>
                      <a:off x="0" y="0"/>
                      <a:ext cx="6113780" cy="8211820"/>
                    </a:xfrm>
                    <a:prstGeom prst="rect">
                      <a:avLst/>
                    </a:prstGeom>
                    <a:noFill/>
                    <a:ln>
                      <a:noFill/>
                    </a:ln>
                  </pic:spPr>
                </pic:pic>
              </a:graphicData>
            </a:graphic>
          </wp:inline>
        </w:drawing>
      </w:r>
    </w:p>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3"/>
    <w:p>
      <w:pPr>
        <w:spacing w:before="0" w:after="0" w:line="240" w:lineRule="exact"/>
        <w:contextualSpacing/>
        <w:jc w:val="both"/>
        <w:rPr>
          <w:rFonts w:cs="Arial"/>
          <w:b/>
          <w:color w:val="auto"/>
          <w:szCs w:val="18"/>
          <w:highlight w:val="none"/>
        </w:rPr>
      </w:pPr>
      <w:r>
        <w:rPr>
          <w:rFonts w:cs="Arial"/>
          <w:b/>
          <w:color w:val="auto"/>
          <w:szCs w:val="18"/>
          <w:highlight w:val="none"/>
        </w:rPr>
        <w:t xml:space="preserve"> </w:t>
      </w:r>
    </w:p>
    <w:p>
      <w:pPr>
        <w:rPr>
          <w:rFonts w:cs="Arial"/>
          <w:b/>
          <w:color w:val="auto"/>
          <w:szCs w:val="18"/>
          <w:highlight w:val="none"/>
        </w:rPr>
      </w:pPr>
      <w:r>
        <w:rPr>
          <w:rFonts w:cs="Arial"/>
          <w:b/>
          <w:color w:val="auto"/>
          <w:szCs w:val="18"/>
          <w:highlight w:val="none"/>
        </w:rPr>
        <w:br w:type="page"/>
      </w:r>
      <w:r>
        <w:drawing>
          <wp:inline distT="0" distB="0" distL="114300" distR="114300">
            <wp:extent cx="6113780" cy="8864600"/>
            <wp:effectExtent l="0" t="0" r="1270" b="12700"/>
            <wp:docPr id="27"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m 16"/>
                    <pic:cNvPicPr>
                      <a:picLocks noChangeAspect="1"/>
                    </pic:cNvPicPr>
                  </pic:nvPicPr>
                  <pic:blipFill>
                    <a:blip r:embed="rId15"/>
                    <a:stretch>
                      <a:fillRect/>
                    </a:stretch>
                  </pic:blipFill>
                  <pic:spPr>
                    <a:xfrm>
                      <a:off x="0" y="0"/>
                      <a:ext cx="6113780" cy="8864600"/>
                    </a:xfrm>
                    <a:prstGeom prst="rect">
                      <a:avLst/>
                    </a:prstGeom>
                    <a:noFill/>
                    <a:ln>
                      <a:noFill/>
                    </a:ln>
                  </pic:spPr>
                </pic:pic>
              </a:graphicData>
            </a:graphic>
          </wp:inline>
        </w:drawing>
      </w:r>
    </w:p>
    <w:p>
      <w:pPr>
        <w:rPr>
          <w:rFonts w:cs="Arial"/>
          <w:b/>
          <w:color w:val="auto"/>
          <w:szCs w:val="18"/>
          <w:highlight w:val="none"/>
        </w:rPr>
      </w:pPr>
    </w:p>
    <w:p>
      <w:pPr>
        <w:spacing w:before="0" w:after="0" w:line="240" w:lineRule="exact"/>
        <w:contextualSpacing/>
        <w:jc w:val="both"/>
        <w:rPr>
          <w:rFonts w:cs="Arial"/>
          <w:b/>
          <w:color w:val="auto"/>
          <w:szCs w:val="18"/>
          <w:highlight w:val="none"/>
        </w:rPr>
      </w:pPr>
    </w:p>
    <w:p>
      <w:pPr>
        <w:rPr>
          <w:rFonts w:cs="Arial"/>
          <w:b/>
          <w:color w:val="auto"/>
          <w:szCs w:val="18"/>
          <w:highlight w:val="none"/>
        </w:rPr>
      </w:pPr>
      <w:r>
        <w:rPr>
          <w:rFonts w:cs="Arial"/>
          <w:b/>
          <w:color w:val="auto"/>
          <w:szCs w:val="18"/>
          <w:highlight w:val="none"/>
        </w:rPr>
        <w:br w:type="page"/>
      </w:r>
    </w:p>
    <w:p>
      <w:pPr>
        <w:spacing w:before="0" w:after="0" w:line="240" w:lineRule="exact"/>
        <w:contextualSpacing/>
        <w:jc w:val="both"/>
        <w:rPr>
          <w:rFonts w:cs="Arial"/>
          <w:b/>
          <w:color w:val="auto"/>
          <w:szCs w:val="18"/>
          <w:highlight w:val="none"/>
        </w:rPr>
      </w:pPr>
      <w:r>
        <w:drawing>
          <wp:anchor distT="0" distB="0" distL="114300" distR="114300" simplePos="0" relativeHeight="251669504" behindDoc="0" locked="0" layoutInCell="1" allowOverlap="1">
            <wp:simplePos x="0" y="0"/>
            <wp:positionH relativeFrom="column">
              <wp:posOffset>402590</wp:posOffset>
            </wp:positionH>
            <wp:positionV relativeFrom="paragraph">
              <wp:posOffset>452120</wp:posOffset>
            </wp:positionV>
            <wp:extent cx="5162550" cy="5153025"/>
            <wp:effectExtent l="0" t="0" r="0" b="9525"/>
            <wp:wrapNone/>
            <wp:docPr id="30"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m 18"/>
                    <pic:cNvPicPr>
                      <a:picLocks noChangeAspect="1"/>
                    </pic:cNvPicPr>
                  </pic:nvPicPr>
                  <pic:blipFill>
                    <a:blip r:embed="rId16"/>
                    <a:stretch>
                      <a:fillRect/>
                    </a:stretch>
                  </pic:blipFill>
                  <pic:spPr>
                    <a:xfrm>
                      <a:off x="0" y="0"/>
                      <a:ext cx="5162550" cy="5153025"/>
                    </a:xfrm>
                    <a:prstGeom prst="rect">
                      <a:avLst/>
                    </a:prstGeom>
                    <a:noFill/>
                    <a:ln>
                      <a:noFill/>
                    </a:ln>
                  </pic:spPr>
                </pic:pic>
              </a:graphicData>
            </a:graphic>
          </wp:anchor>
        </w:drawing>
      </w:r>
    </w:p>
    <w:sectPr>
      <w:headerReference r:id="rId7" w:type="default"/>
      <w:footerReference r:id="rId8" w:type="default"/>
      <w:pgSz w:w="11906" w:h="16838"/>
      <w:pgMar w:top="851" w:right="851" w:bottom="714" w:left="1418" w:header="397" w:footer="0" w:gutter="0"/>
      <w:cols w:space="720" w:num="1"/>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TimesNewRomanPSMT">
    <w:altName w:val="Times New Roman"/>
    <w:panose1 w:val="00000000000000000000"/>
    <w:charset w:val="00"/>
    <w:family w:val="roman"/>
    <w:pitch w:val="default"/>
    <w:sig w:usb0="00000000" w:usb1="00000000" w:usb2="00000000" w:usb3="00000000" w:csb0="00000000" w:csb1="00000000"/>
  </w:font>
  <w:font w:name="ArialMT">
    <w:altName w:val="Times New Roman"/>
    <w:panose1 w:val="00000000000000000000"/>
    <w:charset w:val="00"/>
    <w:family w:val="roman"/>
    <w:pitch w:val="default"/>
    <w:sig w:usb0="00000000" w:usb1="00000000" w:usb2="00000000" w:usb3="00000000" w:csb0="00000000" w:csb1="00000000"/>
  </w:font>
  <w:font w:name="CIDFont+F5">
    <w:altName w:val="Calibri"/>
    <w:panose1 w:val="00000000000000000000"/>
    <w:charset w:val="00"/>
    <w:family w:val="auto"/>
    <w:pitch w:val="default"/>
    <w:sig w:usb0="00000000" w:usb1="00000000" w:usb2="00000000" w:usb3="00000000" w:csb0="00000001" w:csb1="00000000"/>
  </w:font>
  <w:font w:name="CIDFont+F4">
    <w:altName w:val="Calibri"/>
    <w:panose1 w:val="00000000000000000000"/>
    <w:charset w:val="00"/>
    <w:family w:val="auto"/>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2"/>
      <w:tblW w:w="9639" w:type="dxa"/>
      <w:tblInd w:w="-318" w:type="dxa"/>
      <w:tblLayout w:type="autofit"/>
      <w:tblCellMar>
        <w:top w:w="0" w:type="dxa"/>
        <w:left w:w="108" w:type="dxa"/>
        <w:bottom w:w="0" w:type="dxa"/>
        <w:right w:w="108" w:type="dxa"/>
      </w:tblCellMar>
    </w:tblPr>
    <w:tblGrid>
      <w:gridCol w:w="1702"/>
      <w:gridCol w:w="6520"/>
      <w:gridCol w:w="1417"/>
    </w:tblGrid>
    <w:tr>
      <w:tblPrEx>
        <w:tblCellMar>
          <w:top w:w="0" w:type="dxa"/>
          <w:left w:w="108" w:type="dxa"/>
          <w:bottom w:w="0" w:type="dxa"/>
          <w:right w:w="108" w:type="dxa"/>
        </w:tblCellMar>
      </w:tblPrEx>
      <w:tc>
        <w:tcPr>
          <w:tcW w:w="1702" w:type="dxa"/>
        </w:tcPr>
        <w:p>
          <w:pPr>
            <w:spacing w:before="0" w:after="0"/>
            <w:ind w:left="-392" w:right="-261" w:firstLine="1"/>
            <w:jc w:val="center"/>
            <w:rPr>
              <w:rFonts w:ascii="Tahoma" w:hAnsi="Tahoma" w:cs="Tahoma"/>
              <w:color w:val="A6A6A6"/>
              <w:sz w:val="16"/>
              <w:szCs w:val="16"/>
            </w:rPr>
          </w:pPr>
          <w:r>
            <w:rPr>
              <w:rFonts w:ascii="Tahoma" w:hAnsi="Tahoma" w:cs="Tahoma"/>
              <w:lang w:eastAsia="pt-BR"/>
            </w:rPr>
            <mc:AlternateContent>
              <mc:Choice Requires="wps">
                <w:drawing>
                  <wp:anchor distT="0" distB="0" distL="114300" distR="114300" simplePos="0" relativeHeight="251667456" behindDoc="0" locked="0" layoutInCell="1" allowOverlap="1">
                    <wp:simplePos x="0" y="0"/>
                    <wp:positionH relativeFrom="column">
                      <wp:posOffset>-93980</wp:posOffset>
                    </wp:positionH>
                    <wp:positionV relativeFrom="paragraph">
                      <wp:posOffset>0</wp:posOffset>
                    </wp:positionV>
                    <wp:extent cx="6353175" cy="0"/>
                    <wp:effectExtent l="0" t="0" r="9525" b="19050"/>
                    <wp:wrapNone/>
                    <wp:docPr id="6" name="Conector Reto 6"/>
                    <wp:cNvGraphicFramePr/>
                    <a:graphic xmlns:a="http://schemas.openxmlformats.org/drawingml/2006/main">
                      <a:graphicData uri="http://schemas.microsoft.com/office/word/2010/wordprocessingShape">
                        <wps:wsp>
                          <wps:cNvCnPr>
                            <a:cxnSpLocks noChangeShapeType="1"/>
                          </wps:cNvCnPr>
                          <wps:spPr bwMode="auto">
                            <a:xfrm>
                              <a:off x="0" y="0"/>
                              <a:ext cx="6353175" cy="0"/>
                            </a:xfrm>
                            <a:prstGeom prst="line">
                              <a:avLst/>
                            </a:prstGeom>
                            <a:noFill/>
                            <a:ln w="9525">
                              <a:solidFill>
                                <a:schemeClr val="tx1"/>
                              </a:solidFill>
                              <a:round/>
                            </a:ln>
                          </wps:spPr>
                          <wps:bodyPr/>
                        </wps:wsp>
                      </a:graphicData>
                    </a:graphic>
                  </wp:anchor>
                </w:drawing>
              </mc:Choice>
              <mc:Fallback>
                <w:pict>
                  <v:line id="_x0000_s1026" o:spid="_x0000_s1026" o:spt="20" style="position:absolute;left:0pt;margin-left:-7.4pt;margin-top:0pt;height:0pt;width:500.25pt;z-index:251667456;mso-width-relative:page;mso-height-relative:page;" filled="f" stroked="t" coordsize="21600,21600" o:gfxdata="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&#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J60gYHUAAAABQEAAA8AAAAAAAAAAQAgAAAAIgAAAGRy&#10;cy9kb3ducmV2LnhtbFBLAQIUABQAAAAIAIdO4kCQCs6u0AEAAKgDAAAOAAAAAAAAAAEAIAAAACMB&#10;AABkcnMvZTJvRG9jLnhtbFBLBQYAAAAABgAGAFkBAABlBQAAAAA=&#10;">
                    <v:fill on="f" focussize="0,0"/>
                    <v:stroke color="#000000 [3213]" joinstyle="round"/>
                    <v:imagedata o:title=""/>
                    <o:lock v:ext="edit" aspectratio="f"/>
                  </v:line>
                </w:pict>
              </mc:Fallback>
            </mc:AlternateContent>
          </w:r>
          <w:r>
            <w:rPr>
              <w:rFonts w:ascii="Tahoma" w:hAnsi="Tahoma" w:cs="Tahoma"/>
              <w:color w:val="A6A6A6"/>
              <w:sz w:val="16"/>
              <w:szCs w:val="16"/>
            </w:rPr>
            <w:t xml:space="preserve">Município de Itapeva </w:t>
          </w:r>
        </w:p>
      </w:tc>
      <w:tc>
        <w:tcPr>
          <w:tcW w:w="6520" w:type="dxa"/>
        </w:tcPr>
        <w:p>
          <w:pPr>
            <w:spacing w:before="0" w:after="0"/>
            <w:ind w:left="-249" w:right="-261"/>
            <w:jc w:val="center"/>
            <w:rPr>
              <w:rFonts w:ascii="Tahoma" w:hAnsi="Tahoma" w:cs="Tahoma"/>
              <w:color w:val="A6A6A6"/>
              <w:sz w:val="16"/>
              <w:szCs w:val="16"/>
            </w:rPr>
          </w:pPr>
        </w:p>
      </w:tc>
      <w:tc>
        <w:tcPr>
          <w:tcW w:w="1417" w:type="dxa"/>
        </w:tcPr>
        <w:p>
          <w:pPr>
            <w:spacing w:before="0" w:after="0"/>
            <w:ind w:left="33" w:right="-261" w:hanging="33"/>
            <w:rPr>
              <w:rFonts w:ascii="Tahoma" w:hAnsi="Tahoma" w:cs="Tahoma"/>
              <w:color w:val="A6A6A6"/>
              <w:sz w:val="16"/>
              <w:szCs w:val="16"/>
            </w:rPr>
          </w:pPr>
          <w:r>
            <w:rPr>
              <w:rFonts w:ascii="Tahoma" w:hAnsi="Tahoma" w:cs="Tahoma"/>
              <w:color w:val="A6A6A6"/>
              <w:sz w:val="16"/>
              <w:szCs w:val="16"/>
            </w:rPr>
            <w:t xml:space="preserve">Página </w:t>
          </w:r>
          <w:r>
            <w:rPr>
              <w:rFonts w:ascii="Tahoma" w:hAnsi="Tahoma" w:cs="Tahoma"/>
              <w:color w:val="A6A6A6"/>
              <w:sz w:val="16"/>
              <w:szCs w:val="16"/>
            </w:rPr>
            <w:fldChar w:fldCharType="begin"/>
          </w:r>
          <w:r>
            <w:rPr>
              <w:rFonts w:ascii="Tahoma" w:hAnsi="Tahoma" w:cs="Tahoma"/>
              <w:color w:val="A6A6A6"/>
              <w:sz w:val="16"/>
              <w:szCs w:val="16"/>
            </w:rPr>
            <w:instrText xml:space="preserve"> PAGE </w:instrText>
          </w:r>
          <w:r>
            <w:rPr>
              <w:rFonts w:ascii="Tahoma" w:hAnsi="Tahoma" w:cs="Tahoma"/>
              <w:color w:val="A6A6A6"/>
              <w:sz w:val="16"/>
              <w:szCs w:val="16"/>
            </w:rPr>
            <w:fldChar w:fldCharType="separate"/>
          </w:r>
          <w:r>
            <w:rPr>
              <w:rFonts w:ascii="Tahoma" w:hAnsi="Tahoma" w:cs="Tahoma"/>
              <w:color w:val="A6A6A6"/>
              <w:sz w:val="16"/>
              <w:szCs w:val="16"/>
            </w:rPr>
            <w:t>16</w:t>
          </w:r>
          <w:r>
            <w:rPr>
              <w:rFonts w:ascii="Tahoma" w:hAnsi="Tahoma" w:cs="Tahoma"/>
              <w:color w:val="A6A6A6"/>
              <w:sz w:val="16"/>
              <w:szCs w:val="16"/>
            </w:rPr>
            <w:fldChar w:fldCharType="end"/>
          </w:r>
          <w:r>
            <w:rPr>
              <w:rFonts w:ascii="Tahoma" w:hAnsi="Tahoma" w:cs="Tahoma"/>
              <w:color w:val="A6A6A6"/>
              <w:sz w:val="16"/>
              <w:szCs w:val="16"/>
            </w:rPr>
            <w:t xml:space="preserve"> de </w:t>
          </w:r>
          <w:r>
            <w:rPr>
              <w:rFonts w:ascii="Tahoma" w:hAnsi="Tahoma" w:cs="Tahoma"/>
              <w:color w:val="A6A6A6"/>
              <w:sz w:val="16"/>
              <w:szCs w:val="16"/>
            </w:rPr>
            <w:fldChar w:fldCharType="begin"/>
          </w:r>
          <w:r>
            <w:rPr>
              <w:rFonts w:ascii="Tahoma" w:hAnsi="Tahoma" w:cs="Tahoma"/>
              <w:color w:val="A6A6A6"/>
              <w:sz w:val="16"/>
              <w:szCs w:val="16"/>
            </w:rPr>
            <w:instrText xml:space="preserve"> NUMPAGES </w:instrText>
          </w:r>
          <w:r>
            <w:rPr>
              <w:rFonts w:ascii="Tahoma" w:hAnsi="Tahoma" w:cs="Tahoma"/>
              <w:color w:val="A6A6A6"/>
              <w:sz w:val="16"/>
              <w:szCs w:val="16"/>
            </w:rPr>
            <w:fldChar w:fldCharType="separate"/>
          </w:r>
          <w:r>
            <w:rPr>
              <w:rFonts w:ascii="Tahoma" w:hAnsi="Tahoma" w:cs="Tahoma"/>
              <w:color w:val="A6A6A6"/>
              <w:sz w:val="16"/>
              <w:szCs w:val="16"/>
            </w:rPr>
            <w:t>26</w:t>
          </w:r>
          <w:r>
            <w:rPr>
              <w:rFonts w:ascii="Tahoma" w:hAnsi="Tahoma" w:cs="Tahoma"/>
              <w:color w:val="A6A6A6"/>
              <w:sz w:val="16"/>
              <w:szCs w:val="16"/>
            </w:rPr>
            <w:fldChar w:fldCharType="end"/>
          </w:r>
        </w:p>
      </w:tc>
    </w:tr>
  </w:tbl>
  <w:p>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282"/>
      <w:rPr>
        <w:rFonts w:ascii="Tahoma" w:hAnsi="Tahoma" w:cs="Tahoma"/>
        <w:sz w:val="16"/>
        <w:szCs w:val="16"/>
      </w:rPr>
    </w:pPr>
    <w:r>
      <w:rPr>
        <w:rFonts w:ascii="Tahoma" w:hAnsi="Tahoma" w:cs="Tahoma"/>
        <w:color w:val="7F7F7F" w:themeColor="background1" w:themeShade="80"/>
        <w:sz w:val="16"/>
        <w:szCs w:val="16"/>
        <w:lang w:eastAsia="pt-BR"/>
      </w:rPr>
      <mc:AlternateContent>
        <mc:Choice Requires="wps">
          <w:drawing>
            <wp:anchor distT="0" distB="0" distL="114300" distR="114300" simplePos="0" relativeHeight="251662336" behindDoc="0" locked="0" layoutInCell="1" allowOverlap="1">
              <wp:simplePos x="0" y="0"/>
              <wp:positionH relativeFrom="column">
                <wp:posOffset>-137795</wp:posOffset>
              </wp:positionH>
              <wp:positionV relativeFrom="paragraph">
                <wp:posOffset>39370</wp:posOffset>
              </wp:positionV>
              <wp:extent cx="6202680" cy="0"/>
              <wp:effectExtent l="0" t="0" r="27305" b="19050"/>
              <wp:wrapNone/>
              <wp:docPr id="12" name="Conector Reto 12"/>
              <wp:cNvGraphicFramePr/>
              <a:graphic xmlns:a="http://schemas.openxmlformats.org/drawingml/2006/main">
                <a:graphicData uri="http://schemas.microsoft.com/office/word/2010/wordprocessingShape">
                  <wps:wsp>
                    <wps:cNvCnPr/>
                    <wps:spPr>
                      <a:xfrm flipH="1">
                        <a:off x="0" y="0"/>
                        <a:ext cx="620267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margin-left:-10.85pt;margin-top:3.1pt;height:0pt;width:488.4pt;z-index:251662336;mso-width-relative:page;mso-height-relative:page;" filled="f" stroked="t" coordsize="21600,21600" o:gfxdata="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vIK+ldQAAAAHAQAADwAAAAAAAAABACAAAAAiAAAAZHJzL2Rv&#10;d25yZXYueG1sUEsBAhQAFAAAAAgAh07iQBezne3MAQAApAMAAA4AAAAAAAAAAQAgAAAAIwEAAGRy&#10;cy9lMm9Eb2MueG1sUEsFBgAAAAAGAAYAWQEAAGEFAAAAAA==&#10;">
              <v:fill on="f" focussize="0,0"/>
              <v:stroke color="#000000 [3213]" joinstyle="round"/>
              <v:imagedata o:title=""/>
              <o:lock v:ext="edit" aspectratio="f"/>
            </v:line>
          </w:pict>
        </mc:Fallback>
      </mc:AlternateContent>
    </w:r>
    <w:r>
      <w:rPr>
        <w:rFonts w:ascii="Tahoma" w:hAnsi="Tahoma" w:cs="Tahoma"/>
        <w:color w:val="7F7F7F" w:themeColor="background1" w:themeShade="80"/>
        <w:sz w:val="16"/>
        <w:szCs w:val="16"/>
      </w:rPr>
      <w:t xml:space="preserve">Município de Itapeva </w:t>
    </w:r>
    <w:r>
      <w:rPr>
        <w:rFonts w:ascii="Tahoma" w:hAnsi="Tahoma" w:cs="Tahoma"/>
        <w:sz w:val="16"/>
        <w:szCs w:val="16"/>
      </w:rPr>
      <w:ptab w:relativeTo="margin" w:alignment="center" w:leader="none"/>
    </w:r>
    <w:r>
      <w:rPr>
        <w:rFonts w:ascii="Tahoma" w:hAnsi="Tahoma" w:cs="Tahoma"/>
        <w:color w:val="7F7F7F" w:themeColor="background1" w:themeShade="80"/>
        <w:sz w:val="16"/>
        <w:szCs w:val="16"/>
      </w:rPr>
      <w:ptab w:relativeTo="margin" w:alignment="right" w:leader="none"/>
    </w:r>
    <w:r>
      <w:rPr>
        <w:rFonts w:ascii="Tahoma" w:hAnsi="Tahoma" w:cs="Tahoma"/>
        <w:color w:val="7F7F7F" w:themeColor="background1" w:themeShade="80"/>
        <w:sz w:val="16"/>
        <w:szCs w:val="16"/>
      </w:rPr>
      <w:t xml:space="preserve">Página </w:t>
    </w:r>
    <w:r>
      <w:rPr>
        <w:rFonts w:ascii="Tahoma" w:hAnsi="Tahoma" w:cs="Tahoma"/>
        <w:color w:val="7F7F7F" w:themeColor="background1" w:themeShade="80"/>
        <w:sz w:val="16"/>
        <w:szCs w:val="16"/>
      </w:rPr>
      <w:fldChar w:fldCharType="begin"/>
    </w:r>
    <w:r>
      <w:rPr>
        <w:rFonts w:ascii="Tahoma" w:hAnsi="Tahoma" w:cs="Tahoma"/>
        <w:color w:val="7F7F7F" w:themeColor="background1" w:themeShade="80"/>
        <w:sz w:val="16"/>
        <w:szCs w:val="16"/>
      </w:rPr>
      <w:instrText xml:space="preserve"> PAGE </w:instrText>
    </w:r>
    <w:r>
      <w:rPr>
        <w:rFonts w:ascii="Tahoma" w:hAnsi="Tahoma" w:cs="Tahoma"/>
        <w:color w:val="7F7F7F" w:themeColor="background1" w:themeShade="80"/>
        <w:sz w:val="16"/>
        <w:szCs w:val="16"/>
      </w:rPr>
      <w:fldChar w:fldCharType="separate"/>
    </w:r>
    <w:r>
      <w:rPr>
        <w:rFonts w:ascii="Tahoma" w:hAnsi="Tahoma" w:cs="Tahoma"/>
        <w:color w:val="7F7F7F" w:themeColor="background1" w:themeShade="80"/>
        <w:sz w:val="16"/>
        <w:szCs w:val="16"/>
      </w:rPr>
      <w:t>1</w:t>
    </w:r>
    <w:r>
      <w:rPr>
        <w:rFonts w:ascii="Tahoma" w:hAnsi="Tahoma" w:cs="Tahoma"/>
        <w:color w:val="7F7F7F" w:themeColor="background1" w:themeShade="80"/>
        <w:sz w:val="16"/>
        <w:szCs w:val="16"/>
      </w:rPr>
      <w:fldChar w:fldCharType="end"/>
    </w:r>
    <w:r>
      <w:rPr>
        <w:rFonts w:ascii="Tahoma" w:hAnsi="Tahoma" w:cs="Tahoma"/>
        <w:color w:val="7F7F7F" w:themeColor="background1" w:themeShade="80"/>
        <w:sz w:val="16"/>
        <w:szCs w:val="16"/>
      </w:rPr>
      <w:t xml:space="preserve"> de </w:t>
    </w:r>
    <w:r>
      <w:rPr>
        <w:rFonts w:ascii="Tahoma" w:hAnsi="Tahoma" w:cs="Tahoma"/>
        <w:color w:val="7F7F7F" w:themeColor="background1" w:themeShade="80"/>
        <w:sz w:val="16"/>
        <w:szCs w:val="16"/>
      </w:rPr>
      <w:fldChar w:fldCharType="begin"/>
    </w:r>
    <w:r>
      <w:rPr>
        <w:rFonts w:ascii="Tahoma" w:hAnsi="Tahoma" w:cs="Tahoma"/>
        <w:color w:val="7F7F7F" w:themeColor="background1" w:themeShade="80"/>
        <w:sz w:val="16"/>
        <w:szCs w:val="16"/>
      </w:rPr>
      <w:instrText xml:space="preserve"> NUMPAGES </w:instrText>
    </w:r>
    <w:r>
      <w:rPr>
        <w:rFonts w:ascii="Tahoma" w:hAnsi="Tahoma" w:cs="Tahoma"/>
        <w:color w:val="7F7F7F" w:themeColor="background1" w:themeShade="80"/>
        <w:sz w:val="16"/>
        <w:szCs w:val="16"/>
      </w:rPr>
      <w:fldChar w:fldCharType="separate"/>
    </w:r>
    <w:r>
      <w:rPr>
        <w:rFonts w:ascii="Tahoma" w:hAnsi="Tahoma" w:cs="Tahoma"/>
        <w:color w:val="7F7F7F" w:themeColor="background1" w:themeShade="80"/>
        <w:sz w:val="16"/>
        <w:szCs w:val="16"/>
      </w:rPr>
      <w:t>25</w:t>
    </w:r>
    <w:r>
      <w:rPr>
        <w:rFonts w:ascii="Tahoma" w:hAnsi="Tahoma" w:cs="Tahoma"/>
        <w:color w:val="7F7F7F" w:themeColor="background1" w:themeShade="80"/>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2"/>
      <w:tblW w:w="9639" w:type="dxa"/>
      <w:tblInd w:w="-318" w:type="dxa"/>
      <w:tblLayout w:type="autofit"/>
      <w:tblCellMar>
        <w:top w:w="0" w:type="dxa"/>
        <w:left w:w="108" w:type="dxa"/>
        <w:bottom w:w="0" w:type="dxa"/>
        <w:right w:w="108" w:type="dxa"/>
      </w:tblCellMar>
    </w:tblPr>
    <w:tblGrid>
      <w:gridCol w:w="1702"/>
      <w:gridCol w:w="6520"/>
      <w:gridCol w:w="1417"/>
    </w:tblGrid>
    <w:tr>
      <w:tblPrEx>
        <w:tblCellMar>
          <w:top w:w="0" w:type="dxa"/>
          <w:left w:w="108" w:type="dxa"/>
          <w:bottom w:w="0" w:type="dxa"/>
          <w:right w:w="108" w:type="dxa"/>
        </w:tblCellMar>
      </w:tblPrEx>
      <w:trPr>
        <w:trHeight w:val="280" w:hRule="atLeast"/>
      </w:trPr>
      <w:tc>
        <w:tcPr>
          <w:tcW w:w="1702" w:type="dxa"/>
        </w:tcPr>
        <w:p>
          <w:pPr>
            <w:spacing w:before="0" w:after="0"/>
            <w:ind w:left="-392" w:right="-261" w:firstLine="1"/>
            <w:jc w:val="center"/>
            <w:rPr>
              <w:rFonts w:ascii="Tahoma" w:hAnsi="Tahoma" w:cs="Tahoma"/>
              <w:color w:val="A6A6A6"/>
              <w:sz w:val="16"/>
              <w:szCs w:val="16"/>
            </w:rPr>
          </w:pPr>
          <w:r>
            <w:rPr>
              <w:rFonts w:ascii="Tahoma" w:hAnsi="Tahoma" w:cs="Tahoma"/>
              <w:lang w:eastAsia="pt-BR"/>
            </w:rPr>
            <mc:AlternateContent>
              <mc:Choice Requires="wps">
                <w:drawing>
                  <wp:anchor distT="0" distB="0" distL="114300" distR="114300" simplePos="0" relativeHeight="251666432" behindDoc="0" locked="0" layoutInCell="1" allowOverlap="1">
                    <wp:simplePos x="0" y="0"/>
                    <wp:positionH relativeFrom="column">
                      <wp:posOffset>-93980</wp:posOffset>
                    </wp:positionH>
                    <wp:positionV relativeFrom="paragraph">
                      <wp:posOffset>0</wp:posOffset>
                    </wp:positionV>
                    <wp:extent cx="6353175" cy="0"/>
                    <wp:effectExtent l="0" t="0" r="9525" b="19050"/>
                    <wp:wrapNone/>
                    <wp:docPr id="5" name="Conector Reto 5"/>
                    <wp:cNvGraphicFramePr/>
                    <a:graphic xmlns:a="http://schemas.openxmlformats.org/drawingml/2006/main">
                      <a:graphicData uri="http://schemas.microsoft.com/office/word/2010/wordprocessingShape">
                        <wps:wsp>
                          <wps:cNvCnPr>
                            <a:cxnSpLocks noChangeShapeType="1"/>
                          </wps:cNvCnPr>
                          <wps:spPr bwMode="auto">
                            <a:xfrm>
                              <a:off x="0" y="0"/>
                              <a:ext cx="6353175" cy="0"/>
                            </a:xfrm>
                            <a:prstGeom prst="line">
                              <a:avLst/>
                            </a:prstGeom>
                            <a:noFill/>
                            <a:ln w="9525">
                              <a:solidFill>
                                <a:schemeClr val="tx1"/>
                              </a:solidFill>
                              <a:round/>
                            </a:ln>
                          </wps:spPr>
                          <wps:bodyPr/>
                        </wps:wsp>
                      </a:graphicData>
                    </a:graphic>
                  </wp:anchor>
                </w:drawing>
              </mc:Choice>
              <mc:Fallback>
                <w:pict>
                  <v:line id="_x0000_s1026" o:spid="_x0000_s1026" o:spt="20" style="position:absolute;left:0pt;margin-left:-7.4pt;margin-top:0pt;height:0pt;width:500.25pt;z-index:251666432;mso-width-relative:page;mso-height-relative:page;" filled="f" stroked="t" coordsize="21600,21600" o:gfxdata="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CetIGB1AAAAAUBAAAPAAAAAAAAAAEAIAAAACIAAABk&#10;cnMvZG93bnJldi54bWxQSwECFAAUAAAACACHTuJAATnJVdEBAACoAwAADgAAAAAAAAABACAAAAAj&#10;AQAAZHJzL2Uyb0RvYy54bWxQSwUGAAAAAAYABgBZAQAAZgUAAAAA&#10;">
                    <v:fill on="f" focussize="0,0"/>
                    <v:stroke color="#000000 [3213]" joinstyle="round"/>
                    <v:imagedata o:title=""/>
                    <o:lock v:ext="edit" aspectratio="f"/>
                  </v:line>
                </w:pict>
              </mc:Fallback>
            </mc:AlternateContent>
          </w:r>
          <w:r>
            <w:rPr>
              <w:rFonts w:ascii="Tahoma" w:hAnsi="Tahoma" w:cs="Tahoma"/>
              <w:color w:val="A6A6A6"/>
              <w:sz w:val="16"/>
              <w:szCs w:val="16"/>
            </w:rPr>
            <w:t xml:space="preserve">Município de Itapeva </w:t>
          </w:r>
        </w:p>
      </w:tc>
      <w:tc>
        <w:tcPr>
          <w:tcW w:w="6520" w:type="dxa"/>
        </w:tcPr>
        <w:p>
          <w:pPr>
            <w:spacing w:before="0" w:after="0"/>
            <w:ind w:left="-249" w:right="-261"/>
            <w:jc w:val="center"/>
            <w:rPr>
              <w:rFonts w:ascii="Tahoma" w:hAnsi="Tahoma" w:cs="Tahoma"/>
              <w:color w:val="A6A6A6"/>
              <w:sz w:val="16"/>
              <w:szCs w:val="16"/>
            </w:rPr>
          </w:pPr>
        </w:p>
      </w:tc>
      <w:tc>
        <w:tcPr>
          <w:tcW w:w="1417" w:type="dxa"/>
        </w:tcPr>
        <w:p>
          <w:pPr>
            <w:spacing w:before="0" w:after="0"/>
            <w:ind w:left="33" w:right="-261" w:hanging="33"/>
            <w:rPr>
              <w:rFonts w:ascii="Tahoma" w:hAnsi="Tahoma" w:cs="Tahoma"/>
              <w:color w:val="A6A6A6"/>
              <w:sz w:val="16"/>
              <w:szCs w:val="16"/>
            </w:rPr>
          </w:pPr>
          <w:r>
            <w:rPr>
              <w:rFonts w:ascii="Tahoma" w:hAnsi="Tahoma" w:cs="Tahoma"/>
              <w:color w:val="A6A6A6"/>
              <w:sz w:val="16"/>
              <w:szCs w:val="16"/>
            </w:rPr>
            <w:t xml:space="preserve">Página </w:t>
          </w:r>
          <w:r>
            <w:rPr>
              <w:rFonts w:ascii="Tahoma" w:hAnsi="Tahoma" w:cs="Tahoma"/>
              <w:color w:val="A6A6A6"/>
              <w:sz w:val="16"/>
              <w:szCs w:val="16"/>
            </w:rPr>
            <w:fldChar w:fldCharType="begin"/>
          </w:r>
          <w:r>
            <w:rPr>
              <w:rFonts w:ascii="Tahoma" w:hAnsi="Tahoma" w:cs="Tahoma"/>
              <w:color w:val="A6A6A6"/>
              <w:sz w:val="16"/>
              <w:szCs w:val="16"/>
            </w:rPr>
            <w:instrText xml:space="preserve"> PAGE </w:instrText>
          </w:r>
          <w:r>
            <w:rPr>
              <w:rFonts w:ascii="Tahoma" w:hAnsi="Tahoma" w:cs="Tahoma"/>
              <w:color w:val="A6A6A6"/>
              <w:sz w:val="16"/>
              <w:szCs w:val="16"/>
            </w:rPr>
            <w:fldChar w:fldCharType="separate"/>
          </w:r>
          <w:r>
            <w:rPr>
              <w:rFonts w:ascii="Tahoma" w:hAnsi="Tahoma" w:cs="Tahoma"/>
              <w:color w:val="A6A6A6"/>
              <w:sz w:val="16"/>
              <w:szCs w:val="16"/>
            </w:rPr>
            <w:t>26</w:t>
          </w:r>
          <w:r>
            <w:rPr>
              <w:rFonts w:ascii="Tahoma" w:hAnsi="Tahoma" w:cs="Tahoma"/>
              <w:color w:val="A6A6A6"/>
              <w:sz w:val="16"/>
              <w:szCs w:val="16"/>
            </w:rPr>
            <w:fldChar w:fldCharType="end"/>
          </w:r>
          <w:r>
            <w:rPr>
              <w:rFonts w:ascii="Tahoma" w:hAnsi="Tahoma" w:cs="Tahoma"/>
              <w:color w:val="A6A6A6"/>
              <w:sz w:val="16"/>
              <w:szCs w:val="16"/>
            </w:rPr>
            <w:t xml:space="preserve"> de </w:t>
          </w:r>
          <w:r>
            <w:rPr>
              <w:rFonts w:ascii="Tahoma" w:hAnsi="Tahoma" w:cs="Tahoma"/>
              <w:color w:val="A6A6A6"/>
              <w:sz w:val="16"/>
              <w:szCs w:val="16"/>
            </w:rPr>
            <w:fldChar w:fldCharType="begin"/>
          </w:r>
          <w:r>
            <w:rPr>
              <w:rFonts w:ascii="Tahoma" w:hAnsi="Tahoma" w:cs="Tahoma"/>
              <w:color w:val="A6A6A6"/>
              <w:sz w:val="16"/>
              <w:szCs w:val="16"/>
            </w:rPr>
            <w:instrText xml:space="preserve"> NUMPAGES </w:instrText>
          </w:r>
          <w:r>
            <w:rPr>
              <w:rFonts w:ascii="Tahoma" w:hAnsi="Tahoma" w:cs="Tahoma"/>
              <w:color w:val="A6A6A6"/>
              <w:sz w:val="16"/>
              <w:szCs w:val="16"/>
            </w:rPr>
            <w:fldChar w:fldCharType="separate"/>
          </w:r>
          <w:r>
            <w:rPr>
              <w:rFonts w:ascii="Tahoma" w:hAnsi="Tahoma" w:cs="Tahoma"/>
              <w:color w:val="A6A6A6"/>
              <w:sz w:val="16"/>
              <w:szCs w:val="16"/>
            </w:rPr>
            <w:t>26</w:t>
          </w:r>
          <w:r>
            <w:rPr>
              <w:rFonts w:ascii="Tahoma" w:hAnsi="Tahoma" w:cs="Tahoma"/>
              <w:color w:val="A6A6A6"/>
              <w:sz w:val="16"/>
              <w:szCs w:val="16"/>
            </w:rPr>
            <w:fldChar w:fldCharType="end"/>
          </w:r>
        </w:p>
      </w:tc>
    </w:tr>
  </w:tbl>
  <w:p>
    <w:pPr>
      <w:pStyle w:val="2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rPr>
        <w:lang w:eastAsia="pt-BR"/>
      </w:rPr>
      <mc:AlternateContent>
        <mc:Choice Requires="wps">
          <w:drawing>
            <wp:anchor distT="0" distB="0" distL="114300" distR="114300" simplePos="0" relativeHeight="251664384" behindDoc="0" locked="0" layoutInCell="1" allowOverlap="1">
              <wp:simplePos x="0" y="0"/>
              <wp:positionH relativeFrom="column">
                <wp:posOffset>4064635</wp:posOffset>
              </wp:positionH>
              <wp:positionV relativeFrom="paragraph">
                <wp:posOffset>-47625</wp:posOffset>
              </wp:positionV>
              <wp:extent cx="2091055" cy="311785"/>
              <wp:effectExtent l="0" t="0" r="0" b="0"/>
              <wp:wrapNone/>
              <wp:docPr id="9" name="Caixa de Texto 9"/>
              <wp:cNvGraphicFramePr/>
              <a:graphic xmlns:a="http://schemas.openxmlformats.org/drawingml/2006/main">
                <a:graphicData uri="http://schemas.microsoft.com/office/word/2010/wordprocessingShape">
                  <wps:wsp>
                    <wps:cNvSpPr txBox="1">
                      <a:spLocks noChangeArrowheads="1"/>
                    </wps:cNvSpPr>
                    <wps:spPr bwMode="auto">
                      <a:xfrm>
                        <a:off x="0" y="0"/>
                        <a:ext cx="2091055" cy="311785"/>
                      </a:xfrm>
                      <a:prstGeom prst="rect">
                        <a:avLst/>
                      </a:prstGeom>
                      <a:noFill/>
                      <a:ln>
                        <a:noFill/>
                      </a:ln>
                    </wps:spPr>
                    <wps:txbx>
                      <w:txbxContent>
                        <w:p>
                          <w:pPr>
                            <w:jc w:val="right"/>
                            <w:rPr>
                              <w:rFonts w:ascii="Tahoma" w:hAnsi="Tahoma" w:cs="Tahoma"/>
                              <w:color w:val="7F7F7F" w:themeColor="background1" w:themeShade="80"/>
                              <w:sz w:val="16"/>
                              <w:szCs w:val="16"/>
                            </w:rPr>
                          </w:pPr>
                          <w:r>
                            <w:rPr>
                              <w:rFonts w:ascii="Tahoma" w:hAnsi="Tahoma" w:cs="Tahoma"/>
                              <w:color w:val="7F7F7F" w:themeColor="background1" w:themeShade="80"/>
                              <w:sz w:val="16"/>
                              <w:szCs w:val="16"/>
                            </w:rPr>
                            <w:t>Fls. Nº _______ Rubrica  _______</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320.05pt;margin-top:-3.75pt;height:24.55pt;width:164.65pt;z-index:251664384;mso-width-relative:page;mso-height-relative:page;" filled="f" stroked="f" coordsize="21600,21600" o:gfxdata="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El7kF3XAAAACQEAAA8AAAAAAAAAAQAgAAAA&#10;IgAAAGRycy9kb3ducmV2LnhtbFBLAQIUABQAAAAIAIdO4kC/u2VtDAIAABoEAAAOAAAAAAAAAAEA&#10;IAAAACYBAABkcnMvZTJvRG9jLnhtbFBLBQYAAAAABgAGAFkBAACkBQAAAAA=&#10;">
              <v:fill on="f" focussize="0,0"/>
              <v:stroke on="f"/>
              <v:imagedata o:title=""/>
              <o:lock v:ext="edit" aspectratio="f"/>
              <v:textbox>
                <w:txbxContent>
                  <w:p>
                    <w:pPr>
                      <w:jc w:val="right"/>
                      <w:rPr>
                        <w:rFonts w:ascii="Tahoma" w:hAnsi="Tahoma" w:cs="Tahoma"/>
                        <w:color w:val="7F7F7F" w:themeColor="background1" w:themeShade="80"/>
                        <w:sz w:val="16"/>
                        <w:szCs w:val="16"/>
                      </w:rPr>
                    </w:pPr>
                    <w:r>
                      <w:rPr>
                        <w:rFonts w:ascii="Tahoma" w:hAnsi="Tahoma" w:cs="Tahoma"/>
                        <w:color w:val="7F7F7F" w:themeColor="background1" w:themeShade="80"/>
                        <w:sz w:val="16"/>
                        <w:szCs w:val="16"/>
                      </w:rPr>
                      <w:t>Fls. Nº _______ Rubrica  _______</w:t>
                    </w:r>
                  </w:p>
                </w:txbxContent>
              </v:textbox>
            </v:shape>
          </w:pict>
        </mc:Fallback>
      </mc:AlternateContent>
    </w:r>
    <w:r>
      <w:rPr>
        <w:lang w:eastAsia="pt-BR"/>
      </w:rPr>
      <mc:AlternateContent>
        <mc:Choice Requires="wps">
          <w:drawing>
            <wp:anchor distT="0" distB="0" distL="114300" distR="114300" simplePos="0" relativeHeight="251661312" behindDoc="0" locked="0" layoutInCell="1" allowOverlap="1">
              <wp:simplePos x="0" y="0"/>
              <wp:positionH relativeFrom="column">
                <wp:posOffset>-363855</wp:posOffset>
              </wp:positionH>
              <wp:positionV relativeFrom="paragraph">
                <wp:posOffset>203835</wp:posOffset>
              </wp:positionV>
              <wp:extent cx="6519545" cy="0"/>
              <wp:effectExtent l="0" t="0" r="14605" b="19050"/>
              <wp:wrapNone/>
              <wp:docPr id="10" name="AutoShape 15"/>
              <wp:cNvGraphicFramePr/>
              <a:graphic xmlns:a="http://schemas.openxmlformats.org/drawingml/2006/main">
                <a:graphicData uri="http://schemas.microsoft.com/office/word/2010/wordprocessingShape">
                  <wps:wsp>
                    <wps:cNvCnPr>
                      <a:cxnSpLocks noChangeShapeType="1"/>
                    </wps:cNvCnPr>
                    <wps:spPr bwMode="auto">
                      <a:xfrm>
                        <a:off x="0" y="0"/>
                        <a:ext cx="6519545" cy="0"/>
                      </a:xfrm>
                      <a:prstGeom prst="straightConnector1">
                        <a:avLst/>
                      </a:prstGeom>
                      <a:noFill/>
                      <a:ln w="9525">
                        <a:solidFill>
                          <a:schemeClr val="tx1"/>
                        </a:solidFill>
                        <a:round/>
                      </a:ln>
                    </wps:spPr>
                    <wps:bodyPr/>
                  </wps:wsp>
                </a:graphicData>
              </a:graphic>
            </wp:anchor>
          </w:drawing>
        </mc:Choice>
        <mc:Fallback>
          <w:pict>
            <v:shape id="AutoShape 15" o:spid="_x0000_s1026" o:spt="32" type="#_x0000_t32" style="position:absolute;left:0pt;margin-left:-28.65pt;margin-top:16.05pt;height:0pt;width:513.35pt;z-index:251661312;mso-width-relative:page;mso-height-relative:page;" filled="f" stroked="t" coordsize="21600,21600" o:gfxdata="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APgtyP2AAAAAkBAAAPAAAAAAAAAAEA&#10;IAAAACIAAABkcnMvZG93bnJldi54bWxQSwECFAAUAAAACACHTuJA5VkjqNYBAAC0AwAADgAAAAAA&#10;AAABACAAAAAnAQAAZHJzL2Uyb0RvYy54bWxQSwUGAAAAAAYABgBZAQAAbwUAAAAA&#10;">
              <v:fill on="f" focussize="0,0"/>
              <v:stroke color="#000000 [3213]" joinstyle="round"/>
              <v:imagedata o:title=""/>
              <o:lock v:ext="edit" aspectratio="f"/>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rPr>
        <w:lang w:eastAsia="pt-BR"/>
      </w:rPr>
      <mc:AlternateContent>
        <mc:Choice Requires="wps">
          <w:drawing>
            <wp:anchor distT="0" distB="0" distL="114300" distR="114300" simplePos="0" relativeHeight="251665408" behindDoc="0" locked="0" layoutInCell="1" allowOverlap="1">
              <wp:simplePos x="0" y="0"/>
              <wp:positionH relativeFrom="column">
                <wp:posOffset>4044950</wp:posOffset>
              </wp:positionH>
              <wp:positionV relativeFrom="paragraph">
                <wp:posOffset>-82550</wp:posOffset>
              </wp:positionV>
              <wp:extent cx="2091055" cy="311785"/>
              <wp:effectExtent l="0" t="0" r="0" b="0"/>
              <wp:wrapNone/>
              <wp:docPr id="1" name="Caixa de Texto 1"/>
              <wp:cNvGraphicFramePr/>
              <a:graphic xmlns:a="http://schemas.openxmlformats.org/drawingml/2006/main">
                <a:graphicData uri="http://schemas.microsoft.com/office/word/2010/wordprocessingShape">
                  <wps:wsp>
                    <wps:cNvSpPr txBox="1">
                      <a:spLocks noChangeArrowheads="1"/>
                    </wps:cNvSpPr>
                    <wps:spPr bwMode="auto">
                      <a:xfrm>
                        <a:off x="0" y="0"/>
                        <a:ext cx="2091055" cy="311785"/>
                      </a:xfrm>
                      <a:prstGeom prst="rect">
                        <a:avLst/>
                      </a:prstGeom>
                      <a:noFill/>
                      <a:ln>
                        <a:noFill/>
                      </a:ln>
                    </wps:spPr>
                    <wps:txbx>
                      <w:txbxContent>
                        <w:p>
                          <w:pPr>
                            <w:jc w:val="right"/>
                            <w:rPr>
                              <w:rFonts w:ascii="Tahoma" w:hAnsi="Tahoma" w:cs="Tahoma"/>
                              <w:color w:val="7F7F7F" w:themeColor="background1" w:themeShade="80"/>
                              <w:sz w:val="16"/>
                              <w:szCs w:val="16"/>
                            </w:rPr>
                          </w:pPr>
                          <w:r>
                            <w:rPr>
                              <w:rFonts w:ascii="Tahoma" w:hAnsi="Tahoma" w:cs="Tahoma"/>
                              <w:color w:val="7F7F7F" w:themeColor="background1" w:themeShade="80"/>
                              <w:sz w:val="16"/>
                              <w:szCs w:val="16"/>
                            </w:rPr>
                            <w:t>Fls. Nº _______ Rubrica  _______</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318.5pt;margin-top:-6.5pt;height:24.55pt;width:164.65pt;z-index:251665408;mso-width-relative:page;mso-height-relative:page;" filled="f" stroked="f" coordsize="21600,21600" o:gfxdata="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w0ioXNgAAAAKAQAADwAAAAAAAAABACAAAAAi&#10;AAAAZHJzL2Rvd25yZXYueG1sUEsBAhQAFAAAAAgAh07iQILslcMKAgAAGgQAAA4AAAAAAAAAAQAg&#10;AAAAJwEAAGRycy9lMm9Eb2MueG1sUEsFBgAAAAAGAAYAWQEAAKMFAAAAAA==&#10;">
              <v:fill on="f" focussize="0,0"/>
              <v:stroke on="f"/>
              <v:imagedata o:title=""/>
              <o:lock v:ext="edit" aspectratio="f"/>
              <v:textbox>
                <w:txbxContent>
                  <w:p>
                    <w:pPr>
                      <w:jc w:val="right"/>
                      <w:rPr>
                        <w:rFonts w:ascii="Tahoma" w:hAnsi="Tahoma" w:cs="Tahoma"/>
                        <w:color w:val="7F7F7F" w:themeColor="background1" w:themeShade="80"/>
                        <w:sz w:val="16"/>
                        <w:szCs w:val="16"/>
                      </w:rPr>
                    </w:pPr>
                    <w:r>
                      <w:rPr>
                        <w:rFonts w:ascii="Tahoma" w:hAnsi="Tahoma" w:cs="Tahoma"/>
                        <w:color w:val="7F7F7F" w:themeColor="background1" w:themeShade="80"/>
                        <w:sz w:val="16"/>
                        <w:szCs w:val="16"/>
                      </w:rPr>
                      <w:t>Fls. Nº _______ Rubrica  _______</w:t>
                    </w:r>
                  </w:p>
                </w:txbxContent>
              </v:textbox>
            </v:shape>
          </w:pict>
        </mc:Fallback>
      </mc:AlternateContent>
    </w:r>
    <w:r>
      <w:rPr>
        <w:lang w:eastAsia="pt-BR"/>
      </w:rPr>
      <mc:AlternateContent>
        <mc:Choice Requires="wps">
          <w:drawing>
            <wp:anchor distT="0" distB="0" distL="114300" distR="114300" simplePos="0" relativeHeight="251663360" behindDoc="0" locked="0" layoutInCell="1" allowOverlap="1">
              <wp:simplePos x="0" y="0"/>
              <wp:positionH relativeFrom="column">
                <wp:posOffset>-248285</wp:posOffset>
              </wp:positionH>
              <wp:positionV relativeFrom="paragraph">
                <wp:posOffset>175895</wp:posOffset>
              </wp:positionV>
              <wp:extent cx="6519545" cy="0"/>
              <wp:effectExtent l="0" t="0" r="14605" b="19050"/>
              <wp:wrapNone/>
              <wp:docPr id="3" name="AutoShape 15"/>
              <wp:cNvGraphicFramePr/>
              <a:graphic xmlns:a="http://schemas.openxmlformats.org/drawingml/2006/main">
                <a:graphicData uri="http://schemas.microsoft.com/office/word/2010/wordprocessingShape">
                  <wps:wsp>
                    <wps:cNvCnPr>
                      <a:cxnSpLocks noChangeShapeType="1"/>
                    </wps:cNvCnPr>
                    <wps:spPr bwMode="auto">
                      <a:xfrm>
                        <a:off x="0" y="0"/>
                        <a:ext cx="6519545" cy="0"/>
                      </a:xfrm>
                      <a:prstGeom prst="straightConnector1">
                        <a:avLst/>
                      </a:prstGeom>
                      <a:noFill/>
                      <a:ln w="9525">
                        <a:solidFill>
                          <a:schemeClr val="tx1"/>
                        </a:solidFill>
                        <a:round/>
                      </a:ln>
                    </wps:spPr>
                    <wps:bodyPr/>
                  </wps:wsp>
                </a:graphicData>
              </a:graphic>
            </wp:anchor>
          </w:drawing>
        </mc:Choice>
        <mc:Fallback>
          <w:pict>
            <v:shape id="AutoShape 15" o:spid="_x0000_s1026" o:spt="32" type="#_x0000_t32" style="position:absolute;left:0pt;margin-left:-19.55pt;margin-top:13.85pt;height:0pt;width:513.35pt;z-index:251663360;mso-width-relative:page;mso-height-relative:page;" filled="f" stroked="t" coordsize="21600,21600" o:gfxdata="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F7X6QrXAAAACQEAAA8AAAAAAAAAAQAg&#10;AAAAIgAAAGRycy9kb3ducmV2LnhtbFBLAQIUABQAAAAIAIdO4kDnL1u01gEAALMDAAAOAAAAAAAA&#10;AAEAIAAAACYBAABkcnMvZTJvRG9jLnhtbFBLBQYAAAAABgAGAFkBAABuBQAAAAA=&#10;">
              <v:fill on="f" focussize="0,0"/>
              <v:stroke color="#000000 [3213]" joinstyle="round"/>
              <v:imagedata o:title=""/>
              <o:lock v:ext="edit" aspectratio="f"/>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3961F8"/>
    <w:multiLevelType w:val="singleLevel"/>
    <w:tmpl w:val="893961F8"/>
    <w:lvl w:ilvl="0" w:tentative="0">
      <w:start w:val="1"/>
      <w:numFmt w:val="lowerLetter"/>
      <w:lvlText w:val="%1)"/>
      <w:lvlJc w:val="left"/>
      <w:pPr>
        <w:tabs>
          <w:tab w:val="left" w:pos="425"/>
        </w:tabs>
        <w:ind w:left="425" w:leftChars="0" w:hanging="425" w:firstLineChars="0"/>
      </w:pPr>
      <w:rPr>
        <w:rFonts w:hint="default"/>
      </w:rPr>
    </w:lvl>
  </w:abstractNum>
  <w:abstractNum w:abstractNumId="1">
    <w:nsid w:val="8E4B788C"/>
    <w:multiLevelType w:val="singleLevel"/>
    <w:tmpl w:val="8E4B788C"/>
    <w:lvl w:ilvl="0" w:tentative="0">
      <w:start w:val="1"/>
      <w:numFmt w:val="lowerLetter"/>
      <w:lvlText w:val="%1)"/>
      <w:lvlJc w:val="left"/>
      <w:pPr>
        <w:tabs>
          <w:tab w:val="left" w:pos="425"/>
        </w:tabs>
        <w:ind w:left="425" w:leftChars="0" w:hanging="425" w:firstLineChars="0"/>
      </w:pPr>
      <w:rPr>
        <w:rFonts w:hint="default"/>
      </w:rPr>
    </w:lvl>
  </w:abstractNum>
  <w:abstractNum w:abstractNumId="2">
    <w:nsid w:val="BAFEDECA"/>
    <w:multiLevelType w:val="singleLevel"/>
    <w:tmpl w:val="BAFEDECA"/>
    <w:lvl w:ilvl="0" w:tentative="0">
      <w:start w:val="1"/>
      <w:numFmt w:val="lowerLetter"/>
      <w:lvlText w:val="%1)"/>
      <w:lvlJc w:val="left"/>
      <w:pPr>
        <w:tabs>
          <w:tab w:val="left" w:pos="425"/>
        </w:tabs>
        <w:ind w:left="425" w:leftChars="0" w:hanging="425" w:firstLineChars="0"/>
      </w:pPr>
      <w:rPr>
        <w:rFonts w:hint="default"/>
      </w:rPr>
    </w:lvl>
  </w:abstractNum>
  <w:abstractNum w:abstractNumId="3">
    <w:nsid w:val="CF468E21"/>
    <w:multiLevelType w:val="singleLevel"/>
    <w:tmpl w:val="CF468E21"/>
    <w:lvl w:ilvl="0" w:tentative="0">
      <w:start w:val="1"/>
      <w:numFmt w:val="lowerLetter"/>
      <w:lvlText w:val="%1)"/>
      <w:lvlJc w:val="left"/>
      <w:pPr>
        <w:tabs>
          <w:tab w:val="left" w:pos="425"/>
        </w:tabs>
        <w:ind w:left="425" w:leftChars="0" w:hanging="425" w:firstLineChars="0"/>
      </w:pPr>
      <w:rPr>
        <w:rFonts w:hint="default"/>
      </w:rPr>
    </w:lvl>
  </w:abstractNum>
  <w:abstractNum w:abstractNumId="4">
    <w:nsid w:val="E5A9B1A4"/>
    <w:multiLevelType w:val="singleLevel"/>
    <w:tmpl w:val="E5A9B1A4"/>
    <w:lvl w:ilvl="0" w:tentative="0">
      <w:start w:val="1"/>
      <w:numFmt w:val="decimal"/>
      <w:suff w:val="space"/>
      <w:lvlText w:val="%1."/>
      <w:lvlJc w:val="left"/>
    </w:lvl>
  </w:abstractNum>
  <w:abstractNum w:abstractNumId="5">
    <w:nsid w:val="F2A177DC"/>
    <w:multiLevelType w:val="singleLevel"/>
    <w:tmpl w:val="F2A177DC"/>
    <w:lvl w:ilvl="0" w:tentative="0">
      <w:start w:val="1"/>
      <w:numFmt w:val="lowerLetter"/>
      <w:lvlText w:val="%1)"/>
      <w:lvlJc w:val="left"/>
      <w:pPr>
        <w:tabs>
          <w:tab w:val="left" w:pos="425"/>
        </w:tabs>
        <w:ind w:left="425" w:leftChars="0" w:hanging="425" w:firstLineChars="0"/>
      </w:pPr>
      <w:rPr>
        <w:rFonts w:hint="default"/>
      </w:rPr>
    </w:lvl>
  </w:abstractNum>
  <w:abstractNum w:abstractNumId="6">
    <w:nsid w:val="F2B07618"/>
    <w:multiLevelType w:val="singleLevel"/>
    <w:tmpl w:val="F2B07618"/>
    <w:lvl w:ilvl="0" w:tentative="0">
      <w:start w:val="1"/>
      <w:numFmt w:val="lowerLetter"/>
      <w:lvlText w:val="%1)"/>
      <w:lvlJc w:val="left"/>
      <w:pPr>
        <w:tabs>
          <w:tab w:val="left" w:pos="425"/>
        </w:tabs>
        <w:ind w:left="425" w:leftChars="0" w:hanging="425" w:firstLineChars="0"/>
      </w:pPr>
      <w:rPr>
        <w:rFonts w:hint="default"/>
      </w:rPr>
    </w:lvl>
  </w:abstractNum>
  <w:abstractNum w:abstractNumId="7">
    <w:nsid w:val="F6F7A226"/>
    <w:multiLevelType w:val="singleLevel"/>
    <w:tmpl w:val="F6F7A226"/>
    <w:lvl w:ilvl="0" w:tentative="0">
      <w:start w:val="1"/>
      <w:numFmt w:val="lowerLetter"/>
      <w:lvlText w:val="%1)"/>
      <w:lvlJc w:val="left"/>
      <w:pPr>
        <w:tabs>
          <w:tab w:val="left" w:pos="425"/>
        </w:tabs>
        <w:ind w:left="425" w:leftChars="0" w:hanging="425" w:firstLineChars="0"/>
      </w:pPr>
      <w:rPr>
        <w:rFonts w:hint="default"/>
      </w:rPr>
    </w:lvl>
  </w:abstractNum>
  <w:abstractNum w:abstractNumId="8">
    <w:nsid w:val="17C235C1"/>
    <w:multiLevelType w:val="multilevel"/>
    <w:tmpl w:val="17C235C1"/>
    <w:lvl w:ilvl="0" w:tentative="0">
      <w:start w:val="1"/>
      <w:numFmt w:val="upperRoman"/>
      <w:lvlText w:val="%1."/>
      <w:lvlJc w:val="left"/>
      <w:pPr>
        <w:ind w:left="578" w:hanging="720"/>
      </w:pPr>
      <w:rPr>
        <w:rFonts w:hint="default"/>
      </w:rPr>
    </w:lvl>
    <w:lvl w:ilvl="1" w:tentative="0">
      <w:start w:val="1"/>
      <w:numFmt w:val="lowerLetter"/>
      <w:lvlText w:val="%2."/>
      <w:lvlJc w:val="left"/>
      <w:pPr>
        <w:ind w:left="938" w:hanging="360"/>
      </w:pPr>
    </w:lvl>
    <w:lvl w:ilvl="2" w:tentative="0">
      <w:start w:val="1"/>
      <w:numFmt w:val="lowerRoman"/>
      <w:lvlText w:val="%3."/>
      <w:lvlJc w:val="right"/>
      <w:pPr>
        <w:ind w:left="1658" w:hanging="180"/>
      </w:pPr>
    </w:lvl>
    <w:lvl w:ilvl="3" w:tentative="0">
      <w:start w:val="1"/>
      <w:numFmt w:val="decimal"/>
      <w:lvlText w:val="%4."/>
      <w:lvlJc w:val="left"/>
      <w:pPr>
        <w:ind w:left="2378" w:hanging="360"/>
      </w:pPr>
    </w:lvl>
    <w:lvl w:ilvl="4" w:tentative="0">
      <w:start w:val="1"/>
      <w:numFmt w:val="lowerLetter"/>
      <w:lvlText w:val="%5."/>
      <w:lvlJc w:val="left"/>
      <w:pPr>
        <w:ind w:left="3098" w:hanging="360"/>
      </w:pPr>
    </w:lvl>
    <w:lvl w:ilvl="5" w:tentative="0">
      <w:start w:val="1"/>
      <w:numFmt w:val="lowerRoman"/>
      <w:lvlText w:val="%6."/>
      <w:lvlJc w:val="right"/>
      <w:pPr>
        <w:ind w:left="3818" w:hanging="180"/>
      </w:pPr>
    </w:lvl>
    <w:lvl w:ilvl="6" w:tentative="0">
      <w:start w:val="1"/>
      <w:numFmt w:val="decimal"/>
      <w:lvlText w:val="%7."/>
      <w:lvlJc w:val="left"/>
      <w:pPr>
        <w:ind w:left="4538" w:hanging="360"/>
      </w:pPr>
    </w:lvl>
    <w:lvl w:ilvl="7" w:tentative="0">
      <w:start w:val="1"/>
      <w:numFmt w:val="lowerLetter"/>
      <w:lvlText w:val="%8."/>
      <w:lvlJc w:val="left"/>
      <w:pPr>
        <w:ind w:left="5258" w:hanging="360"/>
      </w:pPr>
    </w:lvl>
    <w:lvl w:ilvl="8" w:tentative="0">
      <w:start w:val="1"/>
      <w:numFmt w:val="lowerRoman"/>
      <w:lvlText w:val="%9."/>
      <w:lvlJc w:val="right"/>
      <w:pPr>
        <w:ind w:left="5978" w:hanging="180"/>
      </w:pPr>
    </w:lvl>
  </w:abstractNum>
  <w:abstractNum w:abstractNumId="9">
    <w:nsid w:val="1B885C02"/>
    <w:multiLevelType w:val="multilevel"/>
    <w:tmpl w:val="1B885C02"/>
    <w:lvl w:ilvl="0" w:tentative="0">
      <w:start w:val="14"/>
      <w:numFmt w:val="decimal"/>
      <w:lvlText w:val="%1"/>
      <w:lvlJc w:val="left"/>
      <w:pPr>
        <w:ind w:left="540" w:hanging="540"/>
      </w:pPr>
      <w:rPr>
        <w:rFonts w:hint="default"/>
      </w:rPr>
    </w:lvl>
    <w:lvl w:ilvl="1" w:tentative="0">
      <w:start w:val="1"/>
      <w:numFmt w:val="decimal"/>
      <w:lvlText w:val="%1.%2"/>
      <w:lvlJc w:val="left"/>
      <w:pPr>
        <w:ind w:left="540" w:hanging="54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10">
    <w:nsid w:val="22FD7019"/>
    <w:multiLevelType w:val="multilevel"/>
    <w:tmpl w:val="22FD7019"/>
    <w:lvl w:ilvl="0" w:tentative="0">
      <w:start w:val="1"/>
      <w:numFmt w:val="upperRoman"/>
      <w:lvlText w:val="%1."/>
      <w:lvlJc w:val="left"/>
      <w:pPr>
        <w:ind w:left="578" w:hanging="720"/>
      </w:pPr>
      <w:rPr>
        <w:rFonts w:hint="default"/>
      </w:rPr>
    </w:lvl>
    <w:lvl w:ilvl="1" w:tentative="0">
      <w:start w:val="1"/>
      <w:numFmt w:val="lowerLetter"/>
      <w:lvlText w:val="%2."/>
      <w:lvlJc w:val="left"/>
      <w:pPr>
        <w:ind w:left="938" w:hanging="360"/>
      </w:pPr>
    </w:lvl>
    <w:lvl w:ilvl="2" w:tentative="0">
      <w:start w:val="1"/>
      <w:numFmt w:val="lowerRoman"/>
      <w:lvlText w:val="%3."/>
      <w:lvlJc w:val="right"/>
      <w:pPr>
        <w:ind w:left="1658" w:hanging="180"/>
      </w:pPr>
    </w:lvl>
    <w:lvl w:ilvl="3" w:tentative="0">
      <w:start w:val="1"/>
      <w:numFmt w:val="decimal"/>
      <w:lvlText w:val="%4."/>
      <w:lvlJc w:val="left"/>
      <w:pPr>
        <w:ind w:left="2378" w:hanging="360"/>
      </w:pPr>
    </w:lvl>
    <w:lvl w:ilvl="4" w:tentative="0">
      <w:start w:val="1"/>
      <w:numFmt w:val="lowerLetter"/>
      <w:lvlText w:val="%5."/>
      <w:lvlJc w:val="left"/>
      <w:pPr>
        <w:ind w:left="3098" w:hanging="360"/>
      </w:pPr>
    </w:lvl>
    <w:lvl w:ilvl="5" w:tentative="0">
      <w:start w:val="1"/>
      <w:numFmt w:val="lowerRoman"/>
      <w:lvlText w:val="%6."/>
      <w:lvlJc w:val="right"/>
      <w:pPr>
        <w:ind w:left="3818" w:hanging="180"/>
      </w:pPr>
    </w:lvl>
    <w:lvl w:ilvl="6" w:tentative="0">
      <w:start w:val="1"/>
      <w:numFmt w:val="decimal"/>
      <w:lvlText w:val="%7."/>
      <w:lvlJc w:val="left"/>
      <w:pPr>
        <w:ind w:left="4538" w:hanging="360"/>
      </w:pPr>
    </w:lvl>
    <w:lvl w:ilvl="7" w:tentative="0">
      <w:start w:val="1"/>
      <w:numFmt w:val="lowerLetter"/>
      <w:lvlText w:val="%8."/>
      <w:lvlJc w:val="left"/>
      <w:pPr>
        <w:ind w:left="5258" w:hanging="360"/>
      </w:pPr>
    </w:lvl>
    <w:lvl w:ilvl="8" w:tentative="0">
      <w:start w:val="1"/>
      <w:numFmt w:val="lowerRoman"/>
      <w:lvlText w:val="%9."/>
      <w:lvlJc w:val="right"/>
      <w:pPr>
        <w:ind w:left="5978" w:hanging="180"/>
      </w:pPr>
    </w:lvl>
  </w:abstractNum>
  <w:abstractNum w:abstractNumId="11">
    <w:nsid w:val="3F142717"/>
    <w:multiLevelType w:val="multilevel"/>
    <w:tmpl w:val="3F142717"/>
    <w:lvl w:ilvl="0" w:tentative="0">
      <w:start w:val="1"/>
      <w:numFmt w:val="upperRoman"/>
      <w:lvlText w:val="%1."/>
      <w:lvlJc w:val="left"/>
      <w:pPr>
        <w:ind w:left="578" w:hanging="720"/>
      </w:pPr>
      <w:rPr>
        <w:rFonts w:hint="default"/>
      </w:rPr>
    </w:lvl>
    <w:lvl w:ilvl="1" w:tentative="0">
      <w:start w:val="1"/>
      <w:numFmt w:val="lowerLetter"/>
      <w:lvlText w:val="%2."/>
      <w:lvlJc w:val="left"/>
      <w:pPr>
        <w:ind w:left="938" w:hanging="360"/>
      </w:pPr>
    </w:lvl>
    <w:lvl w:ilvl="2" w:tentative="0">
      <w:start w:val="1"/>
      <w:numFmt w:val="lowerRoman"/>
      <w:lvlText w:val="%3."/>
      <w:lvlJc w:val="right"/>
      <w:pPr>
        <w:ind w:left="1658" w:hanging="180"/>
      </w:pPr>
    </w:lvl>
    <w:lvl w:ilvl="3" w:tentative="0">
      <w:start w:val="1"/>
      <w:numFmt w:val="decimal"/>
      <w:lvlText w:val="%4."/>
      <w:lvlJc w:val="left"/>
      <w:pPr>
        <w:ind w:left="2378" w:hanging="360"/>
      </w:pPr>
    </w:lvl>
    <w:lvl w:ilvl="4" w:tentative="0">
      <w:start w:val="1"/>
      <w:numFmt w:val="lowerLetter"/>
      <w:lvlText w:val="%5."/>
      <w:lvlJc w:val="left"/>
      <w:pPr>
        <w:ind w:left="3098" w:hanging="360"/>
      </w:pPr>
    </w:lvl>
    <w:lvl w:ilvl="5" w:tentative="0">
      <w:start w:val="1"/>
      <w:numFmt w:val="lowerRoman"/>
      <w:lvlText w:val="%6."/>
      <w:lvlJc w:val="right"/>
      <w:pPr>
        <w:ind w:left="3818" w:hanging="180"/>
      </w:pPr>
    </w:lvl>
    <w:lvl w:ilvl="6" w:tentative="0">
      <w:start w:val="1"/>
      <w:numFmt w:val="decimal"/>
      <w:lvlText w:val="%7."/>
      <w:lvlJc w:val="left"/>
      <w:pPr>
        <w:ind w:left="4538" w:hanging="360"/>
      </w:pPr>
    </w:lvl>
    <w:lvl w:ilvl="7" w:tentative="0">
      <w:start w:val="1"/>
      <w:numFmt w:val="lowerLetter"/>
      <w:lvlText w:val="%8."/>
      <w:lvlJc w:val="left"/>
      <w:pPr>
        <w:ind w:left="5258" w:hanging="360"/>
      </w:pPr>
    </w:lvl>
    <w:lvl w:ilvl="8" w:tentative="0">
      <w:start w:val="1"/>
      <w:numFmt w:val="lowerRoman"/>
      <w:lvlText w:val="%9."/>
      <w:lvlJc w:val="right"/>
      <w:pPr>
        <w:ind w:left="5978" w:hanging="180"/>
      </w:pPr>
    </w:lvl>
  </w:abstractNum>
  <w:abstractNum w:abstractNumId="12">
    <w:nsid w:val="410CBB87"/>
    <w:multiLevelType w:val="singleLevel"/>
    <w:tmpl w:val="410CBB87"/>
    <w:lvl w:ilvl="0" w:tentative="0">
      <w:start w:val="1"/>
      <w:numFmt w:val="lowerLetter"/>
      <w:lvlText w:val="%1)"/>
      <w:lvlJc w:val="left"/>
      <w:pPr>
        <w:tabs>
          <w:tab w:val="left" w:pos="425"/>
        </w:tabs>
        <w:ind w:left="425" w:leftChars="0" w:hanging="425" w:firstLineChars="0"/>
      </w:pPr>
      <w:rPr>
        <w:rFonts w:hint="default"/>
      </w:rPr>
    </w:lvl>
  </w:abstractNum>
  <w:abstractNum w:abstractNumId="13">
    <w:nsid w:val="46D87CD9"/>
    <w:multiLevelType w:val="multilevel"/>
    <w:tmpl w:val="46D87CD9"/>
    <w:lvl w:ilvl="0" w:tentative="0">
      <w:start w:val="1"/>
      <w:numFmt w:val="decimal"/>
      <w:pStyle w:val="22"/>
      <w:lvlText w:val="%1."/>
      <w:lvlJc w:val="left"/>
      <w:pPr>
        <w:ind w:left="505" w:hanging="505"/>
      </w:pPr>
      <w:rPr>
        <w:rFonts w:hint="default"/>
        <w:b/>
        <w:sz w:val="20"/>
        <w:szCs w:val="20"/>
      </w:rPr>
    </w:lvl>
    <w:lvl w:ilvl="1" w:tentative="0">
      <w:start w:val="1"/>
      <w:numFmt w:val="decimal"/>
      <w:lvlText w:val="%1.%2."/>
      <w:lvlJc w:val="left"/>
      <w:pPr>
        <w:ind w:left="505" w:hanging="505"/>
      </w:pPr>
      <w:rPr>
        <w:rFonts w:hint="default" w:ascii="Arial" w:hAnsi="Arial" w:cs="Arial"/>
        <w:b w:val="0"/>
        <w:color w:val="auto"/>
        <w:sz w:val="19"/>
        <w:szCs w:val="19"/>
      </w:rPr>
    </w:lvl>
    <w:lvl w:ilvl="2" w:tentative="0">
      <w:start w:val="1"/>
      <w:numFmt w:val="decimal"/>
      <w:lvlText w:val="%1.%2.%3."/>
      <w:lvlJc w:val="left"/>
      <w:pPr>
        <w:ind w:left="505" w:hanging="505"/>
      </w:pPr>
      <w:rPr>
        <w:rFonts w:hint="default"/>
        <w:b w:val="0"/>
        <w:color w:val="auto"/>
        <w:sz w:val="19"/>
        <w:szCs w:val="19"/>
      </w:rPr>
    </w:lvl>
    <w:lvl w:ilvl="3" w:tentative="0">
      <w:start w:val="1"/>
      <w:numFmt w:val="decimal"/>
      <w:lvlText w:val="%1.%2.%3.%4."/>
      <w:lvlJc w:val="left"/>
      <w:pPr>
        <w:ind w:left="505" w:hanging="505"/>
      </w:pPr>
      <w:rPr>
        <w:rFonts w:hint="default"/>
        <w:sz w:val="19"/>
        <w:szCs w:val="19"/>
      </w:rPr>
    </w:lvl>
    <w:lvl w:ilvl="4" w:tentative="0">
      <w:start w:val="1"/>
      <w:numFmt w:val="decimal"/>
      <w:lvlText w:val="%1.%2.%3.%4.%5."/>
      <w:lvlJc w:val="left"/>
      <w:pPr>
        <w:ind w:left="505" w:hanging="505"/>
      </w:pPr>
      <w:rPr>
        <w:rFonts w:hint="default"/>
      </w:rPr>
    </w:lvl>
    <w:lvl w:ilvl="5" w:tentative="0">
      <w:start w:val="1"/>
      <w:numFmt w:val="decimal"/>
      <w:lvlText w:val="%1.%2.%3.%4.%5.%6."/>
      <w:lvlJc w:val="left"/>
      <w:pPr>
        <w:ind w:left="505" w:hanging="505"/>
      </w:pPr>
      <w:rPr>
        <w:rFonts w:hint="default"/>
      </w:rPr>
    </w:lvl>
    <w:lvl w:ilvl="6" w:tentative="0">
      <w:start w:val="1"/>
      <w:numFmt w:val="decimal"/>
      <w:lvlText w:val="%1.%2.%3.%4.%5.%6.%7."/>
      <w:lvlJc w:val="left"/>
      <w:pPr>
        <w:ind w:left="505" w:hanging="505"/>
      </w:pPr>
      <w:rPr>
        <w:rFonts w:hint="default"/>
      </w:rPr>
    </w:lvl>
    <w:lvl w:ilvl="7" w:tentative="0">
      <w:start w:val="1"/>
      <w:numFmt w:val="decimal"/>
      <w:lvlText w:val="%1.%2.%3.%4.%5.%6.%7.%8."/>
      <w:lvlJc w:val="left"/>
      <w:pPr>
        <w:ind w:left="505" w:hanging="505"/>
      </w:pPr>
      <w:rPr>
        <w:rFonts w:hint="default"/>
      </w:rPr>
    </w:lvl>
    <w:lvl w:ilvl="8" w:tentative="0">
      <w:start w:val="1"/>
      <w:numFmt w:val="decimal"/>
      <w:lvlText w:val="%1.%2.%3.%4.%5.%6.%7.%8.%9."/>
      <w:lvlJc w:val="left"/>
      <w:pPr>
        <w:ind w:left="505" w:hanging="505"/>
      </w:pPr>
      <w:rPr>
        <w:rFonts w:hint="default"/>
      </w:rPr>
    </w:lvl>
  </w:abstractNum>
  <w:abstractNum w:abstractNumId="14">
    <w:nsid w:val="4A184FD9"/>
    <w:multiLevelType w:val="multilevel"/>
    <w:tmpl w:val="4A184FD9"/>
    <w:lvl w:ilvl="0" w:tentative="0">
      <w:start w:val="12"/>
      <w:numFmt w:val="decimal"/>
      <w:lvlText w:val="%1"/>
      <w:lvlJc w:val="left"/>
      <w:pPr>
        <w:ind w:left="540" w:hanging="540"/>
      </w:pPr>
      <w:rPr>
        <w:rFonts w:hint="default"/>
      </w:rPr>
    </w:lvl>
    <w:lvl w:ilvl="1" w:tentative="0">
      <w:start w:val="6"/>
      <w:numFmt w:val="decimal"/>
      <w:lvlText w:val="%1.%2"/>
      <w:lvlJc w:val="left"/>
      <w:pPr>
        <w:ind w:left="540" w:hanging="54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15">
    <w:nsid w:val="4FAC3DAD"/>
    <w:multiLevelType w:val="multilevel"/>
    <w:tmpl w:val="4FAC3DAD"/>
    <w:lvl w:ilvl="0" w:tentative="0">
      <w:start w:val="1"/>
      <w:numFmt w:val="decimal"/>
      <w:lvlText w:val="%1."/>
      <w:lvlJc w:val="center"/>
      <w:pPr>
        <w:ind w:left="505" w:hanging="505"/>
      </w:pPr>
      <w:rPr>
        <w:rFonts w:hint="default"/>
        <w:sz w:val="26"/>
        <w:szCs w:val="26"/>
      </w:rPr>
    </w:lvl>
    <w:lvl w:ilvl="1" w:tentative="0">
      <w:start w:val="1"/>
      <w:numFmt w:val="decimal"/>
      <w:lvlText w:val="%1.%2."/>
      <w:lvlJc w:val="left"/>
      <w:pPr>
        <w:ind w:left="505" w:hanging="505"/>
      </w:pPr>
      <w:rPr>
        <w:rFonts w:hint="default" w:ascii="Arial" w:hAnsi="Arial" w:cs="Arial"/>
        <w:b w:val="0"/>
        <w:color w:val="auto"/>
        <w:sz w:val="19"/>
        <w:szCs w:val="19"/>
      </w:rPr>
    </w:lvl>
    <w:lvl w:ilvl="2" w:tentative="0">
      <w:start w:val="1"/>
      <w:numFmt w:val="decimal"/>
      <w:lvlText w:val="%1.%2.%3."/>
      <w:lvlJc w:val="left"/>
      <w:pPr>
        <w:ind w:left="505" w:hanging="505"/>
      </w:pPr>
      <w:rPr>
        <w:rFonts w:hint="default"/>
        <w:b w:val="0"/>
        <w:color w:val="auto"/>
        <w:sz w:val="19"/>
        <w:szCs w:val="19"/>
      </w:rPr>
    </w:lvl>
    <w:lvl w:ilvl="3" w:tentative="0">
      <w:start w:val="1"/>
      <w:numFmt w:val="decimal"/>
      <w:lvlText w:val="%1.%2.%3.%4."/>
      <w:lvlJc w:val="left"/>
      <w:pPr>
        <w:ind w:left="505" w:hanging="505"/>
      </w:pPr>
      <w:rPr>
        <w:rFonts w:hint="default"/>
        <w:sz w:val="19"/>
        <w:szCs w:val="19"/>
      </w:rPr>
    </w:lvl>
    <w:lvl w:ilvl="4" w:tentative="0">
      <w:start w:val="1"/>
      <w:numFmt w:val="decimal"/>
      <w:lvlText w:val="%1.%2.%3.%4.%5."/>
      <w:lvlJc w:val="left"/>
      <w:pPr>
        <w:ind w:left="505" w:hanging="505"/>
      </w:pPr>
      <w:rPr>
        <w:rFonts w:hint="default"/>
      </w:rPr>
    </w:lvl>
    <w:lvl w:ilvl="5" w:tentative="0">
      <w:start w:val="1"/>
      <w:numFmt w:val="decimal"/>
      <w:lvlText w:val="%1.%2.%3.%4.%5.%6."/>
      <w:lvlJc w:val="left"/>
      <w:pPr>
        <w:ind w:left="505" w:hanging="505"/>
      </w:pPr>
      <w:rPr>
        <w:rFonts w:hint="default"/>
      </w:rPr>
    </w:lvl>
    <w:lvl w:ilvl="6" w:tentative="0">
      <w:start w:val="1"/>
      <w:numFmt w:val="decimal"/>
      <w:lvlText w:val="%1.%2.%3.%4.%5.%6.%7."/>
      <w:lvlJc w:val="left"/>
      <w:pPr>
        <w:ind w:left="505" w:hanging="505"/>
      </w:pPr>
      <w:rPr>
        <w:rFonts w:hint="default"/>
      </w:rPr>
    </w:lvl>
    <w:lvl w:ilvl="7" w:tentative="0">
      <w:start w:val="1"/>
      <w:numFmt w:val="decimal"/>
      <w:lvlText w:val="%1.%2.%3.%4.%5.%6.%7.%8."/>
      <w:lvlJc w:val="left"/>
      <w:pPr>
        <w:ind w:left="505" w:hanging="505"/>
      </w:pPr>
      <w:rPr>
        <w:rFonts w:hint="default"/>
      </w:rPr>
    </w:lvl>
    <w:lvl w:ilvl="8" w:tentative="0">
      <w:start w:val="1"/>
      <w:numFmt w:val="decimal"/>
      <w:lvlText w:val="%1.%2.%3.%4.%5.%6.%7.%8.%9."/>
      <w:lvlJc w:val="left"/>
      <w:pPr>
        <w:ind w:left="505" w:hanging="505"/>
      </w:pPr>
      <w:rPr>
        <w:rFonts w:hint="default"/>
      </w:rPr>
    </w:lvl>
  </w:abstractNum>
  <w:abstractNum w:abstractNumId="16">
    <w:nsid w:val="50DB2304"/>
    <w:multiLevelType w:val="multilevel"/>
    <w:tmpl w:val="50DB2304"/>
    <w:lvl w:ilvl="0" w:tentative="0">
      <w:start w:val="6"/>
      <w:numFmt w:val="decimal"/>
      <w:lvlText w:val="%1"/>
      <w:lvlJc w:val="left"/>
      <w:pPr>
        <w:ind w:left="600" w:hanging="600"/>
      </w:pPr>
      <w:rPr>
        <w:rFonts w:hint="default"/>
      </w:rPr>
    </w:lvl>
    <w:lvl w:ilvl="1" w:tentative="0">
      <w:start w:val="1"/>
      <w:numFmt w:val="decimal"/>
      <w:lvlText w:val="%1.%2"/>
      <w:lvlJc w:val="left"/>
      <w:pPr>
        <w:ind w:left="600" w:hanging="600"/>
      </w:pPr>
      <w:rPr>
        <w:rFonts w:hint="default"/>
      </w:rPr>
    </w:lvl>
    <w:lvl w:ilvl="2" w:tentative="0">
      <w:start w:val="4"/>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17">
    <w:nsid w:val="55B24803"/>
    <w:multiLevelType w:val="multilevel"/>
    <w:tmpl w:val="55B24803"/>
    <w:lvl w:ilvl="0" w:tentative="0">
      <w:start w:val="1"/>
      <w:numFmt w:val="upperRoman"/>
      <w:lvlText w:val="%1."/>
      <w:lvlJc w:val="left"/>
      <w:pPr>
        <w:ind w:left="578" w:hanging="720"/>
      </w:pPr>
      <w:rPr>
        <w:rFonts w:hint="default"/>
      </w:rPr>
    </w:lvl>
    <w:lvl w:ilvl="1" w:tentative="0">
      <w:start w:val="1"/>
      <w:numFmt w:val="lowerLetter"/>
      <w:lvlText w:val="%2."/>
      <w:lvlJc w:val="left"/>
      <w:pPr>
        <w:ind w:left="938" w:hanging="360"/>
      </w:pPr>
    </w:lvl>
    <w:lvl w:ilvl="2" w:tentative="0">
      <w:start w:val="1"/>
      <w:numFmt w:val="lowerRoman"/>
      <w:lvlText w:val="%3."/>
      <w:lvlJc w:val="right"/>
      <w:pPr>
        <w:ind w:left="1658" w:hanging="180"/>
      </w:pPr>
    </w:lvl>
    <w:lvl w:ilvl="3" w:tentative="0">
      <w:start w:val="1"/>
      <w:numFmt w:val="decimal"/>
      <w:lvlText w:val="%4."/>
      <w:lvlJc w:val="left"/>
      <w:pPr>
        <w:ind w:left="2378" w:hanging="360"/>
      </w:pPr>
    </w:lvl>
    <w:lvl w:ilvl="4" w:tentative="0">
      <w:start w:val="1"/>
      <w:numFmt w:val="lowerLetter"/>
      <w:lvlText w:val="%5."/>
      <w:lvlJc w:val="left"/>
      <w:pPr>
        <w:ind w:left="3098" w:hanging="360"/>
      </w:pPr>
    </w:lvl>
    <w:lvl w:ilvl="5" w:tentative="0">
      <w:start w:val="1"/>
      <w:numFmt w:val="lowerRoman"/>
      <w:lvlText w:val="%6."/>
      <w:lvlJc w:val="right"/>
      <w:pPr>
        <w:ind w:left="3818" w:hanging="180"/>
      </w:pPr>
    </w:lvl>
    <w:lvl w:ilvl="6" w:tentative="0">
      <w:start w:val="1"/>
      <w:numFmt w:val="decimal"/>
      <w:lvlText w:val="%7."/>
      <w:lvlJc w:val="left"/>
      <w:pPr>
        <w:ind w:left="4538" w:hanging="360"/>
      </w:pPr>
    </w:lvl>
    <w:lvl w:ilvl="7" w:tentative="0">
      <w:start w:val="1"/>
      <w:numFmt w:val="lowerLetter"/>
      <w:lvlText w:val="%8."/>
      <w:lvlJc w:val="left"/>
      <w:pPr>
        <w:ind w:left="5258" w:hanging="360"/>
      </w:pPr>
    </w:lvl>
    <w:lvl w:ilvl="8" w:tentative="0">
      <w:start w:val="1"/>
      <w:numFmt w:val="lowerRoman"/>
      <w:lvlText w:val="%9."/>
      <w:lvlJc w:val="right"/>
      <w:pPr>
        <w:ind w:left="5978" w:hanging="180"/>
      </w:pPr>
    </w:lvl>
  </w:abstractNum>
  <w:abstractNum w:abstractNumId="18">
    <w:nsid w:val="60DE6CAF"/>
    <w:multiLevelType w:val="multilevel"/>
    <w:tmpl w:val="60DE6CAF"/>
    <w:lvl w:ilvl="0" w:tentative="0">
      <w:start w:val="14"/>
      <w:numFmt w:val="decimal"/>
      <w:lvlText w:val="%1"/>
      <w:lvlJc w:val="left"/>
      <w:pPr>
        <w:ind w:left="540" w:hanging="540"/>
      </w:pPr>
      <w:rPr>
        <w:rFonts w:hint="default"/>
      </w:rPr>
    </w:lvl>
    <w:lvl w:ilvl="1" w:tentative="0">
      <w:start w:val="2"/>
      <w:numFmt w:val="decimal"/>
      <w:lvlText w:val="%1.%2"/>
      <w:lvlJc w:val="left"/>
      <w:pPr>
        <w:ind w:left="540" w:hanging="54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19">
    <w:nsid w:val="645719A2"/>
    <w:multiLevelType w:val="multilevel"/>
    <w:tmpl w:val="645719A2"/>
    <w:lvl w:ilvl="0" w:tentative="0">
      <w:start w:val="1"/>
      <w:numFmt w:val="upperRoman"/>
      <w:lvlText w:val="%1."/>
      <w:lvlJc w:val="left"/>
      <w:pPr>
        <w:ind w:left="578" w:hanging="720"/>
      </w:pPr>
      <w:rPr>
        <w:rFonts w:hint="default"/>
      </w:rPr>
    </w:lvl>
    <w:lvl w:ilvl="1" w:tentative="0">
      <w:start w:val="1"/>
      <w:numFmt w:val="lowerLetter"/>
      <w:lvlText w:val="%2."/>
      <w:lvlJc w:val="left"/>
      <w:pPr>
        <w:ind w:left="938" w:hanging="360"/>
      </w:pPr>
    </w:lvl>
    <w:lvl w:ilvl="2" w:tentative="0">
      <w:start w:val="1"/>
      <w:numFmt w:val="lowerRoman"/>
      <w:lvlText w:val="%3."/>
      <w:lvlJc w:val="right"/>
      <w:pPr>
        <w:ind w:left="1658" w:hanging="180"/>
      </w:pPr>
    </w:lvl>
    <w:lvl w:ilvl="3" w:tentative="0">
      <w:start w:val="1"/>
      <w:numFmt w:val="decimal"/>
      <w:lvlText w:val="%4."/>
      <w:lvlJc w:val="left"/>
      <w:pPr>
        <w:ind w:left="2378" w:hanging="360"/>
      </w:pPr>
    </w:lvl>
    <w:lvl w:ilvl="4" w:tentative="0">
      <w:start w:val="1"/>
      <w:numFmt w:val="lowerLetter"/>
      <w:lvlText w:val="%5."/>
      <w:lvlJc w:val="left"/>
      <w:pPr>
        <w:ind w:left="3098" w:hanging="360"/>
      </w:pPr>
    </w:lvl>
    <w:lvl w:ilvl="5" w:tentative="0">
      <w:start w:val="1"/>
      <w:numFmt w:val="lowerRoman"/>
      <w:lvlText w:val="%6."/>
      <w:lvlJc w:val="right"/>
      <w:pPr>
        <w:ind w:left="3818" w:hanging="180"/>
      </w:pPr>
    </w:lvl>
    <w:lvl w:ilvl="6" w:tentative="0">
      <w:start w:val="1"/>
      <w:numFmt w:val="decimal"/>
      <w:lvlText w:val="%7."/>
      <w:lvlJc w:val="left"/>
      <w:pPr>
        <w:ind w:left="4538" w:hanging="360"/>
      </w:pPr>
    </w:lvl>
    <w:lvl w:ilvl="7" w:tentative="0">
      <w:start w:val="1"/>
      <w:numFmt w:val="lowerLetter"/>
      <w:lvlText w:val="%8."/>
      <w:lvlJc w:val="left"/>
      <w:pPr>
        <w:ind w:left="5258" w:hanging="360"/>
      </w:pPr>
    </w:lvl>
    <w:lvl w:ilvl="8" w:tentative="0">
      <w:start w:val="1"/>
      <w:numFmt w:val="lowerRoman"/>
      <w:lvlText w:val="%9."/>
      <w:lvlJc w:val="right"/>
      <w:pPr>
        <w:ind w:left="5978" w:hanging="180"/>
      </w:pPr>
    </w:lvl>
  </w:abstractNum>
  <w:abstractNum w:abstractNumId="20">
    <w:nsid w:val="681A7B5A"/>
    <w:multiLevelType w:val="multilevel"/>
    <w:tmpl w:val="681A7B5A"/>
    <w:lvl w:ilvl="0" w:tentative="0">
      <w:start w:val="14"/>
      <w:numFmt w:val="decimal"/>
      <w:lvlText w:val="%1"/>
      <w:lvlJc w:val="left"/>
      <w:pPr>
        <w:ind w:left="540" w:hanging="540"/>
      </w:pPr>
      <w:rPr>
        <w:rFonts w:hint="default"/>
      </w:rPr>
    </w:lvl>
    <w:lvl w:ilvl="1" w:tentative="0">
      <w:start w:val="3"/>
      <w:numFmt w:val="decimal"/>
      <w:lvlText w:val="%1.%2"/>
      <w:lvlJc w:val="left"/>
      <w:pPr>
        <w:ind w:left="540" w:hanging="54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21">
    <w:nsid w:val="6C931C52"/>
    <w:multiLevelType w:val="multilevel"/>
    <w:tmpl w:val="6C931C52"/>
    <w:lvl w:ilvl="0" w:tentative="0">
      <w:start w:val="1"/>
      <w:numFmt w:val="upperRoman"/>
      <w:lvlText w:val="%1."/>
      <w:lvlJc w:val="left"/>
      <w:pPr>
        <w:ind w:left="578" w:hanging="720"/>
      </w:pPr>
      <w:rPr>
        <w:rFonts w:hint="default"/>
      </w:rPr>
    </w:lvl>
    <w:lvl w:ilvl="1" w:tentative="0">
      <w:start w:val="1"/>
      <w:numFmt w:val="lowerLetter"/>
      <w:lvlText w:val="%2."/>
      <w:lvlJc w:val="left"/>
      <w:pPr>
        <w:ind w:left="938" w:hanging="360"/>
      </w:pPr>
    </w:lvl>
    <w:lvl w:ilvl="2" w:tentative="0">
      <w:start w:val="1"/>
      <w:numFmt w:val="lowerRoman"/>
      <w:lvlText w:val="%3."/>
      <w:lvlJc w:val="right"/>
      <w:pPr>
        <w:ind w:left="1658" w:hanging="180"/>
      </w:pPr>
    </w:lvl>
    <w:lvl w:ilvl="3" w:tentative="0">
      <w:start w:val="1"/>
      <w:numFmt w:val="decimal"/>
      <w:lvlText w:val="%4."/>
      <w:lvlJc w:val="left"/>
      <w:pPr>
        <w:ind w:left="2378" w:hanging="360"/>
      </w:pPr>
    </w:lvl>
    <w:lvl w:ilvl="4" w:tentative="0">
      <w:start w:val="1"/>
      <w:numFmt w:val="lowerLetter"/>
      <w:lvlText w:val="%5."/>
      <w:lvlJc w:val="left"/>
      <w:pPr>
        <w:ind w:left="3098" w:hanging="360"/>
      </w:pPr>
    </w:lvl>
    <w:lvl w:ilvl="5" w:tentative="0">
      <w:start w:val="1"/>
      <w:numFmt w:val="lowerRoman"/>
      <w:lvlText w:val="%6."/>
      <w:lvlJc w:val="right"/>
      <w:pPr>
        <w:ind w:left="3818" w:hanging="180"/>
      </w:pPr>
    </w:lvl>
    <w:lvl w:ilvl="6" w:tentative="0">
      <w:start w:val="1"/>
      <w:numFmt w:val="decimal"/>
      <w:lvlText w:val="%7."/>
      <w:lvlJc w:val="left"/>
      <w:pPr>
        <w:ind w:left="4538" w:hanging="360"/>
      </w:pPr>
    </w:lvl>
    <w:lvl w:ilvl="7" w:tentative="0">
      <w:start w:val="1"/>
      <w:numFmt w:val="lowerLetter"/>
      <w:lvlText w:val="%8."/>
      <w:lvlJc w:val="left"/>
      <w:pPr>
        <w:ind w:left="5258" w:hanging="360"/>
      </w:pPr>
    </w:lvl>
    <w:lvl w:ilvl="8" w:tentative="0">
      <w:start w:val="1"/>
      <w:numFmt w:val="lowerRoman"/>
      <w:lvlText w:val="%9."/>
      <w:lvlJc w:val="right"/>
      <w:pPr>
        <w:ind w:left="5978" w:hanging="180"/>
      </w:pPr>
    </w:lvl>
  </w:abstractNum>
  <w:abstractNum w:abstractNumId="22">
    <w:nsid w:val="6D76D178"/>
    <w:multiLevelType w:val="singleLevel"/>
    <w:tmpl w:val="6D76D178"/>
    <w:lvl w:ilvl="0" w:tentative="0">
      <w:start w:val="1"/>
      <w:numFmt w:val="upperRoman"/>
      <w:suff w:val="space"/>
      <w:lvlText w:val="%1."/>
      <w:lvlJc w:val="left"/>
      <w:pPr>
        <w:tabs>
          <w:tab w:val="left" w:pos="0"/>
        </w:tabs>
      </w:pPr>
      <w:rPr>
        <w:rFonts w:hint="default" w:ascii="Arial" w:hAnsi="Arial" w:eastAsia="SimSun" w:cs="Arial"/>
      </w:rPr>
    </w:lvl>
  </w:abstractNum>
  <w:abstractNum w:abstractNumId="23">
    <w:nsid w:val="7DDA6012"/>
    <w:multiLevelType w:val="multilevel"/>
    <w:tmpl w:val="7DDA6012"/>
    <w:lvl w:ilvl="0" w:tentative="0">
      <w:start w:val="1"/>
      <w:numFmt w:val="upperRoman"/>
      <w:lvlText w:val="%1."/>
      <w:lvlJc w:val="left"/>
      <w:pPr>
        <w:ind w:left="578" w:hanging="720"/>
      </w:pPr>
      <w:rPr>
        <w:rFonts w:hint="default"/>
        <w:b w:val="0"/>
      </w:rPr>
    </w:lvl>
    <w:lvl w:ilvl="1" w:tentative="0">
      <w:start w:val="1"/>
      <w:numFmt w:val="lowerLetter"/>
      <w:lvlText w:val="%2."/>
      <w:lvlJc w:val="left"/>
      <w:pPr>
        <w:ind w:left="938" w:hanging="360"/>
      </w:pPr>
    </w:lvl>
    <w:lvl w:ilvl="2" w:tentative="0">
      <w:start w:val="1"/>
      <w:numFmt w:val="lowerRoman"/>
      <w:lvlText w:val="%3."/>
      <w:lvlJc w:val="right"/>
      <w:pPr>
        <w:ind w:left="1658" w:hanging="180"/>
      </w:pPr>
    </w:lvl>
    <w:lvl w:ilvl="3" w:tentative="0">
      <w:start w:val="1"/>
      <w:numFmt w:val="decimal"/>
      <w:lvlText w:val="%4."/>
      <w:lvlJc w:val="left"/>
      <w:pPr>
        <w:ind w:left="2378" w:hanging="360"/>
      </w:pPr>
    </w:lvl>
    <w:lvl w:ilvl="4" w:tentative="0">
      <w:start w:val="1"/>
      <w:numFmt w:val="lowerLetter"/>
      <w:lvlText w:val="%5."/>
      <w:lvlJc w:val="left"/>
      <w:pPr>
        <w:ind w:left="3098" w:hanging="360"/>
      </w:pPr>
    </w:lvl>
    <w:lvl w:ilvl="5" w:tentative="0">
      <w:start w:val="1"/>
      <w:numFmt w:val="lowerRoman"/>
      <w:lvlText w:val="%6."/>
      <w:lvlJc w:val="right"/>
      <w:pPr>
        <w:ind w:left="3818" w:hanging="180"/>
      </w:pPr>
    </w:lvl>
    <w:lvl w:ilvl="6" w:tentative="0">
      <w:start w:val="1"/>
      <w:numFmt w:val="decimal"/>
      <w:lvlText w:val="%7."/>
      <w:lvlJc w:val="left"/>
      <w:pPr>
        <w:ind w:left="4538" w:hanging="360"/>
      </w:pPr>
    </w:lvl>
    <w:lvl w:ilvl="7" w:tentative="0">
      <w:start w:val="1"/>
      <w:numFmt w:val="lowerLetter"/>
      <w:lvlText w:val="%8."/>
      <w:lvlJc w:val="left"/>
      <w:pPr>
        <w:ind w:left="5258" w:hanging="360"/>
      </w:pPr>
    </w:lvl>
    <w:lvl w:ilvl="8" w:tentative="0">
      <w:start w:val="1"/>
      <w:numFmt w:val="lowerRoman"/>
      <w:lvlText w:val="%9."/>
      <w:lvlJc w:val="right"/>
      <w:pPr>
        <w:ind w:left="5978" w:hanging="180"/>
      </w:pPr>
    </w:lvl>
  </w:abstractNum>
  <w:num w:numId="1">
    <w:abstractNumId w:val="13"/>
  </w:num>
  <w:num w:numId="2">
    <w:abstractNumId w:val="15"/>
  </w:num>
  <w:num w:numId="3">
    <w:abstractNumId w:val="16"/>
  </w:num>
  <w:num w:numId="4">
    <w:abstractNumId w:val="14"/>
  </w:num>
  <w:num w:numId="5">
    <w:abstractNumId w:val="9"/>
  </w:num>
  <w:num w:numId="6">
    <w:abstractNumId w:val="18"/>
  </w:num>
  <w:num w:numId="7">
    <w:abstractNumId w:val="20"/>
  </w:num>
  <w:num w:numId="8">
    <w:abstractNumId w:val="4"/>
  </w:num>
  <w:num w:numId="9">
    <w:abstractNumId w:val="22"/>
  </w:num>
  <w:num w:numId="10">
    <w:abstractNumId w:val="0"/>
  </w:num>
  <w:num w:numId="11">
    <w:abstractNumId w:val="7"/>
  </w:num>
  <w:num w:numId="12">
    <w:abstractNumId w:val="1"/>
  </w:num>
  <w:num w:numId="13">
    <w:abstractNumId w:val="23"/>
  </w:num>
  <w:num w:numId="14">
    <w:abstractNumId w:val="5"/>
  </w:num>
  <w:num w:numId="15">
    <w:abstractNumId w:val="17"/>
  </w:num>
  <w:num w:numId="16">
    <w:abstractNumId w:val="8"/>
  </w:num>
  <w:num w:numId="17">
    <w:abstractNumId w:val="3"/>
  </w:num>
  <w:num w:numId="18">
    <w:abstractNumId w:val="2"/>
  </w:num>
  <w:num w:numId="19">
    <w:abstractNumId w:val="6"/>
  </w:num>
  <w:num w:numId="20">
    <w:abstractNumId w:val="12"/>
  </w:num>
  <w:num w:numId="21">
    <w:abstractNumId w:val="11"/>
  </w:num>
  <w:num w:numId="22">
    <w:abstractNumId w:val="10"/>
  </w:num>
  <w:num w:numId="23">
    <w:abstractNumId w:val="21"/>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37"/>
  <w:hyphenationZone w:val="425"/>
  <w:characterSpacingControl w:val="doNotCompress"/>
  <w:footnotePr>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A6C"/>
    <w:rsid w:val="00000D4C"/>
    <w:rsid w:val="00000DC9"/>
    <w:rsid w:val="00000FD5"/>
    <w:rsid w:val="00001781"/>
    <w:rsid w:val="00001851"/>
    <w:rsid w:val="00001A69"/>
    <w:rsid w:val="00001EE5"/>
    <w:rsid w:val="00002449"/>
    <w:rsid w:val="000038F4"/>
    <w:rsid w:val="00003991"/>
    <w:rsid w:val="00003C22"/>
    <w:rsid w:val="00004548"/>
    <w:rsid w:val="000063BA"/>
    <w:rsid w:val="00007AE5"/>
    <w:rsid w:val="000102A1"/>
    <w:rsid w:val="00010831"/>
    <w:rsid w:val="00012117"/>
    <w:rsid w:val="000125B9"/>
    <w:rsid w:val="00012683"/>
    <w:rsid w:val="00012887"/>
    <w:rsid w:val="00012E24"/>
    <w:rsid w:val="00012ED0"/>
    <w:rsid w:val="00012F6F"/>
    <w:rsid w:val="00013405"/>
    <w:rsid w:val="00013C43"/>
    <w:rsid w:val="00013E16"/>
    <w:rsid w:val="0001477E"/>
    <w:rsid w:val="000152AC"/>
    <w:rsid w:val="0001553D"/>
    <w:rsid w:val="00015576"/>
    <w:rsid w:val="0001610C"/>
    <w:rsid w:val="00016434"/>
    <w:rsid w:val="00016783"/>
    <w:rsid w:val="00016C2F"/>
    <w:rsid w:val="00016E58"/>
    <w:rsid w:val="00017134"/>
    <w:rsid w:val="00017716"/>
    <w:rsid w:val="000201D7"/>
    <w:rsid w:val="0002081B"/>
    <w:rsid w:val="0002207F"/>
    <w:rsid w:val="00022293"/>
    <w:rsid w:val="000222CD"/>
    <w:rsid w:val="000223DD"/>
    <w:rsid w:val="00022870"/>
    <w:rsid w:val="000228A7"/>
    <w:rsid w:val="00022B43"/>
    <w:rsid w:val="00023AC0"/>
    <w:rsid w:val="0002400E"/>
    <w:rsid w:val="0002418F"/>
    <w:rsid w:val="00026388"/>
    <w:rsid w:val="000268E5"/>
    <w:rsid w:val="00026C78"/>
    <w:rsid w:val="00026E7E"/>
    <w:rsid w:val="00027080"/>
    <w:rsid w:val="00027425"/>
    <w:rsid w:val="0002746F"/>
    <w:rsid w:val="0002777F"/>
    <w:rsid w:val="000278D5"/>
    <w:rsid w:val="00027A58"/>
    <w:rsid w:val="00031C5F"/>
    <w:rsid w:val="000325F5"/>
    <w:rsid w:val="00032C75"/>
    <w:rsid w:val="00032D95"/>
    <w:rsid w:val="00033BE9"/>
    <w:rsid w:val="00034DEA"/>
    <w:rsid w:val="0003561B"/>
    <w:rsid w:val="000356C5"/>
    <w:rsid w:val="00035FDF"/>
    <w:rsid w:val="00036CC2"/>
    <w:rsid w:val="00036EC4"/>
    <w:rsid w:val="000371CC"/>
    <w:rsid w:val="000408A3"/>
    <w:rsid w:val="00041D76"/>
    <w:rsid w:val="00041EAA"/>
    <w:rsid w:val="00042430"/>
    <w:rsid w:val="000425FD"/>
    <w:rsid w:val="00042D7A"/>
    <w:rsid w:val="000430B8"/>
    <w:rsid w:val="000435EB"/>
    <w:rsid w:val="00044B3A"/>
    <w:rsid w:val="0004595C"/>
    <w:rsid w:val="0004634F"/>
    <w:rsid w:val="00046994"/>
    <w:rsid w:val="00046D8B"/>
    <w:rsid w:val="00047AC9"/>
    <w:rsid w:val="00050E30"/>
    <w:rsid w:val="00051DB0"/>
    <w:rsid w:val="000520A1"/>
    <w:rsid w:val="000523A4"/>
    <w:rsid w:val="000523D9"/>
    <w:rsid w:val="000537E0"/>
    <w:rsid w:val="00053843"/>
    <w:rsid w:val="000545B0"/>
    <w:rsid w:val="0005478E"/>
    <w:rsid w:val="000548BC"/>
    <w:rsid w:val="00055089"/>
    <w:rsid w:val="0005549D"/>
    <w:rsid w:val="00056881"/>
    <w:rsid w:val="00056C23"/>
    <w:rsid w:val="000572E1"/>
    <w:rsid w:val="000576BA"/>
    <w:rsid w:val="00057E27"/>
    <w:rsid w:val="0006134A"/>
    <w:rsid w:val="00061651"/>
    <w:rsid w:val="00061E42"/>
    <w:rsid w:val="00062300"/>
    <w:rsid w:val="00062423"/>
    <w:rsid w:val="00062A85"/>
    <w:rsid w:val="000631F5"/>
    <w:rsid w:val="00063C99"/>
    <w:rsid w:val="0006430E"/>
    <w:rsid w:val="000647FB"/>
    <w:rsid w:val="00064CA3"/>
    <w:rsid w:val="00064ECA"/>
    <w:rsid w:val="000662AE"/>
    <w:rsid w:val="000669E5"/>
    <w:rsid w:val="00066F68"/>
    <w:rsid w:val="0006703F"/>
    <w:rsid w:val="000670C4"/>
    <w:rsid w:val="00070579"/>
    <w:rsid w:val="00070585"/>
    <w:rsid w:val="00070A85"/>
    <w:rsid w:val="00071DFB"/>
    <w:rsid w:val="00072F3A"/>
    <w:rsid w:val="000738AB"/>
    <w:rsid w:val="00073CA4"/>
    <w:rsid w:val="00074161"/>
    <w:rsid w:val="00074324"/>
    <w:rsid w:val="00074754"/>
    <w:rsid w:val="00074FAE"/>
    <w:rsid w:val="00075185"/>
    <w:rsid w:val="000759C5"/>
    <w:rsid w:val="00075B61"/>
    <w:rsid w:val="00075B76"/>
    <w:rsid w:val="000762F5"/>
    <w:rsid w:val="000765CE"/>
    <w:rsid w:val="000776DD"/>
    <w:rsid w:val="00077A37"/>
    <w:rsid w:val="00080F2D"/>
    <w:rsid w:val="00081861"/>
    <w:rsid w:val="000826E4"/>
    <w:rsid w:val="00082C87"/>
    <w:rsid w:val="00082D90"/>
    <w:rsid w:val="00082F33"/>
    <w:rsid w:val="00084D76"/>
    <w:rsid w:val="00085742"/>
    <w:rsid w:val="00085B14"/>
    <w:rsid w:val="00086898"/>
    <w:rsid w:val="00086BE7"/>
    <w:rsid w:val="00087414"/>
    <w:rsid w:val="0008773F"/>
    <w:rsid w:val="0008795D"/>
    <w:rsid w:val="000879CD"/>
    <w:rsid w:val="00087AB2"/>
    <w:rsid w:val="00087C6B"/>
    <w:rsid w:val="00087ED6"/>
    <w:rsid w:val="0009038C"/>
    <w:rsid w:val="000906F1"/>
    <w:rsid w:val="00090C80"/>
    <w:rsid w:val="0009162D"/>
    <w:rsid w:val="000916BA"/>
    <w:rsid w:val="00091FEC"/>
    <w:rsid w:val="000924BC"/>
    <w:rsid w:val="00092518"/>
    <w:rsid w:val="000928BB"/>
    <w:rsid w:val="00092AF5"/>
    <w:rsid w:val="00092BA9"/>
    <w:rsid w:val="00092F6E"/>
    <w:rsid w:val="00093388"/>
    <w:rsid w:val="00093A1C"/>
    <w:rsid w:val="00093C08"/>
    <w:rsid w:val="0009460D"/>
    <w:rsid w:val="00094DBE"/>
    <w:rsid w:val="0009545E"/>
    <w:rsid w:val="00095651"/>
    <w:rsid w:val="000957C9"/>
    <w:rsid w:val="00095A82"/>
    <w:rsid w:val="00096A76"/>
    <w:rsid w:val="00096D42"/>
    <w:rsid w:val="00096E52"/>
    <w:rsid w:val="0009700A"/>
    <w:rsid w:val="00097CD9"/>
    <w:rsid w:val="000A0AEB"/>
    <w:rsid w:val="000A0AFB"/>
    <w:rsid w:val="000A1D0A"/>
    <w:rsid w:val="000A1EE4"/>
    <w:rsid w:val="000A25C1"/>
    <w:rsid w:val="000A2686"/>
    <w:rsid w:val="000A273B"/>
    <w:rsid w:val="000A329E"/>
    <w:rsid w:val="000A4A75"/>
    <w:rsid w:val="000A4DBC"/>
    <w:rsid w:val="000A5849"/>
    <w:rsid w:val="000A703F"/>
    <w:rsid w:val="000A75A1"/>
    <w:rsid w:val="000B0676"/>
    <w:rsid w:val="000B14B2"/>
    <w:rsid w:val="000B1E1F"/>
    <w:rsid w:val="000B2436"/>
    <w:rsid w:val="000B298D"/>
    <w:rsid w:val="000B2A01"/>
    <w:rsid w:val="000B2A10"/>
    <w:rsid w:val="000B2B07"/>
    <w:rsid w:val="000B36BE"/>
    <w:rsid w:val="000B3B7B"/>
    <w:rsid w:val="000B3E7F"/>
    <w:rsid w:val="000B424F"/>
    <w:rsid w:val="000B597C"/>
    <w:rsid w:val="000B67A9"/>
    <w:rsid w:val="000B728F"/>
    <w:rsid w:val="000B7A3B"/>
    <w:rsid w:val="000B7EDF"/>
    <w:rsid w:val="000B7F95"/>
    <w:rsid w:val="000C090C"/>
    <w:rsid w:val="000C1FCB"/>
    <w:rsid w:val="000C2211"/>
    <w:rsid w:val="000C2B5D"/>
    <w:rsid w:val="000C2CEC"/>
    <w:rsid w:val="000C2D05"/>
    <w:rsid w:val="000C2EDD"/>
    <w:rsid w:val="000C32B4"/>
    <w:rsid w:val="000C4985"/>
    <w:rsid w:val="000C4F29"/>
    <w:rsid w:val="000C4F7D"/>
    <w:rsid w:val="000C56C4"/>
    <w:rsid w:val="000C5BCC"/>
    <w:rsid w:val="000C6061"/>
    <w:rsid w:val="000C6213"/>
    <w:rsid w:val="000C6596"/>
    <w:rsid w:val="000C716A"/>
    <w:rsid w:val="000C7BCB"/>
    <w:rsid w:val="000D0798"/>
    <w:rsid w:val="000D0876"/>
    <w:rsid w:val="000D174A"/>
    <w:rsid w:val="000D1CEB"/>
    <w:rsid w:val="000D22B6"/>
    <w:rsid w:val="000D2630"/>
    <w:rsid w:val="000D2817"/>
    <w:rsid w:val="000D2A52"/>
    <w:rsid w:val="000D2F07"/>
    <w:rsid w:val="000D2FC1"/>
    <w:rsid w:val="000D3B4D"/>
    <w:rsid w:val="000D3CF3"/>
    <w:rsid w:val="000D3F88"/>
    <w:rsid w:val="000D4039"/>
    <w:rsid w:val="000D4480"/>
    <w:rsid w:val="000D4F18"/>
    <w:rsid w:val="000D56B3"/>
    <w:rsid w:val="000D5EA3"/>
    <w:rsid w:val="000D64C1"/>
    <w:rsid w:val="000D6DBA"/>
    <w:rsid w:val="000D7607"/>
    <w:rsid w:val="000E02D3"/>
    <w:rsid w:val="000E076A"/>
    <w:rsid w:val="000E0C44"/>
    <w:rsid w:val="000E16F0"/>
    <w:rsid w:val="000E1913"/>
    <w:rsid w:val="000E1C2F"/>
    <w:rsid w:val="000E1C80"/>
    <w:rsid w:val="000E209B"/>
    <w:rsid w:val="000E3346"/>
    <w:rsid w:val="000E3412"/>
    <w:rsid w:val="000E37E4"/>
    <w:rsid w:val="000E4093"/>
    <w:rsid w:val="000E439E"/>
    <w:rsid w:val="000E54E5"/>
    <w:rsid w:val="000E5EA5"/>
    <w:rsid w:val="000E6B53"/>
    <w:rsid w:val="000E6C9F"/>
    <w:rsid w:val="000E6E3B"/>
    <w:rsid w:val="000E72E0"/>
    <w:rsid w:val="000E7BA0"/>
    <w:rsid w:val="000F02AC"/>
    <w:rsid w:val="000F0605"/>
    <w:rsid w:val="000F0AC6"/>
    <w:rsid w:val="000F0CE5"/>
    <w:rsid w:val="000F0E31"/>
    <w:rsid w:val="000F1215"/>
    <w:rsid w:val="000F1851"/>
    <w:rsid w:val="000F2EDA"/>
    <w:rsid w:val="000F3163"/>
    <w:rsid w:val="000F34F3"/>
    <w:rsid w:val="000F3EFA"/>
    <w:rsid w:val="000F58AD"/>
    <w:rsid w:val="000F5B45"/>
    <w:rsid w:val="000F6625"/>
    <w:rsid w:val="000F7B7F"/>
    <w:rsid w:val="00100A79"/>
    <w:rsid w:val="00101295"/>
    <w:rsid w:val="0010169C"/>
    <w:rsid w:val="00101D16"/>
    <w:rsid w:val="001022A2"/>
    <w:rsid w:val="00102CDF"/>
    <w:rsid w:val="00102DC1"/>
    <w:rsid w:val="00103533"/>
    <w:rsid w:val="00103675"/>
    <w:rsid w:val="001042F6"/>
    <w:rsid w:val="001043E2"/>
    <w:rsid w:val="001055AF"/>
    <w:rsid w:val="001056F1"/>
    <w:rsid w:val="0010576E"/>
    <w:rsid w:val="001059F9"/>
    <w:rsid w:val="00106199"/>
    <w:rsid w:val="00107039"/>
    <w:rsid w:val="001073DF"/>
    <w:rsid w:val="001078C9"/>
    <w:rsid w:val="00107BDA"/>
    <w:rsid w:val="00107DEB"/>
    <w:rsid w:val="00110089"/>
    <w:rsid w:val="00110CE0"/>
    <w:rsid w:val="00111161"/>
    <w:rsid w:val="001115A5"/>
    <w:rsid w:val="00111D87"/>
    <w:rsid w:val="0011232E"/>
    <w:rsid w:val="00112379"/>
    <w:rsid w:val="00112CA1"/>
    <w:rsid w:val="00113AD5"/>
    <w:rsid w:val="00113DC3"/>
    <w:rsid w:val="00114426"/>
    <w:rsid w:val="00114EB8"/>
    <w:rsid w:val="00114FE8"/>
    <w:rsid w:val="0011581A"/>
    <w:rsid w:val="001165B0"/>
    <w:rsid w:val="001166BB"/>
    <w:rsid w:val="001169DF"/>
    <w:rsid w:val="00116BBC"/>
    <w:rsid w:val="00116C7F"/>
    <w:rsid w:val="00120EF7"/>
    <w:rsid w:val="0012119D"/>
    <w:rsid w:val="001213F6"/>
    <w:rsid w:val="001216E5"/>
    <w:rsid w:val="00122496"/>
    <w:rsid w:val="00122839"/>
    <w:rsid w:val="00122B59"/>
    <w:rsid w:val="00122F87"/>
    <w:rsid w:val="00124072"/>
    <w:rsid w:val="001247D0"/>
    <w:rsid w:val="00124BA4"/>
    <w:rsid w:val="001268FE"/>
    <w:rsid w:val="00126FCE"/>
    <w:rsid w:val="00131808"/>
    <w:rsid w:val="00131F51"/>
    <w:rsid w:val="00132094"/>
    <w:rsid w:val="0013211C"/>
    <w:rsid w:val="00132834"/>
    <w:rsid w:val="00132FA6"/>
    <w:rsid w:val="0013314A"/>
    <w:rsid w:val="001348D5"/>
    <w:rsid w:val="00134EF8"/>
    <w:rsid w:val="00135BE8"/>
    <w:rsid w:val="00135EAC"/>
    <w:rsid w:val="0013608F"/>
    <w:rsid w:val="001360DF"/>
    <w:rsid w:val="00137401"/>
    <w:rsid w:val="00137A91"/>
    <w:rsid w:val="00137B67"/>
    <w:rsid w:val="0014000F"/>
    <w:rsid w:val="00140094"/>
    <w:rsid w:val="0014016A"/>
    <w:rsid w:val="001414A3"/>
    <w:rsid w:val="001419BE"/>
    <w:rsid w:val="00141FC9"/>
    <w:rsid w:val="00141FCF"/>
    <w:rsid w:val="0014326F"/>
    <w:rsid w:val="001434EB"/>
    <w:rsid w:val="00143CBF"/>
    <w:rsid w:val="0014456E"/>
    <w:rsid w:val="001449F9"/>
    <w:rsid w:val="00144C97"/>
    <w:rsid w:val="00144D7B"/>
    <w:rsid w:val="00144DC6"/>
    <w:rsid w:val="001450F2"/>
    <w:rsid w:val="001466B4"/>
    <w:rsid w:val="001466D5"/>
    <w:rsid w:val="001467B7"/>
    <w:rsid w:val="00152105"/>
    <w:rsid w:val="0015241E"/>
    <w:rsid w:val="00152689"/>
    <w:rsid w:val="00153154"/>
    <w:rsid w:val="00153453"/>
    <w:rsid w:val="001539AD"/>
    <w:rsid w:val="00154950"/>
    <w:rsid w:val="001549D6"/>
    <w:rsid w:val="001556DE"/>
    <w:rsid w:val="001558AB"/>
    <w:rsid w:val="00155B74"/>
    <w:rsid w:val="0015658B"/>
    <w:rsid w:val="00156ACD"/>
    <w:rsid w:val="00156B05"/>
    <w:rsid w:val="0015757E"/>
    <w:rsid w:val="00157EE5"/>
    <w:rsid w:val="00160C62"/>
    <w:rsid w:val="00160E45"/>
    <w:rsid w:val="00161114"/>
    <w:rsid w:val="00161A80"/>
    <w:rsid w:val="0016204C"/>
    <w:rsid w:val="00162105"/>
    <w:rsid w:val="001634B7"/>
    <w:rsid w:val="00163AC9"/>
    <w:rsid w:val="0016502F"/>
    <w:rsid w:val="00166617"/>
    <w:rsid w:val="00166CA8"/>
    <w:rsid w:val="001670E4"/>
    <w:rsid w:val="00167819"/>
    <w:rsid w:val="001709CC"/>
    <w:rsid w:val="00170CCE"/>
    <w:rsid w:val="00172407"/>
    <w:rsid w:val="00172881"/>
    <w:rsid w:val="00172DFB"/>
    <w:rsid w:val="00172F86"/>
    <w:rsid w:val="00173392"/>
    <w:rsid w:val="00174688"/>
    <w:rsid w:val="00174D84"/>
    <w:rsid w:val="001760B5"/>
    <w:rsid w:val="00176CFA"/>
    <w:rsid w:val="0017725A"/>
    <w:rsid w:val="00177BD6"/>
    <w:rsid w:val="00177CCC"/>
    <w:rsid w:val="00177DE8"/>
    <w:rsid w:val="00180076"/>
    <w:rsid w:val="00180C28"/>
    <w:rsid w:val="00181199"/>
    <w:rsid w:val="001817F1"/>
    <w:rsid w:val="0018292A"/>
    <w:rsid w:val="00182BF9"/>
    <w:rsid w:val="00182F28"/>
    <w:rsid w:val="0018311E"/>
    <w:rsid w:val="00183B48"/>
    <w:rsid w:val="00184B65"/>
    <w:rsid w:val="0018541A"/>
    <w:rsid w:val="00185B23"/>
    <w:rsid w:val="00186120"/>
    <w:rsid w:val="00186C13"/>
    <w:rsid w:val="0018709F"/>
    <w:rsid w:val="00190703"/>
    <w:rsid w:val="0019079B"/>
    <w:rsid w:val="00192503"/>
    <w:rsid w:val="001929C8"/>
    <w:rsid w:val="00192EB8"/>
    <w:rsid w:val="00192EF7"/>
    <w:rsid w:val="00193699"/>
    <w:rsid w:val="001939EA"/>
    <w:rsid w:val="00193B2C"/>
    <w:rsid w:val="00193D87"/>
    <w:rsid w:val="00194141"/>
    <w:rsid w:val="00194E5A"/>
    <w:rsid w:val="00195010"/>
    <w:rsid w:val="00195D36"/>
    <w:rsid w:val="00195FB3"/>
    <w:rsid w:val="001968B4"/>
    <w:rsid w:val="00196A8B"/>
    <w:rsid w:val="00196E04"/>
    <w:rsid w:val="001970B1"/>
    <w:rsid w:val="00197328"/>
    <w:rsid w:val="00197C5C"/>
    <w:rsid w:val="001A0965"/>
    <w:rsid w:val="001A0F07"/>
    <w:rsid w:val="001A1B2C"/>
    <w:rsid w:val="001A23B8"/>
    <w:rsid w:val="001A2CC8"/>
    <w:rsid w:val="001A2D53"/>
    <w:rsid w:val="001A3896"/>
    <w:rsid w:val="001A3CBA"/>
    <w:rsid w:val="001A3D33"/>
    <w:rsid w:val="001A4213"/>
    <w:rsid w:val="001A4325"/>
    <w:rsid w:val="001A4B9C"/>
    <w:rsid w:val="001A516E"/>
    <w:rsid w:val="001A5C94"/>
    <w:rsid w:val="001A6208"/>
    <w:rsid w:val="001A628F"/>
    <w:rsid w:val="001A63CB"/>
    <w:rsid w:val="001A6B4B"/>
    <w:rsid w:val="001A6B56"/>
    <w:rsid w:val="001A7C51"/>
    <w:rsid w:val="001B0131"/>
    <w:rsid w:val="001B0159"/>
    <w:rsid w:val="001B0676"/>
    <w:rsid w:val="001B068B"/>
    <w:rsid w:val="001B0B99"/>
    <w:rsid w:val="001B1304"/>
    <w:rsid w:val="001B2993"/>
    <w:rsid w:val="001B4ADA"/>
    <w:rsid w:val="001B4CED"/>
    <w:rsid w:val="001B5738"/>
    <w:rsid w:val="001B5DA0"/>
    <w:rsid w:val="001B67CB"/>
    <w:rsid w:val="001B6A56"/>
    <w:rsid w:val="001B76CC"/>
    <w:rsid w:val="001C07BB"/>
    <w:rsid w:val="001C17B4"/>
    <w:rsid w:val="001C23EF"/>
    <w:rsid w:val="001C37FB"/>
    <w:rsid w:val="001C3BA4"/>
    <w:rsid w:val="001C4831"/>
    <w:rsid w:val="001C509E"/>
    <w:rsid w:val="001C55FA"/>
    <w:rsid w:val="001C57DA"/>
    <w:rsid w:val="001C589E"/>
    <w:rsid w:val="001C5A4E"/>
    <w:rsid w:val="001C5CB6"/>
    <w:rsid w:val="001C6423"/>
    <w:rsid w:val="001C6DDF"/>
    <w:rsid w:val="001C6FC8"/>
    <w:rsid w:val="001C70DF"/>
    <w:rsid w:val="001C7337"/>
    <w:rsid w:val="001C76DC"/>
    <w:rsid w:val="001D095C"/>
    <w:rsid w:val="001D0F60"/>
    <w:rsid w:val="001D1932"/>
    <w:rsid w:val="001D1DD8"/>
    <w:rsid w:val="001D2B44"/>
    <w:rsid w:val="001D480E"/>
    <w:rsid w:val="001D5146"/>
    <w:rsid w:val="001D5154"/>
    <w:rsid w:val="001D5362"/>
    <w:rsid w:val="001D56A4"/>
    <w:rsid w:val="001D61B3"/>
    <w:rsid w:val="001D6D58"/>
    <w:rsid w:val="001D6F80"/>
    <w:rsid w:val="001D7C7C"/>
    <w:rsid w:val="001D7CD8"/>
    <w:rsid w:val="001E15CD"/>
    <w:rsid w:val="001E1959"/>
    <w:rsid w:val="001E1CD4"/>
    <w:rsid w:val="001E2715"/>
    <w:rsid w:val="001E3389"/>
    <w:rsid w:val="001E36B8"/>
    <w:rsid w:val="001E485A"/>
    <w:rsid w:val="001E4DD6"/>
    <w:rsid w:val="001E554F"/>
    <w:rsid w:val="001E639B"/>
    <w:rsid w:val="001E63FE"/>
    <w:rsid w:val="001E6DB7"/>
    <w:rsid w:val="001F152E"/>
    <w:rsid w:val="001F1A93"/>
    <w:rsid w:val="001F2752"/>
    <w:rsid w:val="001F2B7D"/>
    <w:rsid w:val="001F383D"/>
    <w:rsid w:val="001F4540"/>
    <w:rsid w:val="001F4DA0"/>
    <w:rsid w:val="001F4F83"/>
    <w:rsid w:val="001F5A93"/>
    <w:rsid w:val="001F5AD9"/>
    <w:rsid w:val="001F64A1"/>
    <w:rsid w:val="001F64BD"/>
    <w:rsid w:val="001F6BBE"/>
    <w:rsid w:val="001F6BC9"/>
    <w:rsid w:val="001F6FEE"/>
    <w:rsid w:val="00200231"/>
    <w:rsid w:val="002003A9"/>
    <w:rsid w:val="002017C2"/>
    <w:rsid w:val="002018F8"/>
    <w:rsid w:val="00202021"/>
    <w:rsid w:val="0020261E"/>
    <w:rsid w:val="002028D6"/>
    <w:rsid w:val="00202EF9"/>
    <w:rsid w:val="002035A5"/>
    <w:rsid w:val="0020365E"/>
    <w:rsid w:val="00203C17"/>
    <w:rsid w:val="00204932"/>
    <w:rsid w:val="00205791"/>
    <w:rsid w:val="002059C9"/>
    <w:rsid w:val="0021038B"/>
    <w:rsid w:val="00210F80"/>
    <w:rsid w:val="00211553"/>
    <w:rsid w:val="002126CA"/>
    <w:rsid w:val="002128B4"/>
    <w:rsid w:val="00212CDB"/>
    <w:rsid w:val="00213097"/>
    <w:rsid w:val="002151F9"/>
    <w:rsid w:val="0021579E"/>
    <w:rsid w:val="00215E4C"/>
    <w:rsid w:val="0021730E"/>
    <w:rsid w:val="0021755B"/>
    <w:rsid w:val="00217673"/>
    <w:rsid w:val="00217D6E"/>
    <w:rsid w:val="002204B0"/>
    <w:rsid w:val="00222391"/>
    <w:rsid w:val="002227BD"/>
    <w:rsid w:val="00223925"/>
    <w:rsid w:val="00224EC7"/>
    <w:rsid w:val="00224F39"/>
    <w:rsid w:val="0022561C"/>
    <w:rsid w:val="00226435"/>
    <w:rsid w:val="00226EA9"/>
    <w:rsid w:val="00227819"/>
    <w:rsid w:val="00230108"/>
    <w:rsid w:val="002313C4"/>
    <w:rsid w:val="002313E8"/>
    <w:rsid w:val="002318C7"/>
    <w:rsid w:val="00231AC1"/>
    <w:rsid w:val="002339E2"/>
    <w:rsid w:val="00233A03"/>
    <w:rsid w:val="002341E5"/>
    <w:rsid w:val="0023425A"/>
    <w:rsid w:val="002344D9"/>
    <w:rsid w:val="00234FDB"/>
    <w:rsid w:val="00235909"/>
    <w:rsid w:val="00236ABE"/>
    <w:rsid w:val="0023731C"/>
    <w:rsid w:val="0023760B"/>
    <w:rsid w:val="00237F91"/>
    <w:rsid w:val="002401E6"/>
    <w:rsid w:val="002402B9"/>
    <w:rsid w:val="00240A78"/>
    <w:rsid w:val="00240FAF"/>
    <w:rsid w:val="002421C3"/>
    <w:rsid w:val="0024295E"/>
    <w:rsid w:val="00243608"/>
    <w:rsid w:val="00243738"/>
    <w:rsid w:val="00243D57"/>
    <w:rsid w:val="002443C8"/>
    <w:rsid w:val="00244789"/>
    <w:rsid w:val="00244ACB"/>
    <w:rsid w:val="00245229"/>
    <w:rsid w:val="00245F0F"/>
    <w:rsid w:val="002461F9"/>
    <w:rsid w:val="00246358"/>
    <w:rsid w:val="0024641D"/>
    <w:rsid w:val="002472EB"/>
    <w:rsid w:val="0024794D"/>
    <w:rsid w:val="00247CE0"/>
    <w:rsid w:val="00250856"/>
    <w:rsid w:val="00251101"/>
    <w:rsid w:val="00251448"/>
    <w:rsid w:val="002532F5"/>
    <w:rsid w:val="002533B3"/>
    <w:rsid w:val="00253458"/>
    <w:rsid w:val="00253630"/>
    <w:rsid w:val="00256523"/>
    <w:rsid w:val="00257C46"/>
    <w:rsid w:val="00257D57"/>
    <w:rsid w:val="00261C0A"/>
    <w:rsid w:val="002628FA"/>
    <w:rsid w:val="00262F9C"/>
    <w:rsid w:val="00262FF8"/>
    <w:rsid w:val="00263D25"/>
    <w:rsid w:val="00263F9F"/>
    <w:rsid w:val="00264FBA"/>
    <w:rsid w:val="002650F1"/>
    <w:rsid w:val="00265D93"/>
    <w:rsid w:val="00267190"/>
    <w:rsid w:val="00267318"/>
    <w:rsid w:val="00267CB8"/>
    <w:rsid w:val="00267FDD"/>
    <w:rsid w:val="002700C7"/>
    <w:rsid w:val="00271186"/>
    <w:rsid w:val="00272A5B"/>
    <w:rsid w:val="00272A65"/>
    <w:rsid w:val="002731D7"/>
    <w:rsid w:val="00273268"/>
    <w:rsid w:val="0027428E"/>
    <w:rsid w:val="0027430F"/>
    <w:rsid w:val="00274639"/>
    <w:rsid w:val="002747EB"/>
    <w:rsid w:val="00274A86"/>
    <w:rsid w:val="00275A98"/>
    <w:rsid w:val="00275F38"/>
    <w:rsid w:val="00276878"/>
    <w:rsid w:val="00276CF1"/>
    <w:rsid w:val="00276E86"/>
    <w:rsid w:val="002774F9"/>
    <w:rsid w:val="002778C5"/>
    <w:rsid w:val="00277B10"/>
    <w:rsid w:val="00277C28"/>
    <w:rsid w:val="00277F60"/>
    <w:rsid w:val="002801C9"/>
    <w:rsid w:val="00280C56"/>
    <w:rsid w:val="0028107B"/>
    <w:rsid w:val="00281E17"/>
    <w:rsid w:val="00282D86"/>
    <w:rsid w:val="00283DD0"/>
    <w:rsid w:val="0028430B"/>
    <w:rsid w:val="00284405"/>
    <w:rsid w:val="002845B4"/>
    <w:rsid w:val="00285B0A"/>
    <w:rsid w:val="00285BBA"/>
    <w:rsid w:val="00286E03"/>
    <w:rsid w:val="00287847"/>
    <w:rsid w:val="00287C07"/>
    <w:rsid w:val="00290220"/>
    <w:rsid w:val="00291EBC"/>
    <w:rsid w:val="002922E5"/>
    <w:rsid w:val="0029300B"/>
    <w:rsid w:val="002933C4"/>
    <w:rsid w:val="00293F00"/>
    <w:rsid w:val="00294B61"/>
    <w:rsid w:val="00294F81"/>
    <w:rsid w:val="00295DB5"/>
    <w:rsid w:val="00296C18"/>
    <w:rsid w:val="00297217"/>
    <w:rsid w:val="002A0108"/>
    <w:rsid w:val="002A0B55"/>
    <w:rsid w:val="002A0D8E"/>
    <w:rsid w:val="002A1357"/>
    <w:rsid w:val="002A2F1E"/>
    <w:rsid w:val="002A3723"/>
    <w:rsid w:val="002A4FE3"/>
    <w:rsid w:val="002A5236"/>
    <w:rsid w:val="002A53B6"/>
    <w:rsid w:val="002A5AA1"/>
    <w:rsid w:val="002A61D9"/>
    <w:rsid w:val="002A66AE"/>
    <w:rsid w:val="002A704D"/>
    <w:rsid w:val="002A73D7"/>
    <w:rsid w:val="002A7AF6"/>
    <w:rsid w:val="002A7C2E"/>
    <w:rsid w:val="002B0652"/>
    <w:rsid w:val="002B06DD"/>
    <w:rsid w:val="002B21EB"/>
    <w:rsid w:val="002B220B"/>
    <w:rsid w:val="002B2904"/>
    <w:rsid w:val="002B2FBB"/>
    <w:rsid w:val="002B301F"/>
    <w:rsid w:val="002B3258"/>
    <w:rsid w:val="002B3A17"/>
    <w:rsid w:val="002B3FEA"/>
    <w:rsid w:val="002B52FC"/>
    <w:rsid w:val="002B53DC"/>
    <w:rsid w:val="002B5FFB"/>
    <w:rsid w:val="002B6911"/>
    <w:rsid w:val="002B6B34"/>
    <w:rsid w:val="002C02A1"/>
    <w:rsid w:val="002C02B9"/>
    <w:rsid w:val="002C1538"/>
    <w:rsid w:val="002C15B7"/>
    <w:rsid w:val="002C1733"/>
    <w:rsid w:val="002C1747"/>
    <w:rsid w:val="002C1830"/>
    <w:rsid w:val="002C1C5E"/>
    <w:rsid w:val="002C32F6"/>
    <w:rsid w:val="002C3392"/>
    <w:rsid w:val="002C4B45"/>
    <w:rsid w:val="002C501B"/>
    <w:rsid w:val="002C5063"/>
    <w:rsid w:val="002C56D4"/>
    <w:rsid w:val="002C59C6"/>
    <w:rsid w:val="002C5B9B"/>
    <w:rsid w:val="002C60DA"/>
    <w:rsid w:val="002C61DF"/>
    <w:rsid w:val="002C62E4"/>
    <w:rsid w:val="002C6316"/>
    <w:rsid w:val="002C69C4"/>
    <w:rsid w:val="002C6C40"/>
    <w:rsid w:val="002C7187"/>
    <w:rsid w:val="002C7C9B"/>
    <w:rsid w:val="002C7DAC"/>
    <w:rsid w:val="002D0AB0"/>
    <w:rsid w:val="002D1486"/>
    <w:rsid w:val="002D2157"/>
    <w:rsid w:val="002D3633"/>
    <w:rsid w:val="002D37F3"/>
    <w:rsid w:val="002D3B94"/>
    <w:rsid w:val="002D418A"/>
    <w:rsid w:val="002D4549"/>
    <w:rsid w:val="002D4D65"/>
    <w:rsid w:val="002D5143"/>
    <w:rsid w:val="002D6242"/>
    <w:rsid w:val="002D6C95"/>
    <w:rsid w:val="002D772B"/>
    <w:rsid w:val="002D7A13"/>
    <w:rsid w:val="002E046D"/>
    <w:rsid w:val="002E06A7"/>
    <w:rsid w:val="002E0805"/>
    <w:rsid w:val="002E081A"/>
    <w:rsid w:val="002E110E"/>
    <w:rsid w:val="002E151C"/>
    <w:rsid w:val="002E16AC"/>
    <w:rsid w:val="002E1AA0"/>
    <w:rsid w:val="002E236C"/>
    <w:rsid w:val="002E266D"/>
    <w:rsid w:val="002E300C"/>
    <w:rsid w:val="002E3B64"/>
    <w:rsid w:val="002E3C1F"/>
    <w:rsid w:val="002E3DE6"/>
    <w:rsid w:val="002E45F0"/>
    <w:rsid w:val="002E4BD7"/>
    <w:rsid w:val="002E4FFB"/>
    <w:rsid w:val="002E5261"/>
    <w:rsid w:val="002E5995"/>
    <w:rsid w:val="002E5B39"/>
    <w:rsid w:val="002E6271"/>
    <w:rsid w:val="002E639B"/>
    <w:rsid w:val="002E6B2C"/>
    <w:rsid w:val="002E73B5"/>
    <w:rsid w:val="002E743C"/>
    <w:rsid w:val="002E768B"/>
    <w:rsid w:val="002E7919"/>
    <w:rsid w:val="002E7DE1"/>
    <w:rsid w:val="002E7F58"/>
    <w:rsid w:val="002F03CB"/>
    <w:rsid w:val="002F0F42"/>
    <w:rsid w:val="002F1339"/>
    <w:rsid w:val="002F20D7"/>
    <w:rsid w:val="002F339E"/>
    <w:rsid w:val="002F3494"/>
    <w:rsid w:val="002F35A9"/>
    <w:rsid w:val="002F35CA"/>
    <w:rsid w:val="002F4929"/>
    <w:rsid w:val="002F49BB"/>
    <w:rsid w:val="002F59BB"/>
    <w:rsid w:val="002F5AC8"/>
    <w:rsid w:val="002F5BE1"/>
    <w:rsid w:val="002F6880"/>
    <w:rsid w:val="002F77B6"/>
    <w:rsid w:val="003010AA"/>
    <w:rsid w:val="003015C8"/>
    <w:rsid w:val="00301A7D"/>
    <w:rsid w:val="00301D8A"/>
    <w:rsid w:val="00302CAB"/>
    <w:rsid w:val="0030320B"/>
    <w:rsid w:val="0030337D"/>
    <w:rsid w:val="00303A44"/>
    <w:rsid w:val="00304573"/>
    <w:rsid w:val="00304A00"/>
    <w:rsid w:val="00304BBF"/>
    <w:rsid w:val="00304E3D"/>
    <w:rsid w:val="00305388"/>
    <w:rsid w:val="00306213"/>
    <w:rsid w:val="003062EE"/>
    <w:rsid w:val="00306548"/>
    <w:rsid w:val="003067BA"/>
    <w:rsid w:val="003069C9"/>
    <w:rsid w:val="00306BD3"/>
    <w:rsid w:val="00306D2E"/>
    <w:rsid w:val="003075B1"/>
    <w:rsid w:val="00307A82"/>
    <w:rsid w:val="00310046"/>
    <w:rsid w:val="003102BF"/>
    <w:rsid w:val="003109E6"/>
    <w:rsid w:val="00311EE7"/>
    <w:rsid w:val="003121F5"/>
    <w:rsid w:val="003122E3"/>
    <w:rsid w:val="00312F72"/>
    <w:rsid w:val="00313364"/>
    <w:rsid w:val="00313973"/>
    <w:rsid w:val="0031437F"/>
    <w:rsid w:val="0031573A"/>
    <w:rsid w:val="00315D59"/>
    <w:rsid w:val="00316135"/>
    <w:rsid w:val="00316963"/>
    <w:rsid w:val="003171F3"/>
    <w:rsid w:val="00317D25"/>
    <w:rsid w:val="00320985"/>
    <w:rsid w:val="00320D3E"/>
    <w:rsid w:val="00320D40"/>
    <w:rsid w:val="00320F8C"/>
    <w:rsid w:val="00321603"/>
    <w:rsid w:val="003216B5"/>
    <w:rsid w:val="00321A8A"/>
    <w:rsid w:val="00321B44"/>
    <w:rsid w:val="00322041"/>
    <w:rsid w:val="003238E5"/>
    <w:rsid w:val="00324708"/>
    <w:rsid w:val="0032470E"/>
    <w:rsid w:val="00324E11"/>
    <w:rsid w:val="00325741"/>
    <w:rsid w:val="00326938"/>
    <w:rsid w:val="00326D5F"/>
    <w:rsid w:val="00327ACC"/>
    <w:rsid w:val="003300E3"/>
    <w:rsid w:val="00330297"/>
    <w:rsid w:val="003305A3"/>
    <w:rsid w:val="00331C00"/>
    <w:rsid w:val="0033241D"/>
    <w:rsid w:val="00332DB5"/>
    <w:rsid w:val="00333119"/>
    <w:rsid w:val="003331C5"/>
    <w:rsid w:val="00334265"/>
    <w:rsid w:val="00334514"/>
    <w:rsid w:val="003354B6"/>
    <w:rsid w:val="00335E6F"/>
    <w:rsid w:val="003362CC"/>
    <w:rsid w:val="00336E30"/>
    <w:rsid w:val="00337350"/>
    <w:rsid w:val="00337647"/>
    <w:rsid w:val="00337872"/>
    <w:rsid w:val="00337920"/>
    <w:rsid w:val="00340392"/>
    <w:rsid w:val="00341759"/>
    <w:rsid w:val="00343237"/>
    <w:rsid w:val="003432B1"/>
    <w:rsid w:val="003435C3"/>
    <w:rsid w:val="003436D7"/>
    <w:rsid w:val="00343C5C"/>
    <w:rsid w:val="00343D4E"/>
    <w:rsid w:val="00343F9C"/>
    <w:rsid w:val="00344973"/>
    <w:rsid w:val="00345A77"/>
    <w:rsid w:val="0034662D"/>
    <w:rsid w:val="00346F54"/>
    <w:rsid w:val="00347105"/>
    <w:rsid w:val="003479B7"/>
    <w:rsid w:val="0035012A"/>
    <w:rsid w:val="00351AF2"/>
    <w:rsid w:val="00351BA5"/>
    <w:rsid w:val="00352574"/>
    <w:rsid w:val="00352715"/>
    <w:rsid w:val="00352915"/>
    <w:rsid w:val="00352DA0"/>
    <w:rsid w:val="00353C4E"/>
    <w:rsid w:val="003540F7"/>
    <w:rsid w:val="0035464C"/>
    <w:rsid w:val="003572F4"/>
    <w:rsid w:val="00357948"/>
    <w:rsid w:val="00357C67"/>
    <w:rsid w:val="0036049F"/>
    <w:rsid w:val="00360A29"/>
    <w:rsid w:val="00360BAF"/>
    <w:rsid w:val="00360E0C"/>
    <w:rsid w:val="0036185E"/>
    <w:rsid w:val="00361881"/>
    <w:rsid w:val="0036204E"/>
    <w:rsid w:val="0036242E"/>
    <w:rsid w:val="00362DBD"/>
    <w:rsid w:val="00363339"/>
    <w:rsid w:val="003634C4"/>
    <w:rsid w:val="003636C9"/>
    <w:rsid w:val="00363E2A"/>
    <w:rsid w:val="00365055"/>
    <w:rsid w:val="00366013"/>
    <w:rsid w:val="0036637B"/>
    <w:rsid w:val="003663EF"/>
    <w:rsid w:val="00366975"/>
    <w:rsid w:val="00366A63"/>
    <w:rsid w:val="00366F95"/>
    <w:rsid w:val="00367368"/>
    <w:rsid w:val="00370128"/>
    <w:rsid w:val="003707DD"/>
    <w:rsid w:val="00370908"/>
    <w:rsid w:val="00372C01"/>
    <w:rsid w:val="00374209"/>
    <w:rsid w:val="00375B91"/>
    <w:rsid w:val="00375E58"/>
    <w:rsid w:val="00376458"/>
    <w:rsid w:val="003767A1"/>
    <w:rsid w:val="00376BB6"/>
    <w:rsid w:val="00376D5A"/>
    <w:rsid w:val="003802E4"/>
    <w:rsid w:val="0038103C"/>
    <w:rsid w:val="003828AE"/>
    <w:rsid w:val="0038331F"/>
    <w:rsid w:val="00383665"/>
    <w:rsid w:val="0038369D"/>
    <w:rsid w:val="003836DD"/>
    <w:rsid w:val="00386161"/>
    <w:rsid w:val="003866B8"/>
    <w:rsid w:val="003870DE"/>
    <w:rsid w:val="00387190"/>
    <w:rsid w:val="0038746B"/>
    <w:rsid w:val="00387693"/>
    <w:rsid w:val="00390280"/>
    <w:rsid w:val="00390D84"/>
    <w:rsid w:val="0039117A"/>
    <w:rsid w:val="003917C5"/>
    <w:rsid w:val="003921DD"/>
    <w:rsid w:val="003922C7"/>
    <w:rsid w:val="00392897"/>
    <w:rsid w:val="00392CE4"/>
    <w:rsid w:val="003936BB"/>
    <w:rsid w:val="00393B2A"/>
    <w:rsid w:val="00393E5E"/>
    <w:rsid w:val="003942A1"/>
    <w:rsid w:val="00394367"/>
    <w:rsid w:val="00394960"/>
    <w:rsid w:val="00395949"/>
    <w:rsid w:val="0039677A"/>
    <w:rsid w:val="00396B3B"/>
    <w:rsid w:val="00397520"/>
    <w:rsid w:val="00397B1B"/>
    <w:rsid w:val="003A1F46"/>
    <w:rsid w:val="003A2F68"/>
    <w:rsid w:val="003A32D2"/>
    <w:rsid w:val="003A3F2B"/>
    <w:rsid w:val="003A4028"/>
    <w:rsid w:val="003A43B0"/>
    <w:rsid w:val="003A595F"/>
    <w:rsid w:val="003A63A4"/>
    <w:rsid w:val="003A71E0"/>
    <w:rsid w:val="003A7D08"/>
    <w:rsid w:val="003B0197"/>
    <w:rsid w:val="003B0352"/>
    <w:rsid w:val="003B045D"/>
    <w:rsid w:val="003B04E0"/>
    <w:rsid w:val="003B05F0"/>
    <w:rsid w:val="003B1014"/>
    <w:rsid w:val="003B1247"/>
    <w:rsid w:val="003B1564"/>
    <w:rsid w:val="003B1CBF"/>
    <w:rsid w:val="003B2B47"/>
    <w:rsid w:val="003B2FC7"/>
    <w:rsid w:val="003B37CE"/>
    <w:rsid w:val="003B436F"/>
    <w:rsid w:val="003B5693"/>
    <w:rsid w:val="003B5867"/>
    <w:rsid w:val="003B5D53"/>
    <w:rsid w:val="003B5DCE"/>
    <w:rsid w:val="003B5EA1"/>
    <w:rsid w:val="003B6286"/>
    <w:rsid w:val="003C07EB"/>
    <w:rsid w:val="003C0F8B"/>
    <w:rsid w:val="003C1890"/>
    <w:rsid w:val="003C1AA6"/>
    <w:rsid w:val="003C1CE8"/>
    <w:rsid w:val="003C254A"/>
    <w:rsid w:val="003C368C"/>
    <w:rsid w:val="003C542F"/>
    <w:rsid w:val="003C546E"/>
    <w:rsid w:val="003C58DA"/>
    <w:rsid w:val="003C70CD"/>
    <w:rsid w:val="003C7A89"/>
    <w:rsid w:val="003D08C7"/>
    <w:rsid w:val="003D1F44"/>
    <w:rsid w:val="003D2000"/>
    <w:rsid w:val="003D30FF"/>
    <w:rsid w:val="003D349A"/>
    <w:rsid w:val="003D3829"/>
    <w:rsid w:val="003D4AF6"/>
    <w:rsid w:val="003D4CDD"/>
    <w:rsid w:val="003D4D81"/>
    <w:rsid w:val="003D4E4D"/>
    <w:rsid w:val="003D553C"/>
    <w:rsid w:val="003D59EF"/>
    <w:rsid w:val="003D609E"/>
    <w:rsid w:val="003D69B4"/>
    <w:rsid w:val="003D7A32"/>
    <w:rsid w:val="003E0200"/>
    <w:rsid w:val="003E0B25"/>
    <w:rsid w:val="003E140F"/>
    <w:rsid w:val="003E2BA3"/>
    <w:rsid w:val="003E2C3E"/>
    <w:rsid w:val="003E2C91"/>
    <w:rsid w:val="003E32C8"/>
    <w:rsid w:val="003E376B"/>
    <w:rsid w:val="003E3DBA"/>
    <w:rsid w:val="003E44D1"/>
    <w:rsid w:val="003E4A11"/>
    <w:rsid w:val="003E4CE4"/>
    <w:rsid w:val="003E568C"/>
    <w:rsid w:val="003E5692"/>
    <w:rsid w:val="003E64DB"/>
    <w:rsid w:val="003E657B"/>
    <w:rsid w:val="003E73D4"/>
    <w:rsid w:val="003F0440"/>
    <w:rsid w:val="003F0455"/>
    <w:rsid w:val="003F073E"/>
    <w:rsid w:val="003F0BFB"/>
    <w:rsid w:val="003F1C41"/>
    <w:rsid w:val="003F2D80"/>
    <w:rsid w:val="003F2F29"/>
    <w:rsid w:val="003F310C"/>
    <w:rsid w:val="003F34DB"/>
    <w:rsid w:val="003F3512"/>
    <w:rsid w:val="003F3DC2"/>
    <w:rsid w:val="003F5285"/>
    <w:rsid w:val="003F5301"/>
    <w:rsid w:val="003F5331"/>
    <w:rsid w:val="003F60FF"/>
    <w:rsid w:val="003F64F7"/>
    <w:rsid w:val="003F6692"/>
    <w:rsid w:val="003F6ADE"/>
    <w:rsid w:val="003F6C2A"/>
    <w:rsid w:val="003F70EC"/>
    <w:rsid w:val="003F7264"/>
    <w:rsid w:val="0040071A"/>
    <w:rsid w:val="004007D0"/>
    <w:rsid w:val="0040093C"/>
    <w:rsid w:val="00400958"/>
    <w:rsid w:val="00401857"/>
    <w:rsid w:val="00402122"/>
    <w:rsid w:val="004023FE"/>
    <w:rsid w:val="00402FEB"/>
    <w:rsid w:val="004030AE"/>
    <w:rsid w:val="00403329"/>
    <w:rsid w:val="00403921"/>
    <w:rsid w:val="0040395D"/>
    <w:rsid w:val="004053B1"/>
    <w:rsid w:val="00405A5D"/>
    <w:rsid w:val="00405A87"/>
    <w:rsid w:val="0040629F"/>
    <w:rsid w:val="00407148"/>
    <w:rsid w:val="00407220"/>
    <w:rsid w:val="00407896"/>
    <w:rsid w:val="00410CBD"/>
    <w:rsid w:val="004115A8"/>
    <w:rsid w:val="004117F4"/>
    <w:rsid w:val="00412337"/>
    <w:rsid w:val="00413100"/>
    <w:rsid w:val="0041359E"/>
    <w:rsid w:val="0041433E"/>
    <w:rsid w:val="00414E6D"/>
    <w:rsid w:val="00415449"/>
    <w:rsid w:val="00415817"/>
    <w:rsid w:val="0041586C"/>
    <w:rsid w:val="00415932"/>
    <w:rsid w:val="004160EA"/>
    <w:rsid w:val="00416608"/>
    <w:rsid w:val="004172FE"/>
    <w:rsid w:val="00417F64"/>
    <w:rsid w:val="0042087B"/>
    <w:rsid w:val="00420BEE"/>
    <w:rsid w:val="00420C3F"/>
    <w:rsid w:val="00420F3E"/>
    <w:rsid w:val="0042182B"/>
    <w:rsid w:val="004219EF"/>
    <w:rsid w:val="004221DA"/>
    <w:rsid w:val="00422357"/>
    <w:rsid w:val="0042264F"/>
    <w:rsid w:val="00424224"/>
    <w:rsid w:val="00424E5D"/>
    <w:rsid w:val="00425977"/>
    <w:rsid w:val="00425A09"/>
    <w:rsid w:val="004266E5"/>
    <w:rsid w:val="00426E62"/>
    <w:rsid w:val="00426E90"/>
    <w:rsid w:val="00427F17"/>
    <w:rsid w:val="00430EC6"/>
    <w:rsid w:val="004314A7"/>
    <w:rsid w:val="00432375"/>
    <w:rsid w:val="004326A1"/>
    <w:rsid w:val="00432C9B"/>
    <w:rsid w:val="00432F0B"/>
    <w:rsid w:val="00433159"/>
    <w:rsid w:val="004331C0"/>
    <w:rsid w:val="004333B1"/>
    <w:rsid w:val="00434131"/>
    <w:rsid w:val="00434138"/>
    <w:rsid w:val="004341CD"/>
    <w:rsid w:val="00434C37"/>
    <w:rsid w:val="0043602D"/>
    <w:rsid w:val="0043615F"/>
    <w:rsid w:val="004362F7"/>
    <w:rsid w:val="0043634C"/>
    <w:rsid w:val="00436544"/>
    <w:rsid w:val="00436FE4"/>
    <w:rsid w:val="00437451"/>
    <w:rsid w:val="0043751C"/>
    <w:rsid w:val="00437FBB"/>
    <w:rsid w:val="00441D18"/>
    <w:rsid w:val="00441F0E"/>
    <w:rsid w:val="0044287C"/>
    <w:rsid w:val="00442C9B"/>
    <w:rsid w:val="00442F53"/>
    <w:rsid w:val="00443298"/>
    <w:rsid w:val="004441B5"/>
    <w:rsid w:val="00444432"/>
    <w:rsid w:val="0044446A"/>
    <w:rsid w:val="00444541"/>
    <w:rsid w:val="0044589F"/>
    <w:rsid w:val="00446024"/>
    <w:rsid w:val="00446440"/>
    <w:rsid w:val="00446C52"/>
    <w:rsid w:val="00446C9D"/>
    <w:rsid w:val="00446D48"/>
    <w:rsid w:val="00447048"/>
    <w:rsid w:val="004479DC"/>
    <w:rsid w:val="00447B36"/>
    <w:rsid w:val="00447EE9"/>
    <w:rsid w:val="00447FCC"/>
    <w:rsid w:val="004502C3"/>
    <w:rsid w:val="004523F8"/>
    <w:rsid w:val="00452A6E"/>
    <w:rsid w:val="00453901"/>
    <w:rsid w:val="00453A5C"/>
    <w:rsid w:val="00453E57"/>
    <w:rsid w:val="00454161"/>
    <w:rsid w:val="00454508"/>
    <w:rsid w:val="00456054"/>
    <w:rsid w:val="004568F0"/>
    <w:rsid w:val="0046014C"/>
    <w:rsid w:val="0046113A"/>
    <w:rsid w:val="00461992"/>
    <w:rsid w:val="004625F1"/>
    <w:rsid w:val="00462E08"/>
    <w:rsid w:val="00462F9C"/>
    <w:rsid w:val="004648F2"/>
    <w:rsid w:val="00465686"/>
    <w:rsid w:val="0046673E"/>
    <w:rsid w:val="0046764D"/>
    <w:rsid w:val="004679BC"/>
    <w:rsid w:val="00470B78"/>
    <w:rsid w:val="00470F76"/>
    <w:rsid w:val="004710A4"/>
    <w:rsid w:val="00471450"/>
    <w:rsid w:val="004714A0"/>
    <w:rsid w:val="0047186D"/>
    <w:rsid w:val="00472071"/>
    <w:rsid w:val="00472C24"/>
    <w:rsid w:val="004737C5"/>
    <w:rsid w:val="00473CA3"/>
    <w:rsid w:val="00474806"/>
    <w:rsid w:val="00474BB6"/>
    <w:rsid w:val="00474EA8"/>
    <w:rsid w:val="00475F5B"/>
    <w:rsid w:val="00475F82"/>
    <w:rsid w:val="004760F2"/>
    <w:rsid w:val="0047649F"/>
    <w:rsid w:val="00477FEF"/>
    <w:rsid w:val="00480654"/>
    <w:rsid w:val="004813DE"/>
    <w:rsid w:val="00481705"/>
    <w:rsid w:val="00481B5E"/>
    <w:rsid w:val="00481F73"/>
    <w:rsid w:val="00482628"/>
    <w:rsid w:val="004828D7"/>
    <w:rsid w:val="00482AC3"/>
    <w:rsid w:val="00482F7F"/>
    <w:rsid w:val="0048359D"/>
    <w:rsid w:val="00483B0D"/>
    <w:rsid w:val="0048479D"/>
    <w:rsid w:val="00484C12"/>
    <w:rsid w:val="00484F3C"/>
    <w:rsid w:val="00485572"/>
    <w:rsid w:val="00485DC4"/>
    <w:rsid w:val="00485FBE"/>
    <w:rsid w:val="0048602D"/>
    <w:rsid w:val="004865B5"/>
    <w:rsid w:val="0048683D"/>
    <w:rsid w:val="00486ADA"/>
    <w:rsid w:val="00487178"/>
    <w:rsid w:val="00487247"/>
    <w:rsid w:val="004874A3"/>
    <w:rsid w:val="00487B94"/>
    <w:rsid w:val="0049025A"/>
    <w:rsid w:val="004906B7"/>
    <w:rsid w:val="00490719"/>
    <w:rsid w:val="00490D9A"/>
    <w:rsid w:val="00491257"/>
    <w:rsid w:val="004913E9"/>
    <w:rsid w:val="004919D4"/>
    <w:rsid w:val="00492422"/>
    <w:rsid w:val="00492555"/>
    <w:rsid w:val="004926B5"/>
    <w:rsid w:val="00492B23"/>
    <w:rsid w:val="00492E09"/>
    <w:rsid w:val="004932D7"/>
    <w:rsid w:val="00494135"/>
    <w:rsid w:val="004947EC"/>
    <w:rsid w:val="00494A70"/>
    <w:rsid w:val="00494BE0"/>
    <w:rsid w:val="00495035"/>
    <w:rsid w:val="004957F6"/>
    <w:rsid w:val="0049780D"/>
    <w:rsid w:val="004A05E4"/>
    <w:rsid w:val="004A0BFC"/>
    <w:rsid w:val="004A1181"/>
    <w:rsid w:val="004A17D6"/>
    <w:rsid w:val="004A1C97"/>
    <w:rsid w:val="004A201A"/>
    <w:rsid w:val="004A240A"/>
    <w:rsid w:val="004A27F6"/>
    <w:rsid w:val="004A2B9B"/>
    <w:rsid w:val="004A3643"/>
    <w:rsid w:val="004A38AE"/>
    <w:rsid w:val="004A4740"/>
    <w:rsid w:val="004A4804"/>
    <w:rsid w:val="004A55CC"/>
    <w:rsid w:val="004A5870"/>
    <w:rsid w:val="004A75CF"/>
    <w:rsid w:val="004A7704"/>
    <w:rsid w:val="004A780E"/>
    <w:rsid w:val="004A78A3"/>
    <w:rsid w:val="004A7DF0"/>
    <w:rsid w:val="004B18FA"/>
    <w:rsid w:val="004B1EC1"/>
    <w:rsid w:val="004B23A3"/>
    <w:rsid w:val="004B37CD"/>
    <w:rsid w:val="004B3EDA"/>
    <w:rsid w:val="004B5445"/>
    <w:rsid w:val="004B5447"/>
    <w:rsid w:val="004B55D9"/>
    <w:rsid w:val="004B5B6B"/>
    <w:rsid w:val="004B5C06"/>
    <w:rsid w:val="004B604B"/>
    <w:rsid w:val="004B6151"/>
    <w:rsid w:val="004B622B"/>
    <w:rsid w:val="004B6314"/>
    <w:rsid w:val="004B63E7"/>
    <w:rsid w:val="004B64BB"/>
    <w:rsid w:val="004B688C"/>
    <w:rsid w:val="004B6EB4"/>
    <w:rsid w:val="004B6ED6"/>
    <w:rsid w:val="004B737C"/>
    <w:rsid w:val="004C0177"/>
    <w:rsid w:val="004C0685"/>
    <w:rsid w:val="004C0A0F"/>
    <w:rsid w:val="004C0A58"/>
    <w:rsid w:val="004C1244"/>
    <w:rsid w:val="004C2025"/>
    <w:rsid w:val="004C20D8"/>
    <w:rsid w:val="004C2408"/>
    <w:rsid w:val="004C30E9"/>
    <w:rsid w:val="004C30F3"/>
    <w:rsid w:val="004C3A3A"/>
    <w:rsid w:val="004C3CAD"/>
    <w:rsid w:val="004C3CCF"/>
    <w:rsid w:val="004C3CFC"/>
    <w:rsid w:val="004C3D4C"/>
    <w:rsid w:val="004C3E73"/>
    <w:rsid w:val="004C4BC3"/>
    <w:rsid w:val="004C4DAF"/>
    <w:rsid w:val="004C5350"/>
    <w:rsid w:val="004C550D"/>
    <w:rsid w:val="004C5E36"/>
    <w:rsid w:val="004C5FD3"/>
    <w:rsid w:val="004C6C9D"/>
    <w:rsid w:val="004D0C1D"/>
    <w:rsid w:val="004D22ED"/>
    <w:rsid w:val="004D37A4"/>
    <w:rsid w:val="004D3E9A"/>
    <w:rsid w:val="004D3FBD"/>
    <w:rsid w:val="004D4322"/>
    <w:rsid w:val="004D4523"/>
    <w:rsid w:val="004D4B56"/>
    <w:rsid w:val="004D61E5"/>
    <w:rsid w:val="004D61FF"/>
    <w:rsid w:val="004D632F"/>
    <w:rsid w:val="004D6462"/>
    <w:rsid w:val="004D6C7C"/>
    <w:rsid w:val="004D70C3"/>
    <w:rsid w:val="004D737C"/>
    <w:rsid w:val="004E0CA9"/>
    <w:rsid w:val="004E108F"/>
    <w:rsid w:val="004E1776"/>
    <w:rsid w:val="004E1D51"/>
    <w:rsid w:val="004E1FD1"/>
    <w:rsid w:val="004E20A1"/>
    <w:rsid w:val="004E3182"/>
    <w:rsid w:val="004E3808"/>
    <w:rsid w:val="004E3DCD"/>
    <w:rsid w:val="004E4764"/>
    <w:rsid w:val="004E4E44"/>
    <w:rsid w:val="004E61EE"/>
    <w:rsid w:val="004E6DC7"/>
    <w:rsid w:val="004F0EA9"/>
    <w:rsid w:val="004F22D1"/>
    <w:rsid w:val="004F2AF6"/>
    <w:rsid w:val="004F2CB7"/>
    <w:rsid w:val="004F3CD7"/>
    <w:rsid w:val="004F42D8"/>
    <w:rsid w:val="004F4304"/>
    <w:rsid w:val="004F4615"/>
    <w:rsid w:val="004F48FB"/>
    <w:rsid w:val="004F4F5D"/>
    <w:rsid w:val="004F547B"/>
    <w:rsid w:val="004F5E13"/>
    <w:rsid w:val="004F63AE"/>
    <w:rsid w:val="004F6C31"/>
    <w:rsid w:val="004F6EFA"/>
    <w:rsid w:val="004F7117"/>
    <w:rsid w:val="004F7734"/>
    <w:rsid w:val="00500853"/>
    <w:rsid w:val="00500F5C"/>
    <w:rsid w:val="00501B7F"/>
    <w:rsid w:val="00501E8B"/>
    <w:rsid w:val="005020CD"/>
    <w:rsid w:val="0050275A"/>
    <w:rsid w:val="00502E5F"/>
    <w:rsid w:val="00503190"/>
    <w:rsid w:val="00503A55"/>
    <w:rsid w:val="00503A88"/>
    <w:rsid w:val="00503B2A"/>
    <w:rsid w:val="005043A0"/>
    <w:rsid w:val="00504477"/>
    <w:rsid w:val="00505CF8"/>
    <w:rsid w:val="005061C2"/>
    <w:rsid w:val="00507C58"/>
    <w:rsid w:val="00507DAF"/>
    <w:rsid w:val="00507FED"/>
    <w:rsid w:val="00510DBC"/>
    <w:rsid w:val="005112B6"/>
    <w:rsid w:val="005118A6"/>
    <w:rsid w:val="005126D8"/>
    <w:rsid w:val="005129DD"/>
    <w:rsid w:val="0051338C"/>
    <w:rsid w:val="005135A0"/>
    <w:rsid w:val="00513D75"/>
    <w:rsid w:val="0051407A"/>
    <w:rsid w:val="00514126"/>
    <w:rsid w:val="00515357"/>
    <w:rsid w:val="00515B84"/>
    <w:rsid w:val="00516028"/>
    <w:rsid w:val="00516212"/>
    <w:rsid w:val="0051645A"/>
    <w:rsid w:val="005168B7"/>
    <w:rsid w:val="00516C7B"/>
    <w:rsid w:val="00520F77"/>
    <w:rsid w:val="00521FD5"/>
    <w:rsid w:val="005223F1"/>
    <w:rsid w:val="00522D3F"/>
    <w:rsid w:val="00522FA3"/>
    <w:rsid w:val="0052306B"/>
    <w:rsid w:val="0052426E"/>
    <w:rsid w:val="005246D3"/>
    <w:rsid w:val="005246E9"/>
    <w:rsid w:val="00524DCB"/>
    <w:rsid w:val="005252A0"/>
    <w:rsid w:val="00525652"/>
    <w:rsid w:val="00525ED8"/>
    <w:rsid w:val="00526232"/>
    <w:rsid w:val="00527052"/>
    <w:rsid w:val="00527107"/>
    <w:rsid w:val="005271B7"/>
    <w:rsid w:val="005273DE"/>
    <w:rsid w:val="005276A8"/>
    <w:rsid w:val="00527C84"/>
    <w:rsid w:val="005301E4"/>
    <w:rsid w:val="00530666"/>
    <w:rsid w:val="00530741"/>
    <w:rsid w:val="00530AC3"/>
    <w:rsid w:val="00530F1A"/>
    <w:rsid w:val="005311BE"/>
    <w:rsid w:val="00531D77"/>
    <w:rsid w:val="0053272C"/>
    <w:rsid w:val="00532F31"/>
    <w:rsid w:val="00533055"/>
    <w:rsid w:val="00533A7F"/>
    <w:rsid w:val="00533F5B"/>
    <w:rsid w:val="00535C39"/>
    <w:rsid w:val="00536E1E"/>
    <w:rsid w:val="0053700F"/>
    <w:rsid w:val="005403DA"/>
    <w:rsid w:val="00540CB0"/>
    <w:rsid w:val="005413F9"/>
    <w:rsid w:val="00541A4D"/>
    <w:rsid w:val="00541B5C"/>
    <w:rsid w:val="00542251"/>
    <w:rsid w:val="00542573"/>
    <w:rsid w:val="00543112"/>
    <w:rsid w:val="0054351E"/>
    <w:rsid w:val="00543520"/>
    <w:rsid w:val="005439CD"/>
    <w:rsid w:val="00544131"/>
    <w:rsid w:val="00546964"/>
    <w:rsid w:val="005472C4"/>
    <w:rsid w:val="00551192"/>
    <w:rsid w:val="005513C1"/>
    <w:rsid w:val="00551520"/>
    <w:rsid w:val="005519EE"/>
    <w:rsid w:val="00553048"/>
    <w:rsid w:val="005539AF"/>
    <w:rsid w:val="0055432A"/>
    <w:rsid w:val="00555868"/>
    <w:rsid w:val="00555BB5"/>
    <w:rsid w:val="00556F4B"/>
    <w:rsid w:val="005570C6"/>
    <w:rsid w:val="00557845"/>
    <w:rsid w:val="005578FA"/>
    <w:rsid w:val="00557DF3"/>
    <w:rsid w:val="005605AB"/>
    <w:rsid w:val="00560F12"/>
    <w:rsid w:val="0056187F"/>
    <w:rsid w:val="00562CD6"/>
    <w:rsid w:val="00564576"/>
    <w:rsid w:val="00565205"/>
    <w:rsid w:val="005662B9"/>
    <w:rsid w:val="0056731D"/>
    <w:rsid w:val="005700D1"/>
    <w:rsid w:val="005704F2"/>
    <w:rsid w:val="00570AC3"/>
    <w:rsid w:val="0057119D"/>
    <w:rsid w:val="0057126D"/>
    <w:rsid w:val="005712AD"/>
    <w:rsid w:val="00571536"/>
    <w:rsid w:val="0057208D"/>
    <w:rsid w:val="005725DE"/>
    <w:rsid w:val="00572660"/>
    <w:rsid w:val="005727BB"/>
    <w:rsid w:val="00572A5C"/>
    <w:rsid w:val="00572FCF"/>
    <w:rsid w:val="005731C5"/>
    <w:rsid w:val="00573B7B"/>
    <w:rsid w:val="00573ED8"/>
    <w:rsid w:val="005741AE"/>
    <w:rsid w:val="0057477D"/>
    <w:rsid w:val="005755D3"/>
    <w:rsid w:val="005762EF"/>
    <w:rsid w:val="00576B1B"/>
    <w:rsid w:val="00576C9B"/>
    <w:rsid w:val="00577F58"/>
    <w:rsid w:val="00580349"/>
    <w:rsid w:val="00580A79"/>
    <w:rsid w:val="0058239B"/>
    <w:rsid w:val="00584024"/>
    <w:rsid w:val="00584425"/>
    <w:rsid w:val="00585123"/>
    <w:rsid w:val="00585B4A"/>
    <w:rsid w:val="00585D54"/>
    <w:rsid w:val="0058636F"/>
    <w:rsid w:val="00586A72"/>
    <w:rsid w:val="00590129"/>
    <w:rsid w:val="00590228"/>
    <w:rsid w:val="00590956"/>
    <w:rsid w:val="00590E55"/>
    <w:rsid w:val="005910A6"/>
    <w:rsid w:val="00591167"/>
    <w:rsid w:val="0059162C"/>
    <w:rsid w:val="0059233B"/>
    <w:rsid w:val="00592BE7"/>
    <w:rsid w:val="0059383B"/>
    <w:rsid w:val="005938B7"/>
    <w:rsid w:val="00593939"/>
    <w:rsid w:val="00593D01"/>
    <w:rsid w:val="0059418F"/>
    <w:rsid w:val="00594ACE"/>
    <w:rsid w:val="00595B78"/>
    <w:rsid w:val="00596199"/>
    <w:rsid w:val="005966B9"/>
    <w:rsid w:val="00596890"/>
    <w:rsid w:val="0059767A"/>
    <w:rsid w:val="00597C35"/>
    <w:rsid w:val="005A025F"/>
    <w:rsid w:val="005A029D"/>
    <w:rsid w:val="005A0CE0"/>
    <w:rsid w:val="005A1447"/>
    <w:rsid w:val="005A1451"/>
    <w:rsid w:val="005A16FA"/>
    <w:rsid w:val="005A1897"/>
    <w:rsid w:val="005A2525"/>
    <w:rsid w:val="005A26B6"/>
    <w:rsid w:val="005A2897"/>
    <w:rsid w:val="005A4298"/>
    <w:rsid w:val="005A4AC7"/>
    <w:rsid w:val="005A4C64"/>
    <w:rsid w:val="005A57DA"/>
    <w:rsid w:val="005A64AF"/>
    <w:rsid w:val="005A6923"/>
    <w:rsid w:val="005A6B3A"/>
    <w:rsid w:val="005A6E84"/>
    <w:rsid w:val="005A7045"/>
    <w:rsid w:val="005A7767"/>
    <w:rsid w:val="005B0B67"/>
    <w:rsid w:val="005B0E04"/>
    <w:rsid w:val="005B1961"/>
    <w:rsid w:val="005B1F74"/>
    <w:rsid w:val="005B2A79"/>
    <w:rsid w:val="005B2CA5"/>
    <w:rsid w:val="005B4213"/>
    <w:rsid w:val="005B4304"/>
    <w:rsid w:val="005B5216"/>
    <w:rsid w:val="005B68BF"/>
    <w:rsid w:val="005B7916"/>
    <w:rsid w:val="005B7A48"/>
    <w:rsid w:val="005C0B6A"/>
    <w:rsid w:val="005C0CE1"/>
    <w:rsid w:val="005C2879"/>
    <w:rsid w:val="005C2947"/>
    <w:rsid w:val="005C2AE7"/>
    <w:rsid w:val="005C2F66"/>
    <w:rsid w:val="005C30CC"/>
    <w:rsid w:val="005C3F11"/>
    <w:rsid w:val="005C41ED"/>
    <w:rsid w:val="005C4D6F"/>
    <w:rsid w:val="005C63C2"/>
    <w:rsid w:val="005C6F7D"/>
    <w:rsid w:val="005C7768"/>
    <w:rsid w:val="005D044E"/>
    <w:rsid w:val="005D0948"/>
    <w:rsid w:val="005D0C55"/>
    <w:rsid w:val="005D1A6A"/>
    <w:rsid w:val="005D201B"/>
    <w:rsid w:val="005D2919"/>
    <w:rsid w:val="005D2DE4"/>
    <w:rsid w:val="005D3002"/>
    <w:rsid w:val="005D4274"/>
    <w:rsid w:val="005D46F7"/>
    <w:rsid w:val="005D4D53"/>
    <w:rsid w:val="005D4DF9"/>
    <w:rsid w:val="005D50F9"/>
    <w:rsid w:val="005D520C"/>
    <w:rsid w:val="005D573A"/>
    <w:rsid w:val="005D5E3C"/>
    <w:rsid w:val="005D673A"/>
    <w:rsid w:val="005D6CA0"/>
    <w:rsid w:val="005D70CC"/>
    <w:rsid w:val="005D7C1D"/>
    <w:rsid w:val="005D7F09"/>
    <w:rsid w:val="005E013F"/>
    <w:rsid w:val="005E04F0"/>
    <w:rsid w:val="005E09B0"/>
    <w:rsid w:val="005E0BB4"/>
    <w:rsid w:val="005E0CD4"/>
    <w:rsid w:val="005E0E2E"/>
    <w:rsid w:val="005E0E6C"/>
    <w:rsid w:val="005E1503"/>
    <w:rsid w:val="005E1520"/>
    <w:rsid w:val="005E1D4F"/>
    <w:rsid w:val="005E20FF"/>
    <w:rsid w:val="005E2E04"/>
    <w:rsid w:val="005E3102"/>
    <w:rsid w:val="005E3B1D"/>
    <w:rsid w:val="005E4016"/>
    <w:rsid w:val="005E41D8"/>
    <w:rsid w:val="005E4A8F"/>
    <w:rsid w:val="005E4ABC"/>
    <w:rsid w:val="005E50B3"/>
    <w:rsid w:val="005E5584"/>
    <w:rsid w:val="005E5F15"/>
    <w:rsid w:val="005E78F0"/>
    <w:rsid w:val="005F0C5E"/>
    <w:rsid w:val="005F1416"/>
    <w:rsid w:val="005F1E08"/>
    <w:rsid w:val="005F24D2"/>
    <w:rsid w:val="005F26AE"/>
    <w:rsid w:val="005F2CB3"/>
    <w:rsid w:val="005F2D78"/>
    <w:rsid w:val="005F2F34"/>
    <w:rsid w:val="005F30A7"/>
    <w:rsid w:val="005F3142"/>
    <w:rsid w:val="005F369E"/>
    <w:rsid w:val="005F4478"/>
    <w:rsid w:val="005F45C6"/>
    <w:rsid w:val="005F5326"/>
    <w:rsid w:val="005F5893"/>
    <w:rsid w:val="005F5A9A"/>
    <w:rsid w:val="005F618C"/>
    <w:rsid w:val="005F61EB"/>
    <w:rsid w:val="005F7A7F"/>
    <w:rsid w:val="005F7D6D"/>
    <w:rsid w:val="005F7E21"/>
    <w:rsid w:val="006003AF"/>
    <w:rsid w:val="00600530"/>
    <w:rsid w:val="006012C9"/>
    <w:rsid w:val="0060202F"/>
    <w:rsid w:val="006028FF"/>
    <w:rsid w:val="00602B5B"/>
    <w:rsid w:val="00604004"/>
    <w:rsid w:val="0060480E"/>
    <w:rsid w:val="00604816"/>
    <w:rsid w:val="0060489B"/>
    <w:rsid w:val="006048AA"/>
    <w:rsid w:val="00604F36"/>
    <w:rsid w:val="0060546C"/>
    <w:rsid w:val="006059EE"/>
    <w:rsid w:val="00606829"/>
    <w:rsid w:val="0060688C"/>
    <w:rsid w:val="00607105"/>
    <w:rsid w:val="00607548"/>
    <w:rsid w:val="00607C82"/>
    <w:rsid w:val="006102BD"/>
    <w:rsid w:val="00611D58"/>
    <w:rsid w:val="006128A2"/>
    <w:rsid w:val="006133C5"/>
    <w:rsid w:val="006133CD"/>
    <w:rsid w:val="00614718"/>
    <w:rsid w:val="0061487F"/>
    <w:rsid w:val="006149D8"/>
    <w:rsid w:val="00615A0E"/>
    <w:rsid w:val="00615A8D"/>
    <w:rsid w:val="00616530"/>
    <w:rsid w:val="00616608"/>
    <w:rsid w:val="006167FE"/>
    <w:rsid w:val="00616F3B"/>
    <w:rsid w:val="00617294"/>
    <w:rsid w:val="00620271"/>
    <w:rsid w:val="006202D4"/>
    <w:rsid w:val="006204EE"/>
    <w:rsid w:val="00621690"/>
    <w:rsid w:val="006218C9"/>
    <w:rsid w:val="006223FE"/>
    <w:rsid w:val="00623296"/>
    <w:rsid w:val="00623409"/>
    <w:rsid w:val="00624272"/>
    <w:rsid w:val="00624F77"/>
    <w:rsid w:val="00625857"/>
    <w:rsid w:val="00625CC9"/>
    <w:rsid w:val="00625EA9"/>
    <w:rsid w:val="00625F04"/>
    <w:rsid w:val="0062678A"/>
    <w:rsid w:val="00626FD7"/>
    <w:rsid w:val="00627A10"/>
    <w:rsid w:val="0063097C"/>
    <w:rsid w:val="0063117E"/>
    <w:rsid w:val="00631836"/>
    <w:rsid w:val="00631DC1"/>
    <w:rsid w:val="00631F02"/>
    <w:rsid w:val="006324F2"/>
    <w:rsid w:val="00633AD9"/>
    <w:rsid w:val="00633AF2"/>
    <w:rsid w:val="00634CEF"/>
    <w:rsid w:val="00634E6D"/>
    <w:rsid w:val="006353CE"/>
    <w:rsid w:val="00635499"/>
    <w:rsid w:val="006355A9"/>
    <w:rsid w:val="00637795"/>
    <w:rsid w:val="00637C75"/>
    <w:rsid w:val="00640D54"/>
    <w:rsid w:val="006413DD"/>
    <w:rsid w:val="00641B35"/>
    <w:rsid w:val="006425CE"/>
    <w:rsid w:val="00642604"/>
    <w:rsid w:val="00642CB3"/>
    <w:rsid w:val="00642F7B"/>
    <w:rsid w:val="0064321B"/>
    <w:rsid w:val="0064333F"/>
    <w:rsid w:val="00643382"/>
    <w:rsid w:val="00644488"/>
    <w:rsid w:val="00644F2E"/>
    <w:rsid w:val="00645583"/>
    <w:rsid w:val="00645990"/>
    <w:rsid w:val="00645A1B"/>
    <w:rsid w:val="00645F00"/>
    <w:rsid w:val="006502C4"/>
    <w:rsid w:val="00650D60"/>
    <w:rsid w:val="00650F9B"/>
    <w:rsid w:val="0065187A"/>
    <w:rsid w:val="00651C95"/>
    <w:rsid w:val="00651E03"/>
    <w:rsid w:val="00651F05"/>
    <w:rsid w:val="006524ED"/>
    <w:rsid w:val="006529D4"/>
    <w:rsid w:val="00652F54"/>
    <w:rsid w:val="00653EA2"/>
    <w:rsid w:val="006542F3"/>
    <w:rsid w:val="00654886"/>
    <w:rsid w:val="00654999"/>
    <w:rsid w:val="00655B36"/>
    <w:rsid w:val="00655CC8"/>
    <w:rsid w:val="00656125"/>
    <w:rsid w:val="00656393"/>
    <w:rsid w:val="006578B2"/>
    <w:rsid w:val="0066044D"/>
    <w:rsid w:val="0066228E"/>
    <w:rsid w:val="0066343E"/>
    <w:rsid w:val="0066348F"/>
    <w:rsid w:val="0066370D"/>
    <w:rsid w:val="00663740"/>
    <w:rsid w:val="00663C01"/>
    <w:rsid w:val="00663D9E"/>
    <w:rsid w:val="00664B6F"/>
    <w:rsid w:val="00665558"/>
    <w:rsid w:val="0066635C"/>
    <w:rsid w:val="00666B9E"/>
    <w:rsid w:val="00667B75"/>
    <w:rsid w:val="00670144"/>
    <w:rsid w:val="006703A5"/>
    <w:rsid w:val="00670CB4"/>
    <w:rsid w:val="00671119"/>
    <w:rsid w:val="00671656"/>
    <w:rsid w:val="006726F7"/>
    <w:rsid w:val="0067302E"/>
    <w:rsid w:val="006730C8"/>
    <w:rsid w:val="0067447A"/>
    <w:rsid w:val="006767C8"/>
    <w:rsid w:val="0068091B"/>
    <w:rsid w:val="00680E68"/>
    <w:rsid w:val="00680E6A"/>
    <w:rsid w:val="0068135B"/>
    <w:rsid w:val="00681371"/>
    <w:rsid w:val="006813CF"/>
    <w:rsid w:val="00681900"/>
    <w:rsid w:val="006819EF"/>
    <w:rsid w:val="00681EBC"/>
    <w:rsid w:val="006829E3"/>
    <w:rsid w:val="00683369"/>
    <w:rsid w:val="0068337F"/>
    <w:rsid w:val="006834FF"/>
    <w:rsid w:val="00683E8B"/>
    <w:rsid w:val="00684024"/>
    <w:rsid w:val="0068408E"/>
    <w:rsid w:val="00684AB4"/>
    <w:rsid w:val="00684FF8"/>
    <w:rsid w:val="00685108"/>
    <w:rsid w:val="0068569A"/>
    <w:rsid w:val="00686E20"/>
    <w:rsid w:val="00686FAE"/>
    <w:rsid w:val="00690B13"/>
    <w:rsid w:val="00691735"/>
    <w:rsid w:val="006919FF"/>
    <w:rsid w:val="00692237"/>
    <w:rsid w:val="006923EE"/>
    <w:rsid w:val="0069245E"/>
    <w:rsid w:val="00692464"/>
    <w:rsid w:val="006929CC"/>
    <w:rsid w:val="006938EF"/>
    <w:rsid w:val="00693BAD"/>
    <w:rsid w:val="006940B4"/>
    <w:rsid w:val="00694732"/>
    <w:rsid w:val="00694A44"/>
    <w:rsid w:val="0069525D"/>
    <w:rsid w:val="006957B7"/>
    <w:rsid w:val="00695BE2"/>
    <w:rsid w:val="006975FA"/>
    <w:rsid w:val="006976C7"/>
    <w:rsid w:val="006A0493"/>
    <w:rsid w:val="006A1201"/>
    <w:rsid w:val="006A1416"/>
    <w:rsid w:val="006A21BD"/>
    <w:rsid w:val="006A2427"/>
    <w:rsid w:val="006A2731"/>
    <w:rsid w:val="006A2931"/>
    <w:rsid w:val="006A3188"/>
    <w:rsid w:val="006A33C3"/>
    <w:rsid w:val="006A39C7"/>
    <w:rsid w:val="006A3F15"/>
    <w:rsid w:val="006A41DE"/>
    <w:rsid w:val="006A5055"/>
    <w:rsid w:val="006A51EF"/>
    <w:rsid w:val="006A54DA"/>
    <w:rsid w:val="006A5968"/>
    <w:rsid w:val="006A601D"/>
    <w:rsid w:val="006A6BF9"/>
    <w:rsid w:val="006A785D"/>
    <w:rsid w:val="006A7B1F"/>
    <w:rsid w:val="006A7DA9"/>
    <w:rsid w:val="006A7FB9"/>
    <w:rsid w:val="006B08A4"/>
    <w:rsid w:val="006B0943"/>
    <w:rsid w:val="006B1ED4"/>
    <w:rsid w:val="006B299E"/>
    <w:rsid w:val="006B3694"/>
    <w:rsid w:val="006B3F81"/>
    <w:rsid w:val="006B44F2"/>
    <w:rsid w:val="006B493E"/>
    <w:rsid w:val="006B4969"/>
    <w:rsid w:val="006B4ACF"/>
    <w:rsid w:val="006B4E72"/>
    <w:rsid w:val="006B50D2"/>
    <w:rsid w:val="006B5766"/>
    <w:rsid w:val="006B6617"/>
    <w:rsid w:val="006B7F94"/>
    <w:rsid w:val="006C142B"/>
    <w:rsid w:val="006C1B74"/>
    <w:rsid w:val="006C20A3"/>
    <w:rsid w:val="006C2179"/>
    <w:rsid w:val="006C2338"/>
    <w:rsid w:val="006C28F1"/>
    <w:rsid w:val="006C2C6D"/>
    <w:rsid w:val="006C3A88"/>
    <w:rsid w:val="006C3F78"/>
    <w:rsid w:val="006C425B"/>
    <w:rsid w:val="006C4FE0"/>
    <w:rsid w:val="006C51C9"/>
    <w:rsid w:val="006C5B72"/>
    <w:rsid w:val="006C6863"/>
    <w:rsid w:val="006C73E6"/>
    <w:rsid w:val="006C77C4"/>
    <w:rsid w:val="006C79B4"/>
    <w:rsid w:val="006D05B1"/>
    <w:rsid w:val="006D088E"/>
    <w:rsid w:val="006D0CFA"/>
    <w:rsid w:val="006D1D5F"/>
    <w:rsid w:val="006D1F4B"/>
    <w:rsid w:val="006D2365"/>
    <w:rsid w:val="006D28A5"/>
    <w:rsid w:val="006D2B37"/>
    <w:rsid w:val="006D2B97"/>
    <w:rsid w:val="006D3935"/>
    <w:rsid w:val="006D3C6A"/>
    <w:rsid w:val="006D4B96"/>
    <w:rsid w:val="006D4F34"/>
    <w:rsid w:val="006D5171"/>
    <w:rsid w:val="006D52B5"/>
    <w:rsid w:val="006D64AE"/>
    <w:rsid w:val="006D6F38"/>
    <w:rsid w:val="006D77E9"/>
    <w:rsid w:val="006D7A86"/>
    <w:rsid w:val="006D7EE4"/>
    <w:rsid w:val="006E0217"/>
    <w:rsid w:val="006E19DE"/>
    <w:rsid w:val="006E249D"/>
    <w:rsid w:val="006E2FF0"/>
    <w:rsid w:val="006E30FE"/>
    <w:rsid w:val="006E3D21"/>
    <w:rsid w:val="006E45BA"/>
    <w:rsid w:val="006E4A25"/>
    <w:rsid w:val="006E4E7E"/>
    <w:rsid w:val="006E50C5"/>
    <w:rsid w:val="006E5B62"/>
    <w:rsid w:val="006E5B71"/>
    <w:rsid w:val="006E5C78"/>
    <w:rsid w:val="006E6ED8"/>
    <w:rsid w:val="006E7038"/>
    <w:rsid w:val="006E73FD"/>
    <w:rsid w:val="006F0938"/>
    <w:rsid w:val="006F1113"/>
    <w:rsid w:val="006F12D8"/>
    <w:rsid w:val="006F19E4"/>
    <w:rsid w:val="006F2A81"/>
    <w:rsid w:val="006F3214"/>
    <w:rsid w:val="006F54A8"/>
    <w:rsid w:val="006F5724"/>
    <w:rsid w:val="006F63FA"/>
    <w:rsid w:val="006F6E9D"/>
    <w:rsid w:val="006F714C"/>
    <w:rsid w:val="006F738E"/>
    <w:rsid w:val="006F798F"/>
    <w:rsid w:val="007003A7"/>
    <w:rsid w:val="007004D7"/>
    <w:rsid w:val="00700854"/>
    <w:rsid w:val="00701419"/>
    <w:rsid w:val="00702B1F"/>
    <w:rsid w:val="00702E4F"/>
    <w:rsid w:val="00703914"/>
    <w:rsid w:val="00703E8C"/>
    <w:rsid w:val="007055C9"/>
    <w:rsid w:val="007057E9"/>
    <w:rsid w:val="00706E01"/>
    <w:rsid w:val="0070714F"/>
    <w:rsid w:val="00707313"/>
    <w:rsid w:val="007125F5"/>
    <w:rsid w:val="007128D0"/>
    <w:rsid w:val="007143D1"/>
    <w:rsid w:val="00714533"/>
    <w:rsid w:val="007145F7"/>
    <w:rsid w:val="00714838"/>
    <w:rsid w:val="00716346"/>
    <w:rsid w:val="00716D5A"/>
    <w:rsid w:val="00716E78"/>
    <w:rsid w:val="00717148"/>
    <w:rsid w:val="007174AB"/>
    <w:rsid w:val="00717B04"/>
    <w:rsid w:val="00720D44"/>
    <w:rsid w:val="007215B4"/>
    <w:rsid w:val="00721FCC"/>
    <w:rsid w:val="00722C1D"/>
    <w:rsid w:val="0072312E"/>
    <w:rsid w:val="007232B2"/>
    <w:rsid w:val="007244A2"/>
    <w:rsid w:val="00724A7F"/>
    <w:rsid w:val="00724EB0"/>
    <w:rsid w:val="007260C8"/>
    <w:rsid w:val="007264B2"/>
    <w:rsid w:val="00726908"/>
    <w:rsid w:val="0072692D"/>
    <w:rsid w:val="00726B64"/>
    <w:rsid w:val="00726D78"/>
    <w:rsid w:val="00726FBF"/>
    <w:rsid w:val="00727019"/>
    <w:rsid w:val="007272E2"/>
    <w:rsid w:val="0073045C"/>
    <w:rsid w:val="00730E26"/>
    <w:rsid w:val="0073189A"/>
    <w:rsid w:val="00731EA6"/>
    <w:rsid w:val="00731F75"/>
    <w:rsid w:val="007334FD"/>
    <w:rsid w:val="00733774"/>
    <w:rsid w:val="00733793"/>
    <w:rsid w:val="00733E29"/>
    <w:rsid w:val="00733F07"/>
    <w:rsid w:val="007344BC"/>
    <w:rsid w:val="00734CC7"/>
    <w:rsid w:val="0073541F"/>
    <w:rsid w:val="007369AE"/>
    <w:rsid w:val="00736AC7"/>
    <w:rsid w:val="00736F21"/>
    <w:rsid w:val="007371B7"/>
    <w:rsid w:val="007374EF"/>
    <w:rsid w:val="00737648"/>
    <w:rsid w:val="00741151"/>
    <w:rsid w:val="007412A8"/>
    <w:rsid w:val="00741AE4"/>
    <w:rsid w:val="00741C90"/>
    <w:rsid w:val="00741E86"/>
    <w:rsid w:val="00741F07"/>
    <w:rsid w:val="0074203B"/>
    <w:rsid w:val="007420C1"/>
    <w:rsid w:val="00742E52"/>
    <w:rsid w:val="00743AD1"/>
    <w:rsid w:val="00744B93"/>
    <w:rsid w:val="00744DAC"/>
    <w:rsid w:val="00745E9B"/>
    <w:rsid w:val="00747180"/>
    <w:rsid w:val="00747770"/>
    <w:rsid w:val="0075002A"/>
    <w:rsid w:val="00750577"/>
    <w:rsid w:val="007505AA"/>
    <w:rsid w:val="0075060C"/>
    <w:rsid w:val="00750B47"/>
    <w:rsid w:val="0075121C"/>
    <w:rsid w:val="00752968"/>
    <w:rsid w:val="00752EEC"/>
    <w:rsid w:val="00752F47"/>
    <w:rsid w:val="0075317D"/>
    <w:rsid w:val="00753408"/>
    <w:rsid w:val="0075349C"/>
    <w:rsid w:val="00754315"/>
    <w:rsid w:val="00754A55"/>
    <w:rsid w:val="007551BF"/>
    <w:rsid w:val="007559CF"/>
    <w:rsid w:val="00756042"/>
    <w:rsid w:val="007578AD"/>
    <w:rsid w:val="00760851"/>
    <w:rsid w:val="0076090E"/>
    <w:rsid w:val="00760E4A"/>
    <w:rsid w:val="007615D8"/>
    <w:rsid w:val="007616B1"/>
    <w:rsid w:val="00761E08"/>
    <w:rsid w:val="007623E7"/>
    <w:rsid w:val="0076431E"/>
    <w:rsid w:val="0076461E"/>
    <w:rsid w:val="007649C5"/>
    <w:rsid w:val="00764E1D"/>
    <w:rsid w:val="00765244"/>
    <w:rsid w:val="00765371"/>
    <w:rsid w:val="007656E3"/>
    <w:rsid w:val="00765D6A"/>
    <w:rsid w:val="007669A2"/>
    <w:rsid w:val="00767120"/>
    <w:rsid w:val="00767E58"/>
    <w:rsid w:val="00767FBB"/>
    <w:rsid w:val="00770ECC"/>
    <w:rsid w:val="007710E9"/>
    <w:rsid w:val="00771CEE"/>
    <w:rsid w:val="0077203B"/>
    <w:rsid w:val="0077252A"/>
    <w:rsid w:val="0077284A"/>
    <w:rsid w:val="0077289D"/>
    <w:rsid w:val="00772E83"/>
    <w:rsid w:val="0077307F"/>
    <w:rsid w:val="007733F8"/>
    <w:rsid w:val="00773B0A"/>
    <w:rsid w:val="0077411F"/>
    <w:rsid w:val="0077488F"/>
    <w:rsid w:val="0077592A"/>
    <w:rsid w:val="00775CEB"/>
    <w:rsid w:val="00776098"/>
    <w:rsid w:val="007762C7"/>
    <w:rsid w:val="00777874"/>
    <w:rsid w:val="00781453"/>
    <w:rsid w:val="00781824"/>
    <w:rsid w:val="007829D3"/>
    <w:rsid w:val="00782FCD"/>
    <w:rsid w:val="00783211"/>
    <w:rsid w:val="00783692"/>
    <w:rsid w:val="007837FD"/>
    <w:rsid w:val="00783C7B"/>
    <w:rsid w:val="00783CBE"/>
    <w:rsid w:val="00783D6D"/>
    <w:rsid w:val="00783EF2"/>
    <w:rsid w:val="007847C6"/>
    <w:rsid w:val="007862A3"/>
    <w:rsid w:val="0078662B"/>
    <w:rsid w:val="00786838"/>
    <w:rsid w:val="00787745"/>
    <w:rsid w:val="00787A64"/>
    <w:rsid w:val="00787DB7"/>
    <w:rsid w:val="007908D1"/>
    <w:rsid w:val="00790943"/>
    <w:rsid w:val="00791154"/>
    <w:rsid w:val="007923BA"/>
    <w:rsid w:val="007927C1"/>
    <w:rsid w:val="007929AE"/>
    <w:rsid w:val="00792D00"/>
    <w:rsid w:val="007934C3"/>
    <w:rsid w:val="00793681"/>
    <w:rsid w:val="00793865"/>
    <w:rsid w:val="00793A03"/>
    <w:rsid w:val="007945C3"/>
    <w:rsid w:val="0079571B"/>
    <w:rsid w:val="007971F5"/>
    <w:rsid w:val="00797A5E"/>
    <w:rsid w:val="007A07A5"/>
    <w:rsid w:val="007A0AD4"/>
    <w:rsid w:val="007A0CD6"/>
    <w:rsid w:val="007A1B54"/>
    <w:rsid w:val="007A1E84"/>
    <w:rsid w:val="007A251A"/>
    <w:rsid w:val="007A2E28"/>
    <w:rsid w:val="007A3438"/>
    <w:rsid w:val="007A61C2"/>
    <w:rsid w:val="007A66B3"/>
    <w:rsid w:val="007A6C41"/>
    <w:rsid w:val="007A6F51"/>
    <w:rsid w:val="007A72C2"/>
    <w:rsid w:val="007A7545"/>
    <w:rsid w:val="007A7AB9"/>
    <w:rsid w:val="007A7B06"/>
    <w:rsid w:val="007B01D8"/>
    <w:rsid w:val="007B044F"/>
    <w:rsid w:val="007B1470"/>
    <w:rsid w:val="007B23F0"/>
    <w:rsid w:val="007B25D2"/>
    <w:rsid w:val="007B2A74"/>
    <w:rsid w:val="007B4288"/>
    <w:rsid w:val="007B475B"/>
    <w:rsid w:val="007B5784"/>
    <w:rsid w:val="007B5A51"/>
    <w:rsid w:val="007B5D27"/>
    <w:rsid w:val="007B719C"/>
    <w:rsid w:val="007C1C0E"/>
    <w:rsid w:val="007C1EA8"/>
    <w:rsid w:val="007C21AB"/>
    <w:rsid w:val="007C2BD6"/>
    <w:rsid w:val="007C3392"/>
    <w:rsid w:val="007C3541"/>
    <w:rsid w:val="007C3704"/>
    <w:rsid w:val="007C3A5A"/>
    <w:rsid w:val="007C3C13"/>
    <w:rsid w:val="007C4702"/>
    <w:rsid w:val="007C4F6A"/>
    <w:rsid w:val="007C4FA0"/>
    <w:rsid w:val="007C57F3"/>
    <w:rsid w:val="007C5971"/>
    <w:rsid w:val="007C60DC"/>
    <w:rsid w:val="007C60E3"/>
    <w:rsid w:val="007C6F32"/>
    <w:rsid w:val="007D031E"/>
    <w:rsid w:val="007D15ED"/>
    <w:rsid w:val="007D19A9"/>
    <w:rsid w:val="007D2015"/>
    <w:rsid w:val="007D2986"/>
    <w:rsid w:val="007D3697"/>
    <w:rsid w:val="007D3DDE"/>
    <w:rsid w:val="007D49E6"/>
    <w:rsid w:val="007D4AB3"/>
    <w:rsid w:val="007D4F9F"/>
    <w:rsid w:val="007D52DE"/>
    <w:rsid w:val="007D5745"/>
    <w:rsid w:val="007D6053"/>
    <w:rsid w:val="007D6A56"/>
    <w:rsid w:val="007D7293"/>
    <w:rsid w:val="007D7E66"/>
    <w:rsid w:val="007D7FE6"/>
    <w:rsid w:val="007E0845"/>
    <w:rsid w:val="007E0944"/>
    <w:rsid w:val="007E1053"/>
    <w:rsid w:val="007E1107"/>
    <w:rsid w:val="007E137B"/>
    <w:rsid w:val="007E1510"/>
    <w:rsid w:val="007E17B5"/>
    <w:rsid w:val="007E1C45"/>
    <w:rsid w:val="007E2030"/>
    <w:rsid w:val="007E2815"/>
    <w:rsid w:val="007E2DAB"/>
    <w:rsid w:val="007E2E25"/>
    <w:rsid w:val="007E3025"/>
    <w:rsid w:val="007E33A3"/>
    <w:rsid w:val="007E3F24"/>
    <w:rsid w:val="007E411C"/>
    <w:rsid w:val="007E47BA"/>
    <w:rsid w:val="007E4A14"/>
    <w:rsid w:val="007E4F98"/>
    <w:rsid w:val="007E52A1"/>
    <w:rsid w:val="007E5754"/>
    <w:rsid w:val="007E5D7C"/>
    <w:rsid w:val="007E6385"/>
    <w:rsid w:val="007E6E9E"/>
    <w:rsid w:val="007E7132"/>
    <w:rsid w:val="007E79CB"/>
    <w:rsid w:val="007F00C3"/>
    <w:rsid w:val="007F04BA"/>
    <w:rsid w:val="007F0A4F"/>
    <w:rsid w:val="007F1257"/>
    <w:rsid w:val="007F19CD"/>
    <w:rsid w:val="007F1DD1"/>
    <w:rsid w:val="007F1E9F"/>
    <w:rsid w:val="007F2862"/>
    <w:rsid w:val="007F29E2"/>
    <w:rsid w:val="007F3B3A"/>
    <w:rsid w:val="007F465F"/>
    <w:rsid w:val="007F47FF"/>
    <w:rsid w:val="007F4D2E"/>
    <w:rsid w:val="007F5FF7"/>
    <w:rsid w:val="007F6AD8"/>
    <w:rsid w:val="007F6B91"/>
    <w:rsid w:val="007F6BE1"/>
    <w:rsid w:val="007F7631"/>
    <w:rsid w:val="007F786A"/>
    <w:rsid w:val="007F7DF7"/>
    <w:rsid w:val="00800527"/>
    <w:rsid w:val="00801124"/>
    <w:rsid w:val="008012BA"/>
    <w:rsid w:val="0080137D"/>
    <w:rsid w:val="008013EF"/>
    <w:rsid w:val="00802C3D"/>
    <w:rsid w:val="008032B8"/>
    <w:rsid w:val="00803FB9"/>
    <w:rsid w:val="008044F4"/>
    <w:rsid w:val="00804718"/>
    <w:rsid w:val="00804EAF"/>
    <w:rsid w:val="00805ECA"/>
    <w:rsid w:val="00806233"/>
    <w:rsid w:val="00806653"/>
    <w:rsid w:val="00806BD2"/>
    <w:rsid w:val="008072E3"/>
    <w:rsid w:val="00807E77"/>
    <w:rsid w:val="00810298"/>
    <w:rsid w:val="008103DD"/>
    <w:rsid w:val="00810445"/>
    <w:rsid w:val="008106A1"/>
    <w:rsid w:val="0081096B"/>
    <w:rsid w:val="00810BF9"/>
    <w:rsid w:val="0081127F"/>
    <w:rsid w:val="00811A0A"/>
    <w:rsid w:val="00812916"/>
    <w:rsid w:val="00814157"/>
    <w:rsid w:val="00814BD5"/>
    <w:rsid w:val="00814F28"/>
    <w:rsid w:val="00815606"/>
    <w:rsid w:val="00815682"/>
    <w:rsid w:val="0081579D"/>
    <w:rsid w:val="00815827"/>
    <w:rsid w:val="00815EF1"/>
    <w:rsid w:val="008161F5"/>
    <w:rsid w:val="0081641D"/>
    <w:rsid w:val="0081670A"/>
    <w:rsid w:val="008168A3"/>
    <w:rsid w:val="008169C9"/>
    <w:rsid w:val="00817610"/>
    <w:rsid w:val="00817A90"/>
    <w:rsid w:val="008209B0"/>
    <w:rsid w:val="00821038"/>
    <w:rsid w:val="0082118B"/>
    <w:rsid w:val="00821C97"/>
    <w:rsid w:val="00822237"/>
    <w:rsid w:val="0082448D"/>
    <w:rsid w:val="00824C63"/>
    <w:rsid w:val="00825365"/>
    <w:rsid w:val="00825908"/>
    <w:rsid w:val="008269F8"/>
    <w:rsid w:val="00826BE3"/>
    <w:rsid w:val="0083040D"/>
    <w:rsid w:val="00830F03"/>
    <w:rsid w:val="008312A3"/>
    <w:rsid w:val="00831832"/>
    <w:rsid w:val="008319D1"/>
    <w:rsid w:val="0083247A"/>
    <w:rsid w:val="0083295C"/>
    <w:rsid w:val="00833FDD"/>
    <w:rsid w:val="0083568C"/>
    <w:rsid w:val="00835CCC"/>
    <w:rsid w:val="0083609C"/>
    <w:rsid w:val="00836CE9"/>
    <w:rsid w:val="0083798B"/>
    <w:rsid w:val="00837B17"/>
    <w:rsid w:val="00840687"/>
    <w:rsid w:val="008417BB"/>
    <w:rsid w:val="00842A9A"/>
    <w:rsid w:val="00842E3D"/>
    <w:rsid w:val="00842F48"/>
    <w:rsid w:val="00844221"/>
    <w:rsid w:val="008442AF"/>
    <w:rsid w:val="008448EB"/>
    <w:rsid w:val="00845630"/>
    <w:rsid w:val="00845667"/>
    <w:rsid w:val="00845E89"/>
    <w:rsid w:val="0084633E"/>
    <w:rsid w:val="00846349"/>
    <w:rsid w:val="00847D0E"/>
    <w:rsid w:val="0085035F"/>
    <w:rsid w:val="0085042D"/>
    <w:rsid w:val="0085081A"/>
    <w:rsid w:val="0085085D"/>
    <w:rsid w:val="00850A3C"/>
    <w:rsid w:val="00850C30"/>
    <w:rsid w:val="00850DDC"/>
    <w:rsid w:val="0085169F"/>
    <w:rsid w:val="008517C5"/>
    <w:rsid w:val="0085199A"/>
    <w:rsid w:val="00851CFF"/>
    <w:rsid w:val="00852017"/>
    <w:rsid w:val="00852B10"/>
    <w:rsid w:val="00852CF2"/>
    <w:rsid w:val="008536C3"/>
    <w:rsid w:val="0085413A"/>
    <w:rsid w:val="00855041"/>
    <w:rsid w:val="00855298"/>
    <w:rsid w:val="0085595D"/>
    <w:rsid w:val="00855CF6"/>
    <w:rsid w:val="00855D09"/>
    <w:rsid w:val="008560A7"/>
    <w:rsid w:val="0085693E"/>
    <w:rsid w:val="00856F68"/>
    <w:rsid w:val="008575EA"/>
    <w:rsid w:val="008578DF"/>
    <w:rsid w:val="008600FD"/>
    <w:rsid w:val="00860983"/>
    <w:rsid w:val="00861799"/>
    <w:rsid w:val="00862164"/>
    <w:rsid w:val="00862DB9"/>
    <w:rsid w:val="0086309F"/>
    <w:rsid w:val="00863172"/>
    <w:rsid w:val="008634D4"/>
    <w:rsid w:val="00863CEE"/>
    <w:rsid w:val="0086401A"/>
    <w:rsid w:val="00864B91"/>
    <w:rsid w:val="00865347"/>
    <w:rsid w:val="00865403"/>
    <w:rsid w:val="0086557F"/>
    <w:rsid w:val="008656D0"/>
    <w:rsid w:val="00865BA4"/>
    <w:rsid w:val="00865F97"/>
    <w:rsid w:val="00866339"/>
    <w:rsid w:val="00867182"/>
    <w:rsid w:val="00867190"/>
    <w:rsid w:val="008672B2"/>
    <w:rsid w:val="0086730F"/>
    <w:rsid w:val="008704AC"/>
    <w:rsid w:val="008705CC"/>
    <w:rsid w:val="00870667"/>
    <w:rsid w:val="00870E5C"/>
    <w:rsid w:val="00871120"/>
    <w:rsid w:val="008713C4"/>
    <w:rsid w:val="008714B5"/>
    <w:rsid w:val="00871531"/>
    <w:rsid w:val="00871933"/>
    <w:rsid w:val="00871D56"/>
    <w:rsid w:val="00872188"/>
    <w:rsid w:val="0087253E"/>
    <w:rsid w:val="008729BB"/>
    <w:rsid w:val="00872B65"/>
    <w:rsid w:val="00873599"/>
    <w:rsid w:val="00873FEE"/>
    <w:rsid w:val="00874A91"/>
    <w:rsid w:val="00874DD9"/>
    <w:rsid w:val="008753A3"/>
    <w:rsid w:val="008757C4"/>
    <w:rsid w:val="00876564"/>
    <w:rsid w:val="00876BFD"/>
    <w:rsid w:val="00876E22"/>
    <w:rsid w:val="00877CA6"/>
    <w:rsid w:val="00880502"/>
    <w:rsid w:val="008814DC"/>
    <w:rsid w:val="00881526"/>
    <w:rsid w:val="00881A26"/>
    <w:rsid w:val="00881D7B"/>
    <w:rsid w:val="00881E11"/>
    <w:rsid w:val="008820AA"/>
    <w:rsid w:val="0088301A"/>
    <w:rsid w:val="0088324D"/>
    <w:rsid w:val="008832D7"/>
    <w:rsid w:val="008844F8"/>
    <w:rsid w:val="008849BD"/>
    <w:rsid w:val="00884F69"/>
    <w:rsid w:val="008851DC"/>
    <w:rsid w:val="00885A09"/>
    <w:rsid w:val="00886E85"/>
    <w:rsid w:val="00887331"/>
    <w:rsid w:val="00890668"/>
    <w:rsid w:val="00890C4A"/>
    <w:rsid w:val="00890DA1"/>
    <w:rsid w:val="008911BC"/>
    <w:rsid w:val="008917FF"/>
    <w:rsid w:val="00891AB2"/>
    <w:rsid w:val="008926CF"/>
    <w:rsid w:val="00892961"/>
    <w:rsid w:val="00892FEE"/>
    <w:rsid w:val="00893351"/>
    <w:rsid w:val="00893F69"/>
    <w:rsid w:val="00894614"/>
    <w:rsid w:val="008948ED"/>
    <w:rsid w:val="00897710"/>
    <w:rsid w:val="008A0B35"/>
    <w:rsid w:val="008A1923"/>
    <w:rsid w:val="008A1BBE"/>
    <w:rsid w:val="008A24F1"/>
    <w:rsid w:val="008A2BA6"/>
    <w:rsid w:val="008A33A0"/>
    <w:rsid w:val="008A38EF"/>
    <w:rsid w:val="008A3F07"/>
    <w:rsid w:val="008A4244"/>
    <w:rsid w:val="008A4281"/>
    <w:rsid w:val="008A47AF"/>
    <w:rsid w:val="008A4AE2"/>
    <w:rsid w:val="008A54C0"/>
    <w:rsid w:val="008A56B0"/>
    <w:rsid w:val="008A622F"/>
    <w:rsid w:val="008A6A19"/>
    <w:rsid w:val="008A6E38"/>
    <w:rsid w:val="008A7175"/>
    <w:rsid w:val="008A7829"/>
    <w:rsid w:val="008B131F"/>
    <w:rsid w:val="008B157C"/>
    <w:rsid w:val="008B1FCB"/>
    <w:rsid w:val="008B2610"/>
    <w:rsid w:val="008B2A9F"/>
    <w:rsid w:val="008B2BAD"/>
    <w:rsid w:val="008B448D"/>
    <w:rsid w:val="008B44B4"/>
    <w:rsid w:val="008B4776"/>
    <w:rsid w:val="008B4B49"/>
    <w:rsid w:val="008B4EC8"/>
    <w:rsid w:val="008B4F50"/>
    <w:rsid w:val="008B5702"/>
    <w:rsid w:val="008B5C53"/>
    <w:rsid w:val="008B5F14"/>
    <w:rsid w:val="008B6615"/>
    <w:rsid w:val="008B6644"/>
    <w:rsid w:val="008B68EB"/>
    <w:rsid w:val="008B75B8"/>
    <w:rsid w:val="008B7763"/>
    <w:rsid w:val="008C0C66"/>
    <w:rsid w:val="008C1117"/>
    <w:rsid w:val="008C12F3"/>
    <w:rsid w:val="008C1505"/>
    <w:rsid w:val="008C1832"/>
    <w:rsid w:val="008C1F08"/>
    <w:rsid w:val="008C304F"/>
    <w:rsid w:val="008C326B"/>
    <w:rsid w:val="008C3356"/>
    <w:rsid w:val="008C3839"/>
    <w:rsid w:val="008C4A18"/>
    <w:rsid w:val="008C5E1B"/>
    <w:rsid w:val="008C607A"/>
    <w:rsid w:val="008C6156"/>
    <w:rsid w:val="008C622C"/>
    <w:rsid w:val="008C6CD2"/>
    <w:rsid w:val="008C7B41"/>
    <w:rsid w:val="008D03E9"/>
    <w:rsid w:val="008D11B6"/>
    <w:rsid w:val="008D126D"/>
    <w:rsid w:val="008D13B7"/>
    <w:rsid w:val="008D2255"/>
    <w:rsid w:val="008D271B"/>
    <w:rsid w:val="008D3F0F"/>
    <w:rsid w:val="008D409F"/>
    <w:rsid w:val="008D4367"/>
    <w:rsid w:val="008D4BC0"/>
    <w:rsid w:val="008D4E68"/>
    <w:rsid w:val="008D5CB5"/>
    <w:rsid w:val="008D7CFB"/>
    <w:rsid w:val="008E022B"/>
    <w:rsid w:val="008E0518"/>
    <w:rsid w:val="008E0736"/>
    <w:rsid w:val="008E13E4"/>
    <w:rsid w:val="008E1925"/>
    <w:rsid w:val="008E1B57"/>
    <w:rsid w:val="008E1B9B"/>
    <w:rsid w:val="008E3BD0"/>
    <w:rsid w:val="008E4081"/>
    <w:rsid w:val="008E4B24"/>
    <w:rsid w:val="008E4F22"/>
    <w:rsid w:val="008E52A4"/>
    <w:rsid w:val="008E5456"/>
    <w:rsid w:val="008E55C1"/>
    <w:rsid w:val="008E6369"/>
    <w:rsid w:val="008E63FE"/>
    <w:rsid w:val="008E6ED5"/>
    <w:rsid w:val="008E7AE2"/>
    <w:rsid w:val="008E7EB5"/>
    <w:rsid w:val="008E7F16"/>
    <w:rsid w:val="008F12A9"/>
    <w:rsid w:val="008F1B44"/>
    <w:rsid w:val="008F1E44"/>
    <w:rsid w:val="008F244C"/>
    <w:rsid w:val="008F2795"/>
    <w:rsid w:val="008F28BA"/>
    <w:rsid w:val="008F2D8D"/>
    <w:rsid w:val="008F3718"/>
    <w:rsid w:val="008F39CB"/>
    <w:rsid w:val="008F4603"/>
    <w:rsid w:val="008F4A35"/>
    <w:rsid w:val="008F57CF"/>
    <w:rsid w:val="008F643B"/>
    <w:rsid w:val="008F6960"/>
    <w:rsid w:val="008F6C72"/>
    <w:rsid w:val="008F7B60"/>
    <w:rsid w:val="008F7DDF"/>
    <w:rsid w:val="00900010"/>
    <w:rsid w:val="00900AB4"/>
    <w:rsid w:val="00901066"/>
    <w:rsid w:val="00901A63"/>
    <w:rsid w:val="0090247C"/>
    <w:rsid w:val="0090274D"/>
    <w:rsid w:val="00902D39"/>
    <w:rsid w:val="00903EC8"/>
    <w:rsid w:val="00903FA8"/>
    <w:rsid w:val="009041A4"/>
    <w:rsid w:val="0090463A"/>
    <w:rsid w:val="009047EF"/>
    <w:rsid w:val="00904801"/>
    <w:rsid w:val="009052FA"/>
    <w:rsid w:val="00905841"/>
    <w:rsid w:val="0090584E"/>
    <w:rsid w:val="00905965"/>
    <w:rsid w:val="00906102"/>
    <w:rsid w:val="009061E1"/>
    <w:rsid w:val="00906B02"/>
    <w:rsid w:val="00906F9E"/>
    <w:rsid w:val="00907139"/>
    <w:rsid w:val="009073CE"/>
    <w:rsid w:val="00907492"/>
    <w:rsid w:val="00907A7E"/>
    <w:rsid w:val="00910084"/>
    <w:rsid w:val="0091063E"/>
    <w:rsid w:val="00910894"/>
    <w:rsid w:val="00911611"/>
    <w:rsid w:val="00912076"/>
    <w:rsid w:val="009127AE"/>
    <w:rsid w:val="009131BD"/>
    <w:rsid w:val="009134EB"/>
    <w:rsid w:val="009143DB"/>
    <w:rsid w:val="009144F0"/>
    <w:rsid w:val="00914A43"/>
    <w:rsid w:val="00914B82"/>
    <w:rsid w:val="00914F18"/>
    <w:rsid w:val="00915F41"/>
    <w:rsid w:val="0091609E"/>
    <w:rsid w:val="009205D8"/>
    <w:rsid w:val="00921A34"/>
    <w:rsid w:val="00921BAF"/>
    <w:rsid w:val="00921EB5"/>
    <w:rsid w:val="0092224B"/>
    <w:rsid w:val="0092245D"/>
    <w:rsid w:val="00922845"/>
    <w:rsid w:val="00922F64"/>
    <w:rsid w:val="009230D3"/>
    <w:rsid w:val="00923F9D"/>
    <w:rsid w:val="00924883"/>
    <w:rsid w:val="0092593D"/>
    <w:rsid w:val="00926151"/>
    <w:rsid w:val="00926BCB"/>
    <w:rsid w:val="00926BCD"/>
    <w:rsid w:val="00927164"/>
    <w:rsid w:val="00927DBE"/>
    <w:rsid w:val="00930042"/>
    <w:rsid w:val="00930463"/>
    <w:rsid w:val="009307EB"/>
    <w:rsid w:val="00930F96"/>
    <w:rsid w:val="0093140A"/>
    <w:rsid w:val="00931932"/>
    <w:rsid w:val="00931A3B"/>
    <w:rsid w:val="00931E5D"/>
    <w:rsid w:val="009325A6"/>
    <w:rsid w:val="009343DE"/>
    <w:rsid w:val="00934A2A"/>
    <w:rsid w:val="009350A9"/>
    <w:rsid w:val="00935160"/>
    <w:rsid w:val="00935217"/>
    <w:rsid w:val="0093616E"/>
    <w:rsid w:val="00936881"/>
    <w:rsid w:val="009371DF"/>
    <w:rsid w:val="009374CE"/>
    <w:rsid w:val="00937637"/>
    <w:rsid w:val="00940087"/>
    <w:rsid w:val="0094132F"/>
    <w:rsid w:val="00941425"/>
    <w:rsid w:val="00944939"/>
    <w:rsid w:val="00945137"/>
    <w:rsid w:val="0094688E"/>
    <w:rsid w:val="009471FB"/>
    <w:rsid w:val="00950159"/>
    <w:rsid w:val="0095053F"/>
    <w:rsid w:val="0095094A"/>
    <w:rsid w:val="00950BA1"/>
    <w:rsid w:val="00950D20"/>
    <w:rsid w:val="00952E8F"/>
    <w:rsid w:val="00954468"/>
    <w:rsid w:val="00954C53"/>
    <w:rsid w:val="00954D64"/>
    <w:rsid w:val="00954DA3"/>
    <w:rsid w:val="00954F1B"/>
    <w:rsid w:val="009551B6"/>
    <w:rsid w:val="00955786"/>
    <w:rsid w:val="00955C5D"/>
    <w:rsid w:val="00955FEA"/>
    <w:rsid w:val="00956493"/>
    <w:rsid w:val="00956EF1"/>
    <w:rsid w:val="009577E8"/>
    <w:rsid w:val="009579F2"/>
    <w:rsid w:val="00957BA1"/>
    <w:rsid w:val="0096055D"/>
    <w:rsid w:val="00960824"/>
    <w:rsid w:val="009616EA"/>
    <w:rsid w:val="0096171F"/>
    <w:rsid w:val="00961DC5"/>
    <w:rsid w:val="009622C1"/>
    <w:rsid w:val="0096258C"/>
    <w:rsid w:val="0096274E"/>
    <w:rsid w:val="00964276"/>
    <w:rsid w:val="00964453"/>
    <w:rsid w:val="00965055"/>
    <w:rsid w:val="009652AE"/>
    <w:rsid w:val="00965914"/>
    <w:rsid w:val="00965DBC"/>
    <w:rsid w:val="009660E6"/>
    <w:rsid w:val="00966734"/>
    <w:rsid w:val="009669B9"/>
    <w:rsid w:val="00966CA5"/>
    <w:rsid w:val="00966F19"/>
    <w:rsid w:val="00967A59"/>
    <w:rsid w:val="00967F25"/>
    <w:rsid w:val="00967FB4"/>
    <w:rsid w:val="009708B3"/>
    <w:rsid w:val="00970B4A"/>
    <w:rsid w:val="00970C0F"/>
    <w:rsid w:val="00971382"/>
    <w:rsid w:val="00971527"/>
    <w:rsid w:val="0097164F"/>
    <w:rsid w:val="00971B28"/>
    <w:rsid w:val="00971CF4"/>
    <w:rsid w:val="009726DC"/>
    <w:rsid w:val="009731A4"/>
    <w:rsid w:val="00973656"/>
    <w:rsid w:val="00973943"/>
    <w:rsid w:val="009739D9"/>
    <w:rsid w:val="00973BF0"/>
    <w:rsid w:val="00973C89"/>
    <w:rsid w:val="00974CFF"/>
    <w:rsid w:val="009751D6"/>
    <w:rsid w:val="0097594B"/>
    <w:rsid w:val="00975DAF"/>
    <w:rsid w:val="00975FE0"/>
    <w:rsid w:val="009769E2"/>
    <w:rsid w:val="009770CF"/>
    <w:rsid w:val="009771E0"/>
    <w:rsid w:val="00977332"/>
    <w:rsid w:val="0097743C"/>
    <w:rsid w:val="009775AC"/>
    <w:rsid w:val="00977818"/>
    <w:rsid w:val="0098049B"/>
    <w:rsid w:val="009807C6"/>
    <w:rsid w:val="00980AE7"/>
    <w:rsid w:val="00981012"/>
    <w:rsid w:val="009813AE"/>
    <w:rsid w:val="00981B4F"/>
    <w:rsid w:val="00981BDD"/>
    <w:rsid w:val="009821A7"/>
    <w:rsid w:val="0098222C"/>
    <w:rsid w:val="00982A2F"/>
    <w:rsid w:val="00982B35"/>
    <w:rsid w:val="00984639"/>
    <w:rsid w:val="00984923"/>
    <w:rsid w:val="00984C5E"/>
    <w:rsid w:val="00984D79"/>
    <w:rsid w:val="00984DAD"/>
    <w:rsid w:val="009852AE"/>
    <w:rsid w:val="00985512"/>
    <w:rsid w:val="009857FF"/>
    <w:rsid w:val="00985E58"/>
    <w:rsid w:val="009870B6"/>
    <w:rsid w:val="00987111"/>
    <w:rsid w:val="009877B1"/>
    <w:rsid w:val="009910F4"/>
    <w:rsid w:val="00991BCC"/>
    <w:rsid w:val="00991FB7"/>
    <w:rsid w:val="0099223D"/>
    <w:rsid w:val="00992433"/>
    <w:rsid w:val="00992600"/>
    <w:rsid w:val="009930DD"/>
    <w:rsid w:val="00993352"/>
    <w:rsid w:val="00993D55"/>
    <w:rsid w:val="0099419C"/>
    <w:rsid w:val="00995162"/>
    <w:rsid w:val="00995CF8"/>
    <w:rsid w:val="009960D1"/>
    <w:rsid w:val="009976B1"/>
    <w:rsid w:val="009976E9"/>
    <w:rsid w:val="009A005C"/>
    <w:rsid w:val="009A0084"/>
    <w:rsid w:val="009A0507"/>
    <w:rsid w:val="009A0A10"/>
    <w:rsid w:val="009A0E0E"/>
    <w:rsid w:val="009A114D"/>
    <w:rsid w:val="009A11CE"/>
    <w:rsid w:val="009A1D45"/>
    <w:rsid w:val="009A1D52"/>
    <w:rsid w:val="009A1E05"/>
    <w:rsid w:val="009A21AA"/>
    <w:rsid w:val="009A320F"/>
    <w:rsid w:val="009A4117"/>
    <w:rsid w:val="009A5D18"/>
    <w:rsid w:val="009A6564"/>
    <w:rsid w:val="009A6B67"/>
    <w:rsid w:val="009A74BF"/>
    <w:rsid w:val="009B0246"/>
    <w:rsid w:val="009B04EE"/>
    <w:rsid w:val="009B12AA"/>
    <w:rsid w:val="009B1504"/>
    <w:rsid w:val="009B152C"/>
    <w:rsid w:val="009B2430"/>
    <w:rsid w:val="009B2A89"/>
    <w:rsid w:val="009B317A"/>
    <w:rsid w:val="009B34DC"/>
    <w:rsid w:val="009B404E"/>
    <w:rsid w:val="009B5707"/>
    <w:rsid w:val="009B57FB"/>
    <w:rsid w:val="009B6B85"/>
    <w:rsid w:val="009B6C8E"/>
    <w:rsid w:val="009B7256"/>
    <w:rsid w:val="009B7350"/>
    <w:rsid w:val="009B7B55"/>
    <w:rsid w:val="009B7FDB"/>
    <w:rsid w:val="009C07CE"/>
    <w:rsid w:val="009C0AEE"/>
    <w:rsid w:val="009C0C03"/>
    <w:rsid w:val="009C0FC4"/>
    <w:rsid w:val="009C133D"/>
    <w:rsid w:val="009C2C6B"/>
    <w:rsid w:val="009C46A6"/>
    <w:rsid w:val="009C4D90"/>
    <w:rsid w:val="009C4FB1"/>
    <w:rsid w:val="009C5014"/>
    <w:rsid w:val="009C57BA"/>
    <w:rsid w:val="009C5C6D"/>
    <w:rsid w:val="009C75D7"/>
    <w:rsid w:val="009C7F96"/>
    <w:rsid w:val="009D12AE"/>
    <w:rsid w:val="009D1399"/>
    <w:rsid w:val="009D1537"/>
    <w:rsid w:val="009D1C67"/>
    <w:rsid w:val="009D1DAC"/>
    <w:rsid w:val="009D33BE"/>
    <w:rsid w:val="009D36E8"/>
    <w:rsid w:val="009D4435"/>
    <w:rsid w:val="009D4D01"/>
    <w:rsid w:val="009D531E"/>
    <w:rsid w:val="009D6E90"/>
    <w:rsid w:val="009D79D1"/>
    <w:rsid w:val="009D7E47"/>
    <w:rsid w:val="009E0027"/>
    <w:rsid w:val="009E0D9D"/>
    <w:rsid w:val="009E114B"/>
    <w:rsid w:val="009E1160"/>
    <w:rsid w:val="009E1510"/>
    <w:rsid w:val="009E1850"/>
    <w:rsid w:val="009E1922"/>
    <w:rsid w:val="009E1E58"/>
    <w:rsid w:val="009E1E9B"/>
    <w:rsid w:val="009E2B25"/>
    <w:rsid w:val="009E34C8"/>
    <w:rsid w:val="009E378C"/>
    <w:rsid w:val="009E37C5"/>
    <w:rsid w:val="009E4FF2"/>
    <w:rsid w:val="009E6156"/>
    <w:rsid w:val="009E7379"/>
    <w:rsid w:val="009E791F"/>
    <w:rsid w:val="009F0197"/>
    <w:rsid w:val="009F063E"/>
    <w:rsid w:val="009F100A"/>
    <w:rsid w:val="009F134C"/>
    <w:rsid w:val="009F147A"/>
    <w:rsid w:val="009F15B3"/>
    <w:rsid w:val="009F1924"/>
    <w:rsid w:val="009F24D1"/>
    <w:rsid w:val="009F276C"/>
    <w:rsid w:val="009F2D83"/>
    <w:rsid w:val="009F32A5"/>
    <w:rsid w:val="009F37F0"/>
    <w:rsid w:val="009F413B"/>
    <w:rsid w:val="009F477D"/>
    <w:rsid w:val="009F4AA3"/>
    <w:rsid w:val="009F7121"/>
    <w:rsid w:val="009F726A"/>
    <w:rsid w:val="009F72E7"/>
    <w:rsid w:val="00A01797"/>
    <w:rsid w:val="00A017B3"/>
    <w:rsid w:val="00A0206B"/>
    <w:rsid w:val="00A027DE"/>
    <w:rsid w:val="00A03ABC"/>
    <w:rsid w:val="00A043F2"/>
    <w:rsid w:val="00A048F3"/>
    <w:rsid w:val="00A055C7"/>
    <w:rsid w:val="00A058D1"/>
    <w:rsid w:val="00A06C08"/>
    <w:rsid w:val="00A07230"/>
    <w:rsid w:val="00A075D6"/>
    <w:rsid w:val="00A07E45"/>
    <w:rsid w:val="00A101AD"/>
    <w:rsid w:val="00A1024C"/>
    <w:rsid w:val="00A10419"/>
    <w:rsid w:val="00A10F1C"/>
    <w:rsid w:val="00A11DA9"/>
    <w:rsid w:val="00A11F9A"/>
    <w:rsid w:val="00A1300F"/>
    <w:rsid w:val="00A13C1F"/>
    <w:rsid w:val="00A14650"/>
    <w:rsid w:val="00A14F66"/>
    <w:rsid w:val="00A15BB4"/>
    <w:rsid w:val="00A17C44"/>
    <w:rsid w:val="00A17D33"/>
    <w:rsid w:val="00A203DF"/>
    <w:rsid w:val="00A2077C"/>
    <w:rsid w:val="00A20C30"/>
    <w:rsid w:val="00A21750"/>
    <w:rsid w:val="00A22DC3"/>
    <w:rsid w:val="00A231D6"/>
    <w:rsid w:val="00A237C9"/>
    <w:rsid w:val="00A23917"/>
    <w:rsid w:val="00A24A64"/>
    <w:rsid w:val="00A25470"/>
    <w:rsid w:val="00A25855"/>
    <w:rsid w:val="00A25C66"/>
    <w:rsid w:val="00A25EA2"/>
    <w:rsid w:val="00A261EC"/>
    <w:rsid w:val="00A26BFE"/>
    <w:rsid w:val="00A26F10"/>
    <w:rsid w:val="00A27139"/>
    <w:rsid w:val="00A27969"/>
    <w:rsid w:val="00A27D8C"/>
    <w:rsid w:val="00A306C2"/>
    <w:rsid w:val="00A30BAD"/>
    <w:rsid w:val="00A31886"/>
    <w:rsid w:val="00A31ACF"/>
    <w:rsid w:val="00A31B80"/>
    <w:rsid w:val="00A31F08"/>
    <w:rsid w:val="00A32C11"/>
    <w:rsid w:val="00A32CCA"/>
    <w:rsid w:val="00A3388B"/>
    <w:rsid w:val="00A338AC"/>
    <w:rsid w:val="00A33F7E"/>
    <w:rsid w:val="00A34829"/>
    <w:rsid w:val="00A349F3"/>
    <w:rsid w:val="00A35178"/>
    <w:rsid w:val="00A35258"/>
    <w:rsid w:val="00A3599E"/>
    <w:rsid w:val="00A35DE1"/>
    <w:rsid w:val="00A36027"/>
    <w:rsid w:val="00A36959"/>
    <w:rsid w:val="00A36AFD"/>
    <w:rsid w:val="00A37B58"/>
    <w:rsid w:val="00A40D18"/>
    <w:rsid w:val="00A43414"/>
    <w:rsid w:val="00A434E7"/>
    <w:rsid w:val="00A4364F"/>
    <w:rsid w:val="00A439C4"/>
    <w:rsid w:val="00A43E66"/>
    <w:rsid w:val="00A440FF"/>
    <w:rsid w:val="00A44777"/>
    <w:rsid w:val="00A451EF"/>
    <w:rsid w:val="00A4640D"/>
    <w:rsid w:val="00A465A5"/>
    <w:rsid w:val="00A4698B"/>
    <w:rsid w:val="00A46B98"/>
    <w:rsid w:val="00A5067D"/>
    <w:rsid w:val="00A506E0"/>
    <w:rsid w:val="00A51AF0"/>
    <w:rsid w:val="00A52DEB"/>
    <w:rsid w:val="00A537DA"/>
    <w:rsid w:val="00A53B1F"/>
    <w:rsid w:val="00A53D5C"/>
    <w:rsid w:val="00A54747"/>
    <w:rsid w:val="00A54A75"/>
    <w:rsid w:val="00A54D34"/>
    <w:rsid w:val="00A552C8"/>
    <w:rsid w:val="00A559FE"/>
    <w:rsid w:val="00A55F5A"/>
    <w:rsid w:val="00A563C0"/>
    <w:rsid w:val="00A577D1"/>
    <w:rsid w:val="00A57C5C"/>
    <w:rsid w:val="00A605BD"/>
    <w:rsid w:val="00A614FE"/>
    <w:rsid w:val="00A6193A"/>
    <w:rsid w:val="00A61A14"/>
    <w:rsid w:val="00A61FFF"/>
    <w:rsid w:val="00A6202C"/>
    <w:rsid w:val="00A62290"/>
    <w:rsid w:val="00A62619"/>
    <w:rsid w:val="00A62FA7"/>
    <w:rsid w:val="00A63367"/>
    <w:rsid w:val="00A633E0"/>
    <w:rsid w:val="00A63664"/>
    <w:rsid w:val="00A63862"/>
    <w:rsid w:val="00A644FB"/>
    <w:rsid w:val="00A64BE6"/>
    <w:rsid w:val="00A65325"/>
    <w:rsid w:val="00A65C70"/>
    <w:rsid w:val="00A66170"/>
    <w:rsid w:val="00A674F0"/>
    <w:rsid w:val="00A67A80"/>
    <w:rsid w:val="00A702E3"/>
    <w:rsid w:val="00A70656"/>
    <w:rsid w:val="00A72B58"/>
    <w:rsid w:val="00A7571A"/>
    <w:rsid w:val="00A75926"/>
    <w:rsid w:val="00A76B61"/>
    <w:rsid w:val="00A76E09"/>
    <w:rsid w:val="00A77E9B"/>
    <w:rsid w:val="00A80510"/>
    <w:rsid w:val="00A80DB6"/>
    <w:rsid w:val="00A81C2B"/>
    <w:rsid w:val="00A81F37"/>
    <w:rsid w:val="00A8258F"/>
    <w:rsid w:val="00A8304D"/>
    <w:rsid w:val="00A83253"/>
    <w:rsid w:val="00A832E6"/>
    <w:rsid w:val="00A8352B"/>
    <w:rsid w:val="00A83E03"/>
    <w:rsid w:val="00A83F98"/>
    <w:rsid w:val="00A842B6"/>
    <w:rsid w:val="00A844CD"/>
    <w:rsid w:val="00A84669"/>
    <w:rsid w:val="00A8495B"/>
    <w:rsid w:val="00A84BF2"/>
    <w:rsid w:val="00A856B5"/>
    <w:rsid w:val="00A85E68"/>
    <w:rsid w:val="00A867D4"/>
    <w:rsid w:val="00A86E0D"/>
    <w:rsid w:val="00A86F47"/>
    <w:rsid w:val="00A8795D"/>
    <w:rsid w:val="00A87CA9"/>
    <w:rsid w:val="00A91592"/>
    <w:rsid w:val="00A91CC4"/>
    <w:rsid w:val="00A91EC1"/>
    <w:rsid w:val="00A91F3C"/>
    <w:rsid w:val="00A91FDE"/>
    <w:rsid w:val="00A9225B"/>
    <w:rsid w:val="00A928B9"/>
    <w:rsid w:val="00A93407"/>
    <w:rsid w:val="00A93470"/>
    <w:rsid w:val="00A942E9"/>
    <w:rsid w:val="00A9432A"/>
    <w:rsid w:val="00A944C8"/>
    <w:rsid w:val="00A94A76"/>
    <w:rsid w:val="00A94DAB"/>
    <w:rsid w:val="00A95302"/>
    <w:rsid w:val="00A95BA5"/>
    <w:rsid w:val="00A96156"/>
    <w:rsid w:val="00A962A7"/>
    <w:rsid w:val="00A96D66"/>
    <w:rsid w:val="00A97493"/>
    <w:rsid w:val="00A97813"/>
    <w:rsid w:val="00AA001C"/>
    <w:rsid w:val="00AA08E4"/>
    <w:rsid w:val="00AA0B37"/>
    <w:rsid w:val="00AA10F8"/>
    <w:rsid w:val="00AA11B0"/>
    <w:rsid w:val="00AA1438"/>
    <w:rsid w:val="00AA14F2"/>
    <w:rsid w:val="00AA2EB6"/>
    <w:rsid w:val="00AA3A54"/>
    <w:rsid w:val="00AA5996"/>
    <w:rsid w:val="00AA5C9D"/>
    <w:rsid w:val="00AA620D"/>
    <w:rsid w:val="00AA675F"/>
    <w:rsid w:val="00AA6AF4"/>
    <w:rsid w:val="00AA6B98"/>
    <w:rsid w:val="00AA794C"/>
    <w:rsid w:val="00AB00C7"/>
    <w:rsid w:val="00AB0C05"/>
    <w:rsid w:val="00AB1F75"/>
    <w:rsid w:val="00AB2F36"/>
    <w:rsid w:val="00AB33D1"/>
    <w:rsid w:val="00AB3B41"/>
    <w:rsid w:val="00AB49D6"/>
    <w:rsid w:val="00AB4BBC"/>
    <w:rsid w:val="00AB4E1A"/>
    <w:rsid w:val="00AB4F4B"/>
    <w:rsid w:val="00AB5072"/>
    <w:rsid w:val="00AB531D"/>
    <w:rsid w:val="00AB5845"/>
    <w:rsid w:val="00AB6CB6"/>
    <w:rsid w:val="00AB6F1A"/>
    <w:rsid w:val="00AC06CC"/>
    <w:rsid w:val="00AC1423"/>
    <w:rsid w:val="00AC1711"/>
    <w:rsid w:val="00AC1AAE"/>
    <w:rsid w:val="00AC1B89"/>
    <w:rsid w:val="00AC1BF5"/>
    <w:rsid w:val="00AC1E8F"/>
    <w:rsid w:val="00AC2210"/>
    <w:rsid w:val="00AC224D"/>
    <w:rsid w:val="00AC2A93"/>
    <w:rsid w:val="00AC304F"/>
    <w:rsid w:val="00AC31AE"/>
    <w:rsid w:val="00AC375A"/>
    <w:rsid w:val="00AC3989"/>
    <w:rsid w:val="00AC3B0A"/>
    <w:rsid w:val="00AC3F66"/>
    <w:rsid w:val="00AC3F97"/>
    <w:rsid w:val="00AC482F"/>
    <w:rsid w:val="00AC48F2"/>
    <w:rsid w:val="00AC4F27"/>
    <w:rsid w:val="00AC4F8B"/>
    <w:rsid w:val="00AC512B"/>
    <w:rsid w:val="00AC5159"/>
    <w:rsid w:val="00AC5DCE"/>
    <w:rsid w:val="00AC6317"/>
    <w:rsid w:val="00AC63D0"/>
    <w:rsid w:val="00AC7252"/>
    <w:rsid w:val="00AC7A3B"/>
    <w:rsid w:val="00AC7B14"/>
    <w:rsid w:val="00AD0A12"/>
    <w:rsid w:val="00AD23AF"/>
    <w:rsid w:val="00AD246A"/>
    <w:rsid w:val="00AD2F46"/>
    <w:rsid w:val="00AD3297"/>
    <w:rsid w:val="00AD3D30"/>
    <w:rsid w:val="00AD3FB9"/>
    <w:rsid w:val="00AD4711"/>
    <w:rsid w:val="00AD4DFE"/>
    <w:rsid w:val="00AD5327"/>
    <w:rsid w:val="00AD55A5"/>
    <w:rsid w:val="00AD55FB"/>
    <w:rsid w:val="00AD5F6F"/>
    <w:rsid w:val="00AD7084"/>
    <w:rsid w:val="00AD70DC"/>
    <w:rsid w:val="00AD71FC"/>
    <w:rsid w:val="00AD7873"/>
    <w:rsid w:val="00AD7C56"/>
    <w:rsid w:val="00AD7CB5"/>
    <w:rsid w:val="00AE0809"/>
    <w:rsid w:val="00AE08F9"/>
    <w:rsid w:val="00AE1613"/>
    <w:rsid w:val="00AE1AB6"/>
    <w:rsid w:val="00AE1D92"/>
    <w:rsid w:val="00AE2DC9"/>
    <w:rsid w:val="00AE359C"/>
    <w:rsid w:val="00AE370E"/>
    <w:rsid w:val="00AE3E6A"/>
    <w:rsid w:val="00AE59E2"/>
    <w:rsid w:val="00AE5DD6"/>
    <w:rsid w:val="00AE6045"/>
    <w:rsid w:val="00AE6503"/>
    <w:rsid w:val="00AE670A"/>
    <w:rsid w:val="00AE6D18"/>
    <w:rsid w:val="00AE700F"/>
    <w:rsid w:val="00AE7AE4"/>
    <w:rsid w:val="00AF0ECB"/>
    <w:rsid w:val="00AF1250"/>
    <w:rsid w:val="00AF157B"/>
    <w:rsid w:val="00AF162B"/>
    <w:rsid w:val="00AF2187"/>
    <w:rsid w:val="00AF239B"/>
    <w:rsid w:val="00AF23E5"/>
    <w:rsid w:val="00AF2CE7"/>
    <w:rsid w:val="00AF4095"/>
    <w:rsid w:val="00AF4830"/>
    <w:rsid w:val="00AF4A3C"/>
    <w:rsid w:val="00AF57BE"/>
    <w:rsid w:val="00AF5D31"/>
    <w:rsid w:val="00AF70B6"/>
    <w:rsid w:val="00B00168"/>
    <w:rsid w:val="00B00652"/>
    <w:rsid w:val="00B00F74"/>
    <w:rsid w:val="00B01497"/>
    <w:rsid w:val="00B01E25"/>
    <w:rsid w:val="00B022A0"/>
    <w:rsid w:val="00B02B89"/>
    <w:rsid w:val="00B02C60"/>
    <w:rsid w:val="00B02EB9"/>
    <w:rsid w:val="00B0330E"/>
    <w:rsid w:val="00B03573"/>
    <w:rsid w:val="00B03EDE"/>
    <w:rsid w:val="00B042E5"/>
    <w:rsid w:val="00B04B79"/>
    <w:rsid w:val="00B05AE2"/>
    <w:rsid w:val="00B05B35"/>
    <w:rsid w:val="00B0675F"/>
    <w:rsid w:val="00B07CBF"/>
    <w:rsid w:val="00B10198"/>
    <w:rsid w:val="00B1092D"/>
    <w:rsid w:val="00B126FC"/>
    <w:rsid w:val="00B12A72"/>
    <w:rsid w:val="00B14B03"/>
    <w:rsid w:val="00B1512B"/>
    <w:rsid w:val="00B2098E"/>
    <w:rsid w:val="00B21755"/>
    <w:rsid w:val="00B21DC2"/>
    <w:rsid w:val="00B21E74"/>
    <w:rsid w:val="00B22987"/>
    <w:rsid w:val="00B22A92"/>
    <w:rsid w:val="00B230C1"/>
    <w:rsid w:val="00B232F8"/>
    <w:rsid w:val="00B2332B"/>
    <w:rsid w:val="00B23453"/>
    <w:rsid w:val="00B2403D"/>
    <w:rsid w:val="00B24A75"/>
    <w:rsid w:val="00B24E34"/>
    <w:rsid w:val="00B24FB0"/>
    <w:rsid w:val="00B256EF"/>
    <w:rsid w:val="00B2687C"/>
    <w:rsid w:val="00B26DA1"/>
    <w:rsid w:val="00B3131F"/>
    <w:rsid w:val="00B31321"/>
    <w:rsid w:val="00B3231D"/>
    <w:rsid w:val="00B3268B"/>
    <w:rsid w:val="00B32700"/>
    <w:rsid w:val="00B32779"/>
    <w:rsid w:val="00B33480"/>
    <w:rsid w:val="00B334EE"/>
    <w:rsid w:val="00B33CC9"/>
    <w:rsid w:val="00B340F3"/>
    <w:rsid w:val="00B34755"/>
    <w:rsid w:val="00B3505E"/>
    <w:rsid w:val="00B357A7"/>
    <w:rsid w:val="00B3594A"/>
    <w:rsid w:val="00B35AFC"/>
    <w:rsid w:val="00B36509"/>
    <w:rsid w:val="00B3756A"/>
    <w:rsid w:val="00B40BFA"/>
    <w:rsid w:val="00B42A73"/>
    <w:rsid w:val="00B43B2C"/>
    <w:rsid w:val="00B43D37"/>
    <w:rsid w:val="00B4468C"/>
    <w:rsid w:val="00B451E7"/>
    <w:rsid w:val="00B45A51"/>
    <w:rsid w:val="00B45B77"/>
    <w:rsid w:val="00B45EBA"/>
    <w:rsid w:val="00B46195"/>
    <w:rsid w:val="00B46A11"/>
    <w:rsid w:val="00B46CC9"/>
    <w:rsid w:val="00B47D57"/>
    <w:rsid w:val="00B5000D"/>
    <w:rsid w:val="00B510DE"/>
    <w:rsid w:val="00B51333"/>
    <w:rsid w:val="00B51DFB"/>
    <w:rsid w:val="00B51FEB"/>
    <w:rsid w:val="00B52DE8"/>
    <w:rsid w:val="00B5349F"/>
    <w:rsid w:val="00B538B4"/>
    <w:rsid w:val="00B53E44"/>
    <w:rsid w:val="00B542CF"/>
    <w:rsid w:val="00B5443F"/>
    <w:rsid w:val="00B56291"/>
    <w:rsid w:val="00B56307"/>
    <w:rsid w:val="00B56CED"/>
    <w:rsid w:val="00B57F00"/>
    <w:rsid w:val="00B6009F"/>
    <w:rsid w:val="00B60CE5"/>
    <w:rsid w:val="00B61E10"/>
    <w:rsid w:val="00B622C6"/>
    <w:rsid w:val="00B625DD"/>
    <w:rsid w:val="00B62D9D"/>
    <w:rsid w:val="00B6383F"/>
    <w:rsid w:val="00B63A47"/>
    <w:rsid w:val="00B64440"/>
    <w:rsid w:val="00B64A4C"/>
    <w:rsid w:val="00B66D21"/>
    <w:rsid w:val="00B66F46"/>
    <w:rsid w:val="00B675FF"/>
    <w:rsid w:val="00B70F6A"/>
    <w:rsid w:val="00B7113D"/>
    <w:rsid w:val="00B71D84"/>
    <w:rsid w:val="00B71DBB"/>
    <w:rsid w:val="00B72394"/>
    <w:rsid w:val="00B72719"/>
    <w:rsid w:val="00B73019"/>
    <w:rsid w:val="00B7339F"/>
    <w:rsid w:val="00B747E2"/>
    <w:rsid w:val="00B75091"/>
    <w:rsid w:val="00B754AA"/>
    <w:rsid w:val="00B76039"/>
    <w:rsid w:val="00B766CB"/>
    <w:rsid w:val="00B76ACC"/>
    <w:rsid w:val="00B76B80"/>
    <w:rsid w:val="00B7703E"/>
    <w:rsid w:val="00B800FD"/>
    <w:rsid w:val="00B80A9E"/>
    <w:rsid w:val="00B811A5"/>
    <w:rsid w:val="00B81B38"/>
    <w:rsid w:val="00B81C61"/>
    <w:rsid w:val="00B8203A"/>
    <w:rsid w:val="00B820C1"/>
    <w:rsid w:val="00B821DA"/>
    <w:rsid w:val="00B823B6"/>
    <w:rsid w:val="00B82ABB"/>
    <w:rsid w:val="00B838F0"/>
    <w:rsid w:val="00B83A7A"/>
    <w:rsid w:val="00B83C98"/>
    <w:rsid w:val="00B859F9"/>
    <w:rsid w:val="00B85F28"/>
    <w:rsid w:val="00B86F87"/>
    <w:rsid w:val="00B87792"/>
    <w:rsid w:val="00B8791B"/>
    <w:rsid w:val="00B87AE1"/>
    <w:rsid w:val="00B87EA8"/>
    <w:rsid w:val="00B90312"/>
    <w:rsid w:val="00B9040B"/>
    <w:rsid w:val="00B90F19"/>
    <w:rsid w:val="00B91609"/>
    <w:rsid w:val="00B91999"/>
    <w:rsid w:val="00B91A8A"/>
    <w:rsid w:val="00B92880"/>
    <w:rsid w:val="00B92F10"/>
    <w:rsid w:val="00B932C1"/>
    <w:rsid w:val="00B9342D"/>
    <w:rsid w:val="00B93B10"/>
    <w:rsid w:val="00B940B8"/>
    <w:rsid w:val="00B947E6"/>
    <w:rsid w:val="00B94C4A"/>
    <w:rsid w:val="00B94C51"/>
    <w:rsid w:val="00B94C8E"/>
    <w:rsid w:val="00B94FFF"/>
    <w:rsid w:val="00B95DD6"/>
    <w:rsid w:val="00B9605D"/>
    <w:rsid w:val="00B96376"/>
    <w:rsid w:val="00B96CE4"/>
    <w:rsid w:val="00B96FFF"/>
    <w:rsid w:val="00BA012D"/>
    <w:rsid w:val="00BA111D"/>
    <w:rsid w:val="00BA12AA"/>
    <w:rsid w:val="00BA13E2"/>
    <w:rsid w:val="00BA1B50"/>
    <w:rsid w:val="00BA2663"/>
    <w:rsid w:val="00BA4205"/>
    <w:rsid w:val="00BA4C00"/>
    <w:rsid w:val="00BA4C83"/>
    <w:rsid w:val="00BA4DCB"/>
    <w:rsid w:val="00BA5827"/>
    <w:rsid w:val="00BA5C84"/>
    <w:rsid w:val="00BA65A1"/>
    <w:rsid w:val="00BA6D08"/>
    <w:rsid w:val="00BA7476"/>
    <w:rsid w:val="00BA774D"/>
    <w:rsid w:val="00BB0231"/>
    <w:rsid w:val="00BB0AF4"/>
    <w:rsid w:val="00BB0B21"/>
    <w:rsid w:val="00BB17DD"/>
    <w:rsid w:val="00BB2B7F"/>
    <w:rsid w:val="00BB2CCC"/>
    <w:rsid w:val="00BB358E"/>
    <w:rsid w:val="00BB3D1F"/>
    <w:rsid w:val="00BB401F"/>
    <w:rsid w:val="00BB4447"/>
    <w:rsid w:val="00BB581F"/>
    <w:rsid w:val="00BB5A89"/>
    <w:rsid w:val="00BB5FC4"/>
    <w:rsid w:val="00BB6207"/>
    <w:rsid w:val="00BB6EF4"/>
    <w:rsid w:val="00BB7C39"/>
    <w:rsid w:val="00BC14BB"/>
    <w:rsid w:val="00BC249F"/>
    <w:rsid w:val="00BC24AA"/>
    <w:rsid w:val="00BC2673"/>
    <w:rsid w:val="00BC31B0"/>
    <w:rsid w:val="00BC45F0"/>
    <w:rsid w:val="00BC4D18"/>
    <w:rsid w:val="00BC6D15"/>
    <w:rsid w:val="00BC6EFA"/>
    <w:rsid w:val="00BC7726"/>
    <w:rsid w:val="00BD10AF"/>
    <w:rsid w:val="00BD2997"/>
    <w:rsid w:val="00BD2C9E"/>
    <w:rsid w:val="00BD32FC"/>
    <w:rsid w:val="00BD3B8F"/>
    <w:rsid w:val="00BD4141"/>
    <w:rsid w:val="00BD4C11"/>
    <w:rsid w:val="00BD4F65"/>
    <w:rsid w:val="00BD5255"/>
    <w:rsid w:val="00BD5516"/>
    <w:rsid w:val="00BD606A"/>
    <w:rsid w:val="00BD63BA"/>
    <w:rsid w:val="00BD6CDA"/>
    <w:rsid w:val="00BD6EE3"/>
    <w:rsid w:val="00BD6FB6"/>
    <w:rsid w:val="00BD763D"/>
    <w:rsid w:val="00BD7E01"/>
    <w:rsid w:val="00BD7E73"/>
    <w:rsid w:val="00BD7E74"/>
    <w:rsid w:val="00BE05D5"/>
    <w:rsid w:val="00BE107F"/>
    <w:rsid w:val="00BE18DB"/>
    <w:rsid w:val="00BE1FA8"/>
    <w:rsid w:val="00BE23C4"/>
    <w:rsid w:val="00BE30BF"/>
    <w:rsid w:val="00BE3711"/>
    <w:rsid w:val="00BE3E62"/>
    <w:rsid w:val="00BE4C4D"/>
    <w:rsid w:val="00BE54E1"/>
    <w:rsid w:val="00BE5D6E"/>
    <w:rsid w:val="00BE6BC5"/>
    <w:rsid w:val="00BE6ED8"/>
    <w:rsid w:val="00BE7A47"/>
    <w:rsid w:val="00BF0F7B"/>
    <w:rsid w:val="00BF1063"/>
    <w:rsid w:val="00BF27A1"/>
    <w:rsid w:val="00BF2A53"/>
    <w:rsid w:val="00BF3579"/>
    <w:rsid w:val="00BF36B7"/>
    <w:rsid w:val="00BF393B"/>
    <w:rsid w:val="00BF39D8"/>
    <w:rsid w:val="00BF673D"/>
    <w:rsid w:val="00BF7305"/>
    <w:rsid w:val="00BF7AC8"/>
    <w:rsid w:val="00BF7B06"/>
    <w:rsid w:val="00BF7E97"/>
    <w:rsid w:val="00C0014B"/>
    <w:rsid w:val="00C004FE"/>
    <w:rsid w:val="00C00BE7"/>
    <w:rsid w:val="00C00E76"/>
    <w:rsid w:val="00C010D5"/>
    <w:rsid w:val="00C011B6"/>
    <w:rsid w:val="00C01C20"/>
    <w:rsid w:val="00C0400A"/>
    <w:rsid w:val="00C04163"/>
    <w:rsid w:val="00C04260"/>
    <w:rsid w:val="00C0438E"/>
    <w:rsid w:val="00C04510"/>
    <w:rsid w:val="00C04813"/>
    <w:rsid w:val="00C052DF"/>
    <w:rsid w:val="00C05AE3"/>
    <w:rsid w:val="00C06716"/>
    <w:rsid w:val="00C07061"/>
    <w:rsid w:val="00C07C9D"/>
    <w:rsid w:val="00C104C7"/>
    <w:rsid w:val="00C10BDA"/>
    <w:rsid w:val="00C10D0E"/>
    <w:rsid w:val="00C11729"/>
    <w:rsid w:val="00C11A2F"/>
    <w:rsid w:val="00C12397"/>
    <w:rsid w:val="00C12FDA"/>
    <w:rsid w:val="00C13045"/>
    <w:rsid w:val="00C13779"/>
    <w:rsid w:val="00C13BD2"/>
    <w:rsid w:val="00C16932"/>
    <w:rsid w:val="00C169B8"/>
    <w:rsid w:val="00C17526"/>
    <w:rsid w:val="00C175AE"/>
    <w:rsid w:val="00C175EC"/>
    <w:rsid w:val="00C17C8F"/>
    <w:rsid w:val="00C21330"/>
    <w:rsid w:val="00C21D82"/>
    <w:rsid w:val="00C21E2B"/>
    <w:rsid w:val="00C2271C"/>
    <w:rsid w:val="00C22A72"/>
    <w:rsid w:val="00C230DF"/>
    <w:rsid w:val="00C23763"/>
    <w:rsid w:val="00C2377E"/>
    <w:rsid w:val="00C238E9"/>
    <w:rsid w:val="00C23C56"/>
    <w:rsid w:val="00C23EC9"/>
    <w:rsid w:val="00C23FF8"/>
    <w:rsid w:val="00C2423C"/>
    <w:rsid w:val="00C25745"/>
    <w:rsid w:val="00C25D13"/>
    <w:rsid w:val="00C25DA4"/>
    <w:rsid w:val="00C25FAA"/>
    <w:rsid w:val="00C26952"/>
    <w:rsid w:val="00C26AE4"/>
    <w:rsid w:val="00C26DB9"/>
    <w:rsid w:val="00C3052D"/>
    <w:rsid w:val="00C30FEC"/>
    <w:rsid w:val="00C31463"/>
    <w:rsid w:val="00C31850"/>
    <w:rsid w:val="00C31ED6"/>
    <w:rsid w:val="00C31FCC"/>
    <w:rsid w:val="00C32433"/>
    <w:rsid w:val="00C326EE"/>
    <w:rsid w:val="00C327DE"/>
    <w:rsid w:val="00C32A26"/>
    <w:rsid w:val="00C34E5C"/>
    <w:rsid w:val="00C356AD"/>
    <w:rsid w:val="00C36238"/>
    <w:rsid w:val="00C369CA"/>
    <w:rsid w:val="00C37A7A"/>
    <w:rsid w:val="00C400D1"/>
    <w:rsid w:val="00C40AEB"/>
    <w:rsid w:val="00C40D91"/>
    <w:rsid w:val="00C40FD7"/>
    <w:rsid w:val="00C41395"/>
    <w:rsid w:val="00C4288C"/>
    <w:rsid w:val="00C42BA7"/>
    <w:rsid w:val="00C42C2B"/>
    <w:rsid w:val="00C4319C"/>
    <w:rsid w:val="00C43920"/>
    <w:rsid w:val="00C43D6C"/>
    <w:rsid w:val="00C44496"/>
    <w:rsid w:val="00C44C8C"/>
    <w:rsid w:val="00C45191"/>
    <w:rsid w:val="00C45360"/>
    <w:rsid w:val="00C4570B"/>
    <w:rsid w:val="00C45D05"/>
    <w:rsid w:val="00C4620E"/>
    <w:rsid w:val="00C4731D"/>
    <w:rsid w:val="00C47CC3"/>
    <w:rsid w:val="00C501C6"/>
    <w:rsid w:val="00C50285"/>
    <w:rsid w:val="00C50961"/>
    <w:rsid w:val="00C51E24"/>
    <w:rsid w:val="00C5206F"/>
    <w:rsid w:val="00C53765"/>
    <w:rsid w:val="00C54424"/>
    <w:rsid w:val="00C54483"/>
    <w:rsid w:val="00C54AAD"/>
    <w:rsid w:val="00C54F85"/>
    <w:rsid w:val="00C559B4"/>
    <w:rsid w:val="00C55E4A"/>
    <w:rsid w:val="00C55EE5"/>
    <w:rsid w:val="00C561FB"/>
    <w:rsid w:val="00C5649C"/>
    <w:rsid w:val="00C5700E"/>
    <w:rsid w:val="00C57516"/>
    <w:rsid w:val="00C57952"/>
    <w:rsid w:val="00C57DF4"/>
    <w:rsid w:val="00C6120E"/>
    <w:rsid w:val="00C61A2F"/>
    <w:rsid w:val="00C61E6D"/>
    <w:rsid w:val="00C62696"/>
    <w:rsid w:val="00C63853"/>
    <w:rsid w:val="00C64613"/>
    <w:rsid w:val="00C647D0"/>
    <w:rsid w:val="00C649D0"/>
    <w:rsid w:val="00C65D51"/>
    <w:rsid w:val="00C66583"/>
    <w:rsid w:val="00C7061B"/>
    <w:rsid w:val="00C70BF5"/>
    <w:rsid w:val="00C711C0"/>
    <w:rsid w:val="00C738D3"/>
    <w:rsid w:val="00C73ADD"/>
    <w:rsid w:val="00C7503D"/>
    <w:rsid w:val="00C7530B"/>
    <w:rsid w:val="00C753F3"/>
    <w:rsid w:val="00C75980"/>
    <w:rsid w:val="00C75C9D"/>
    <w:rsid w:val="00C765EE"/>
    <w:rsid w:val="00C76D43"/>
    <w:rsid w:val="00C775B9"/>
    <w:rsid w:val="00C776AB"/>
    <w:rsid w:val="00C77AF9"/>
    <w:rsid w:val="00C818BB"/>
    <w:rsid w:val="00C81BB0"/>
    <w:rsid w:val="00C81FA6"/>
    <w:rsid w:val="00C82201"/>
    <w:rsid w:val="00C82666"/>
    <w:rsid w:val="00C82A36"/>
    <w:rsid w:val="00C82C1D"/>
    <w:rsid w:val="00C833A4"/>
    <w:rsid w:val="00C835E3"/>
    <w:rsid w:val="00C839FA"/>
    <w:rsid w:val="00C84DF8"/>
    <w:rsid w:val="00C8520F"/>
    <w:rsid w:val="00C861C0"/>
    <w:rsid w:val="00C86609"/>
    <w:rsid w:val="00C87739"/>
    <w:rsid w:val="00C87FCF"/>
    <w:rsid w:val="00C90795"/>
    <w:rsid w:val="00C90BD9"/>
    <w:rsid w:val="00C90F84"/>
    <w:rsid w:val="00C91F44"/>
    <w:rsid w:val="00C951E1"/>
    <w:rsid w:val="00C952D0"/>
    <w:rsid w:val="00C95D0F"/>
    <w:rsid w:val="00C95EB6"/>
    <w:rsid w:val="00C96C2C"/>
    <w:rsid w:val="00C96F55"/>
    <w:rsid w:val="00C975C3"/>
    <w:rsid w:val="00C97A13"/>
    <w:rsid w:val="00CA05FF"/>
    <w:rsid w:val="00CA09E4"/>
    <w:rsid w:val="00CA2A8A"/>
    <w:rsid w:val="00CA2F56"/>
    <w:rsid w:val="00CA35C4"/>
    <w:rsid w:val="00CA4076"/>
    <w:rsid w:val="00CA4D83"/>
    <w:rsid w:val="00CA5B2D"/>
    <w:rsid w:val="00CA5E57"/>
    <w:rsid w:val="00CA5F2F"/>
    <w:rsid w:val="00CA62AE"/>
    <w:rsid w:val="00CA676C"/>
    <w:rsid w:val="00CA72D3"/>
    <w:rsid w:val="00CA7F4E"/>
    <w:rsid w:val="00CB1649"/>
    <w:rsid w:val="00CB1D91"/>
    <w:rsid w:val="00CB2491"/>
    <w:rsid w:val="00CB2915"/>
    <w:rsid w:val="00CB2DCB"/>
    <w:rsid w:val="00CB3737"/>
    <w:rsid w:val="00CB3788"/>
    <w:rsid w:val="00CB462D"/>
    <w:rsid w:val="00CB4B81"/>
    <w:rsid w:val="00CB4B8D"/>
    <w:rsid w:val="00CB54CF"/>
    <w:rsid w:val="00CB55AD"/>
    <w:rsid w:val="00CB5F80"/>
    <w:rsid w:val="00CB615D"/>
    <w:rsid w:val="00CB64DE"/>
    <w:rsid w:val="00CB651C"/>
    <w:rsid w:val="00CB6662"/>
    <w:rsid w:val="00CB68E9"/>
    <w:rsid w:val="00CB69FE"/>
    <w:rsid w:val="00CB6F3D"/>
    <w:rsid w:val="00CB7AC8"/>
    <w:rsid w:val="00CB7B8F"/>
    <w:rsid w:val="00CC0233"/>
    <w:rsid w:val="00CC02F3"/>
    <w:rsid w:val="00CC04A1"/>
    <w:rsid w:val="00CC08AE"/>
    <w:rsid w:val="00CC18FE"/>
    <w:rsid w:val="00CC2321"/>
    <w:rsid w:val="00CC25B4"/>
    <w:rsid w:val="00CC2DDE"/>
    <w:rsid w:val="00CC3579"/>
    <w:rsid w:val="00CC4C79"/>
    <w:rsid w:val="00CC4DA5"/>
    <w:rsid w:val="00CC5001"/>
    <w:rsid w:val="00CC5248"/>
    <w:rsid w:val="00CC562E"/>
    <w:rsid w:val="00CC56C9"/>
    <w:rsid w:val="00CC5FBD"/>
    <w:rsid w:val="00CC6291"/>
    <w:rsid w:val="00CC63EA"/>
    <w:rsid w:val="00CC6AA3"/>
    <w:rsid w:val="00CC7953"/>
    <w:rsid w:val="00CC7954"/>
    <w:rsid w:val="00CC7A0B"/>
    <w:rsid w:val="00CC7BB8"/>
    <w:rsid w:val="00CD0001"/>
    <w:rsid w:val="00CD00A3"/>
    <w:rsid w:val="00CD0699"/>
    <w:rsid w:val="00CD0DAB"/>
    <w:rsid w:val="00CD106D"/>
    <w:rsid w:val="00CD11A1"/>
    <w:rsid w:val="00CD17D7"/>
    <w:rsid w:val="00CD1941"/>
    <w:rsid w:val="00CD1B79"/>
    <w:rsid w:val="00CD1D92"/>
    <w:rsid w:val="00CD24F6"/>
    <w:rsid w:val="00CD2998"/>
    <w:rsid w:val="00CD3367"/>
    <w:rsid w:val="00CD3C8F"/>
    <w:rsid w:val="00CD451C"/>
    <w:rsid w:val="00CD48D0"/>
    <w:rsid w:val="00CD4B0F"/>
    <w:rsid w:val="00CD6249"/>
    <w:rsid w:val="00CD6542"/>
    <w:rsid w:val="00CD663E"/>
    <w:rsid w:val="00CD6A6D"/>
    <w:rsid w:val="00CD6BD5"/>
    <w:rsid w:val="00CD6E0E"/>
    <w:rsid w:val="00CD79B6"/>
    <w:rsid w:val="00CD7F38"/>
    <w:rsid w:val="00CE0001"/>
    <w:rsid w:val="00CE1251"/>
    <w:rsid w:val="00CE17BE"/>
    <w:rsid w:val="00CE21B7"/>
    <w:rsid w:val="00CE305E"/>
    <w:rsid w:val="00CE3D64"/>
    <w:rsid w:val="00CE3DAE"/>
    <w:rsid w:val="00CE4B1C"/>
    <w:rsid w:val="00CE4B68"/>
    <w:rsid w:val="00CE4E0A"/>
    <w:rsid w:val="00CE4FB6"/>
    <w:rsid w:val="00CE5007"/>
    <w:rsid w:val="00CE61D9"/>
    <w:rsid w:val="00CE65B1"/>
    <w:rsid w:val="00CE6F57"/>
    <w:rsid w:val="00CE7102"/>
    <w:rsid w:val="00CE7218"/>
    <w:rsid w:val="00CE7255"/>
    <w:rsid w:val="00CE7D24"/>
    <w:rsid w:val="00CF055D"/>
    <w:rsid w:val="00CF09E8"/>
    <w:rsid w:val="00CF0C4D"/>
    <w:rsid w:val="00CF0E71"/>
    <w:rsid w:val="00CF185D"/>
    <w:rsid w:val="00CF1948"/>
    <w:rsid w:val="00CF20E3"/>
    <w:rsid w:val="00CF2BCF"/>
    <w:rsid w:val="00CF2C35"/>
    <w:rsid w:val="00CF321F"/>
    <w:rsid w:val="00CF423A"/>
    <w:rsid w:val="00CF43EC"/>
    <w:rsid w:val="00CF44EA"/>
    <w:rsid w:val="00CF4AAF"/>
    <w:rsid w:val="00CF5386"/>
    <w:rsid w:val="00CF557B"/>
    <w:rsid w:val="00CF5D7B"/>
    <w:rsid w:val="00CF6AE9"/>
    <w:rsid w:val="00CF6AF4"/>
    <w:rsid w:val="00CF6F22"/>
    <w:rsid w:val="00CF6F67"/>
    <w:rsid w:val="00CF70D0"/>
    <w:rsid w:val="00D0109E"/>
    <w:rsid w:val="00D01EB7"/>
    <w:rsid w:val="00D02A22"/>
    <w:rsid w:val="00D02D23"/>
    <w:rsid w:val="00D02D8E"/>
    <w:rsid w:val="00D0308B"/>
    <w:rsid w:val="00D0347E"/>
    <w:rsid w:val="00D03AEA"/>
    <w:rsid w:val="00D03C97"/>
    <w:rsid w:val="00D03D2C"/>
    <w:rsid w:val="00D04C44"/>
    <w:rsid w:val="00D0552F"/>
    <w:rsid w:val="00D0638E"/>
    <w:rsid w:val="00D068B2"/>
    <w:rsid w:val="00D06F41"/>
    <w:rsid w:val="00D06FDB"/>
    <w:rsid w:val="00D101C5"/>
    <w:rsid w:val="00D11F9D"/>
    <w:rsid w:val="00D11FF2"/>
    <w:rsid w:val="00D137D0"/>
    <w:rsid w:val="00D1387F"/>
    <w:rsid w:val="00D14B6A"/>
    <w:rsid w:val="00D14F18"/>
    <w:rsid w:val="00D1589A"/>
    <w:rsid w:val="00D1686F"/>
    <w:rsid w:val="00D16DCC"/>
    <w:rsid w:val="00D17075"/>
    <w:rsid w:val="00D170A7"/>
    <w:rsid w:val="00D1714D"/>
    <w:rsid w:val="00D17950"/>
    <w:rsid w:val="00D179FC"/>
    <w:rsid w:val="00D21953"/>
    <w:rsid w:val="00D220B8"/>
    <w:rsid w:val="00D22287"/>
    <w:rsid w:val="00D2240B"/>
    <w:rsid w:val="00D22741"/>
    <w:rsid w:val="00D23427"/>
    <w:rsid w:val="00D23455"/>
    <w:rsid w:val="00D240F4"/>
    <w:rsid w:val="00D269BF"/>
    <w:rsid w:val="00D26C6F"/>
    <w:rsid w:val="00D26EE8"/>
    <w:rsid w:val="00D272D8"/>
    <w:rsid w:val="00D27A4B"/>
    <w:rsid w:val="00D30406"/>
    <w:rsid w:val="00D305BF"/>
    <w:rsid w:val="00D3126E"/>
    <w:rsid w:val="00D32015"/>
    <w:rsid w:val="00D32819"/>
    <w:rsid w:val="00D330FE"/>
    <w:rsid w:val="00D3367A"/>
    <w:rsid w:val="00D33E96"/>
    <w:rsid w:val="00D346C1"/>
    <w:rsid w:val="00D34BF5"/>
    <w:rsid w:val="00D34FC3"/>
    <w:rsid w:val="00D36274"/>
    <w:rsid w:val="00D3662E"/>
    <w:rsid w:val="00D36920"/>
    <w:rsid w:val="00D36965"/>
    <w:rsid w:val="00D36C49"/>
    <w:rsid w:val="00D40393"/>
    <w:rsid w:val="00D415CF"/>
    <w:rsid w:val="00D417C9"/>
    <w:rsid w:val="00D41E5F"/>
    <w:rsid w:val="00D4399C"/>
    <w:rsid w:val="00D440A1"/>
    <w:rsid w:val="00D4486D"/>
    <w:rsid w:val="00D44EBC"/>
    <w:rsid w:val="00D44F95"/>
    <w:rsid w:val="00D45A16"/>
    <w:rsid w:val="00D45DE2"/>
    <w:rsid w:val="00D470F9"/>
    <w:rsid w:val="00D471E7"/>
    <w:rsid w:val="00D473E7"/>
    <w:rsid w:val="00D475DB"/>
    <w:rsid w:val="00D47C57"/>
    <w:rsid w:val="00D50931"/>
    <w:rsid w:val="00D50D57"/>
    <w:rsid w:val="00D51405"/>
    <w:rsid w:val="00D51CFA"/>
    <w:rsid w:val="00D5230D"/>
    <w:rsid w:val="00D525BE"/>
    <w:rsid w:val="00D530FA"/>
    <w:rsid w:val="00D538F9"/>
    <w:rsid w:val="00D53A47"/>
    <w:rsid w:val="00D53E95"/>
    <w:rsid w:val="00D54AE3"/>
    <w:rsid w:val="00D55A07"/>
    <w:rsid w:val="00D56138"/>
    <w:rsid w:val="00D5663E"/>
    <w:rsid w:val="00D569C3"/>
    <w:rsid w:val="00D56A5F"/>
    <w:rsid w:val="00D57B0E"/>
    <w:rsid w:val="00D57DFD"/>
    <w:rsid w:val="00D57EFF"/>
    <w:rsid w:val="00D60379"/>
    <w:rsid w:val="00D6043A"/>
    <w:rsid w:val="00D61907"/>
    <w:rsid w:val="00D61BF9"/>
    <w:rsid w:val="00D629C7"/>
    <w:rsid w:val="00D62E8D"/>
    <w:rsid w:val="00D62EB1"/>
    <w:rsid w:val="00D63395"/>
    <w:rsid w:val="00D63DED"/>
    <w:rsid w:val="00D64580"/>
    <w:rsid w:val="00D64781"/>
    <w:rsid w:val="00D65293"/>
    <w:rsid w:val="00D65CAE"/>
    <w:rsid w:val="00D65DA8"/>
    <w:rsid w:val="00D66082"/>
    <w:rsid w:val="00D6680F"/>
    <w:rsid w:val="00D66AE9"/>
    <w:rsid w:val="00D6724B"/>
    <w:rsid w:val="00D70F26"/>
    <w:rsid w:val="00D717DA"/>
    <w:rsid w:val="00D71A09"/>
    <w:rsid w:val="00D71ABD"/>
    <w:rsid w:val="00D7252A"/>
    <w:rsid w:val="00D730EE"/>
    <w:rsid w:val="00D73340"/>
    <w:rsid w:val="00D7369E"/>
    <w:rsid w:val="00D73D36"/>
    <w:rsid w:val="00D7404A"/>
    <w:rsid w:val="00D75C61"/>
    <w:rsid w:val="00D762A0"/>
    <w:rsid w:val="00D76688"/>
    <w:rsid w:val="00D76F9E"/>
    <w:rsid w:val="00D771C0"/>
    <w:rsid w:val="00D779DD"/>
    <w:rsid w:val="00D805C0"/>
    <w:rsid w:val="00D80C45"/>
    <w:rsid w:val="00D8108C"/>
    <w:rsid w:val="00D817F7"/>
    <w:rsid w:val="00D81C0C"/>
    <w:rsid w:val="00D81E8C"/>
    <w:rsid w:val="00D83A58"/>
    <w:rsid w:val="00D83CE7"/>
    <w:rsid w:val="00D841FA"/>
    <w:rsid w:val="00D859C0"/>
    <w:rsid w:val="00D859E3"/>
    <w:rsid w:val="00D86416"/>
    <w:rsid w:val="00D8655D"/>
    <w:rsid w:val="00D87289"/>
    <w:rsid w:val="00D87836"/>
    <w:rsid w:val="00D9052B"/>
    <w:rsid w:val="00D90549"/>
    <w:rsid w:val="00D90D6C"/>
    <w:rsid w:val="00D918AB"/>
    <w:rsid w:val="00D92921"/>
    <w:rsid w:val="00D929CF"/>
    <w:rsid w:val="00D92E8E"/>
    <w:rsid w:val="00D93EEA"/>
    <w:rsid w:val="00D944C4"/>
    <w:rsid w:val="00D945E9"/>
    <w:rsid w:val="00D94912"/>
    <w:rsid w:val="00D949C4"/>
    <w:rsid w:val="00D95B4C"/>
    <w:rsid w:val="00D9614B"/>
    <w:rsid w:val="00D97450"/>
    <w:rsid w:val="00DA03D5"/>
    <w:rsid w:val="00DA03F6"/>
    <w:rsid w:val="00DA105C"/>
    <w:rsid w:val="00DA1681"/>
    <w:rsid w:val="00DA17C6"/>
    <w:rsid w:val="00DA1E1D"/>
    <w:rsid w:val="00DA2691"/>
    <w:rsid w:val="00DA2B10"/>
    <w:rsid w:val="00DA4A83"/>
    <w:rsid w:val="00DA4ADE"/>
    <w:rsid w:val="00DA5039"/>
    <w:rsid w:val="00DA5379"/>
    <w:rsid w:val="00DA578C"/>
    <w:rsid w:val="00DA5DBC"/>
    <w:rsid w:val="00DA5F5C"/>
    <w:rsid w:val="00DA616E"/>
    <w:rsid w:val="00DA6176"/>
    <w:rsid w:val="00DA65AF"/>
    <w:rsid w:val="00DA68AB"/>
    <w:rsid w:val="00DA6F0C"/>
    <w:rsid w:val="00DA71F8"/>
    <w:rsid w:val="00DA7495"/>
    <w:rsid w:val="00DA755C"/>
    <w:rsid w:val="00DA7D4A"/>
    <w:rsid w:val="00DA7F50"/>
    <w:rsid w:val="00DB0011"/>
    <w:rsid w:val="00DB0087"/>
    <w:rsid w:val="00DB028E"/>
    <w:rsid w:val="00DB102C"/>
    <w:rsid w:val="00DB27BC"/>
    <w:rsid w:val="00DB2AD3"/>
    <w:rsid w:val="00DB2CF5"/>
    <w:rsid w:val="00DB37E5"/>
    <w:rsid w:val="00DB3DB7"/>
    <w:rsid w:val="00DB419B"/>
    <w:rsid w:val="00DB4461"/>
    <w:rsid w:val="00DB5C19"/>
    <w:rsid w:val="00DB5DFC"/>
    <w:rsid w:val="00DB6399"/>
    <w:rsid w:val="00DB6470"/>
    <w:rsid w:val="00DB67EB"/>
    <w:rsid w:val="00DB7A8D"/>
    <w:rsid w:val="00DC01CE"/>
    <w:rsid w:val="00DC0667"/>
    <w:rsid w:val="00DC16FB"/>
    <w:rsid w:val="00DC2342"/>
    <w:rsid w:val="00DC28BD"/>
    <w:rsid w:val="00DC2BF0"/>
    <w:rsid w:val="00DC34D1"/>
    <w:rsid w:val="00DC3C0C"/>
    <w:rsid w:val="00DC40CF"/>
    <w:rsid w:val="00DC4EA3"/>
    <w:rsid w:val="00DC5119"/>
    <w:rsid w:val="00DC518C"/>
    <w:rsid w:val="00DC51D4"/>
    <w:rsid w:val="00DC5890"/>
    <w:rsid w:val="00DC697F"/>
    <w:rsid w:val="00DC6BC6"/>
    <w:rsid w:val="00DC6BCF"/>
    <w:rsid w:val="00DC7035"/>
    <w:rsid w:val="00DD00B5"/>
    <w:rsid w:val="00DD0801"/>
    <w:rsid w:val="00DD099F"/>
    <w:rsid w:val="00DD1B51"/>
    <w:rsid w:val="00DD1D1A"/>
    <w:rsid w:val="00DD1E7A"/>
    <w:rsid w:val="00DD2BD8"/>
    <w:rsid w:val="00DD332E"/>
    <w:rsid w:val="00DD487B"/>
    <w:rsid w:val="00DD49AE"/>
    <w:rsid w:val="00DD4DE8"/>
    <w:rsid w:val="00DD59EB"/>
    <w:rsid w:val="00DD5C5B"/>
    <w:rsid w:val="00DD5FBD"/>
    <w:rsid w:val="00DD6A8F"/>
    <w:rsid w:val="00DD6F3B"/>
    <w:rsid w:val="00DD7092"/>
    <w:rsid w:val="00DD7577"/>
    <w:rsid w:val="00DE030F"/>
    <w:rsid w:val="00DE060C"/>
    <w:rsid w:val="00DE0729"/>
    <w:rsid w:val="00DE0CA3"/>
    <w:rsid w:val="00DE11E4"/>
    <w:rsid w:val="00DE2655"/>
    <w:rsid w:val="00DE2B56"/>
    <w:rsid w:val="00DE3997"/>
    <w:rsid w:val="00DE3B87"/>
    <w:rsid w:val="00DE4113"/>
    <w:rsid w:val="00DE4A3C"/>
    <w:rsid w:val="00DE4BB1"/>
    <w:rsid w:val="00DE4C56"/>
    <w:rsid w:val="00DE51CC"/>
    <w:rsid w:val="00DE5876"/>
    <w:rsid w:val="00DE62D2"/>
    <w:rsid w:val="00DE6E45"/>
    <w:rsid w:val="00DE763E"/>
    <w:rsid w:val="00DF0038"/>
    <w:rsid w:val="00DF06CB"/>
    <w:rsid w:val="00DF10F3"/>
    <w:rsid w:val="00DF1AAD"/>
    <w:rsid w:val="00DF1BB2"/>
    <w:rsid w:val="00DF2463"/>
    <w:rsid w:val="00DF3DFE"/>
    <w:rsid w:val="00DF4315"/>
    <w:rsid w:val="00DF4524"/>
    <w:rsid w:val="00DF464D"/>
    <w:rsid w:val="00DF4CCB"/>
    <w:rsid w:val="00DF537B"/>
    <w:rsid w:val="00DF56AB"/>
    <w:rsid w:val="00DF601E"/>
    <w:rsid w:val="00DF6247"/>
    <w:rsid w:val="00DF6653"/>
    <w:rsid w:val="00DF7804"/>
    <w:rsid w:val="00DF790A"/>
    <w:rsid w:val="00DF799C"/>
    <w:rsid w:val="00DF7EAF"/>
    <w:rsid w:val="00E004E4"/>
    <w:rsid w:val="00E01606"/>
    <w:rsid w:val="00E01850"/>
    <w:rsid w:val="00E023F5"/>
    <w:rsid w:val="00E026FD"/>
    <w:rsid w:val="00E02BDF"/>
    <w:rsid w:val="00E038CD"/>
    <w:rsid w:val="00E03B95"/>
    <w:rsid w:val="00E06002"/>
    <w:rsid w:val="00E06749"/>
    <w:rsid w:val="00E07840"/>
    <w:rsid w:val="00E07F9B"/>
    <w:rsid w:val="00E10107"/>
    <w:rsid w:val="00E10A15"/>
    <w:rsid w:val="00E116FA"/>
    <w:rsid w:val="00E119D8"/>
    <w:rsid w:val="00E123D6"/>
    <w:rsid w:val="00E127A9"/>
    <w:rsid w:val="00E12DF8"/>
    <w:rsid w:val="00E12F36"/>
    <w:rsid w:val="00E1390F"/>
    <w:rsid w:val="00E13FD5"/>
    <w:rsid w:val="00E14B84"/>
    <w:rsid w:val="00E14CCA"/>
    <w:rsid w:val="00E14F71"/>
    <w:rsid w:val="00E1510A"/>
    <w:rsid w:val="00E1600F"/>
    <w:rsid w:val="00E1608C"/>
    <w:rsid w:val="00E16205"/>
    <w:rsid w:val="00E16241"/>
    <w:rsid w:val="00E16A24"/>
    <w:rsid w:val="00E171D0"/>
    <w:rsid w:val="00E17505"/>
    <w:rsid w:val="00E2059B"/>
    <w:rsid w:val="00E21508"/>
    <w:rsid w:val="00E217D2"/>
    <w:rsid w:val="00E21CAB"/>
    <w:rsid w:val="00E22170"/>
    <w:rsid w:val="00E22DA4"/>
    <w:rsid w:val="00E2316E"/>
    <w:rsid w:val="00E23C77"/>
    <w:rsid w:val="00E24E52"/>
    <w:rsid w:val="00E254E9"/>
    <w:rsid w:val="00E25912"/>
    <w:rsid w:val="00E264F1"/>
    <w:rsid w:val="00E301D3"/>
    <w:rsid w:val="00E302A0"/>
    <w:rsid w:val="00E3062C"/>
    <w:rsid w:val="00E309C3"/>
    <w:rsid w:val="00E30A8D"/>
    <w:rsid w:val="00E30CD6"/>
    <w:rsid w:val="00E31057"/>
    <w:rsid w:val="00E316AA"/>
    <w:rsid w:val="00E3180C"/>
    <w:rsid w:val="00E318E3"/>
    <w:rsid w:val="00E31D63"/>
    <w:rsid w:val="00E3295B"/>
    <w:rsid w:val="00E33501"/>
    <w:rsid w:val="00E339C4"/>
    <w:rsid w:val="00E33C32"/>
    <w:rsid w:val="00E33CF7"/>
    <w:rsid w:val="00E33E9A"/>
    <w:rsid w:val="00E34224"/>
    <w:rsid w:val="00E34EFD"/>
    <w:rsid w:val="00E35B73"/>
    <w:rsid w:val="00E375A7"/>
    <w:rsid w:val="00E375B8"/>
    <w:rsid w:val="00E37B55"/>
    <w:rsid w:val="00E37BE5"/>
    <w:rsid w:val="00E40CB5"/>
    <w:rsid w:val="00E41120"/>
    <w:rsid w:val="00E41CF3"/>
    <w:rsid w:val="00E41D36"/>
    <w:rsid w:val="00E41D64"/>
    <w:rsid w:val="00E421FF"/>
    <w:rsid w:val="00E422B7"/>
    <w:rsid w:val="00E42DAC"/>
    <w:rsid w:val="00E4301A"/>
    <w:rsid w:val="00E4335B"/>
    <w:rsid w:val="00E4368C"/>
    <w:rsid w:val="00E437D9"/>
    <w:rsid w:val="00E43BFC"/>
    <w:rsid w:val="00E450D8"/>
    <w:rsid w:val="00E45A84"/>
    <w:rsid w:val="00E45AB5"/>
    <w:rsid w:val="00E45BE2"/>
    <w:rsid w:val="00E45EF9"/>
    <w:rsid w:val="00E45FE6"/>
    <w:rsid w:val="00E4615F"/>
    <w:rsid w:val="00E46547"/>
    <w:rsid w:val="00E467FB"/>
    <w:rsid w:val="00E47235"/>
    <w:rsid w:val="00E476A8"/>
    <w:rsid w:val="00E47B30"/>
    <w:rsid w:val="00E50103"/>
    <w:rsid w:val="00E50A67"/>
    <w:rsid w:val="00E50DAB"/>
    <w:rsid w:val="00E5129F"/>
    <w:rsid w:val="00E51D1D"/>
    <w:rsid w:val="00E5231D"/>
    <w:rsid w:val="00E52483"/>
    <w:rsid w:val="00E52B09"/>
    <w:rsid w:val="00E537B5"/>
    <w:rsid w:val="00E53F5E"/>
    <w:rsid w:val="00E54DA9"/>
    <w:rsid w:val="00E551DD"/>
    <w:rsid w:val="00E5524F"/>
    <w:rsid w:val="00E56B35"/>
    <w:rsid w:val="00E57021"/>
    <w:rsid w:val="00E5724B"/>
    <w:rsid w:val="00E57A0D"/>
    <w:rsid w:val="00E61D1A"/>
    <w:rsid w:val="00E62572"/>
    <w:rsid w:val="00E63E25"/>
    <w:rsid w:val="00E641AB"/>
    <w:rsid w:val="00E644BE"/>
    <w:rsid w:val="00E6584D"/>
    <w:rsid w:val="00E66B79"/>
    <w:rsid w:val="00E679E0"/>
    <w:rsid w:val="00E70607"/>
    <w:rsid w:val="00E70C11"/>
    <w:rsid w:val="00E70E17"/>
    <w:rsid w:val="00E70E70"/>
    <w:rsid w:val="00E7151D"/>
    <w:rsid w:val="00E71B8C"/>
    <w:rsid w:val="00E72880"/>
    <w:rsid w:val="00E72D27"/>
    <w:rsid w:val="00E72D7D"/>
    <w:rsid w:val="00E7333D"/>
    <w:rsid w:val="00E7387D"/>
    <w:rsid w:val="00E73A28"/>
    <w:rsid w:val="00E7474C"/>
    <w:rsid w:val="00E75AFA"/>
    <w:rsid w:val="00E7669C"/>
    <w:rsid w:val="00E76940"/>
    <w:rsid w:val="00E76E8D"/>
    <w:rsid w:val="00E774E1"/>
    <w:rsid w:val="00E807B4"/>
    <w:rsid w:val="00E80CDE"/>
    <w:rsid w:val="00E817AF"/>
    <w:rsid w:val="00E82191"/>
    <w:rsid w:val="00E82307"/>
    <w:rsid w:val="00E82C51"/>
    <w:rsid w:val="00E83D78"/>
    <w:rsid w:val="00E840B3"/>
    <w:rsid w:val="00E84817"/>
    <w:rsid w:val="00E84E65"/>
    <w:rsid w:val="00E85773"/>
    <w:rsid w:val="00E85FD3"/>
    <w:rsid w:val="00E87377"/>
    <w:rsid w:val="00E8752A"/>
    <w:rsid w:val="00E87C32"/>
    <w:rsid w:val="00E9213A"/>
    <w:rsid w:val="00E923E5"/>
    <w:rsid w:val="00E94A9C"/>
    <w:rsid w:val="00E953A6"/>
    <w:rsid w:val="00E968B4"/>
    <w:rsid w:val="00E96F36"/>
    <w:rsid w:val="00EA1827"/>
    <w:rsid w:val="00EA3821"/>
    <w:rsid w:val="00EA3EED"/>
    <w:rsid w:val="00EA4836"/>
    <w:rsid w:val="00EA4892"/>
    <w:rsid w:val="00EA4DF5"/>
    <w:rsid w:val="00EA565D"/>
    <w:rsid w:val="00EA5C47"/>
    <w:rsid w:val="00EA60CD"/>
    <w:rsid w:val="00EA680B"/>
    <w:rsid w:val="00EA6E64"/>
    <w:rsid w:val="00EA6FAA"/>
    <w:rsid w:val="00EA7418"/>
    <w:rsid w:val="00EA791B"/>
    <w:rsid w:val="00EB07FF"/>
    <w:rsid w:val="00EB1798"/>
    <w:rsid w:val="00EB187F"/>
    <w:rsid w:val="00EB1DD4"/>
    <w:rsid w:val="00EB24A4"/>
    <w:rsid w:val="00EB27DC"/>
    <w:rsid w:val="00EB2A1D"/>
    <w:rsid w:val="00EB2C21"/>
    <w:rsid w:val="00EB2C8F"/>
    <w:rsid w:val="00EB3640"/>
    <w:rsid w:val="00EB44B3"/>
    <w:rsid w:val="00EB4C2A"/>
    <w:rsid w:val="00EB4DA5"/>
    <w:rsid w:val="00EB5062"/>
    <w:rsid w:val="00EB54D6"/>
    <w:rsid w:val="00EB70EB"/>
    <w:rsid w:val="00EB771D"/>
    <w:rsid w:val="00EB7934"/>
    <w:rsid w:val="00EC0B9D"/>
    <w:rsid w:val="00EC0D62"/>
    <w:rsid w:val="00EC1BD9"/>
    <w:rsid w:val="00EC217E"/>
    <w:rsid w:val="00EC26AC"/>
    <w:rsid w:val="00EC26DF"/>
    <w:rsid w:val="00EC2871"/>
    <w:rsid w:val="00EC2D09"/>
    <w:rsid w:val="00EC484B"/>
    <w:rsid w:val="00EC4E05"/>
    <w:rsid w:val="00EC5164"/>
    <w:rsid w:val="00EC522A"/>
    <w:rsid w:val="00EC5AD6"/>
    <w:rsid w:val="00EC644B"/>
    <w:rsid w:val="00EC662E"/>
    <w:rsid w:val="00EC6BE3"/>
    <w:rsid w:val="00EC6F08"/>
    <w:rsid w:val="00EC73DC"/>
    <w:rsid w:val="00EC7B84"/>
    <w:rsid w:val="00ED0C80"/>
    <w:rsid w:val="00ED1448"/>
    <w:rsid w:val="00ED1622"/>
    <w:rsid w:val="00ED19A0"/>
    <w:rsid w:val="00ED1AAF"/>
    <w:rsid w:val="00ED1F93"/>
    <w:rsid w:val="00ED27C6"/>
    <w:rsid w:val="00ED2AB1"/>
    <w:rsid w:val="00ED2F87"/>
    <w:rsid w:val="00ED3407"/>
    <w:rsid w:val="00ED437F"/>
    <w:rsid w:val="00ED48ED"/>
    <w:rsid w:val="00ED516A"/>
    <w:rsid w:val="00ED5669"/>
    <w:rsid w:val="00ED5C44"/>
    <w:rsid w:val="00ED6EF7"/>
    <w:rsid w:val="00ED7EF6"/>
    <w:rsid w:val="00EE02A8"/>
    <w:rsid w:val="00EE1A8F"/>
    <w:rsid w:val="00EE1F7F"/>
    <w:rsid w:val="00EE2A6C"/>
    <w:rsid w:val="00EE4026"/>
    <w:rsid w:val="00EE4D98"/>
    <w:rsid w:val="00EE55A5"/>
    <w:rsid w:val="00EE620E"/>
    <w:rsid w:val="00EE6247"/>
    <w:rsid w:val="00EE73FD"/>
    <w:rsid w:val="00EE757D"/>
    <w:rsid w:val="00EE784E"/>
    <w:rsid w:val="00EF0A4C"/>
    <w:rsid w:val="00EF1301"/>
    <w:rsid w:val="00EF1B6F"/>
    <w:rsid w:val="00EF1EE0"/>
    <w:rsid w:val="00EF34D2"/>
    <w:rsid w:val="00EF39FD"/>
    <w:rsid w:val="00EF3A4E"/>
    <w:rsid w:val="00EF3C93"/>
    <w:rsid w:val="00EF3DAF"/>
    <w:rsid w:val="00EF42BD"/>
    <w:rsid w:val="00EF5FF5"/>
    <w:rsid w:val="00EF612B"/>
    <w:rsid w:val="00EF6EDA"/>
    <w:rsid w:val="00EF7372"/>
    <w:rsid w:val="00EF73E9"/>
    <w:rsid w:val="00EF79F6"/>
    <w:rsid w:val="00F00343"/>
    <w:rsid w:val="00F003E5"/>
    <w:rsid w:val="00F0134E"/>
    <w:rsid w:val="00F01D07"/>
    <w:rsid w:val="00F020C6"/>
    <w:rsid w:val="00F029D2"/>
    <w:rsid w:val="00F0354E"/>
    <w:rsid w:val="00F03C1C"/>
    <w:rsid w:val="00F04089"/>
    <w:rsid w:val="00F0446D"/>
    <w:rsid w:val="00F05324"/>
    <w:rsid w:val="00F05338"/>
    <w:rsid w:val="00F05986"/>
    <w:rsid w:val="00F059BC"/>
    <w:rsid w:val="00F05CD4"/>
    <w:rsid w:val="00F05EEA"/>
    <w:rsid w:val="00F05F16"/>
    <w:rsid w:val="00F06076"/>
    <w:rsid w:val="00F061A7"/>
    <w:rsid w:val="00F062DA"/>
    <w:rsid w:val="00F064BB"/>
    <w:rsid w:val="00F068CE"/>
    <w:rsid w:val="00F1090A"/>
    <w:rsid w:val="00F10D79"/>
    <w:rsid w:val="00F1128C"/>
    <w:rsid w:val="00F123E5"/>
    <w:rsid w:val="00F126CA"/>
    <w:rsid w:val="00F15483"/>
    <w:rsid w:val="00F170B1"/>
    <w:rsid w:val="00F176F0"/>
    <w:rsid w:val="00F17CB8"/>
    <w:rsid w:val="00F20161"/>
    <w:rsid w:val="00F20642"/>
    <w:rsid w:val="00F20E02"/>
    <w:rsid w:val="00F231FD"/>
    <w:rsid w:val="00F23F5B"/>
    <w:rsid w:val="00F24803"/>
    <w:rsid w:val="00F24B9D"/>
    <w:rsid w:val="00F25572"/>
    <w:rsid w:val="00F25EB9"/>
    <w:rsid w:val="00F263DD"/>
    <w:rsid w:val="00F2685A"/>
    <w:rsid w:val="00F26A87"/>
    <w:rsid w:val="00F27F11"/>
    <w:rsid w:val="00F300AD"/>
    <w:rsid w:val="00F309DE"/>
    <w:rsid w:val="00F30A9D"/>
    <w:rsid w:val="00F30FA1"/>
    <w:rsid w:val="00F311FE"/>
    <w:rsid w:val="00F3128A"/>
    <w:rsid w:val="00F3143E"/>
    <w:rsid w:val="00F31674"/>
    <w:rsid w:val="00F31D20"/>
    <w:rsid w:val="00F32665"/>
    <w:rsid w:val="00F329FC"/>
    <w:rsid w:val="00F33001"/>
    <w:rsid w:val="00F3306E"/>
    <w:rsid w:val="00F33D6E"/>
    <w:rsid w:val="00F35AE7"/>
    <w:rsid w:val="00F35B81"/>
    <w:rsid w:val="00F367E9"/>
    <w:rsid w:val="00F37033"/>
    <w:rsid w:val="00F376D3"/>
    <w:rsid w:val="00F402F4"/>
    <w:rsid w:val="00F4048E"/>
    <w:rsid w:val="00F409E1"/>
    <w:rsid w:val="00F40E8E"/>
    <w:rsid w:val="00F40F30"/>
    <w:rsid w:val="00F413CB"/>
    <w:rsid w:val="00F41C57"/>
    <w:rsid w:val="00F41ED6"/>
    <w:rsid w:val="00F4226E"/>
    <w:rsid w:val="00F4265E"/>
    <w:rsid w:val="00F42674"/>
    <w:rsid w:val="00F428D0"/>
    <w:rsid w:val="00F43560"/>
    <w:rsid w:val="00F446BC"/>
    <w:rsid w:val="00F449AA"/>
    <w:rsid w:val="00F44B3F"/>
    <w:rsid w:val="00F457AB"/>
    <w:rsid w:val="00F458D4"/>
    <w:rsid w:val="00F47609"/>
    <w:rsid w:val="00F47A40"/>
    <w:rsid w:val="00F47CF2"/>
    <w:rsid w:val="00F47FB2"/>
    <w:rsid w:val="00F50220"/>
    <w:rsid w:val="00F5023D"/>
    <w:rsid w:val="00F50D57"/>
    <w:rsid w:val="00F511CB"/>
    <w:rsid w:val="00F51973"/>
    <w:rsid w:val="00F53114"/>
    <w:rsid w:val="00F53205"/>
    <w:rsid w:val="00F539F4"/>
    <w:rsid w:val="00F53CB5"/>
    <w:rsid w:val="00F53F07"/>
    <w:rsid w:val="00F54596"/>
    <w:rsid w:val="00F54619"/>
    <w:rsid w:val="00F54798"/>
    <w:rsid w:val="00F54ED1"/>
    <w:rsid w:val="00F553D5"/>
    <w:rsid w:val="00F55453"/>
    <w:rsid w:val="00F56E10"/>
    <w:rsid w:val="00F614BF"/>
    <w:rsid w:val="00F6240E"/>
    <w:rsid w:val="00F62BF7"/>
    <w:rsid w:val="00F63BEA"/>
    <w:rsid w:val="00F65992"/>
    <w:rsid w:val="00F663FD"/>
    <w:rsid w:val="00F67030"/>
    <w:rsid w:val="00F672C6"/>
    <w:rsid w:val="00F67980"/>
    <w:rsid w:val="00F67986"/>
    <w:rsid w:val="00F70242"/>
    <w:rsid w:val="00F703A9"/>
    <w:rsid w:val="00F70842"/>
    <w:rsid w:val="00F70969"/>
    <w:rsid w:val="00F716E8"/>
    <w:rsid w:val="00F7244A"/>
    <w:rsid w:val="00F724DA"/>
    <w:rsid w:val="00F72C4D"/>
    <w:rsid w:val="00F73C6C"/>
    <w:rsid w:val="00F73FDE"/>
    <w:rsid w:val="00F74255"/>
    <w:rsid w:val="00F749E2"/>
    <w:rsid w:val="00F74C10"/>
    <w:rsid w:val="00F75B71"/>
    <w:rsid w:val="00F76214"/>
    <w:rsid w:val="00F763F3"/>
    <w:rsid w:val="00F765BE"/>
    <w:rsid w:val="00F76A36"/>
    <w:rsid w:val="00F804D1"/>
    <w:rsid w:val="00F80F43"/>
    <w:rsid w:val="00F814AE"/>
    <w:rsid w:val="00F815C3"/>
    <w:rsid w:val="00F81620"/>
    <w:rsid w:val="00F8176F"/>
    <w:rsid w:val="00F819D9"/>
    <w:rsid w:val="00F81F3A"/>
    <w:rsid w:val="00F81F7A"/>
    <w:rsid w:val="00F82B3D"/>
    <w:rsid w:val="00F82FBB"/>
    <w:rsid w:val="00F83694"/>
    <w:rsid w:val="00F83790"/>
    <w:rsid w:val="00F8387E"/>
    <w:rsid w:val="00F8442E"/>
    <w:rsid w:val="00F8488A"/>
    <w:rsid w:val="00F84B36"/>
    <w:rsid w:val="00F84F35"/>
    <w:rsid w:val="00F85A36"/>
    <w:rsid w:val="00F86042"/>
    <w:rsid w:val="00F8682D"/>
    <w:rsid w:val="00F868BA"/>
    <w:rsid w:val="00F86B3C"/>
    <w:rsid w:val="00F86DDD"/>
    <w:rsid w:val="00F87361"/>
    <w:rsid w:val="00F87EC4"/>
    <w:rsid w:val="00F90024"/>
    <w:rsid w:val="00F9054A"/>
    <w:rsid w:val="00F905CE"/>
    <w:rsid w:val="00F910D4"/>
    <w:rsid w:val="00F91328"/>
    <w:rsid w:val="00F91493"/>
    <w:rsid w:val="00F91E92"/>
    <w:rsid w:val="00F92DC5"/>
    <w:rsid w:val="00F942F2"/>
    <w:rsid w:val="00F95532"/>
    <w:rsid w:val="00F95CEB"/>
    <w:rsid w:val="00F95E36"/>
    <w:rsid w:val="00F97A3C"/>
    <w:rsid w:val="00F97BDB"/>
    <w:rsid w:val="00F97D97"/>
    <w:rsid w:val="00FA0AD4"/>
    <w:rsid w:val="00FA14DF"/>
    <w:rsid w:val="00FA1837"/>
    <w:rsid w:val="00FA1A38"/>
    <w:rsid w:val="00FA1CB4"/>
    <w:rsid w:val="00FA2028"/>
    <w:rsid w:val="00FA27CD"/>
    <w:rsid w:val="00FA2B15"/>
    <w:rsid w:val="00FA3A54"/>
    <w:rsid w:val="00FA4AFC"/>
    <w:rsid w:val="00FA51A6"/>
    <w:rsid w:val="00FA559D"/>
    <w:rsid w:val="00FA59E5"/>
    <w:rsid w:val="00FA5B41"/>
    <w:rsid w:val="00FA5CE1"/>
    <w:rsid w:val="00FA5FFE"/>
    <w:rsid w:val="00FA62CE"/>
    <w:rsid w:val="00FA660D"/>
    <w:rsid w:val="00FA7489"/>
    <w:rsid w:val="00FA74B3"/>
    <w:rsid w:val="00FA752F"/>
    <w:rsid w:val="00FB0111"/>
    <w:rsid w:val="00FB0202"/>
    <w:rsid w:val="00FB16C5"/>
    <w:rsid w:val="00FB18A7"/>
    <w:rsid w:val="00FB1C6F"/>
    <w:rsid w:val="00FB1DD6"/>
    <w:rsid w:val="00FB1E05"/>
    <w:rsid w:val="00FB2043"/>
    <w:rsid w:val="00FB2127"/>
    <w:rsid w:val="00FB3494"/>
    <w:rsid w:val="00FB3495"/>
    <w:rsid w:val="00FB3706"/>
    <w:rsid w:val="00FB3A12"/>
    <w:rsid w:val="00FB3B27"/>
    <w:rsid w:val="00FB3F91"/>
    <w:rsid w:val="00FB4185"/>
    <w:rsid w:val="00FB439B"/>
    <w:rsid w:val="00FB612B"/>
    <w:rsid w:val="00FB61AD"/>
    <w:rsid w:val="00FB68F6"/>
    <w:rsid w:val="00FB7692"/>
    <w:rsid w:val="00FB78E8"/>
    <w:rsid w:val="00FC04EF"/>
    <w:rsid w:val="00FC0F39"/>
    <w:rsid w:val="00FC1C9E"/>
    <w:rsid w:val="00FC2AE8"/>
    <w:rsid w:val="00FC31D8"/>
    <w:rsid w:val="00FC3D7E"/>
    <w:rsid w:val="00FC3F7B"/>
    <w:rsid w:val="00FC3FA9"/>
    <w:rsid w:val="00FC4990"/>
    <w:rsid w:val="00FC5A12"/>
    <w:rsid w:val="00FC5F9B"/>
    <w:rsid w:val="00FD0255"/>
    <w:rsid w:val="00FD08B0"/>
    <w:rsid w:val="00FD135F"/>
    <w:rsid w:val="00FD15A9"/>
    <w:rsid w:val="00FD1F89"/>
    <w:rsid w:val="00FD230E"/>
    <w:rsid w:val="00FD2513"/>
    <w:rsid w:val="00FD2C33"/>
    <w:rsid w:val="00FD3233"/>
    <w:rsid w:val="00FD387D"/>
    <w:rsid w:val="00FD4019"/>
    <w:rsid w:val="00FD4040"/>
    <w:rsid w:val="00FD4817"/>
    <w:rsid w:val="00FD49AF"/>
    <w:rsid w:val="00FD6097"/>
    <w:rsid w:val="00FD610B"/>
    <w:rsid w:val="00FD63CA"/>
    <w:rsid w:val="00FD733B"/>
    <w:rsid w:val="00FD78F5"/>
    <w:rsid w:val="00FE0195"/>
    <w:rsid w:val="00FE0690"/>
    <w:rsid w:val="00FE0DDC"/>
    <w:rsid w:val="00FE0F3C"/>
    <w:rsid w:val="00FE1255"/>
    <w:rsid w:val="00FE15C8"/>
    <w:rsid w:val="00FE2028"/>
    <w:rsid w:val="00FE2390"/>
    <w:rsid w:val="00FE2E8A"/>
    <w:rsid w:val="00FE3999"/>
    <w:rsid w:val="00FE6011"/>
    <w:rsid w:val="00FE6209"/>
    <w:rsid w:val="00FE6694"/>
    <w:rsid w:val="00FE6C91"/>
    <w:rsid w:val="00FE7B42"/>
    <w:rsid w:val="00FE7FF8"/>
    <w:rsid w:val="00FF0299"/>
    <w:rsid w:val="00FF0573"/>
    <w:rsid w:val="00FF0C9C"/>
    <w:rsid w:val="00FF156E"/>
    <w:rsid w:val="00FF208F"/>
    <w:rsid w:val="00FF24FD"/>
    <w:rsid w:val="00FF398C"/>
    <w:rsid w:val="00FF39C0"/>
    <w:rsid w:val="00FF3C02"/>
    <w:rsid w:val="00FF3E6A"/>
    <w:rsid w:val="00FF463A"/>
    <w:rsid w:val="00FF4991"/>
    <w:rsid w:val="00FF5CD6"/>
    <w:rsid w:val="00FF6BCD"/>
    <w:rsid w:val="00FF6C62"/>
    <w:rsid w:val="00FF6F8D"/>
    <w:rsid w:val="00FF7734"/>
    <w:rsid w:val="00FF79D2"/>
    <w:rsid w:val="00FF7A97"/>
    <w:rsid w:val="00FF7F03"/>
    <w:rsid w:val="02420A04"/>
    <w:rsid w:val="04F46348"/>
    <w:rsid w:val="072357CC"/>
    <w:rsid w:val="078F7797"/>
    <w:rsid w:val="09095AA0"/>
    <w:rsid w:val="0A0F6A8C"/>
    <w:rsid w:val="0A1421D6"/>
    <w:rsid w:val="0C257360"/>
    <w:rsid w:val="0DFA778D"/>
    <w:rsid w:val="11FD180B"/>
    <w:rsid w:val="120A6C36"/>
    <w:rsid w:val="13452433"/>
    <w:rsid w:val="136A211E"/>
    <w:rsid w:val="15310160"/>
    <w:rsid w:val="166E0EC0"/>
    <w:rsid w:val="16B11063"/>
    <w:rsid w:val="16B1471A"/>
    <w:rsid w:val="17316A50"/>
    <w:rsid w:val="17557DCE"/>
    <w:rsid w:val="17845CCC"/>
    <w:rsid w:val="17B14443"/>
    <w:rsid w:val="180E64B6"/>
    <w:rsid w:val="182E5E05"/>
    <w:rsid w:val="19150E7F"/>
    <w:rsid w:val="1BAB226E"/>
    <w:rsid w:val="1C701B88"/>
    <w:rsid w:val="1CD81789"/>
    <w:rsid w:val="1CED59D6"/>
    <w:rsid w:val="1D074B06"/>
    <w:rsid w:val="1D5A210A"/>
    <w:rsid w:val="203A481A"/>
    <w:rsid w:val="21267751"/>
    <w:rsid w:val="215D225D"/>
    <w:rsid w:val="2168547C"/>
    <w:rsid w:val="224A27E1"/>
    <w:rsid w:val="23512B5E"/>
    <w:rsid w:val="23C74D1B"/>
    <w:rsid w:val="25A04184"/>
    <w:rsid w:val="26B86E34"/>
    <w:rsid w:val="26EC030B"/>
    <w:rsid w:val="27382112"/>
    <w:rsid w:val="27E03CA1"/>
    <w:rsid w:val="292E11AA"/>
    <w:rsid w:val="29825741"/>
    <w:rsid w:val="29DF7F93"/>
    <w:rsid w:val="2A5306A1"/>
    <w:rsid w:val="2B2D63A8"/>
    <w:rsid w:val="2B411259"/>
    <w:rsid w:val="2B4504FC"/>
    <w:rsid w:val="2CDC497D"/>
    <w:rsid w:val="2E347767"/>
    <w:rsid w:val="2E894691"/>
    <w:rsid w:val="2E9B0B3E"/>
    <w:rsid w:val="313F7D15"/>
    <w:rsid w:val="31653C9C"/>
    <w:rsid w:val="329C5792"/>
    <w:rsid w:val="32BC63A5"/>
    <w:rsid w:val="33663DFA"/>
    <w:rsid w:val="33941128"/>
    <w:rsid w:val="34AE4841"/>
    <w:rsid w:val="34E91773"/>
    <w:rsid w:val="35124B7F"/>
    <w:rsid w:val="356E45E1"/>
    <w:rsid w:val="374C03C8"/>
    <w:rsid w:val="37863E63"/>
    <w:rsid w:val="38D46371"/>
    <w:rsid w:val="3B0D02A6"/>
    <w:rsid w:val="3D667115"/>
    <w:rsid w:val="3DDA2813"/>
    <w:rsid w:val="3E1B75EC"/>
    <w:rsid w:val="3E5535BA"/>
    <w:rsid w:val="3E735FB8"/>
    <w:rsid w:val="3F4C3B4E"/>
    <w:rsid w:val="40004FD0"/>
    <w:rsid w:val="40534AFF"/>
    <w:rsid w:val="41BD0482"/>
    <w:rsid w:val="421A678E"/>
    <w:rsid w:val="44340C59"/>
    <w:rsid w:val="44805151"/>
    <w:rsid w:val="456349A8"/>
    <w:rsid w:val="460A0393"/>
    <w:rsid w:val="460F48B7"/>
    <w:rsid w:val="46242373"/>
    <w:rsid w:val="46366A55"/>
    <w:rsid w:val="463E1E43"/>
    <w:rsid w:val="46831039"/>
    <w:rsid w:val="47224611"/>
    <w:rsid w:val="4754480D"/>
    <w:rsid w:val="47803098"/>
    <w:rsid w:val="47D70B8B"/>
    <w:rsid w:val="48FA0B94"/>
    <w:rsid w:val="49246C51"/>
    <w:rsid w:val="49F44C5D"/>
    <w:rsid w:val="4A173569"/>
    <w:rsid w:val="4A243F48"/>
    <w:rsid w:val="4A6542C6"/>
    <w:rsid w:val="4B017FD3"/>
    <w:rsid w:val="4BA17066"/>
    <w:rsid w:val="4C48746A"/>
    <w:rsid w:val="4C533DD2"/>
    <w:rsid w:val="4DA85ED2"/>
    <w:rsid w:val="4DF3276C"/>
    <w:rsid w:val="4DF33D35"/>
    <w:rsid w:val="4ED45728"/>
    <w:rsid w:val="51083A50"/>
    <w:rsid w:val="51393D45"/>
    <w:rsid w:val="5176735B"/>
    <w:rsid w:val="52D46A92"/>
    <w:rsid w:val="54005F78"/>
    <w:rsid w:val="54177EC5"/>
    <w:rsid w:val="55A31C02"/>
    <w:rsid w:val="562316F8"/>
    <w:rsid w:val="56EF79F4"/>
    <w:rsid w:val="57AF2B0B"/>
    <w:rsid w:val="57BD5AC8"/>
    <w:rsid w:val="57F376F7"/>
    <w:rsid w:val="593A2965"/>
    <w:rsid w:val="59BB5797"/>
    <w:rsid w:val="5A3D1C4D"/>
    <w:rsid w:val="5A6E36ED"/>
    <w:rsid w:val="5A783688"/>
    <w:rsid w:val="5BA2082E"/>
    <w:rsid w:val="5CB94CAE"/>
    <w:rsid w:val="5D53635F"/>
    <w:rsid w:val="5D720862"/>
    <w:rsid w:val="5D7810E2"/>
    <w:rsid w:val="5E6F478B"/>
    <w:rsid w:val="5EE45039"/>
    <w:rsid w:val="5F4D537A"/>
    <w:rsid w:val="600A20CC"/>
    <w:rsid w:val="6107038A"/>
    <w:rsid w:val="61575978"/>
    <w:rsid w:val="617A5F38"/>
    <w:rsid w:val="6541453A"/>
    <w:rsid w:val="65426116"/>
    <w:rsid w:val="66E07988"/>
    <w:rsid w:val="66FC25F4"/>
    <w:rsid w:val="67942639"/>
    <w:rsid w:val="689C3727"/>
    <w:rsid w:val="6C9F2CF6"/>
    <w:rsid w:val="6D406A7E"/>
    <w:rsid w:val="6D510717"/>
    <w:rsid w:val="6E0A0DCB"/>
    <w:rsid w:val="6E3E012F"/>
    <w:rsid w:val="6FE76018"/>
    <w:rsid w:val="711D15AB"/>
    <w:rsid w:val="718B7276"/>
    <w:rsid w:val="72405F14"/>
    <w:rsid w:val="737F3D9B"/>
    <w:rsid w:val="748051BB"/>
    <w:rsid w:val="74EC4BFF"/>
    <w:rsid w:val="754E6641"/>
    <w:rsid w:val="766A0BE5"/>
    <w:rsid w:val="76825EDF"/>
    <w:rsid w:val="76D17A3F"/>
    <w:rsid w:val="774A58B3"/>
    <w:rsid w:val="78340CBB"/>
    <w:rsid w:val="78D45AD6"/>
    <w:rsid w:val="796C63BE"/>
    <w:rsid w:val="79BD2A0E"/>
    <w:rsid w:val="7A422487"/>
    <w:rsid w:val="7F0A2268"/>
  </w:rsids>
  <m:mathPr>
    <m:mathFont m:val="Cambria Math"/>
    <m:brkBin m:val="before"/>
    <m:brkBinSub m:val="--"/>
    <m:smallFrac m:val="1"/>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qFormat="1" w:unhideWhenUsed="0" w:uiPriority="0" w:semiHidden="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iPriority="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59" w:semiHidden="0" w:name="Table Grid"/>
    <w:lsdException w:uiPriority="0"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pPr>
      <w:spacing w:before="120" w:after="120"/>
    </w:pPr>
    <w:rPr>
      <w:rFonts w:ascii="Arial" w:hAnsi="Arial" w:eastAsia="Times New Roman" w:cs="Times New Roman"/>
      <w:color w:val="000000" w:themeColor="text1"/>
      <w:sz w:val="18"/>
      <w:szCs w:val="24"/>
      <w:lang w:val="pt-BR" w:eastAsia="en-US" w:bidi="ar-SA"/>
      <w14:textFill>
        <w14:solidFill>
          <w14:schemeClr w14:val="tx1"/>
        </w14:solidFill>
      </w14:textFill>
    </w:rPr>
  </w:style>
  <w:style w:type="paragraph" w:styleId="2">
    <w:name w:val="heading 1"/>
    <w:basedOn w:val="1"/>
    <w:next w:val="1"/>
    <w:qFormat/>
    <w:uiPriority w:val="0"/>
    <w:pPr>
      <w:keepNext/>
      <w:jc w:val="right"/>
      <w:outlineLvl w:val="0"/>
    </w:pPr>
    <w:rPr>
      <w:snapToGrid w:val="0"/>
      <w:szCs w:val="20"/>
    </w:rPr>
  </w:style>
  <w:style w:type="paragraph" w:styleId="3">
    <w:name w:val="heading 2"/>
    <w:basedOn w:val="1"/>
    <w:next w:val="1"/>
    <w:qFormat/>
    <w:uiPriority w:val="0"/>
    <w:pPr>
      <w:keepNext/>
      <w:jc w:val="center"/>
      <w:outlineLvl w:val="1"/>
    </w:pPr>
    <w:rPr>
      <w:snapToGrid w:val="0"/>
      <w:szCs w:val="20"/>
    </w:rPr>
  </w:style>
  <w:style w:type="paragraph" w:styleId="4">
    <w:name w:val="heading 3"/>
    <w:basedOn w:val="1"/>
    <w:next w:val="1"/>
    <w:qFormat/>
    <w:uiPriority w:val="0"/>
    <w:pPr>
      <w:keepNext/>
      <w:ind w:firstLine="709"/>
      <w:jc w:val="both"/>
      <w:outlineLvl w:val="2"/>
    </w:pPr>
    <w:rPr>
      <w:b/>
      <w:snapToGrid w:val="0"/>
      <w:szCs w:val="20"/>
    </w:rPr>
  </w:style>
  <w:style w:type="paragraph" w:styleId="5">
    <w:name w:val="heading 4"/>
    <w:basedOn w:val="1"/>
    <w:next w:val="1"/>
    <w:link w:val="36"/>
    <w:qFormat/>
    <w:uiPriority w:val="0"/>
    <w:pPr>
      <w:keepNext/>
      <w:spacing w:before="0" w:after="0"/>
      <w:jc w:val="center"/>
      <w:outlineLvl w:val="3"/>
    </w:pPr>
    <w:rPr>
      <w:rFonts w:cs="Arial"/>
      <w:b/>
      <w:color w:val="auto"/>
      <w:sz w:val="20"/>
      <w:szCs w:val="20"/>
    </w:rPr>
  </w:style>
  <w:style w:type="paragraph" w:styleId="6">
    <w:name w:val="heading 5"/>
    <w:basedOn w:val="1"/>
    <w:next w:val="1"/>
    <w:qFormat/>
    <w:uiPriority w:val="0"/>
    <w:pPr>
      <w:keepNext/>
      <w:spacing w:line="276" w:lineRule="auto"/>
      <w:jc w:val="center"/>
      <w:outlineLvl w:val="4"/>
    </w:pPr>
    <w:rPr>
      <w:rFonts w:cs="Arial"/>
      <w:b/>
      <w:color w:val="auto"/>
      <w:szCs w:val="22"/>
      <w:u w:val="single"/>
    </w:rPr>
  </w:style>
  <w:style w:type="paragraph" w:styleId="7">
    <w:name w:val="heading 6"/>
    <w:basedOn w:val="1"/>
    <w:next w:val="1"/>
    <w:qFormat/>
    <w:uiPriority w:val="0"/>
    <w:pPr>
      <w:keepNext/>
      <w:ind w:firstLine="2907"/>
      <w:outlineLvl w:val="5"/>
    </w:pPr>
    <w:rPr>
      <w:b/>
      <w:snapToGrid w:val="0"/>
      <w:szCs w:val="20"/>
    </w:rPr>
  </w:style>
  <w:style w:type="paragraph" w:styleId="8">
    <w:name w:val="heading 7"/>
    <w:basedOn w:val="1"/>
    <w:next w:val="1"/>
    <w:link w:val="37"/>
    <w:qFormat/>
    <w:uiPriority w:val="0"/>
    <w:pPr>
      <w:keepNext/>
      <w:ind w:firstLine="2907"/>
      <w:jc w:val="both"/>
      <w:outlineLvl w:val="6"/>
    </w:pPr>
    <w:rPr>
      <w:snapToGrid w:val="0"/>
      <w:szCs w:val="20"/>
    </w:rPr>
  </w:style>
  <w:style w:type="paragraph" w:styleId="9">
    <w:name w:val="heading 8"/>
    <w:basedOn w:val="1"/>
    <w:next w:val="1"/>
    <w:link w:val="38"/>
    <w:qFormat/>
    <w:uiPriority w:val="0"/>
    <w:pPr>
      <w:keepNext/>
      <w:jc w:val="center"/>
      <w:outlineLvl w:val="7"/>
    </w:pPr>
    <w:rPr>
      <w:b/>
      <w:bCs/>
    </w:rPr>
  </w:style>
  <w:style w:type="paragraph" w:styleId="10">
    <w:name w:val="heading 9"/>
    <w:basedOn w:val="1"/>
    <w:next w:val="1"/>
    <w:qFormat/>
    <w:uiPriority w:val="0"/>
    <w:pPr>
      <w:keepNext/>
      <w:spacing w:before="100" w:beforeAutospacing="1"/>
      <w:jc w:val="right"/>
      <w:outlineLvl w:val="8"/>
    </w:pPr>
    <w:rPr>
      <w:b/>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Strong"/>
    <w:qFormat/>
    <w:uiPriority w:val="0"/>
    <w:rPr>
      <w:b/>
      <w:bCs/>
    </w:rPr>
  </w:style>
  <w:style w:type="character" w:styleId="14">
    <w:name w:val="FollowedHyperlink"/>
    <w:qFormat/>
    <w:uiPriority w:val="99"/>
    <w:rPr>
      <w:color w:val="800080"/>
      <w:u w:val="single"/>
    </w:rPr>
  </w:style>
  <w:style w:type="character" w:styleId="15">
    <w:name w:val="Emphasis"/>
    <w:qFormat/>
    <w:uiPriority w:val="20"/>
    <w:rPr>
      <w:i/>
      <w:iCs/>
    </w:rPr>
  </w:style>
  <w:style w:type="character" w:styleId="16">
    <w:name w:val="Hyperlink"/>
    <w:qFormat/>
    <w:uiPriority w:val="99"/>
    <w:rPr>
      <w:color w:val="0000FF"/>
      <w:u w:val="single"/>
    </w:rPr>
  </w:style>
  <w:style w:type="character" w:styleId="17">
    <w:name w:val="page number"/>
    <w:basedOn w:val="11"/>
    <w:qFormat/>
    <w:uiPriority w:val="0"/>
  </w:style>
  <w:style w:type="paragraph" w:styleId="18">
    <w:name w:val="toc 2"/>
    <w:basedOn w:val="1"/>
    <w:next w:val="1"/>
    <w:qFormat/>
    <w:uiPriority w:val="39"/>
    <w:pPr>
      <w:tabs>
        <w:tab w:val="left" w:pos="880"/>
        <w:tab w:val="right" w:leader="dot" w:pos="9627"/>
      </w:tabs>
      <w:spacing w:before="0" w:after="0"/>
      <w:ind w:left="221"/>
    </w:pPr>
  </w:style>
  <w:style w:type="paragraph" w:styleId="19">
    <w:name w:val="Body Text"/>
    <w:basedOn w:val="1"/>
    <w:qFormat/>
    <w:uiPriority w:val="0"/>
    <w:rPr>
      <w:snapToGrid w:val="0"/>
      <w:szCs w:val="20"/>
    </w:rPr>
  </w:style>
  <w:style w:type="paragraph" w:styleId="20">
    <w:name w:val="Body Text Indent 2"/>
    <w:basedOn w:val="1"/>
    <w:qFormat/>
    <w:uiPriority w:val="0"/>
    <w:pPr>
      <w:ind w:left="708"/>
      <w:jc w:val="both"/>
    </w:pPr>
    <w:rPr>
      <w:rFonts w:ascii="Tahoma" w:hAnsi="Tahoma" w:cs="Tahoma"/>
      <w:color w:val="000080"/>
      <w:szCs w:val="22"/>
    </w:rPr>
  </w:style>
  <w:style w:type="paragraph" w:styleId="21">
    <w:name w:val="table of figures"/>
    <w:basedOn w:val="1"/>
    <w:next w:val="1"/>
    <w:qFormat/>
    <w:uiPriority w:val="0"/>
  </w:style>
  <w:style w:type="paragraph" w:styleId="22">
    <w:name w:val="Title"/>
    <w:basedOn w:val="1"/>
    <w:next w:val="1"/>
    <w:link w:val="48"/>
    <w:qFormat/>
    <w:uiPriority w:val="0"/>
    <w:pPr>
      <w:numPr>
        <w:ilvl w:val="0"/>
        <w:numId w:val="1"/>
      </w:numPr>
      <w:pBdr>
        <w:top w:val="dotted" w:color="auto" w:sz="4" w:space="4"/>
        <w:bottom w:val="dotted" w:color="auto" w:sz="4" w:space="4"/>
      </w:pBdr>
      <w:tabs>
        <w:tab w:val="left" w:pos="709"/>
      </w:tabs>
      <w:spacing w:before="0" w:after="0"/>
      <w:ind w:left="709" w:hanging="851"/>
      <w:jc w:val="both"/>
      <w:outlineLvl w:val="0"/>
    </w:pPr>
    <w:rPr>
      <w:rFonts w:cs="Arial"/>
      <w:b/>
      <w:bCs/>
      <w:color w:val="auto"/>
      <w:kern w:val="28"/>
      <w:sz w:val="20"/>
      <w:szCs w:val="20"/>
      <w:lang w:eastAsia="pt-BR"/>
    </w:rPr>
  </w:style>
  <w:style w:type="paragraph" w:styleId="23">
    <w:name w:val="Normal (Web)"/>
    <w:basedOn w:val="1"/>
    <w:qFormat/>
    <w:uiPriority w:val="99"/>
    <w:pPr>
      <w:spacing w:before="100" w:beforeAutospacing="1" w:after="100" w:afterAutospacing="1"/>
    </w:pPr>
    <w:rPr>
      <w:rFonts w:ascii="Arial Unicode MS" w:hAnsi="Arial Unicode MS" w:eastAsia="Arial Unicode MS" w:cs="Arial Unicode MS"/>
    </w:rPr>
  </w:style>
  <w:style w:type="paragraph" w:styleId="24">
    <w:name w:val="Plain Text"/>
    <w:basedOn w:val="1"/>
    <w:link w:val="44"/>
    <w:qFormat/>
    <w:uiPriority w:val="0"/>
    <w:rPr>
      <w:rFonts w:ascii="Courier New" w:hAnsi="Courier New"/>
      <w:sz w:val="20"/>
      <w:szCs w:val="20"/>
    </w:rPr>
  </w:style>
  <w:style w:type="paragraph" w:styleId="25">
    <w:name w:val="Body Text 3"/>
    <w:basedOn w:val="1"/>
    <w:qFormat/>
    <w:uiPriority w:val="0"/>
    <w:pPr>
      <w:jc w:val="both"/>
    </w:pPr>
    <w:rPr>
      <w:szCs w:val="20"/>
    </w:rPr>
  </w:style>
  <w:style w:type="paragraph" w:styleId="26">
    <w:name w:val="Body Text 2"/>
    <w:basedOn w:val="1"/>
    <w:qFormat/>
    <w:uiPriority w:val="0"/>
    <w:pPr>
      <w:widowControl w:val="0"/>
      <w:tabs>
        <w:tab w:val="left" w:pos="8646"/>
        <w:tab w:val="left" w:pos="8788"/>
        <w:tab w:val="left" w:pos="10632"/>
      </w:tabs>
      <w:ind w:right="-1"/>
      <w:jc w:val="both"/>
    </w:pPr>
    <w:rPr>
      <w:szCs w:val="20"/>
    </w:rPr>
  </w:style>
  <w:style w:type="paragraph" w:styleId="27">
    <w:name w:val="header"/>
    <w:basedOn w:val="1"/>
    <w:link w:val="41"/>
    <w:qFormat/>
    <w:uiPriority w:val="99"/>
    <w:pPr>
      <w:tabs>
        <w:tab w:val="center" w:pos="4419"/>
        <w:tab w:val="right" w:pos="8838"/>
      </w:tabs>
    </w:pPr>
  </w:style>
  <w:style w:type="paragraph" w:styleId="28">
    <w:name w:val="footer"/>
    <w:basedOn w:val="1"/>
    <w:link w:val="42"/>
    <w:qFormat/>
    <w:uiPriority w:val="99"/>
    <w:pPr>
      <w:tabs>
        <w:tab w:val="center" w:pos="4419"/>
        <w:tab w:val="right" w:pos="8838"/>
      </w:tabs>
    </w:pPr>
  </w:style>
  <w:style w:type="paragraph" w:styleId="29">
    <w:name w:val="caption"/>
    <w:basedOn w:val="1"/>
    <w:next w:val="1"/>
    <w:qFormat/>
    <w:uiPriority w:val="0"/>
    <w:pPr>
      <w:spacing w:before="100" w:beforeAutospacing="1" w:after="100" w:afterAutospacing="1"/>
    </w:pPr>
    <w:rPr>
      <w:rFonts w:cs="Arial"/>
      <w:b/>
      <w:bCs/>
      <w:szCs w:val="2"/>
    </w:rPr>
  </w:style>
  <w:style w:type="paragraph" w:styleId="30">
    <w:name w:val="index 1"/>
    <w:basedOn w:val="1"/>
    <w:next w:val="1"/>
    <w:qFormat/>
    <w:uiPriority w:val="0"/>
    <w:pPr>
      <w:ind w:left="220" w:hanging="220"/>
    </w:pPr>
  </w:style>
  <w:style w:type="paragraph" w:styleId="31">
    <w:name w:val="toc 3"/>
    <w:basedOn w:val="1"/>
    <w:next w:val="1"/>
    <w:qFormat/>
    <w:uiPriority w:val="39"/>
    <w:pPr>
      <w:ind w:left="440"/>
    </w:pPr>
  </w:style>
  <w:style w:type="paragraph" w:styleId="32">
    <w:name w:val="Balloon Text"/>
    <w:basedOn w:val="1"/>
    <w:link w:val="46"/>
    <w:qFormat/>
    <w:uiPriority w:val="99"/>
    <w:rPr>
      <w:rFonts w:ascii="Tahoma" w:hAnsi="Tahoma"/>
      <w:color w:val="auto"/>
      <w:sz w:val="16"/>
      <w:szCs w:val="16"/>
    </w:rPr>
  </w:style>
  <w:style w:type="paragraph" w:styleId="33">
    <w:name w:val="Subtitle"/>
    <w:basedOn w:val="1"/>
    <w:next w:val="1"/>
    <w:link w:val="49"/>
    <w:qFormat/>
    <w:uiPriority w:val="0"/>
    <w:pPr>
      <w:ind w:left="709" w:hanging="709"/>
      <w:contextualSpacing/>
      <w:outlineLvl w:val="1"/>
    </w:pPr>
    <w:rPr>
      <w:b/>
      <w:color w:val="C00000"/>
      <w:szCs w:val="22"/>
    </w:rPr>
  </w:style>
  <w:style w:type="paragraph" w:styleId="34">
    <w:name w:val="toc 1"/>
    <w:basedOn w:val="1"/>
    <w:next w:val="1"/>
    <w:qFormat/>
    <w:uiPriority w:val="39"/>
    <w:pPr>
      <w:tabs>
        <w:tab w:val="left" w:pos="1418"/>
        <w:tab w:val="right" w:leader="dot" w:pos="8789"/>
      </w:tabs>
      <w:spacing w:before="0" w:after="0" w:line="276" w:lineRule="auto"/>
      <w:ind w:left="851" w:firstLine="142"/>
    </w:pPr>
  </w:style>
  <w:style w:type="table" w:styleId="35">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36">
    <w:name w:val="Título 4 Char"/>
    <w:basedOn w:val="11"/>
    <w:link w:val="5"/>
    <w:qFormat/>
    <w:uiPriority w:val="0"/>
    <w:rPr>
      <w:rFonts w:ascii="Arial" w:hAnsi="Arial" w:cs="Arial"/>
      <w:b/>
    </w:rPr>
  </w:style>
  <w:style w:type="character" w:customStyle="1" w:styleId="37">
    <w:name w:val="Título 7 Char"/>
    <w:link w:val="8"/>
    <w:qFormat/>
    <w:uiPriority w:val="0"/>
    <w:rPr>
      <w:rFonts w:ascii="Arial" w:hAnsi="Arial"/>
      <w:snapToGrid w:val="0"/>
      <w:color w:val="000099"/>
      <w:sz w:val="22"/>
    </w:rPr>
  </w:style>
  <w:style w:type="character" w:customStyle="1" w:styleId="38">
    <w:name w:val="Título 8 Char"/>
    <w:basedOn w:val="11"/>
    <w:link w:val="9"/>
    <w:qFormat/>
    <w:uiPriority w:val="0"/>
    <w:rPr>
      <w:rFonts w:ascii="Arial" w:hAnsi="Arial"/>
      <w:b/>
      <w:bCs/>
      <w:color w:val="000099"/>
      <w:sz w:val="22"/>
      <w:szCs w:val="24"/>
    </w:rPr>
  </w:style>
  <w:style w:type="paragraph" w:customStyle="1" w:styleId="39">
    <w:name w:val="texto1"/>
    <w:basedOn w:val="1"/>
    <w:qFormat/>
    <w:uiPriority w:val="0"/>
    <w:pPr>
      <w:spacing w:before="100" w:beforeAutospacing="1" w:after="100" w:afterAutospacing="1"/>
    </w:pPr>
    <w:rPr>
      <w:rFonts w:ascii="Arial Unicode MS" w:hAnsi="Arial Unicode MS" w:eastAsia="Arial Unicode MS" w:cs="Arial Unicode MS"/>
    </w:rPr>
  </w:style>
  <w:style w:type="paragraph" w:customStyle="1" w:styleId="40">
    <w:name w:val="Body Text 21"/>
    <w:basedOn w:val="1"/>
    <w:qFormat/>
    <w:uiPriority w:val="0"/>
    <w:pPr>
      <w:jc w:val="both"/>
    </w:pPr>
    <w:rPr>
      <w:snapToGrid w:val="0"/>
      <w:szCs w:val="20"/>
    </w:rPr>
  </w:style>
  <w:style w:type="character" w:customStyle="1" w:styleId="41">
    <w:name w:val="Cabeçalho Char"/>
    <w:basedOn w:val="11"/>
    <w:link w:val="27"/>
    <w:qFormat/>
    <w:uiPriority w:val="99"/>
    <w:rPr>
      <w:rFonts w:ascii="Arial" w:hAnsi="Arial"/>
      <w:color w:val="000099"/>
      <w:sz w:val="22"/>
      <w:szCs w:val="24"/>
    </w:rPr>
  </w:style>
  <w:style w:type="character" w:customStyle="1" w:styleId="42">
    <w:name w:val="Rodapé Char"/>
    <w:link w:val="28"/>
    <w:qFormat/>
    <w:uiPriority w:val="99"/>
    <w:rPr>
      <w:rFonts w:ascii="Arial" w:hAnsi="Arial"/>
      <w:color w:val="000099"/>
      <w:sz w:val="22"/>
      <w:szCs w:val="24"/>
    </w:rPr>
  </w:style>
  <w:style w:type="paragraph" w:customStyle="1" w:styleId="43">
    <w:name w:val="legal"/>
    <w:basedOn w:val="1"/>
    <w:qFormat/>
    <w:uiPriority w:val="0"/>
    <w:pPr>
      <w:spacing w:line="360" w:lineRule="atLeast"/>
      <w:jc w:val="both"/>
    </w:pPr>
    <w:rPr>
      <w:rFonts w:cs="Arial"/>
      <w:szCs w:val="22"/>
      <w:lang w:val="pt-PT"/>
    </w:rPr>
  </w:style>
  <w:style w:type="character" w:customStyle="1" w:styleId="44">
    <w:name w:val="Texto sem Formatação Char"/>
    <w:link w:val="24"/>
    <w:qFormat/>
    <w:uiPriority w:val="0"/>
    <w:rPr>
      <w:rFonts w:ascii="Courier New" w:hAnsi="Courier New"/>
      <w:color w:val="000099"/>
    </w:rPr>
  </w:style>
  <w:style w:type="character" w:customStyle="1" w:styleId="45">
    <w:name w:val="text_01"/>
    <w:qFormat/>
    <w:uiPriority w:val="0"/>
    <w:rPr>
      <w:rFonts w:hint="default" w:ascii="Verdana" w:hAnsi="Verdana"/>
      <w:color w:val="000000"/>
      <w:sz w:val="15"/>
      <w:szCs w:val="15"/>
    </w:rPr>
  </w:style>
  <w:style w:type="character" w:customStyle="1" w:styleId="46">
    <w:name w:val="Texto de balão Char"/>
    <w:link w:val="32"/>
    <w:qFormat/>
    <w:uiPriority w:val="99"/>
    <w:rPr>
      <w:rFonts w:ascii="Tahoma" w:hAnsi="Tahoma" w:cs="Tahoma"/>
      <w:sz w:val="16"/>
      <w:szCs w:val="16"/>
    </w:rPr>
  </w:style>
  <w:style w:type="paragraph" w:styleId="47">
    <w:name w:val="List Paragraph"/>
    <w:basedOn w:val="1"/>
    <w:qFormat/>
    <w:uiPriority w:val="34"/>
    <w:pPr>
      <w:ind w:left="708"/>
    </w:pPr>
  </w:style>
  <w:style w:type="character" w:customStyle="1" w:styleId="48">
    <w:name w:val="Título Char"/>
    <w:link w:val="22"/>
    <w:qFormat/>
    <w:uiPriority w:val="0"/>
    <w:rPr>
      <w:rFonts w:cs="Arial"/>
      <w:b/>
      <w:bCs/>
      <w:color w:val="auto"/>
      <w:kern w:val="28"/>
      <w:sz w:val="20"/>
      <w:szCs w:val="20"/>
      <w:lang w:eastAsia="pt-BR"/>
    </w:rPr>
  </w:style>
  <w:style w:type="character" w:customStyle="1" w:styleId="49">
    <w:name w:val="Subtítulo Char"/>
    <w:link w:val="33"/>
    <w:qFormat/>
    <w:uiPriority w:val="0"/>
    <w:rPr>
      <w:rFonts w:ascii="Arial" w:hAnsi="Arial"/>
      <w:b/>
      <w:color w:val="C00000"/>
      <w:sz w:val="22"/>
      <w:szCs w:val="22"/>
    </w:rPr>
  </w:style>
  <w:style w:type="paragraph" w:customStyle="1" w:styleId="50">
    <w:name w:val="Cabeçalho do Sumário1"/>
    <w:basedOn w:val="2"/>
    <w:next w:val="1"/>
    <w:semiHidden/>
    <w:unhideWhenUsed/>
    <w:qFormat/>
    <w:uiPriority w:val="39"/>
    <w:pPr>
      <w:keepLines/>
      <w:spacing w:before="480" w:after="0" w:line="276" w:lineRule="auto"/>
      <w:jc w:val="left"/>
      <w:outlineLvl w:val="9"/>
    </w:pPr>
    <w:rPr>
      <w:rFonts w:ascii="Cambria" w:hAnsi="Cambria"/>
      <w:b/>
      <w:bCs/>
      <w:snapToGrid/>
      <w:color w:val="365F91"/>
      <w:sz w:val="28"/>
      <w:szCs w:val="28"/>
    </w:rPr>
  </w:style>
  <w:style w:type="paragraph" w:customStyle="1" w:styleId="51">
    <w:name w:val="Recuo de corpo de texto1"/>
    <w:basedOn w:val="1"/>
    <w:qFormat/>
    <w:uiPriority w:val="0"/>
    <w:pPr>
      <w:spacing w:before="0" w:after="0"/>
      <w:jc w:val="both"/>
    </w:pPr>
    <w:rPr>
      <w:rFonts w:ascii="Tahoma" w:hAnsi="Tahoma" w:cs="Tahoma"/>
      <w:color w:val="000080"/>
      <w:szCs w:val="22"/>
    </w:rPr>
  </w:style>
  <w:style w:type="character" w:customStyle="1" w:styleId="52">
    <w:name w:val="apple-converted-space"/>
    <w:qFormat/>
    <w:uiPriority w:val="0"/>
  </w:style>
  <w:style w:type="character" w:styleId="53">
    <w:name w:val="Placeholder Text"/>
    <w:basedOn w:val="11"/>
    <w:semiHidden/>
    <w:qFormat/>
    <w:uiPriority w:val="99"/>
    <w:rPr>
      <w:color w:val="808080"/>
    </w:rPr>
  </w:style>
  <w:style w:type="paragraph" w:customStyle="1" w:styleId="54">
    <w:name w:val="Style"/>
    <w:qFormat/>
    <w:uiPriority w:val="0"/>
    <w:pPr>
      <w:widowControl w:val="0"/>
      <w:autoSpaceDE w:val="0"/>
      <w:autoSpaceDN w:val="0"/>
      <w:adjustRightInd w:val="0"/>
    </w:pPr>
    <w:rPr>
      <w:rFonts w:ascii="TimesNewRomanPSMT" w:hAnsi="TimesNewRomanPSMT" w:cs="TimesNewRomanPSMT" w:eastAsiaTheme="minorEastAsia"/>
      <w:color w:val="000000" w:themeColor="text1"/>
      <w:sz w:val="24"/>
      <w:szCs w:val="24"/>
      <w:lang w:val="en-US" w:eastAsia="zh-CN" w:bidi="ar-SA"/>
      <w14:textFill>
        <w14:solidFill>
          <w14:schemeClr w14:val="tx1"/>
        </w14:solidFill>
      </w14:textFill>
    </w:rPr>
  </w:style>
  <w:style w:type="paragraph" w:customStyle="1" w:styleId="55">
    <w:name w:val="Default"/>
    <w:qFormat/>
    <w:uiPriority w:val="0"/>
    <w:pPr>
      <w:autoSpaceDE w:val="0"/>
      <w:autoSpaceDN w:val="0"/>
      <w:adjustRightInd w:val="0"/>
    </w:pPr>
    <w:rPr>
      <w:rFonts w:ascii="Arial" w:hAnsi="Arial" w:eastAsia="Times New Roman" w:cs="Arial"/>
      <w:color w:val="000000"/>
      <w:sz w:val="24"/>
      <w:szCs w:val="24"/>
      <w:lang w:val="pt-BR" w:eastAsia="en-US" w:bidi="ar-SA"/>
    </w:rPr>
  </w:style>
  <w:style w:type="table" w:customStyle="1" w:styleId="56">
    <w:name w:val="Tabela com grade1"/>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57">
    <w:name w:val="fontstyle01"/>
    <w:basedOn w:val="11"/>
    <w:qFormat/>
    <w:uiPriority w:val="0"/>
    <w:rPr>
      <w:rFonts w:hint="default" w:ascii="ArialMT" w:hAnsi="ArialMT"/>
      <w:color w:val="000000"/>
      <w:sz w:val="22"/>
      <w:szCs w:val="22"/>
    </w:rPr>
  </w:style>
  <w:style w:type="character" w:customStyle="1" w:styleId="58">
    <w:name w:val="Unresolved Mention"/>
    <w:basedOn w:val="11"/>
    <w:semiHidden/>
    <w:unhideWhenUsed/>
    <w:qFormat/>
    <w:uiPriority w:val="99"/>
    <w:rPr>
      <w:color w:val="605E5C"/>
      <w:shd w:val="clear" w:color="auto" w:fill="E1DFDD"/>
    </w:rPr>
  </w:style>
  <w:style w:type="character" w:customStyle="1" w:styleId="59">
    <w:name w:val="normaltextrun"/>
    <w:basedOn w:val="11"/>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2.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6.png"/><Relationship Id="rId15" Type="http://schemas.openxmlformats.org/officeDocument/2006/relationships/image" Target="media/image5.png"/><Relationship Id="rId14" Type="http://schemas.openxmlformats.org/officeDocument/2006/relationships/image" Target="media/image4.png"/><Relationship Id="rId13" Type="http://schemas.openxmlformats.org/officeDocument/2006/relationships/image" Target="media/image3.png"/><Relationship Id="rId12" Type="http://schemas.openxmlformats.org/officeDocument/2006/relationships/image" Target="media/image2.png"/><Relationship Id="rId11" Type="http://schemas.openxmlformats.org/officeDocument/2006/relationships/image" Target="media/image1.emf"/><Relationship Id="rId10" Type="http://schemas.openxmlformats.org/officeDocument/2006/relationships/oleObject" Target="embeddings/oleObject1.bin"/><Relationship Id="rId1" Type="http://schemas.openxmlformats.org/officeDocument/2006/relationships/styles" Target="styl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1AED404-D2C6-4633-B927-D7671820D979}">
  <ds:schemaRefs/>
</ds:datastoreItem>
</file>

<file path=docProps/app.xml><?xml version="1.0" encoding="utf-8"?>
<Properties xmlns="http://schemas.openxmlformats.org/officeDocument/2006/extended-properties" xmlns:vt="http://schemas.openxmlformats.org/officeDocument/2006/docPropsVTypes">
  <Template>EDITAL 35 PRESENCIAL - Mat. Didático_Ens. Fundamental</Template>
  <Company>PMI</Company>
  <Pages>26</Pages>
  <Words>10432</Words>
  <Characters>64661</Characters>
  <Lines>538</Lines>
  <Paragraphs>149</Paragraphs>
  <TotalTime>125</TotalTime>
  <ScaleCrop>false</ScaleCrop>
  <LinksUpToDate>false</LinksUpToDate>
  <CharactersWithSpaces>74944</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SRP</cp:category>
  <dcterms:created xsi:type="dcterms:W3CDTF">2022-05-23T17:07:00Z</dcterms:created>
  <dc:creator>usuario</dc:creator>
  <cp:lastModifiedBy>João Gustavo Fonseca</cp:lastModifiedBy>
  <cp:lastPrinted>2022-04-26T14:41:00Z</cp:lastPrinted>
  <dcterms:modified xsi:type="dcterms:W3CDTF">2023-07-11T14:05:18Z</dcterms:modified>
  <dc:subject>generos alimenticios estocaveis</dc:subject>
  <dc:title>Edital</dc:title>
  <cp:revision>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1046-11.2.0.11537</vt:lpwstr>
  </property>
  <property fmtid="{D5CDD505-2E9C-101B-9397-08002B2CF9AE}" pid="3" name="ICV">
    <vt:lpwstr>953B6B9E66AC4E2DB4341BF77F468489</vt:lpwstr>
  </property>
</Properties>
</file>