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68FCAF" w14:textId="148FEAF7" w:rsidR="00854A8D" w:rsidRPr="00FC4F37" w:rsidRDefault="00B3299D" w:rsidP="00637C3D">
      <w:pPr>
        <w:rPr>
          <w:rFonts w:ascii="Verdana" w:hAnsi="Verdana" w:cs="Verdana"/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7A348BE7" wp14:editId="4CE80A3D">
            <wp:simplePos x="0" y="0"/>
            <wp:positionH relativeFrom="column">
              <wp:posOffset>4840605</wp:posOffset>
            </wp:positionH>
            <wp:positionV relativeFrom="paragraph">
              <wp:posOffset>-136525</wp:posOffset>
            </wp:positionV>
            <wp:extent cx="918210" cy="10287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86DF5">
        <w:rPr>
          <w:rFonts w:ascii="Verdana" w:hAnsi="Verdana" w:cs="Verdana"/>
          <w:b/>
          <w:bCs/>
          <w:sz w:val="32"/>
          <w:szCs w:val="32"/>
          <w:u w:val="single"/>
        </w:rPr>
        <w:t>P</w:t>
      </w:r>
      <w:r w:rsidR="00854A8D" w:rsidRPr="00FC4F37">
        <w:rPr>
          <w:rFonts w:ascii="Verdana" w:hAnsi="Verdana" w:cs="Verdana"/>
          <w:b/>
          <w:bCs/>
          <w:sz w:val="32"/>
          <w:szCs w:val="32"/>
          <w:u w:val="single"/>
        </w:rPr>
        <w:t>refeitura da Estância Turística de Ibiúna</w:t>
      </w:r>
    </w:p>
    <w:p w14:paraId="3CB27681" w14:textId="77777777" w:rsidR="00854A8D" w:rsidRDefault="00854A8D" w:rsidP="00637C3D">
      <w:pPr>
        <w:rPr>
          <w:rFonts w:ascii="Verdana" w:hAnsi="Verdana" w:cs="Verdana"/>
          <w:sz w:val="28"/>
          <w:szCs w:val="28"/>
        </w:rPr>
      </w:pPr>
      <w:r w:rsidRPr="00FC4F37">
        <w:rPr>
          <w:rFonts w:ascii="Verdana" w:hAnsi="Verdana" w:cs="Verdana"/>
          <w:sz w:val="28"/>
          <w:szCs w:val="28"/>
        </w:rPr>
        <w:t>Estado de São Paulo</w:t>
      </w:r>
    </w:p>
    <w:p w14:paraId="2578FDCB" w14:textId="77777777" w:rsidR="00854A8D" w:rsidRPr="00B3299D" w:rsidRDefault="00B3299D" w:rsidP="00637C3D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Secretaria de Obras</w:t>
      </w:r>
    </w:p>
    <w:p w14:paraId="2DAD20CD" w14:textId="4A0448AE" w:rsidR="000F62CE" w:rsidRDefault="000F62CE" w:rsidP="00637C3D">
      <w:pPr>
        <w:rPr>
          <w:rFonts w:ascii="Verdana" w:hAnsi="Verdana" w:cs="Verdana"/>
          <w:sz w:val="28"/>
          <w:szCs w:val="28"/>
        </w:rPr>
      </w:pPr>
    </w:p>
    <w:p w14:paraId="216512F4" w14:textId="77777777" w:rsidR="009923C7" w:rsidRPr="00B3299D" w:rsidRDefault="009923C7" w:rsidP="00637C3D">
      <w:pPr>
        <w:rPr>
          <w:rFonts w:ascii="Verdana" w:hAnsi="Verdana" w:cs="Verdana"/>
          <w:sz w:val="28"/>
          <w:szCs w:val="28"/>
        </w:rPr>
      </w:pPr>
    </w:p>
    <w:p w14:paraId="65D019F5" w14:textId="6AD51A9C" w:rsidR="000F62CE" w:rsidRPr="00B3299D" w:rsidRDefault="00A4739B" w:rsidP="00637C3D">
      <w:pPr>
        <w:rPr>
          <w:rFonts w:ascii="Verdana" w:hAnsi="Verdana" w:cs="Verdana"/>
          <w:b/>
        </w:rPr>
      </w:pPr>
      <w:r>
        <w:rPr>
          <w:rFonts w:ascii="Verdana" w:hAnsi="Verdana" w:cs="Verdana"/>
          <w:b/>
        </w:rPr>
        <w:t>Memorial Descritivo</w:t>
      </w:r>
    </w:p>
    <w:p w14:paraId="7B80C2C3" w14:textId="77777777" w:rsidR="007370F5" w:rsidRDefault="007370F5" w:rsidP="007370F5">
      <w:pPr>
        <w:rPr>
          <w:rFonts w:ascii="Verdana" w:hAnsi="Verdana" w:cs="Verdana"/>
          <w:sz w:val="20"/>
          <w:szCs w:val="20"/>
        </w:rPr>
      </w:pPr>
    </w:p>
    <w:p w14:paraId="24169249" w14:textId="77777777" w:rsidR="00CA7B03" w:rsidRDefault="00CA7B03" w:rsidP="00CA7B03">
      <w:pPr>
        <w:tabs>
          <w:tab w:val="left" w:pos="3920"/>
        </w:tabs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14:paraId="41D69170" w14:textId="19FC763A" w:rsidR="009923C7" w:rsidRDefault="00DB6E3A" w:rsidP="00685F68">
      <w:pPr>
        <w:ind w:firstLine="708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Objeto: </w:t>
      </w:r>
      <w:r w:rsidR="0028623B">
        <w:rPr>
          <w:rFonts w:ascii="Verdana" w:hAnsi="Verdana" w:cs="Verdana"/>
          <w:bCs/>
          <w:sz w:val="20"/>
          <w:szCs w:val="20"/>
        </w:rPr>
        <w:t>FORNECIMENTO E INSTALAÇÃO DE REDE ELÉTRICA, LÓGICA E SPDA</w:t>
      </w:r>
    </w:p>
    <w:p w14:paraId="6444A1A4" w14:textId="77777777" w:rsidR="00DB6E3A" w:rsidRDefault="00DB6E3A" w:rsidP="00DB6E3A">
      <w:pPr>
        <w:jc w:val="both"/>
        <w:rPr>
          <w:rFonts w:ascii="Verdana" w:hAnsi="Verdana" w:cs="Verdana"/>
          <w:b/>
          <w:bCs/>
          <w:sz w:val="20"/>
          <w:szCs w:val="20"/>
        </w:rPr>
      </w:pPr>
    </w:p>
    <w:p w14:paraId="7E43C060" w14:textId="3B6A367A" w:rsidR="00A97EA2" w:rsidRDefault="00A97EA2" w:rsidP="00685F68">
      <w:pPr>
        <w:ind w:firstLine="708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Endereço:</w:t>
      </w:r>
      <w:r w:rsidR="0077572F"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19165A">
        <w:rPr>
          <w:rFonts w:ascii="Verdana" w:hAnsi="Verdana" w:cs="Verdana"/>
          <w:sz w:val="20"/>
          <w:szCs w:val="20"/>
        </w:rPr>
        <w:t>Avenida Gabriel Monteiro da Silva, nº 888, Bairro Centro, Ibiúna/SP</w:t>
      </w:r>
    </w:p>
    <w:p w14:paraId="38267B7C" w14:textId="26A57D02" w:rsidR="00CA7B03" w:rsidRPr="00B147FE" w:rsidRDefault="00CA7B03" w:rsidP="002635CC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B147FE">
        <w:rPr>
          <w:rFonts w:ascii="Verdana" w:hAnsi="Verdana" w:cs="Arial"/>
          <w:sz w:val="20"/>
          <w:szCs w:val="20"/>
        </w:rPr>
        <w:t xml:space="preserve">  </w:t>
      </w:r>
    </w:p>
    <w:p w14:paraId="3DD5B0A6" w14:textId="66E7CDC7" w:rsidR="00A4739B" w:rsidRPr="00A4739B" w:rsidRDefault="00A4739B" w:rsidP="002635CC">
      <w:pPr>
        <w:spacing w:line="360" w:lineRule="auto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CONSIDERAÇÕES INICIAIS</w:t>
      </w:r>
    </w:p>
    <w:p w14:paraId="49E6AA98" w14:textId="77777777" w:rsidR="00A4739B" w:rsidRPr="00A4739B" w:rsidRDefault="00A4739B" w:rsidP="002635CC">
      <w:pPr>
        <w:pStyle w:val="PargrafodaLista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12B5E57" w14:textId="503EA716" w:rsidR="00A4739B" w:rsidRPr="00A4739B" w:rsidRDefault="00DB6E3A" w:rsidP="002635CC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ADMINISTRAÇÃO GERAL</w:t>
      </w:r>
    </w:p>
    <w:p w14:paraId="3AFF261F" w14:textId="03F019DA" w:rsidR="00A4739B" w:rsidRPr="00A4739B" w:rsidRDefault="00DB6E3A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Os locais de prestação de serviço</w:t>
      </w:r>
      <w:r w:rsidR="00A4739B" w:rsidRPr="00A4739B">
        <w:rPr>
          <w:rFonts w:ascii="Verdana" w:hAnsi="Verdana" w:cs="Arial"/>
          <w:sz w:val="20"/>
          <w:szCs w:val="20"/>
        </w:rPr>
        <w:t xml:space="preserve"> dever</w:t>
      </w:r>
      <w:r>
        <w:rPr>
          <w:rFonts w:ascii="Verdana" w:hAnsi="Verdana" w:cs="Arial"/>
          <w:sz w:val="20"/>
          <w:szCs w:val="20"/>
        </w:rPr>
        <w:t>ão</w:t>
      </w:r>
      <w:r w:rsidR="00A4739B" w:rsidRPr="00A4739B">
        <w:rPr>
          <w:rFonts w:ascii="Verdana" w:hAnsi="Verdana" w:cs="Arial"/>
          <w:sz w:val="20"/>
          <w:szCs w:val="20"/>
        </w:rPr>
        <w:t xml:space="preserve"> ser mantid</w:t>
      </w:r>
      <w:r>
        <w:rPr>
          <w:rFonts w:ascii="Verdana" w:hAnsi="Verdana" w:cs="Arial"/>
          <w:sz w:val="20"/>
          <w:szCs w:val="20"/>
        </w:rPr>
        <w:t>os permanentemente limpos</w:t>
      </w:r>
      <w:r w:rsidR="00A4739B" w:rsidRPr="00A4739B">
        <w:rPr>
          <w:rFonts w:ascii="Verdana" w:hAnsi="Verdana" w:cs="Arial"/>
          <w:sz w:val="20"/>
          <w:szCs w:val="20"/>
        </w:rPr>
        <w:t xml:space="preserve"> e todo material proveniente de demolições deve ser descartado de maneira adequada.</w:t>
      </w:r>
    </w:p>
    <w:p w14:paraId="696636B2" w14:textId="0D30930E" w:rsidR="00A4739B" w:rsidRDefault="00DB6E3A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Os locais de prestação de serviço deverão ser</w:t>
      </w:r>
      <w:r w:rsidR="00A4739B" w:rsidRPr="00A4739B">
        <w:rPr>
          <w:rFonts w:ascii="Verdana" w:hAnsi="Verdana" w:cs="Arial"/>
          <w:sz w:val="20"/>
          <w:szCs w:val="20"/>
        </w:rPr>
        <w:t xml:space="preserve"> suprid</w:t>
      </w:r>
      <w:r>
        <w:rPr>
          <w:rFonts w:ascii="Verdana" w:hAnsi="Verdana" w:cs="Arial"/>
          <w:sz w:val="20"/>
          <w:szCs w:val="20"/>
        </w:rPr>
        <w:t>os</w:t>
      </w:r>
      <w:r w:rsidR="00A4739B" w:rsidRPr="00A4739B">
        <w:rPr>
          <w:rFonts w:ascii="Verdana" w:hAnsi="Verdana" w:cs="Arial"/>
          <w:sz w:val="20"/>
          <w:szCs w:val="20"/>
        </w:rPr>
        <w:t xml:space="preserve"> de todos os materiais e equipamentos necessários para garantir a segurança e higiene dos operários.</w:t>
      </w:r>
    </w:p>
    <w:p w14:paraId="1DFB7A40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538DB66D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1. APRESENTAÇÃO</w:t>
      </w:r>
    </w:p>
    <w:p w14:paraId="4DD7CD69" w14:textId="63B1635A" w:rsid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 xml:space="preserve">O presente memorial descritivo tem por objetivo estabelecer as características técnicas, os critérios de execução e as especificações dos materiais a serem empregados na </w:t>
      </w:r>
      <w:r w:rsidR="009E5353">
        <w:rPr>
          <w:rFonts w:ascii="Verdana" w:hAnsi="Verdana" w:cs="Arial"/>
          <w:sz w:val="20"/>
          <w:szCs w:val="20"/>
        </w:rPr>
        <w:t>implementação</w:t>
      </w:r>
      <w:r w:rsidRPr="00FD61D8">
        <w:rPr>
          <w:rFonts w:ascii="Verdana" w:hAnsi="Verdana" w:cs="Arial"/>
          <w:sz w:val="20"/>
          <w:szCs w:val="20"/>
        </w:rPr>
        <w:t xml:space="preserve"> das instalações elétricas, do Sistema de Proteção contra Descargas Atmosféricas (SPDA) e da infraestrutura de rede lógica (dados, telefonia e internet) do Hospital Municipal </w:t>
      </w:r>
      <w:r w:rsidR="00685F68">
        <w:rPr>
          <w:rFonts w:ascii="Verdana" w:hAnsi="Verdana" w:cs="Arial"/>
          <w:sz w:val="20"/>
          <w:szCs w:val="20"/>
        </w:rPr>
        <w:t>de Ibiúna</w:t>
      </w:r>
      <w:r w:rsidRPr="00FD61D8">
        <w:rPr>
          <w:rFonts w:ascii="Verdana" w:hAnsi="Verdana" w:cs="Arial"/>
          <w:sz w:val="20"/>
          <w:szCs w:val="20"/>
        </w:rPr>
        <w:t>. Este documento integra o projeto</w:t>
      </w:r>
      <w:r w:rsidR="009E5353">
        <w:rPr>
          <w:rFonts w:ascii="Verdana" w:hAnsi="Verdana" w:cs="Arial"/>
          <w:sz w:val="20"/>
          <w:szCs w:val="20"/>
        </w:rPr>
        <w:t xml:space="preserve"> executivo e serve</w:t>
      </w:r>
      <w:r w:rsidRPr="00FD61D8">
        <w:rPr>
          <w:rFonts w:ascii="Verdana" w:hAnsi="Verdana" w:cs="Arial"/>
          <w:sz w:val="20"/>
          <w:szCs w:val="20"/>
        </w:rPr>
        <w:t xml:space="preserve"> de base para a licitação, execução, orçamento e fiscalização da obra.</w:t>
      </w:r>
    </w:p>
    <w:p w14:paraId="2E757465" w14:textId="77777777" w:rsidR="00685F68" w:rsidRPr="00FD61D8" w:rsidRDefault="00685F6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6AF010C8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2. NORMAS TÉCNICAS E LEGISLAÇÃO APLICÁVEL</w:t>
      </w:r>
    </w:p>
    <w:p w14:paraId="16C0A81E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 execução dos serviços deverá obedecer rigorosamente às seguintes normas e regulamentos, em suas versões mais atualizadas:</w:t>
      </w:r>
    </w:p>
    <w:p w14:paraId="7173AB21" w14:textId="33388686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ABNT NBR 5410: Instalações elétricas de baixa tensão – requisitos para estabelecimentos assistenciais de saúde.</w:t>
      </w:r>
    </w:p>
    <w:p w14:paraId="24178A48" w14:textId="2CC85488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lastRenderedPageBreak/>
        <w:t>ABNT NBR 13534: Instalações elétricas em estabelecimentos assistenciais de saúde – requisitos específicos de segurança.</w:t>
      </w:r>
    </w:p>
    <w:p w14:paraId="1D67D237" w14:textId="1B4D88E6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ABNT NBR 5419: Proteção de estruturas contra descargas atmosféricas – projeto, instalação e manutenção de SPDA.</w:t>
      </w:r>
    </w:p>
    <w:p w14:paraId="7983785C" w14:textId="063AC6CE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ABNT NBR 13057: Eletrodutos de aço carbono com revestimento interno e externo – requisitos para sistemas elétricos.</w:t>
      </w:r>
    </w:p>
    <w:p w14:paraId="6DA98751" w14:textId="05F2F37A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ABNT NBR 14565: Cabeamento estruturado para edifícios – requisitos para projeto e instalação de rede lógica.</w:t>
      </w:r>
    </w:p>
    <w:p w14:paraId="298F5033" w14:textId="48B2B3B6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RDC ANVISA nº 50/2002: Regulamento técnico para projetos físicos de estabelecimentos assistenciais de saúde.</w:t>
      </w:r>
    </w:p>
    <w:p w14:paraId="1B49A429" w14:textId="22A37704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NR-10 do Ministério do Trabalho: Segurança em instalações e serviços em eletricidade.</w:t>
      </w:r>
    </w:p>
    <w:p w14:paraId="655EF95F" w14:textId="1DEF0FF9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Normas da concessionária local de energia elétrica.</w:t>
      </w:r>
    </w:p>
    <w:p w14:paraId="07918C41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75BE4BD0" w14:textId="231A835F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3. INSTALAÇÕES ELÉTRICAS –</w:t>
      </w:r>
      <w:r w:rsidR="009E5353">
        <w:rPr>
          <w:rFonts w:ascii="Verdana" w:hAnsi="Verdana" w:cs="Arial"/>
          <w:b/>
          <w:bCs/>
          <w:sz w:val="20"/>
          <w:szCs w:val="20"/>
        </w:rPr>
        <w:t xml:space="preserve">IMPLEMENTAÇÃO </w:t>
      </w:r>
      <w:r w:rsidRPr="00685F68">
        <w:rPr>
          <w:rFonts w:ascii="Verdana" w:hAnsi="Verdana" w:cs="Arial"/>
          <w:b/>
          <w:bCs/>
          <w:sz w:val="20"/>
          <w:szCs w:val="20"/>
        </w:rPr>
        <w:t>DE FIAÇÃO E TERMINAIS</w:t>
      </w:r>
    </w:p>
    <w:p w14:paraId="206F5F3A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3.1. Características Gerais</w:t>
      </w:r>
    </w:p>
    <w:p w14:paraId="6BA506DD" w14:textId="5B293689" w:rsidR="00FD61D8" w:rsidRPr="00FD61D8" w:rsidRDefault="009E5353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Será executada a instalação</w:t>
      </w:r>
      <w:r w:rsidR="00FD61D8" w:rsidRPr="00FD61D8">
        <w:rPr>
          <w:rFonts w:ascii="Verdana" w:hAnsi="Verdana" w:cs="Arial"/>
          <w:sz w:val="20"/>
          <w:szCs w:val="20"/>
        </w:rPr>
        <w:t xml:space="preserve"> integral da fiação elétrica</w:t>
      </w:r>
      <w:r>
        <w:rPr>
          <w:rFonts w:ascii="Verdana" w:hAnsi="Verdana" w:cs="Arial"/>
          <w:sz w:val="20"/>
          <w:szCs w:val="20"/>
        </w:rPr>
        <w:t>,</w:t>
      </w:r>
      <w:r w:rsidR="00FD61D8" w:rsidRPr="00FD61D8">
        <w:rPr>
          <w:rFonts w:ascii="Verdana" w:hAnsi="Verdana" w:cs="Arial"/>
          <w:sz w:val="20"/>
          <w:szCs w:val="20"/>
        </w:rPr>
        <w:t xml:space="preserve"> dos </w:t>
      </w:r>
      <w:proofErr w:type="spellStart"/>
      <w:r w:rsidR="00FD61D8" w:rsidRPr="00FD61D8">
        <w:rPr>
          <w:rFonts w:ascii="Verdana" w:hAnsi="Verdana" w:cs="Arial"/>
          <w:sz w:val="20"/>
          <w:szCs w:val="20"/>
        </w:rPr>
        <w:t>eletrodutos</w:t>
      </w:r>
      <w:proofErr w:type="spellEnd"/>
      <w:r w:rsidR="00FD61D8" w:rsidRPr="00FD61D8">
        <w:rPr>
          <w:rFonts w:ascii="Verdana" w:hAnsi="Verdana" w:cs="Arial"/>
          <w:sz w:val="20"/>
          <w:szCs w:val="20"/>
        </w:rPr>
        <w:t>, das caixas de passagem, dos quadros de distribuição, dos dispositivos de proteção e dos terminais (interruptores e tomadas) em todas as áreas objeto da reforma. A tensão nominal adotada será [220/380 V ou 127/220 V], trifásica com neutro, conforme definido em projeto.</w:t>
      </w:r>
    </w:p>
    <w:p w14:paraId="35054179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25AD9C18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3.2. Condutores Elétricos</w:t>
      </w:r>
    </w:p>
    <w:p w14:paraId="104A1618" w14:textId="7CC18968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Todos os condutores serão de cobre eletrolítico, com isolação em PVC (750 V ou 1.000 V), atendendo às seções dimensionadas em projeto. Serão utilizad</w:t>
      </w:r>
      <w:r w:rsidR="006876A8">
        <w:rPr>
          <w:rFonts w:ascii="Verdana" w:hAnsi="Verdana" w:cs="Arial"/>
          <w:sz w:val="20"/>
          <w:szCs w:val="20"/>
        </w:rPr>
        <w:t>o</w:t>
      </w:r>
      <w:r w:rsidRPr="00FD61D8">
        <w:rPr>
          <w:rFonts w:ascii="Verdana" w:hAnsi="Verdana" w:cs="Arial"/>
          <w:sz w:val="20"/>
          <w:szCs w:val="20"/>
        </w:rPr>
        <w:t xml:space="preserve">s diferentes </w:t>
      </w:r>
      <w:r w:rsidR="006876A8">
        <w:rPr>
          <w:rFonts w:ascii="Verdana" w:hAnsi="Verdana" w:cs="Arial"/>
          <w:sz w:val="20"/>
          <w:szCs w:val="20"/>
        </w:rPr>
        <w:t>diâmetros</w:t>
      </w:r>
      <w:r w:rsidRPr="00FD61D8">
        <w:rPr>
          <w:rFonts w:ascii="Verdana" w:hAnsi="Verdana" w:cs="Arial"/>
          <w:sz w:val="20"/>
          <w:szCs w:val="20"/>
        </w:rPr>
        <w:t xml:space="preserve"> conforme a demanda de cada circuito, incluindo, mas não se limitando a</w:t>
      </w:r>
      <w:r w:rsidR="00C168E2">
        <w:rPr>
          <w:rFonts w:ascii="Verdana" w:hAnsi="Verdana" w:cs="Arial"/>
          <w:sz w:val="20"/>
          <w:szCs w:val="20"/>
        </w:rPr>
        <w:t>o</w:t>
      </w:r>
      <w:r w:rsidRPr="00FD61D8">
        <w:rPr>
          <w:rFonts w:ascii="Verdana" w:hAnsi="Verdana" w:cs="Arial"/>
          <w:sz w:val="20"/>
          <w:szCs w:val="20"/>
        </w:rPr>
        <w:t xml:space="preserve">, </w:t>
      </w:r>
      <w:r w:rsidR="00C168E2">
        <w:rPr>
          <w:rFonts w:ascii="Verdana" w:hAnsi="Verdana" w:cs="Arial"/>
          <w:sz w:val="20"/>
          <w:szCs w:val="20"/>
        </w:rPr>
        <w:t>diâmetro de</w:t>
      </w:r>
      <w:r w:rsidRPr="00FD61D8">
        <w:rPr>
          <w:rFonts w:ascii="Verdana" w:hAnsi="Verdana" w:cs="Arial"/>
          <w:sz w:val="20"/>
          <w:szCs w:val="20"/>
        </w:rPr>
        <w:t xml:space="preserve"> 1,5 mm² para iluminação, 2,5 mm² para tomadas de uso geral, 4 mm², 6 mm², 10 mm² e superiores para circuitos dedicados. Os condutores de proteção (PE) terão seção compatível com a NBR 5410.</w:t>
      </w:r>
    </w:p>
    <w:p w14:paraId="053E543D" w14:textId="77777777" w:rsid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58E13CD" w14:textId="77777777" w:rsidR="006876A8" w:rsidRDefault="006876A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5881508D" w14:textId="77777777" w:rsidR="006876A8" w:rsidRPr="00FD61D8" w:rsidRDefault="006876A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43326082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lastRenderedPageBreak/>
        <w:t>3.3. Eletrodutos e Acessórios</w:t>
      </w:r>
    </w:p>
    <w:p w14:paraId="7EAD257A" w14:textId="3151A75D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Os eletrodutos serão</w:t>
      </w:r>
      <w:r w:rsidR="006876A8">
        <w:rPr>
          <w:rFonts w:ascii="Verdana" w:hAnsi="Verdana" w:cs="Arial"/>
          <w:sz w:val="20"/>
          <w:szCs w:val="20"/>
        </w:rPr>
        <w:t xml:space="preserve"> na sua maioria</w:t>
      </w:r>
      <w:r w:rsidRPr="00FD61D8">
        <w:rPr>
          <w:rFonts w:ascii="Verdana" w:hAnsi="Verdana" w:cs="Arial"/>
          <w:sz w:val="20"/>
          <w:szCs w:val="20"/>
        </w:rPr>
        <w:t xml:space="preserve"> do tipo galvanizado (aço carbono) conforme NBR 13057, instalados em áreas aparentes ou embutidos conforme projeto, garantindo resistência mecânica e proteção contra corrosão. Serão fornecidos e instalados todos os acessórios necessários para a execução das emendas, junções, curvas, luvas, braçadeiras, caixas de passagem e demais conexões pertinentes, assegurando a continuidade elétrica e a integridade mecânica da instalação.</w:t>
      </w:r>
    </w:p>
    <w:p w14:paraId="5383B9BF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7F79BB1C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3.4. Quadros de Distribuição de Energia</w:t>
      </w:r>
    </w:p>
    <w:p w14:paraId="7C0C227F" w14:textId="0E19D65F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Serão instalados novos quadros de distribuição de energia com barramento trifásico, em chapa de aço, embutidos, contendo barramentos de cobre para fase, neutro e proteção. Os quadros deverão comportar disjuntores e dispositivos de proteção conforme dimensionamento, com espaço reservado para expansão futura. Cada quadro será identificado com etiqueta de circuito e diagrama unifilar impresso e plastificado.</w:t>
      </w:r>
    </w:p>
    <w:p w14:paraId="78944FC1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6CC4956C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3.5. Dispositivos de Proteção e Manobra</w:t>
      </w:r>
    </w:p>
    <w:p w14:paraId="4CA5493E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Serão utilizados disjuntores termomagnéticos conforme a necessidade de cada circuito:</w:t>
      </w:r>
    </w:p>
    <w:p w14:paraId="692E8F2D" w14:textId="671FBD46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Disjuntores monopolares (1 polo) para circuitos monofásicos de iluminação e tomadas de uso geral.</w:t>
      </w:r>
    </w:p>
    <w:p w14:paraId="03A956A9" w14:textId="043EC5A6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Disjuntores bipolares (2 polos) para circuitos bifásicos ou para proteção de circuitos com neutro simultâneo.</w:t>
      </w:r>
    </w:p>
    <w:p w14:paraId="2AB9B7AB" w14:textId="721EDD29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Disjuntores tripolares (3 polos) para circuitos trifásicos (motores, equipamentos de grande porte, alimentadores de subquadros).</w:t>
      </w:r>
    </w:p>
    <w:p w14:paraId="2A3C7305" w14:textId="08BE60B8" w:rsidR="002E5106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 xml:space="preserve">As amperagens serão definidas em projeto (ex.: 10A, 16A, 20A, 25A, 32A, 40A, 50A, 63A, etc.), compatíveis com a seção dos condutores e com a carga instalada. </w:t>
      </w:r>
    </w:p>
    <w:p w14:paraId="0A91366F" w14:textId="77777777" w:rsidR="006072AB" w:rsidRDefault="006072AB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AD96254" w14:textId="77777777" w:rsidR="002E5106" w:rsidRPr="00FD61D8" w:rsidRDefault="002E5106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1782D3D5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3.6. Terminais – Interruptores e Tomadas</w:t>
      </w:r>
    </w:p>
    <w:p w14:paraId="11055E82" w14:textId="20296F4D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lastRenderedPageBreak/>
        <w:t xml:space="preserve">Serão </w:t>
      </w:r>
      <w:r w:rsidR="00EC64AE">
        <w:rPr>
          <w:rFonts w:ascii="Verdana" w:hAnsi="Verdana" w:cs="Arial"/>
          <w:sz w:val="20"/>
          <w:szCs w:val="20"/>
        </w:rPr>
        <w:t>instalados</w:t>
      </w:r>
      <w:r w:rsidRPr="00FD61D8">
        <w:rPr>
          <w:rFonts w:ascii="Verdana" w:hAnsi="Verdana" w:cs="Arial"/>
          <w:sz w:val="20"/>
          <w:szCs w:val="20"/>
        </w:rPr>
        <w:t xml:space="preserve"> novos dispositivos</w:t>
      </w:r>
      <w:r w:rsidR="00EC64AE">
        <w:rPr>
          <w:rFonts w:ascii="Verdana" w:hAnsi="Verdana" w:cs="Arial"/>
          <w:sz w:val="20"/>
          <w:szCs w:val="20"/>
        </w:rPr>
        <w:t xml:space="preserve"> de</w:t>
      </w:r>
      <w:r w:rsidR="00EC64AE" w:rsidRPr="00EC64AE">
        <w:rPr>
          <w:rFonts w:ascii="Verdana" w:hAnsi="Verdana" w:cs="Arial"/>
          <w:sz w:val="20"/>
          <w:szCs w:val="20"/>
        </w:rPr>
        <w:t xml:space="preserve"> </w:t>
      </w:r>
      <w:r w:rsidR="00EC64AE" w:rsidRPr="00FD61D8">
        <w:rPr>
          <w:rFonts w:ascii="Verdana" w:hAnsi="Verdana" w:cs="Arial"/>
          <w:sz w:val="20"/>
          <w:szCs w:val="20"/>
        </w:rPr>
        <w:t>interruptores e tomadas</w:t>
      </w:r>
      <w:r w:rsidRPr="00FD61D8">
        <w:rPr>
          <w:rFonts w:ascii="Verdana" w:hAnsi="Verdana" w:cs="Arial"/>
          <w:sz w:val="20"/>
          <w:szCs w:val="20"/>
        </w:rPr>
        <w:t>, adequados para uso hospitalar (resistência a agentes químicos e fácil limpeza). Os interruptores serão dos tipos:</w:t>
      </w:r>
    </w:p>
    <w:p w14:paraId="356E2ADA" w14:textId="2CBEAE70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Simples (uma seção, acionamento de um ponto de luz);</w:t>
      </w:r>
    </w:p>
    <w:p w14:paraId="5A523BE4" w14:textId="33F852CD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Paralelo (</w:t>
      </w:r>
      <w:proofErr w:type="spellStart"/>
      <w:r w:rsidRPr="00FD61D8">
        <w:rPr>
          <w:rFonts w:ascii="Verdana" w:hAnsi="Verdana" w:cs="Arial"/>
          <w:sz w:val="20"/>
          <w:szCs w:val="20"/>
        </w:rPr>
        <w:t>three-way</w:t>
      </w:r>
      <w:proofErr w:type="spellEnd"/>
      <w:r w:rsidRPr="00FD61D8">
        <w:rPr>
          <w:rFonts w:ascii="Verdana" w:hAnsi="Verdana" w:cs="Arial"/>
          <w:sz w:val="20"/>
          <w:szCs w:val="20"/>
        </w:rPr>
        <w:t>, acionamento de um ponto de luz por dois interruptores);</w:t>
      </w:r>
    </w:p>
    <w:p w14:paraId="1A8ABD74" w14:textId="3BE9E0F0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Intermediário (four-</w:t>
      </w:r>
      <w:proofErr w:type="spellStart"/>
      <w:r w:rsidRPr="00FD61D8">
        <w:rPr>
          <w:rFonts w:ascii="Verdana" w:hAnsi="Verdana" w:cs="Arial"/>
          <w:sz w:val="20"/>
          <w:szCs w:val="20"/>
        </w:rPr>
        <w:t>way</w:t>
      </w:r>
      <w:proofErr w:type="spellEnd"/>
      <w:r w:rsidRPr="00FD61D8">
        <w:rPr>
          <w:rFonts w:ascii="Verdana" w:hAnsi="Verdana" w:cs="Arial"/>
          <w:sz w:val="20"/>
          <w:szCs w:val="20"/>
        </w:rPr>
        <w:t>, acionamento de um ponto de luz por três ou mais interruptores).</w:t>
      </w:r>
    </w:p>
    <w:p w14:paraId="5792B912" w14:textId="57C41009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As tomadas serão dos tipos 10A (para equipamentos de baixa potência) e 20A (para equipamentos de maior consumo), com contatos de terra obrigatórios, conforme NBR 5410. A padronização de cores e formatos seguirá o projeto arquitetônico.</w:t>
      </w:r>
    </w:p>
    <w:p w14:paraId="32D2CEA4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5C4E4105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4. SISTEMA DE PROTEÇÃO CONTRA DESCARGAS ATMOSFÉRICAS (SPDA)</w:t>
      </w:r>
    </w:p>
    <w:p w14:paraId="412135AE" w14:textId="77777777" w:rsidR="00FD61D8" w:rsidRPr="00685F6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685F68">
        <w:rPr>
          <w:rFonts w:ascii="Verdana" w:hAnsi="Verdana" w:cs="Arial"/>
          <w:b/>
          <w:bCs/>
          <w:sz w:val="20"/>
          <w:szCs w:val="20"/>
        </w:rPr>
        <w:t>4.1. Nível de Proteção e Concepção Geral</w:t>
      </w:r>
    </w:p>
    <w:p w14:paraId="74071E33" w14:textId="4CA9F342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O SPDA será executado em conformidade com a ABNT NBR 5419</w:t>
      </w:r>
      <w:r w:rsidR="006876A8">
        <w:rPr>
          <w:rFonts w:ascii="Verdana" w:hAnsi="Verdana" w:cs="Arial"/>
          <w:sz w:val="20"/>
          <w:szCs w:val="20"/>
        </w:rPr>
        <w:t>.</w:t>
      </w:r>
      <w:r w:rsidRPr="00FD61D8">
        <w:rPr>
          <w:rFonts w:ascii="Verdana" w:hAnsi="Verdana" w:cs="Arial"/>
          <w:sz w:val="20"/>
          <w:szCs w:val="20"/>
        </w:rPr>
        <w:t xml:space="preserve"> O sistema será composto por subsistemas de captação, descida e aterramento, integrados à malha equipotencial da edificação.</w:t>
      </w:r>
    </w:p>
    <w:p w14:paraId="501E7A3F" w14:textId="2DE06A50" w:rsidR="00FD61D8" w:rsidRPr="00685F68" w:rsidRDefault="007553DA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4.2. S</w:t>
      </w:r>
      <w:r w:rsidR="00FD61D8" w:rsidRPr="00685F68">
        <w:rPr>
          <w:rFonts w:ascii="Verdana" w:hAnsi="Verdana" w:cs="Arial"/>
          <w:b/>
          <w:bCs/>
          <w:sz w:val="20"/>
          <w:szCs w:val="20"/>
        </w:rPr>
        <w:t>istema de Captação</w:t>
      </w:r>
    </w:p>
    <w:p w14:paraId="46312E4D" w14:textId="2EE5FDD9" w:rsidR="004410AA" w:rsidRDefault="004410AA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4410AA">
        <w:rPr>
          <w:rFonts w:ascii="Verdana" w:hAnsi="Verdana" w:cs="Arial"/>
          <w:sz w:val="20"/>
          <w:szCs w:val="20"/>
        </w:rPr>
        <w:t>Serão instalados terminais aéreos tipo mini captores (captores Franklin de pequeno porte) montados em mastros de aço galvanizado ou alumínio, posicionados nos pontos elevados da cobertura, com a função específica de atrair a descarga atmosférica para o imóvel, criando um ponto preferencial de incidência do raio</w:t>
      </w:r>
      <w:r>
        <w:rPr>
          <w:rFonts w:ascii="Verdana" w:hAnsi="Verdana" w:cs="Arial"/>
          <w:sz w:val="20"/>
          <w:szCs w:val="20"/>
        </w:rPr>
        <w:t>, evitando assim uma descarga em algum local imprevisível, colocando em risco a população da região</w:t>
      </w:r>
      <w:r w:rsidRPr="004410AA">
        <w:rPr>
          <w:rFonts w:ascii="Verdana" w:hAnsi="Verdana" w:cs="Arial"/>
          <w:sz w:val="20"/>
          <w:szCs w:val="20"/>
        </w:rPr>
        <w:t>. Esses mini captores atuarão como elementos de captação primária, mas a efetiva recepção da corrente elétrica será realizada por captores Franklin devidamente dimensionados, que, uma vez atraída a descarga pelos mini captores, receberão a alta corrente e a conduzirão de forma segura para o subsistema de descidas e, posteriormente, para o aterramento. A quantidade, altura e disposição dos mastros e captores estão definidas em projeto, atendendo ao ângulo de proteção e às distâncias exigidas pela NBR 5419, garantindo que toda a energia captada seja escoada de maneira controlada e sem riscos à edificação</w:t>
      </w:r>
      <w:r w:rsidR="007D6551">
        <w:rPr>
          <w:rFonts w:ascii="Verdana" w:hAnsi="Verdana" w:cs="Arial"/>
          <w:sz w:val="20"/>
          <w:szCs w:val="20"/>
        </w:rPr>
        <w:t>, bem como à funcionários e pacientes</w:t>
      </w:r>
      <w:r w:rsidRPr="004410AA">
        <w:rPr>
          <w:rFonts w:ascii="Verdana" w:hAnsi="Verdana" w:cs="Arial"/>
          <w:sz w:val="20"/>
          <w:szCs w:val="20"/>
        </w:rPr>
        <w:t>.</w:t>
      </w:r>
    </w:p>
    <w:p w14:paraId="77FA8688" w14:textId="58D783BC" w:rsidR="00FD61D8" w:rsidRPr="00FD61D8" w:rsidRDefault="007553DA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4.3. S</w:t>
      </w:r>
      <w:r w:rsidR="00FD61D8" w:rsidRPr="00FD61D8">
        <w:rPr>
          <w:rFonts w:ascii="Verdana" w:hAnsi="Verdana" w:cs="Arial"/>
          <w:b/>
          <w:bCs/>
          <w:sz w:val="20"/>
          <w:szCs w:val="20"/>
        </w:rPr>
        <w:t>istema de Descida</w:t>
      </w:r>
    </w:p>
    <w:p w14:paraId="22B26A18" w14:textId="43A1154E" w:rsidR="002E5106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lastRenderedPageBreak/>
        <w:t xml:space="preserve">As cordoalhas (condutores de descida) serão de cobre nu ou alumínio, dimensionadas conforme NBR 5419. Para garantir a proteção mecânica e evitar danos acidentais, as cordoalhas serão circundadas por eletroduto de PVC rígido ao longo de todo o percurso de descida, desde a cobertura até o nível do solo. A proteção com eletroduto evita contato direto e danos por agentes externos, garantindo a </w:t>
      </w:r>
      <w:r w:rsidR="00665E8B">
        <w:rPr>
          <w:rFonts w:ascii="Verdana" w:hAnsi="Verdana" w:cs="Arial"/>
          <w:sz w:val="20"/>
          <w:szCs w:val="20"/>
        </w:rPr>
        <w:t>segurança.</w:t>
      </w:r>
    </w:p>
    <w:p w14:paraId="46B6A311" w14:textId="77777777" w:rsidR="002E5106" w:rsidRPr="00FD61D8" w:rsidRDefault="002E5106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693EA56E" w14:textId="17C1BB3B" w:rsidR="00FD61D8" w:rsidRPr="00FD61D8" w:rsidRDefault="007553DA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4.4. S</w:t>
      </w:r>
      <w:r w:rsidR="00FD61D8" w:rsidRPr="00FD61D8">
        <w:rPr>
          <w:rFonts w:ascii="Verdana" w:hAnsi="Verdana" w:cs="Arial"/>
          <w:b/>
          <w:bCs/>
          <w:sz w:val="20"/>
          <w:szCs w:val="20"/>
        </w:rPr>
        <w:t>istema de Aterramento</w:t>
      </w:r>
    </w:p>
    <w:p w14:paraId="235D68D2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O aterramento será composto por:</w:t>
      </w:r>
    </w:p>
    <w:p w14:paraId="5C294731" w14:textId="45FD8C5C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Hastes de aterramento (eletrodos) de aço cobreado ou cobre sólido, com comprimento mínimo de 3 metros (ou conforme resistividade do solo), cravadas verticalmente.</w:t>
      </w:r>
    </w:p>
    <w:p w14:paraId="40558896" w14:textId="22ADA8BF" w:rsidR="00FD61D8" w:rsidRPr="00FD61D8" w:rsidRDefault="007D6551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Cordoalhas</w:t>
      </w:r>
      <w:r w:rsidR="00FD61D8" w:rsidRPr="00FD61D8">
        <w:rPr>
          <w:rFonts w:ascii="Verdana" w:hAnsi="Verdana" w:cs="Arial"/>
          <w:sz w:val="20"/>
          <w:szCs w:val="20"/>
        </w:rPr>
        <w:t xml:space="preserve"> de interligação em cobre nu conectando as hastes ao anel de aterramento.</w:t>
      </w:r>
    </w:p>
    <w:p w14:paraId="54C34863" w14:textId="70FE72B5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Caixas de inspeção para aterramento, instaladas ao nível do solo, permitindo a medição da resistência e a manutenção periódica.</w:t>
      </w:r>
    </w:p>
    <w:p w14:paraId="0475CB91" w14:textId="09263553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Caixa de equalização (barra de equipotencialização principal), onde serão conectados todos os condutores de descida, a malha de aterramento geral da edificação e os sistemas de proteção contra surtos.</w:t>
      </w:r>
    </w:p>
    <w:p w14:paraId="360F3E9C" w14:textId="306BF00A" w:rsid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Todas as conexões serão feitas por meio de conectores apropriados (solda exotérmica ou conectores mecânicos de compressão), garantindo baixa resistência de contato. O sistema de aterramento do SPDA será interligado à malha de aterramento geral do hospital (aterramento elétrico e de proteção), formando um único sistema equipotencial, conforme exige a NBR 5419 para evitar centelhamentos perigosos.</w:t>
      </w:r>
    </w:p>
    <w:p w14:paraId="7A1CBC61" w14:textId="77777777" w:rsidR="00665E8B" w:rsidRPr="00FD61D8" w:rsidRDefault="00665E8B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4D442C05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t>4.5. Resistência de Aterramento</w:t>
      </w:r>
    </w:p>
    <w:p w14:paraId="3D9FE804" w14:textId="18434352" w:rsidR="002E5106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Após a instalação, deverá ser realizada medição da resistência de aterramento, cujo valor deverá ser inferior ou igual a 10 Ω (dez ohms). Caso o valor obtido seja superior, novas hastes deverão ser adicionadas ou será realizado tratamento químico do solo.</w:t>
      </w:r>
    </w:p>
    <w:p w14:paraId="77BF53F5" w14:textId="77777777" w:rsidR="002E5106" w:rsidRDefault="002E5106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E2C9BD5" w14:textId="77777777" w:rsidR="002E5106" w:rsidRPr="00FD61D8" w:rsidRDefault="002E5106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E98C39C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t>5. REDE LÓGICA – TELEFONIA, INTERNET E DADOS</w:t>
      </w:r>
    </w:p>
    <w:p w14:paraId="1595017B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lastRenderedPageBreak/>
        <w:t>5.1. Padrão e Infraestrutura Geral</w:t>
      </w:r>
    </w:p>
    <w:p w14:paraId="594F127A" w14:textId="15D95DD0" w:rsidR="00665E8B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A infraestrutura da rede lógica seguirá a ABNT NBR 14565 (Cabeamento estruturado), abrangendo os subsistemas de entrada</w:t>
      </w:r>
      <w:r w:rsidR="00665E8B">
        <w:rPr>
          <w:rFonts w:ascii="Verdana" w:hAnsi="Verdana" w:cs="Arial"/>
          <w:sz w:val="20"/>
          <w:szCs w:val="20"/>
        </w:rPr>
        <w:t xml:space="preserve"> e</w:t>
      </w:r>
      <w:r w:rsidRPr="00FD61D8">
        <w:rPr>
          <w:rFonts w:ascii="Verdana" w:hAnsi="Verdana" w:cs="Arial"/>
          <w:sz w:val="20"/>
          <w:szCs w:val="20"/>
        </w:rPr>
        <w:t xml:space="preserve"> cabeamento horizontal. Todo o cabeamento será protegido contra interferências eletromagnéticas, utilizando materiais de boa qualidade e compatíveis com ambientes hospitalares.</w:t>
      </w:r>
    </w:p>
    <w:p w14:paraId="01939780" w14:textId="77777777" w:rsidR="002E5106" w:rsidRPr="00FD61D8" w:rsidRDefault="002E5106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8F2DFC5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t>5.2. Cabos e Conectores</w:t>
      </w:r>
    </w:p>
    <w:p w14:paraId="75C7714D" w14:textId="0214F108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 xml:space="preserve">Cabos de dados (internet): Será utilizado cabo de par trançado UTP Cat. 6 ou Cat. 6a, com blindagem global (FTP) ou individual (S/FTP) nos trechos sujeitos a interferências. Os cabos deverão ser do tipo não </w:t>
      </w:r>
      <w:proofErr w:type="spellStart"/>
      <w:r w:rsidRPr="00FD61D8">
        <w:rPr>
          <w:rFonts w:ascii="Verdana" w:hAnsi="Verdana" w:cs="Arial"/>
          <w:sz w:val="20"/>
          <w:szCs w:val="20"/>
        </w:rPr>
        <w:t>propagante</w:t>
      </w:r>
      <w:proofErr w:type="spellEnd"/>
      <w:r w:rsidRPr="00FD61D8">
        <w:rPr>
          <w:rFonts w:ascii="Verdana" w:hAnsi="Verdana" w:cs="Arial"/>
          <w:sz w:val="20"/>
          <w:szCs w:val="20"/>
        </w:rPr>
        <w:t xml:space="preserve"> de chamas (LSZH – </w:t>
      </w:r>
      <w:proofErr w:type="spellStart"/>
      <w:r w:rsidRPr="00FD61D8">
        <w:rPr>
          <w:rFonts w:ascii="Verdana" w:hAnsi="Verdana" w:cs="Arial"/>
          <w:sz w:val="20"/>
          <w:szCs w:val="20"/>
        </w:rPr>
        <w:t>Low</w:t>
      </w:r>
      <w:proofErr w:type="spellEnd"/>
      <w:r w:rsidRPr="00FD61D8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FD61D8">
        <w:rPr>
          <w:rFonts w:ascii="Verdana" w:hAnsi="Verdana" w:cs="Arial"/>
          <w:sz w:val="20"/>
          <w:szCs w:val="20"/>
        </w:rPr>
        <w:t>Smoke</w:t>
      </w:r>
      <w:proofErr w:type="spellEnd"/>
      <w:r w:rsidRPr="00FD61D8">
        <w:rPr>
          <w:rFonts w:ascii="Verdana" w:hAnsi="Verdana" w:cs="Arial"/>
          <w:sz w:val="20"/>
          <w:szCs w:val="20"/>
        </w:rPr>
        <w:t xml:space="preserve"> Zero </w:t>
      </w:r>
      <w:proofErr w:type="spellStart"/>
      <w:r w:rsidRPr="00FD61D8">
        <w:rPr>
          <w:rFonts w:ascii="Verdana" w:hAnsi="Verdana" w:cs="Arial"/>
          <w:sz w:val="20"/>
          <w:szCs w:val="20"/>
        </w:rPr>
        <w:t>Halogen</w:t>
      </w:r>
      <w:proofErr w:type="spellEnd"/>
      <w:r w:rsidRPr="00FD61D8">
        <w:rPr>
          <w:rFonts w:ascii="Verdana" w:hAnsi="Verdana" w:cs="Arial"/>
          <w:sz w:val="20"/>
          <w:szCs w:val="20"/>
        </w:rPr>
        <w:t>), reduzindo a emissão de gases tóxicos em caso de incêndio.</w:t>
      </w:r>
    </w:p>
    <w:p w14:paraId="1CF77CAF" w14:textId="2F27C2EC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Cabos de telefonia: Cabos de par trançado de 4 condutores (ou mais, conforme necessidade) para sinal telefônico, também com isolação adequada e certificação para uso interno.</w:t>
      </w:r>
    </w:p>
    <w:p w14:paraId="3CBB05AA" w14:textId="024E2459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 xml:space="preserve">Conectores: Serão utilizados conectores RJ45 (fêmea) categoria Cat. 6 para os pontos de internet, e conectores RJ11 (fêmea) para os pontos de telefone, instalados em tomadas de parede do tipo </w:t>
      </w:r>
      <w:proofErr w:type="spellStart"/>
      <w:r w:rsidRPr="00FD61D8">
        <w:rPr>
          <w:rFonts w:ascii="Verdana" w:hAnsi="Verdana" w:cs="Arial"/>
          <w:sz w:val="20"/>
          <w:szCs w:val="20"/>
        </w:rPr>
        <w:t>keystone</w:t>
      </w:r>
      <w:proofErr w:type="spellEnd"/>
      <w:r w:rsidRPr="00FD61D8">
        <w:rPr>
          <w:rFonts w:ascii="Verdana" w:hAnsi="Verdana" w:cs="Arial"/>
          <w:sz w:val="20"/>
          <w:szCs w:val="20"/>
        </w:rPr>
        <w:t>, compatíveis com caixas retangulares 4x2” ou 4x4”.</w:t>
      </w:r>
    </w:p>
    <w:p w14:paraId="6DD52558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250691F6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t>5.3. Eletrodutos e Proteção Mecânica</w:t>
      </w:r>
    </w:p>
    <w:p w14:paraId="081A60EA" w14:textId="4984C376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Todo o cabeamento da rede lógica será instalado no interior de eletrodutos flexíveis reforçados (corrugados ou helicoidais) de PVC ou poliamida, garantindo proteção contra impactos, umidade e roedores. Nos trechos embutidos em alvenaria, poderão ser utilizados eletrodutos rígidos de PVC.</w:t>
      </w:r>
    </w:p>
    <w:p w14:paraId="77049C9D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6F9284D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t>5.4. Pontos Terminais</w:t>
      </w:r>
    </w:p>
    <w:p w14:paraId="1F8BCFCA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 xml:space="preserve">Os pontos terminais serão instalados em caixas retangulares (4x2” ou 4x4”), embutidas ou de sobrepor conforme o local. Cada caixa comportará a tomada de rede RJ45 (internet) e/ou a tomada RJ11 (telefone), conforme a necessidade de cada ambiente. Todos os pontos serão identificados de forma única, com etiqueta numerada, e mapeados no painel de distribuição (patch </w:t>
      </w:r>
      <w:proofErr w:type="spellStart"/>
      <w:r w:rsidRPr="00FD61D8">
        <w:rPr>
          <w:rFonts w:ascii="Verdana" w:hAnsi="Verdana" w:cs="Arial"/>
          <w:sz w:val="20"/>
          <w:szCs w:val="20"/>
        </w:rPr>
        <w:t>panel</w:t>
      </w:r>
      <w:proofErr w:type="spellEnd"/>
      <w:r w:rsidRPr="00FD61D8">
        <w:rPr>
          <w:rFonts w:ascii="Verdana" w:hAnsi="Verdana" w:cs="Arial"/>
          <w:sz w:val="20"/>
          <w:szCs w:val="20"/>
        </w:rPr>
        <w:t>).</w:t>
      </w:r>
    </w:p>
    <w:p w14:paraId="64D8AC4A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67568B71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t>6. CONDIÇÕES GERAIS DE EXECUÇÃO E SEGURANÇA</w:t>
      </w:r>
    </w:p>
    <w:p w14:paraId="7E3051DA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lastRenderedPageBreak/>
        <w:t>A execução dos serviços observará integralmente a NR-10 (segurança em instalações elétricas), incluindo:</w:t>
      </w:r>
    </w:p>
    <w:p w14:paraId="7081566C" w14:textId="29F3BC21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Desenergização, sinalização, bloqueio e identificação dos pontos de corte antes de qualquer intervenção.</w:t>
      </w:r>
    </w:p>
    <w:p w14:paraId="410209F5" w14:textId="4351632C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 xml:space="preserve">Utilização de EPIs e </w:t>
      </w:r>
      <w:proofErr w:type="spellStart"/>
      <w:r w:rsidRPr="00FD61D8">
        <w:rPr>
          <w:rFonts w:ascii="Verdana" w:hAnsi="Verdana" w:cs="Arial"/>
          <w:sz w:val="20"/>
          <w:szCs w:val="20"/>
        </w:rPr>
        <w:t>EPCs</w:t>
      </w:r>
      <w:proofErr w:type="spellEnd"/>
      <w:r w:rsidRPr="00FD61D8">
        <w:rPr>
          <w:rFonts w:ascii="Verdana" w:hAnsi="Verdana" w:cs="Arial"/>
          <w:sz w:val="20"/>
          <w:szCs w:val="20"/>
        </w:rPr>
        <w:t xml:space="preserve"> adequados.</w:t>
      </w:r>
    </w:p>
    <w:p w14:paraId="175CCD35" w14:textId="3722D23A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Emissão da ART de execução para cada subsistema (elétrica, SPDA, rede lógica).</w:t>
      </w:r>
    </w:p>
    <w:p w14:paraId="51EE2CD1" w14:textId="6A48D1DF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Realização de testes e ensaios intermediários (continuidade, isolação, funcionamento de disjuntores, medição de aterramento).</w:t>
      </w:r>
    </w:p>
    <w:p w14:paraId="0A41D748" w14:textId="2973C355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 xml:space="preserve">Ao final, entrega da documentação completa: projetos as </w:t>
      </w:r>
      <w:proofErr w:type="spellStart"/>
      <w:r w:rsidRPr="00FD61D8">
        <w:rPr>
          <w:rFonts w:ascii="Verdana" w:hAnsi="Verdana" w:cs="Arial"/>
          <w:sz w:val="20"/>
          <w:szCs w:val="20"/>
        </w:rPr>
        <w:t>built</w:t>
      </w:r>
      <w:proofErr w:type="spellEnd"/>
      <w:r w:rsidRPr="00FD61D8">
        <w:rPr>
          <w:rFonts w:ascii="Verdana" w:hAnsi="Verdana" w:cs="Arial"/>
          <w:sz w:val="20"/>
          <w:szCs w:val="20"/>
        </w:rPr>
        <w:t>, laudos de medição, certificados dos materiais e ART de conclusão.</w:t>
      </w:r>
    </w:p>
    <w:p w14:paraId="1AEC88D3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7F49CBCF" w14:textId="77777777" w:rsidR="00FD61D8" w:rsidRP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b/>
          <w:bCs/>
          <w:sz w:val="20"/>
          <w:szCs w:val="20"/>
        </w:rPr>
      </w:pPr>
      <w:r w:rsidRPr="00FD61D8">
        <w:rPr>
          <w:rFonts w:ascii="Verdana" w:hAnsi="Verdana" w:cs="Arial"/>
          <w:b/>
          <w:bCs/>
          <w:sz w:val="20"/>
          <w:szCs w:val="20"/>
        </w:rPr>
        <w:t>7. DISPOSIÇÕES FINAIS</w:t>
      </w:r>
    </w:p>
    <w:p w14:paraId="5620CAD0" w14:textId="0A080BF3" w:rsidR="00A4739B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FD61D8">
        <w:rPr>
          <w:rFonts w:ascii="Verdana" w:hAnsi="Verdana" w:cs="Arial"/>
          <w:sz w:val="20"/>
          <w:szCs w:val="20"/>
        </w:rPr>
        <w:t>O presente memorial descritivo é parte integrante do projeto e do edital de licitação. Em caso de omissão ou dúvida, prevalece o disposto nas plantas e nos detalhamentos específicos do projeto, bem como nas normas técnicas aplicáveis. A contratada deverá apresentar plano de trabalho que garanta a continuidade dos serviços essenciais do hospital durante a execução das obras.</w:t>
      </w:r>
    </w:p>
    <w:p w14:paraId="69FC7959" w14:textId="77777777" w:rsid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3D7735EE" w14:textId="77777777" w:rsidR="00FD61D8" w:rsidRDefault="00FD61D8" w:rsidP="00FD61D8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76FA5CB" w14:textId="166B2945" w:rsidR="005D258C" w:rsidRPr="002635CC" w:rsidRDefault="005D258C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048B52C0" w14:textId="77777777" w:rsidR="005D258C" w:rsidRPr="002635CC" w:rsidRDefault="005D258C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7633799E" w14:textId="4C06C68D" w:rsidR="00B147FE" w:rsidRPr="002635CC" w:rsidRDefault="00CA7B03" w:rsidP="00A44456">
      <w:pPr>
        <w:spacing w:after="120" w:line="360" w:lineRule="auto"/>
        <w:ind w:firstLine="709"/>
        <w:jc w:val="right"/>
        <w:rPr>
          <w:rFonts w:ascii="Verdana" w:hAnsi="Verdana" w:cs="Arial"/>
          <w:sz w:val="20"/>
          <w:szCs w:val="20"/>
        </w:rPr>
      </w:pPr>
      <w:r w:rsidRPr="002635CC">
        <w:rPr>
          <w:rFonts w:ascii="Verdana" w:hAnsi="Verdana" w:cs="Arial"/>
          <w:sz w:val="20"/>
          <w:szCs w:val="20"/>
        </w:rPr>
        <w:tab/>
      </w:r>
      <w:r w:rsidR="00B147FE" w:rsidRPr="002635CC">
        <w:rPr>
          <w:rFonts w:ascii="Verdana" w:hAnsi="Verdana" w:cs="Arial"/>
          <w:sz w:val="20"/>
          <w:szCs w:val="20"/>
        </w:rPr>
        <w:t xml:space="preserve">Ibiúna, </w:t>
      </w:r>
      <w:sdt>
        <w:sdtPr>
          <w:rPr>
            <w:rFonts w:ascii="Verdana" w:hAnsi="Verdana" w:cs="Arial"/>
            <w:sz w:val="20"/>
            <w:szCs w:val="20"/>
          </w:rPr>
          <w:id w:val="-1624462186"/>
          <w:placeholder>
            <w:docPart w:val="E33DC66AF43A4BB6BF6DA362BE4C03BA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2635CC" w:rsidRPr="002635CC">
            <w:rPr>
              <w:rFonts w:ascii="Verdana" w:hAnsi="Verdana" w:cs="Arial"/>
              <w:sz w:val="20"/>
              <w:szCs w:val="20"/>
            </w:rPr>
            <w:t>1</w:t>
          </w:r>
          <w:r w:rsidR="004E4356">
            <w:rPr>
              <w:rFonts w:ascii="Verdana" w:hAnsi="Verdana" w:cs="Arial"/>
              <w:sz w:val="20"/>
              <w:szCs w:val="20"/>
            </w:rPr>
            <w:t>6</w:t>
          </w:r>
          <w:r w:rsidR="002635CC" w:rsidRPr="002635CC">
            <w:rPr>
              <w:rFonts w:ascii="Verdana" w:hAnsi="Verdana" w:cs="Arial"/>
              <w:sz w:val="20"/>
              <w:szCs w:val="20"/>
            </w:rPr>
            <w:t xml:space="preserve"> de abril de 2026</w:t>
          </w:r>
        </w:sdtContent>
      </w:sdt>
    </w:p>
    <w:p w14:paraId="18A03608" w14:textId="42647AE3" w:rsidR="00CA7B03" w:rsidRPr="002635CC" w:rsidRDefault="00CA7B03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23CB291D" w14:textId="77777777" w:rsidR="00C91A60" w:rsidRPr="002635CC" w:rsidRDefault="00C91A60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554589B3" w14:textId="77777777" w:rsidR="00CA7B03" w:rsidRPr="002635CC" w:rsidRDefault="00CA7B03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p w14:paraId="67C08C17" w14:textId="77777777" w:rsidR="00CA7B03" w:rsidRPr="002635CC" w:rsidRDefault="00CA7B03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2635CC">
        <w:rPr>
          <w:rFonts w:ascii="Verdana" w:hAnsi="Verdana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DDA098" wp14:editId="5D66F0A3">
                <wp:simplePos x="0" y="0"/>
                <wp:positionH relativeFrom="column">
                  <wp:posOffset>2463165</wp:posOffset>
                </wp:positionH>
                <wp:positionV relativeFrom="paragraph">
                  <wp:posOffset>169545</wp:posOffset>
                </wp:positionV>
                <wp:extent cx="2981325" cy="0"/>
                <wp:effectExtent l="0" t="0" r="0" b="0"/>
                <wp:wrapNone/>
                <wp:docPr id="10" name="Conector re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81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4AB6FAF1" id="Conector reto 10" o:spid="_x0000_s1026" style="position:absolute;flip:x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95pt,13.35pt" to="428.7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" strokecolor="black [3040]"/>
            </w:pict>
          </mc:Fallback>
        </mc:AlternateContent>
      </w:r>
    </w:p>
    <w:p w14:paraId="34E8A6DC" w14:textId="7462E914" w:rsidR="00726AE6" w:rsidRPr="002635CC" w:rsidRDefault="005B0901" w:rsidP="00A44456">
      <w:pPr>
        <w:spacing w:after="120" w:line="360" w:lineRule="auto"/>
        <w:ind w:firstLine="709"/>
        <w:jc w:val="right"/>
        <w:rPr>
          <w:rFonts w:ascii="Verdana" w:hAnsi="Verdana" w:cs="Arial"/>
          <w:sz w:val="20"/>
          <w:szCs w:val="20"/>
        </w:rPr>
      </w:pPr>
      <w:sdt>
        <w:sdtPr>
          <w:rPr>
            <w:rFonts w:ascii="Verdana" w:hAnsi="Verdana" w:cs="Arial"/>
            <w:sz w:val="20"/>
            <w:szCs w:val="20"/>
          </w:rPr>
          <w:id w:val="488676849"/>
          <w:placeholder>
            <w:docPart w:val="DefaultPlaceholder_-1854013440"/>
          </w:placeholder>
        </w:sdtPr>
        <w:sdtEndPr/>
        <w:sdtContent>
          <w:r w:rsidR="004E4356">
            <w:rPr>
              <w:rFonts w:ascii="Verdana" w:hAnsi="Verdana" w:cs="Arial"/>
              <w:sz w:val="20"/>
              <w:szCs w:val="20"/>
            </w:rPr>
            <w:t>Stéfano Malagueta</w:t>
          </w:r>
        </w:sdtContent>
      </w:sdt>
    </w:p>
    <w:sdt>
      <w:sdtPr>
        <w:rPr>
          <w:rFonts w:ascii="Verdana" w:hAnsi="Verdana" w:cs="Arial"/>
          <w:sz w:val="20"/>
          <w:szCs w:val="20"/>
        </w:rPr>
        <w:id w:val="1677466000"/>
        <w:placeholder>
          <w:docPart w:val="DefaultPlaceholder_-1854013440"/>
        </w:placeholder>
      </w:sdtPr>
      <w:sdtEndPr/>
      <w:sdtContent>
        <w:p w14:paraId="77794B31" w14:textId="41671584" w:rsidR="00E0652E" w:rsidRPr="00E0652E" w:rsidRDefault="002635CC" w:rsidP="00A44456">
          <w:pPr>
            <w:spacing w:after="120" w:line="360" w:lineRule="auto"/>
            <w:ind w:firstLine="709"/>
            <w:jc w:val="right"/>
            <w:rPr>
              <w:rFonts w:ascii="Verdana" w:hAnsi="Verdana" w:cs="Arial"/>
              <w:sz w:val="20"/>
              <w:szCs w:val="20"/>
            </w:rPr>
          </w:pPr>
          <w:r>
            <w:rPr>
              <w:rFonts w:ascii="Verdana" w:hAnsi="Verdana" w:cs="Arial"/>
              <w:sz w:val="20"/>
              <w:szCs w:val="20"/>
            </w:rPr>
            <w:t>Engenheiro Civil</w:t>
          </w:r>
        </w:p>
      </w:sdtContent>
    </w:sdt>
    <w:p w14:paraId="78E1B4C8" w14:textId="77777777" w:rsidR="00FC145C" w:rsidRPr="002635CC" w:rsidRDefault="00FC145C" w:rsidP="002635CC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</w:p>
    <w:sectPr w:rsidR="00FC145C" w:rsidRPr="002635CC" w:rsidSect="00007D35">
      <w:footerReference w:type="default" r:id="rId10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66D9A" w14:textId="77777777" w:rsidR="0061599F" w:rsidRDefault="0061599F" w:rsidP="004949BF">
      <w:r>
        <w:separator/>
      </w:r>
    </w:p>
  </w:endnote>
  <w:endnote w:type="continuationSeparator" w:id="0">
    <w:p w14:paraId="417C7B67" w14:textId="77777777" w:rsidR="0061599F" w:rsidRDefault="0061599F" w:rsidP="0049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9"/>
      <w:gridCol w:w="8115"/>
    </w:tblGrid>
    <w:tr w:rsidR="00FB1FD1" w14:paraId="459D2E09" w14:textId="77777777" w:rsidTr="009C24F0">
      <w:tc>
        <w:tcPr>
          <w:tcW w:w="392" w:type="dxa"/>
          <w:vAlign w:val="center"/>
        </w:tcPr>
        <w:p w14:paraId="766622D1" w14:textId="710FE81C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  <w:tc>
        <w:tcPr>
          <w:tcW w:w="8252" w:type="dxa"/>
          <w:vAlign w:val="center"/>
        </w:tcPr>
        <w:p w14:paraId="4752914E" w14:textId="7818F8DB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</w:tr>
    <w:tr w:rsidR="00FB1FD1" w14:paraId="09133EBF" w14:textId="77777777" w:rsidTr="009C24F0">
      <w:tc>
        <w:tcPr>
          <w:tcW w:w="392" w:type="dxa"/>
          <w:vAlign w:val="center"/>
        </w:tcPr>
        <w:p w14:paraId="39FBDACC" w14:textId="185AD455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  <w:tc>
        <w:tcPr>
          <w:tcW w:w="8252" w:type="dxa"/>
          <w:vAlign w:val="center"/>
        </w:tcPr>
        <w:p w14:paraId="0E05A18C" w14:textId="0A48726F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</w:tr>
  </w:tbl>
  <w:p w14:paraId="199FB73F" w14:textId="77777777" w:rsidR="004949BF" w:rsidRDefault="004949BF" w:rsidP="009C24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2DB662" w14:textId="77777777" w:rsidR="0061599F" w:rsidRDefault="0061599F" w:rsidP="004949BF">
      <w:r>
        <w:separator/>
      </w:r>
    </w:p>
  </w:footnote>
  <w:footnote w:type="continuationSeparator" w:id="0">
    <w:p w14:paraId="17A4A9F9" w14:textId="77777777" w:rsidR="0061599F" w:rsidRDefault="0061599F" w:rsidP="0049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9272A"/>
    <w:multiLevelType w:val="multilevel"/>
    <w:tmpl w:val="5AAA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84AAC"/>
    <w:multiLevelType w:val="hybridMultilevel"/>
    <w:tmpl w:val="9D125C2A"/>
    <w:lvl w:ilvl="0" w:tplc="4A865288">
      <w:start w:val="1"/>
      <w:numFmt w:val="decimalZero"/>
      <w:lvlText w:val="%1-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54A20"/>
    <w:multiLevelType w:val="hybridMultilevel"/>
    <w:tmpl w:val="319C9A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D3FB9"/>
    <w:multiLevelType w:val="multilevel"/>
    <w:tmpl w:val="964EC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5B77E1"/>
    <w:multiLevelType w:val="hybridMultilevel"/>
    <w:tmpl w:val="F01CF2D2"/>
    <w:lvl w:ilvl="0" w:tplc="FEE095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A0967"/>
    <w:multiLevelType w:val="hybridMultilevel"/>
    <w:tmpl w:val="949A52EC"/>
    <w:lvl w:ilvl="0" w:tplc="33A0056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152635"/>
    <w:multiLevelType w:val="hybridMultilevel"/>
    <w:tmpl w:val="199A72F2"/>
    <w:lvl w:ilvl="0" w:tplc="9C04B1EC">
      <w:start w:val="1"/>
      <w:numFmt w:val="decimalZero"/>
      <w:lvlText w:val="%1-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8F7BD6"/>
    <w:multiLevelType w:val="multilevel"/>
    <w:tmpl w:val="4074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54790D"/>
    <w:multiLevelType w:val="hybridMultilevel"/>
    <w:tmpl w:val="EE62E612"/>
    <w:lvl w:ilvl="0" w:tplc="13F857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92278"/>
    <w:multiLevelType w:val="hybridMultilevel"/>
    <w:tmpl w:val="27C8809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4805B0B"/>
    <w:multiLevelType w:val="hybridMultilevel"/>
    <w:tmpl w:val="E86AEA44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6EE7724"/>
    <w:multiLevelType w:val="hybridMultilevel"/>
    <w:tmpl w:val="CAEEB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C5837A0"/>
    <w:multiLevelType w:val="hybridMultilevel"/>
    <w:tmpl w:val="691847B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295117A"/>
    <w:multiLevelType w:val="hybridMultilevel"/>
    <w:tmpl w:val="A82C52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46B9C"/>
    <w:multiLevelType w:val="hybridMultilevel"/>
    <w:tmpl w:val="B4BE4C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E65A10"/>
    <w:multiLevelType w:val="multilevel"/>
    <w:tmpl w:val="E6FE2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793353"/>
    <w:multiLevelType w:val="multilevel"/>
    <w:tmpl w:val="523A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366BC8"/>
    <w:multiLevelType w:val="hybridMultilevel"/>
    <w:tmpl w:val="7222184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16473EC"/>
    <w:multiLevelType w:val="hybridMultilevel"/>
    <w:tmpl w:val="1166D5FA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8500033"/>
    <w:multiLevelType w:val="multilevel"/>
    <w:tmpl w:val="926CE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3A0715"/>
    <w:multiLevelType w:val="hybridMultilevel"/>
    <w:tmpl w:val="63B4778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FF56334"/>
    <w:multiLevelType w:val="multilevel"/>
    <w:tmpl w:val="147EA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DC45C2"/>
    <w:multiLevelType w:val="hybridMultilevel"/>
    <w:tmpl w:val="02EC8C2E"/>
    <w:lvl w:ilvl="0" w:tplc="12E0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11541C"/>
    <w:multiLevelType w:val="multilevel"/>
    <w:tmpl w:val="EC80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EBA0CCA"/>
    <w:multiLevelType w:val="hybridMultilevel"/>
    <w:tmpl w:val="C8C6CDC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3"/>
  </w:num>
  <w:num w:numId="5">
    <w:abstractNumId w:val="22"/>
  </w:num>
  <w:num w:numId="6">
    <w:abstractNumId w:val="8"/>
  </w:num>
  <w:num w:numId="7">
    <w:abstractNumId w:val="4"/>
  </w:num>
  <w:num w:numId="8">
    <w:abstractNumId w:val="5"/>
  </w:num>
  <w:num w:numId="9">
    <w:abstractNumId w:val="10"/>
  </w:num>
  <w:num w:numId="10">
    <w:abstractNumId w:val="17"/>
  </w:num>
  <w:num w:numId="11">
    <w:abstractNumId w:val="11"/>
  </w:num>
  <w:num w:numId="12">
    <w:abstractNumId w:val="18"/>
  </w:num>
  <w:num w:numId="13">
    <w:abstractNumId w:val="12"/>
  </w:num>
  <w:num w:numId="14">
    <w:abstractNumId w:val="24"/>
  </w:num>
  <w:num w:numId="15">
    <w:abstractNumId w:val="23"/>
  </w:num>
  <w:num w:numId="16">
    <w:abstractNumId w:val="7"/>
  </w:num>
  <w:num w:numId="17">
    <w:abstractNumId w:val="3"/>
  </w:num>
  <w:num w:numId="18">
    <w:abstractNumId w:val="21"/>
  </w:num>
  <w:num w:numId="19">
    <w:abstractNumId w:val="16"/>
  </w:num>
  <w:num w:numId="20">
    <w:abstractNumId w:val="15"/>
  </w:num>
  <w:num w:numId="21">
    <w:abstractNumId w:val="19"/>
  </w:num>
  <w:num w:numId="22">
    <w:abstractNumId w:val="0"/>
  </w:num>
  <w:num w:numId="23">
    <w:abstractNumId w:val="20"/>
  </w:num>
  <w:num w:numId="24">
    <w:abstractNumId w:val="9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A8D"/>
    <w:rsid w:val="000030AD"/>
    <w:rsid w:val="00007D35"/>
    <w:rsid w:val="000222B8"/>
    <w:rsid w:val="00031876"/>
    <w:rsid w:val="00033189"/>
    <w:rsid w:val="000542FF"/>
    <w:rsid w:val="0006406A"/>
    <w:rsid w:val="00066CE0"/>
    <w:rsid w:val="0007427E"/>
    <w:rsid w:val="00086820"/>
    <w:rsid w:val="000868D7"/>
    <w:rsid w:val="000937F6"/>
    <w:rsid w:val="000A5146"/>
    <w:rsid w:val="000A57DA"/>
    <w:rsid w:val="000A6CD6"/>
    <w:rsid w:val="000B389E"/>
    <w:rsid w:val="000B7B87"/>
    <w:rsid w:val="000C0804"/>
    <w:rsid w:val="000C32AC"/>
    <w:rsid w:val="000E3D75"/>
    <w:rsid w:val="000F5F1D"/>
    <w:rsid w:val="000F62CE"/>
    <w:rsid w:val="00101454"/>
    <w:rsid w:val="00117CF1"/>
    <w:rsid w:val="00120744"/>
    <w:rsid w:val="00125C00"/>
    <w:rsid w:val="001375DA"/>
    <w:rsid w:val="001407F0"/>
    <w:rsid w:val="00141FAD"/>
    <w:rsid w:val="00174C16"/>
    <w:rsid w:val="00184674"/>
    <w:rsid w:val="0019165A"/>
    <w:rsid w:val="001A2BAC"/>
    <w:rsid w:val="001A42B0"/>
    <w:rsid w:val="001A56EC"/>
    <w:rsid w:val="001C2774"/>
    <w:rsid w:val="001C560F"/>
    <w:rsid w:val="001D1B68"/>
    <w:rsid w:val="001D44CE"/>
    <w:rsid w:val="001D5A6E"/>
    <w:rsid w:val="001D5E1D"/>
    <w:rsid w:val="001E287F"/>
    <w:rsid w:val="001F653B"/>
    <w:rsid w:val="00201134"/>
    <w:rsid w:val="0020127A"/>
    <w:rsid w:val="00201525"/>
    <w:rsid w:val="00202D9E"/>
    <w:rsid w:val="002048C2"/>
    <w:rsid w:val="00210E10"/>
    <w:rsid w:val="002328D2"/>
    <w:rsid w:val="00235A9D"/>
    <w:rsid w:val="0024345B"/>
    <w:rsid w:val="00244C08"/>
    <w:rsid w:val="00245ACC"/>
    <w:rsid w:val="002635CC"/>
    <w:rsid w:val="00270481"/>
    <w:rsid w:val="00281CA0"/>
    <w:rsid w:val="002844BD"/>
    <w:rsid w:val="0028623B"/>
    <w:rsid w:val="00287A41"/>
    <w:rsid w:val="002A493B"/>
    <w:rsid w:val="002B1906"/>
    <w:rsid w:val="002B2004"/>
    <w:rsid w:val="002C3B23"/>
    <w:rsid w:val="002D6812"/>
    <w:rsid w:val="002E3740"/>
    <w:rsid w:val="002E5106"/>
    <w:rsid w:val="002F485C"/>
    <w:rsid w:val="002F65F4"/>
    <w:rsid w:val="003022FF"/>
    <w:rsid w:val="00310FDB"/>
    <w:rsid w:val="00311875"/>
    <w:rsid w:val="00316E31"/>
    <w:rsid w:val="003418D5"/>
    <w:rsid w:val="00356F34"/>
    <w:rsid w:val="00366628"/>
    <w:rsid w:val="00385E34"/>
    <w:rsid w:val="003A1D67"/>
    <w:rsid w:val="003C7042"/>
    <w:rsid w:val="003D149B"/>
    <w:rsid w:val="003D4997"/>
    <w:rsid w:val="003E03CA"/>
    <w:rsid w:val="003F32B7"/>
    <w:rsid w:val="0043365D"/>
    <w:rsid w:val="004410AA"/>
    <w:rsid w:val="00456E24"/>
    <w:rsid w:val="00461309"/>
    <w:rsid w:val="00466ECB"/>
    <w:rsid w:val="00472B6B"/>
    <w:rsid w:val="00490139"/>
    <w:rsid w:val="00491828"/>
    <w:rsid w:val="00494548"/>
    <w:rsid w:val="004949BF"/>
    <w:rsid w:val="004A7F51"/>
    <w:rsid w:val="004B1361"/>
    <w:rsid w:val="004B2345"/>
    <w:rsid w:val="004B317F"/>
    <w:rsid w:val="004C76CB"/>
    <w:rsid w:val="004E4356"/>
    <w:rsid w:val="004E769D"/>
    <w:rsid w:val="004F0D54"/>
    <w:rsid w:val="004F1183"/>
    <w:rsid w:val="004F1264"/>
    <w:rsid w:val="004F7085"/>
    <w:rsid w:val="00525DBD"/>
    <w:rsid w:val="00552536"/>
    <w:rsid w:val="00555446"/>
    <w:rsid w:val="005556B3"/>
    <w:rsid w:val="005667B6"/>
    <w:rsid w:val="00566D35"/>
    <w:rsid w:val="00570600"/>
    <w:rsid w:val="00570F25"/>
    <w:rsid w:val="005753A7"/>
    <w:rsid w:val="00576C14"/>
    <w:rsid w:val="00594070"/>
    <w:rsid w:val="00595A6F"/>
    <w:rsid w:val="005B0901"/>
    <w:rsid w:val="005B49DE"/>
    <w:rsid w:val="005D2481"/>
    <w:rsid w:val="005D258C"/>
    <w:rsid w:val="005E1C74"/>
    <w:rsid w:val="005E462C"/>
    <w:rsid w:val="005E535E"/>
    <w:rsid w:val="005E65E6"/>
    <w:rsid w:val="00607261"/>
    <w:rsid w:val="006072AB"/>
    <w:rsid w:val="0061044C"/>
    <w:rsid w:val="006112F1"/>
    <w:rsid w:val="006123E7"/>
    <w:rsid w:val="0061260B"/>
    <w:rsid w:val="0061599F"/>
    <w:rsid w:val="00637C3D"/>
    <w:rsid w:val="00644E02"/>
    <w:rsid w:val="00665E8B"/>
    <w:rsid w:val="00667D0C"/>
    <w:rsid w:val="00670C71"/>
    <w:rsid w:val="006826AB"/>
    <w:rsid w:val="00685F68"/>
    <w:rsid w:val="00686DF5"/>
    <w:rsid w:val="006876A8"/>
    <w:rsid w:val="00694FCC"/>
    <w:rsid w:val="006C6B46"/>
    <w:rsid w:val="006D3A29"/>
    <w:rsid w:val="006D3B56"/>
    <w:rsid w:val="006E374A"/>
    <w:rsid w:val="006E7255"/>
    <w:rsid w:val="007150EC"/>
    <w:rsid w:val="007178CF"/>
    <w:rsid w:val="007201C2"/>
    <w:rsid w:val="007267FB"/>
    <w:rsid w:val="00726AE6"/>
    <w:rsid w:val="00733D5F"/>
    <w:rsid w:val="007370F5"/>
    <w:rsid w:val="007377A9"/>
    <w:rsid w:val="00754343"/>
    <w:rsid w:val="007553DA"/>
    <w:rsid w:val="007708ED"/>
    <w:rsid w:val="0077572F"/>
    <w:rsid w:val="0078171C"/>
    <w:rsid w:val="0079172C"/>
    <w:rsid w:val="007A6FBA"/>
    <w:rsid w:val="007B0C86"/>
    <w:rsid w:val="007B32BB"/>
    <w:rsid w:val="007C6E6E"/>
    <w:rsid w:val="007D6551"/>
    <w:rsid w:val="007D77A8"/>
    <w:rsid w:val="007E02C4"/>
    <w:rsid w:val="007E1E39"/>
    <w:rsid w:val="00804533"/>
    <w:rsid w:val="00815B1D"/>
    <w:rsid w:val="00817789"/>
    <w:rsid w:val="008462CC"/>
    <w:rsid w:val="00854A8D"/>
    <w:rsid w:val="008555CF"/>
    <w:rsid w:val="0086498E"/>
    <w:rsid w:val="00866120"/>
    <w:rsid w:val="00873949"/>
    <w:rsid w:val="008823F6"/>
    <w:rsid w:val="00886F5C"/>
    <w:rsid w:val="00894002"/>
    <w:rsid w:val="008968EB"/>
    <w:rsid w:val="008A092C"/>
    <w:rsid w:val="008A6BC2"/>
    <w:rsid w:val="008B351C"/>
    <w:rsid w:val="008D0102"/>
    <w:rsid w:val="008E41E1"/>
    <w:rsid w:val="008F138F"/>
    <w:rsid w:val="008F7A1B"/>
    <w:rsid w:val="00904656"/>
    <w:rsid w:val="00922850"/>
    <w:rsid w:val="00927529"/>
    <w:rsid w:val="00934FF5"/>
    <w:rsid w:val="009923C7"/>
    <w:rsid w:val="00996020"/>
    <w:rsid w:val="009B63F7"/>
    <w:rsid w:val="009C1C1F"/>
    <w:rsid w:val="009C24F0"/>
    <w:rsid w:val="009C42A9"/>
    <w:rsid w:val="009E5353"/>
    <w:rsid w:val="009F2940"/>
    <w:rsid w:val="00A05283"/>
    <w:rsid w:val="00A1753B"/>
    <w:rsid w:val="00A35502"/>
    <w:rsid w:val="00A41781"/>
    <w:rsid w:val="00A44456"/>
    <w:rsid w:val="00A4530B"/>
    <w:rsid w:val="00A4739B"/>
    <w:rsid w:val="00A81D59"/>
    <w:rsid w:val="00A9021F"/>
    <w:rsid w:val="00A92A25"/>
    <w:rsid w:val="00A97EA2"/>
    <w:rsid w:val="00AA5DEF"/>
    <w:rsid w:val="00AB7037"/>
    <w:rsid w:val="00AC4AC3"/>
    <w:rsid w:val="00AD25BD"/>
    <w:rsid w:val="00AD2B36"/>
    <w:rsid w:val="00AD599A"/>
    <w:rsid w:val="00AD5C0C"/>
    <w:rsid w:val="00AF48F8"/>
    <w:rsid w:val="00B0422F"/>
    <w:rsid w:val="00B108E5"/>
    <w:rsid w:val="00B147FE"/>
    <w:rsid w:val="00B172FB"/>
    <w:rsid w:val="00B210B4"/>
    <w:rsid w:val="00B312C0"/>
    <w:rsid w:val="00B32271"/>
    <w:rsid w:val="00B3299D"/>
    <w:rsid w:val="00B33C47"/>
    <w:rsid w:val="00B406EE"/>
    <w:rsid w:val="00B4641E"/>
    <w:rsid w:val="00B62431"/>
    <w:rsid w:val="00B77047"/>
    <w:rsid w:val="00B8255D"/>
    <w:rsid w:val="00B852D7"/>
    <w:rsid w:val="00B9259D"/>
    <w:rsid w:val="00B9691B"/>
    <w:rsid w:val="00BA1692"/>
    <w:rsid w:val="00BA78B4"/>
    <w:rsid w:val="00BB57BD"/>
    <w:rsid w:val="00BB71A5"/>
    <w:rsid w:val="00BC2BD6"/>
    <w:rsid w:val="00BC5564"/>
    <w:rsid w:val="00BD4514"/>
    <w:rsid w:val="00BE09FF"/>
    <w:rsid w:val="00C168E2"/>
    <w:rsid w:val="00C24512"/>
    <w:rsid w:val="00C25AA8"/>
    <w:rsid w:val="00C31E2A"/>
    <w:rsid w:val="00C40BC9"/>
    <w:rsid w:val="00C45081"/>
    <w:rsid w:val="00C53512"/>
    <w:rsid w:val="00C55213"/>
    <w:rsid w:val="00C6079C"/>
    <w:rsid w:val="00C634E4"/>
    <w:rsid w:val="00C870B1"/>
    <w:rsid w:val="00C91A60"/>
    <w:rsid w:val="00CA5BD2"/>
    <w:rsid w:val="00CA5F23"/>
    <w:rsid w:val="00CA7B03"/>
    <w:rsid w:val="00CC2DD2"/>
    <w:rsid w:val="00CE1C22"/>
    <w:rsid w:val="00CE2433"/>
    <w:rsid w:val="00CF2EAA"/>
    <w:rsid w:val="00CF46B6"/>
    <w:rsid w:val="00CF715C"/>
    <w:rsid w:val="00CF77AB"/>
    <w:rsid w:val="00D06C7D"/>
    <w:rsid w:val="00D219B7"/>
    <w:rsid w:val="00D25936"/>
    <w:rsid w:val="00D5066C"/>
    <w:rsid w:val="00D548CF"/>
    <w:rsid w:val="00D6100A"/>
    <w:rsid w:val="00D726FF"/>
    <w:rsid w:val="00D80D89"/>
    <w:rsid w:val="00D84457"/>
    <w:rsid w:val="00D9644B"/>
    <w:rsid w:val="00D9705E"/>
    <w:rsid w:val="00DB6E3A"/>
    <w:rsid w:val="00DD1A30"/>
    <w:rsid w:val="00DF350E"/>
    <w:rsid w:val="00DF5AAA"/>
    <w:rsid w:val="00E0652E"/>
    <w:rsid w:val="00E10852"/>
    <w:rsid w:val="00E26302"/>
    <w:rsid w:val="00E43DB8"/>
    <w:rsid w:val="00E477E3"/>
    <w:rsid w:val="00E66B5D"/>
    <w:rsid w:val="00E754B3"/>
    <w:rsid w:val="00EA2604"/>
    <w:rsid w:val="00EB6629"/>
    <w:rsid w:val="00EC6364"/>
    <w:rsid w:val="00EC64AE"/>
    <w:rsid w:val="00EE2AB7"/>
    <w:rsid w:val="00EF2C7D"/>
    <w:rsid w:val="00EF579B"/>
    <w:rsid w:val="00F01FFA"/>
    <w:rsid w:val="00F27E06"/>
    <w:rsid w:val="00F471C9"/>
    <w:rsid w:val="00F51CE3"/>
    <w:rsid w:val="00F55BF0"/>
    <w:rsid w:val="00F5679B"/>
    <w:rsid w:val="00F57CC3"/>
    <w:rsid w:val="00F65885"/>
    <w:rsid w:val="00F752AD"/>
    <w:rsid w:val="00F76F43"/>
    <w:rsid w:val="00F7730B"/>
    <w:rsid w:val="00F8223F"/>
    <w:rsid w:val="00F86104"/>
    <w:rsid w:val="00F90522"/>
    <w:rsid w:val="00F9420A"/>
    <w:rsid w:val="00FA01B8"/>
    <w:rsid w:val="00FB1FD1"/>
    <w:rsid w:val="00FC145C"/>
    <w:rsid w:val="00FC153F"/>
    <w:rsid w:val="00FC522D"/>
    <w:rsid w:val="00FD61D8"/>
    <w:rsid w:val="00FD674F"/>
    <w:rsid w:val="00FE43BB"/>
    <w:rsid w:val="00FF1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BCFE7"/>
  <w15:docId w15:val="{BEA564CF-A998-4637-84A5-D26ED696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A6BC2"/>
    <w:pPr>
      <w:keepNext/>
      <w:outlineLvl w:val="0"/>
    </w:pPr>
    <w:rPr>
      <w:rFonts w:eastAsia="Calibri"/>
      <w:sz w:val="40"/>
      <w:szCs w:val="20"/>
    </w:rPr>
  </w:style>
  <w:style w:type="paragraph" w:styleId="Ttulo2">
    <w:name w:val="heading 2"/>
    <w:basedOn w:val="Normal"/>
    <w:next w:val="Normal"/>
    <w:link w:val="Ttulo2Char"/>
    <w:qFormat/>
    <w:rsid w:val="008A6BC2"/>
    <w:pPr>
      <w:keepNext/>
      <w:jc w:val="right"/>
      <w:outlineLvl w:val="1"/>
    </w:pPr>
    <w:rPr>
      <w:rFonts w:eastAsia="Calibri"/>
      <w:sz w:val="32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35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35C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4A8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01FF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1FF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8A6BC2"/>
    <w:rPr>
      <w:rFonts w:ascii="Times New Roman" w:eastAsia="Calibri" w:hAnsi="Times New Roman" w:cs="Times New Roman"/>
      <w:sz w:val="4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A6BC2"/>
    <w:rPr>
      <w:rFonts w:ascii="Times New Roman" w:eastAsia="Calibri" w:hAnsi="Times New Roman" w:cs="Times New Roman"/>
      <w:sz w:val="32"/>
      <w:szCs w:val="20"/>
      <w:lang w:eastAsia="pt-BR"/>
    </w:rPr>
  </w:style>
  <w:style w:type="table" w:styleId="Tabelacomgrade">
    <w:name w:val="Table Grid"/>
    <w:basedOn w:val="Tabelanormal"/>
    <w:uiPriority w:val="59"/>
    <w:rsid w:val="002B1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949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49B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949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49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D1A30"/>
    <w:rPr>
      <w:color w:val="808080"/>
    </w:rPr>
  </w:style>
  <w:style w:type="character" w:styleId="Hyperlink">
    <w:name w:val="Hyperlink"/>
    <w:basedOn w:val="Fontepargpadro"/>
    <w:uiPriority w:val="99"/>
    <w:unhideWhenUsed/>
    <w:rsid w:val="00FB1FD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B1FD1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022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E477E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35C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35C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635C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635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9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AE5EEB-5CEB-4706-A8A7-6D92D6626228}"/>
      </w:docPartPr>
      <w:docPartBody>
        <w:p w:rsidR="00726BE2" w:rsidRDefault="00B71530">
          <w:r w:rsidRPr="00FD68B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33DC66AF43A4BB6BF6DA362BE4C03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B38CEA-A74A-4A78-8A15-DE24FA6D05B2}"/>
      </w:docPartPr>
      <w:docPartBody>
        <w:p w:rsidR="00922EE2" w:rsidRDefault="004B2EDC" w:rsidP="004B2EDC">
          <w:pPr>
            <w:pStyle w:val="E33DC66AF43A4BB6BF6DA362BE4C03BA"/>
          </w:pPr>
          <w:r w:rsidRPr="00FD68B7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33"/>
    <w:rsid w:val="0006406A"/>
    <w:rsid w:val="000B5FB1"/>
    <w:rsid w:val="002B2004"/>
    <w:rsid w:val="002B2C22"/>
    <w:rsid w:val="002D323B"/>
    <w:rsid w:val="004B2EDC"/>
    <w:rsid w:val="00563233"/>
    <w:rsid w:val="00610FC9"/>
    <w:rsid w:val="006E14F0"/>
    <w:rsid w:val="00726BE2"/>
    <w:rsid w:val="00764354"/>
    <w:rsid w:val="00886F5C"/>
    <w:rsid w:val="00922EE2"/>
    <w:rsid w:val="00936DCF"/>
    <w:rsid w:val="00A071FB"/>
    <w:rsid w:val="00AF3DBD"/>
    <w:rsid w:val="00B71530"/>
    <w:rsid w:val="00CB4526"/>
    <w:rsid w:val="00D968B3"/>
    <w:rsid w:val="00E043EA"/>
    <w:rsid w:val="00E31223"/>
    <w:rsid w:val="00E71A3D"/>
    <w:rsid w:val="00EA2B73"/>
    <w:rsid w:val="00EF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233"/>
    <w:rPr>
      <w:rFonts w:cs="Times New Roman"/>
      <w:sz w:val="3276"/>
      <w:szCs w:val="327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22EE2"/>
    <w:rPr>
      <w:color w:val="808080"/>
    </w:rPr>
  </w:style>
  <w:style w:type="paragraph" w:customStyle="1" w:styleId="E33DC66AF43A4BB6BF6DA362BE4C03BA">
    <w:name w:val="E33DC66AF43A4BB6BF6DA362BE4C03BA"/>
    <w:rsid w:val="004B2E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>(15) 3241-5912</CompanyPhone>
  <CompanyFax/>
  <CompanyEmail>obras@ibiuna.sp.gov.br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6E4324-831C-47CF-8129-664AC14E8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1775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Engenharia</dc:creator>
  <cp:lastModifiedBy>Conta da Microsoft</cp:lastModifiedBy>
  <cp:revision>3</cp:revision>
  <cp:lastPrinted>2026-04-16T19:01:00Z</cp:lastPrinted>
  <dcterms:created xsi:type="dcterms:W3CDTF">2026-04-16T20:02:00Z</dcterms:created>
  <dcterms:modified xsi:type="dcterms:W3CDTF">2026-04-16T20:03:00Z</dcterms:modified>
</cp:coreProperties>
</file>