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6EC8A" w14:textId="77777777" w:rsidR="00812A0F" w:rsidRPr="005F295F" w:rsidRDefault="00812A0F" w:rsidP="00812A0F">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554D3A3B" w14:textId="77777777" w:rsidR="00812A0F" w:rsidRPr="006A0F65" w:rsidRDefault="00812A0F" w:rsidP="00812A0F">
      <w:pPr>
        <w:widowControl w:val="0"/>
        <w:autoSpaceDE w:val="0"/>
        <w:autoSpaceDN w:val="0"/>
        <w:adjustRightInd w:val="0"/>
        <w:spacing w:line="360" w:lineRule="auto"/>
        <w:ind w:right="-15"/>
        <w:jc w:val="center"/>
        <w:rPr>
          <w:rFonts w:ascii="Arial" w:hAnsi="Arial" w:cs="Arial"/>
          <w:b/>
          <w:bCs/>
          <w:iCs/>
          <w:sz w:val="20"/>
          <w:szCs w:val="20"/>
        </w:rPr>
      </w:pPr>
      <w:r w:rsidRPr="006A0F65">
        <w:rPr>
          <w:rFonts w:ascii="Arial" w:hAnsi="Arial" w:cs="Arial"/>
          <w:b/>
          <w:bCs/>
          <w:iCs/>
          <w:sz w:val="20"/>
          <w:szCs w:val="20"/>
        </w:rPr>
        <w:t>FACULDADE DE MEDICINA VETERINÁRIA E ZOOTECNIA</w:t>
      </w:r>
    </w:p>
    <w:p w14:paraId="0EBFC9F2" w14:textId="77777777" w:rsidR="00812A0F" w:rsidRPr="005F295F" w:rsidRDefault="00812A0F" w:rsidP="00812A0F">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ATA DE REGISTRO DE PREÇOS </w:t>
      </w:r>
    </w:p>
    <w:p w14:paraId="6EB2FA97" w14:textId="081CBD74" w:rsidR="00812A0F" w:rsidRPr="005F295F" w:rsidRDefault="00812A0F" w:rsidP="00F4461D">
      <w:pPr>
        <w:jc w:val="center"/>
        <w:rPr>
          <w:rFonts w:ascii="Arial" w:hAnsi="Arial" w:cs="Arial"/>
          <w:bCs/>
          <w:sz w:val="20"/>
          <w:szCs w:val="20"/>
        </w:rPr>
      </w:pPr>
      <w:r w:rsidRPr="005F295F">
        <w:rPr>
          <w:rFonts w:ascii="Arial" w:hAnsi="Arial" w:cs="Arial"/>
          <w:bCs/>
          <w:sz w:val="20"/>
          <w:szCs w:val="20"/>
        </w:rPr>
        <w:t>N.º</w:t>
      </w:r>
      <w:r>
        <w:rPr>
          <w:rFonts w:ascii="Arial" w:hAnsi="Arial" w:cs="Arial"/>
          <w:bCs/>
          <w:sz w:val="20"/>
          <w:szCs w:val="20"/>
        </w:rPr>
        <w:t xml:space="preserve"> </w:t>
      </w:r>
      <w:r w:rsidR="00374F0E">
        <w:rPr>
          <w:rFonts w:ascii="Arial" w:hAnsi="Arial" w:cs="Arial"/>
          <w:bCs/>
          <w:sz w:val="20"/>
          <w:szCs w:val="20"/>
        </w:rPr>
        <w:t>XX</w:t>
      </w:r>
      <w:r>
        <w:rPr>
          <w:rFonts w:ascii="Arial" w:hAnsi="Arial" w:cs="Arial"/>
          <w:bCs/>
          <w:sz w:val="20"/>
          <w:szCs w:val="20"/>
        </w:rPr>
        <w:t>/2026</w:t>
      </w:r>
    </w:p>
    <w:p w14:paraId="63445D1A" w14:textId="77777777" w:rsidR="00812A0F" w:rsidRPr="005F295F" w:rsidRDefault="00812A0F" w:rsidP="00812A0F">
      <w:pPr>
        <w:widowControl w:val="0"/>
        <w:autoSpaceDE w:val="0"/>
        <w:autoSpaceDN w:val="0"/>
        <w:adjustRightInd w:val="0"/>
        <w:spacing w:line="360" w:lineRule="auto"/>
        <w:ind w:right="-30"/>
        <w:jc w:val="both"/>
        <w:rPr>
          <w:rFonts w:ascii="Arial" w:hAnsi="Arial" w:cs="Arial"/>
          <w:sz w:val="20"/>
          <w:szCs w:val="20"/>
        </w:rPr>
      </w:pPr>
    </w:p>
    <w:p w14:paraId="50B49E2A" w14:textId="27977CEE" w:rsidR="00812A0F" w:rsidRPr="005F295F" w:rsidRDefault="00812A0F" w:rsidP="00A628C7">
      <w:pPr>
        <w:widowControl w:val="0"/>
        <w:tabs>
          <w:tab w:val="center" w:pos="4779"/>
          <w:tab w:val="right" w:pos="9198"/>
        </w:tabs>
        <w:autoSpaceDE w:val="0"/>
        <w:autoSpaceDN w:val="0"/>
        <w:adjustRightInd w:val="0"/>
        <w:spacing w:before="120" w:after="120" w:line="276" w:lineRule="auto"/>
        <w:ind w:right="-28" w:firstLine="709"/>
        <w:jc w:val="both"/>
        <w:rPr>
          <w:rFonts w:ascii="Arial" w:hAnsi="Arial" w:cs="Arial"/>
          <w:sz w:val="20"/>
          <w:szCs w:val="20"/>
        </w:rPr>
      </w:pPr>
      <w:r w:rsidRPr="006A0F65">
        <w:rPr>
          <w:rFonts w:ascii="Arial" w:hAnsi="Arial" w:cs="Arial"/>
          <w:sz w:val="20"/>
          <w:szCs w:val="20"/>
        </w:rPr>
        <w:t xml:space="preserve">A Universidade Estadual Paulista “Júlio de Mesquita Filho”, por intermédio da Faculdade de Medicina Veterinária e Zootecnia - Campus de Botucatu, com sede no(a) Rua Prof. Dr. Walter Maurício Correa, s/nº, Bairro: UNESP Campus de Botucatu, CEP 18.618-681, na cidade de Botucatu, inscrito(a) no CNPJ/MF sob o nº 48.031.918/0020-97, neste ato representado(a) pelo(a) Diretor de Unidade Professor Titular Mario de Beni </w:t>
      </w:r>
      <w:proofErr w:type="spellStart"/>
      <w:r w:rsidRPr="006A0F65">
        <w:rPr>
          <w:rFonts w:ascii="Arial" w:hAnsi="Arial" w:cs="Arial"/>
          <w:sz w:val="20"/>
          <w:szCs w:val="20"/>
        </w:rPr>
        <w:t>Arrigoni</w:t>
      </w:r>
      <w:proofErr w:type="spellEnd"/>
      <w:r w:rsidRPr="006A0F65">
        <w:rPr>
          <w:rFonts w:ascii="Arial" w:hAnsi="Arial" w:cs="Arial"/>
          <w:sz w:val="20"/>
          <w:szCs w:val="20"/>
        </w:rPr>
        <w:t xml:space="preserve"> , nomeado(a) pela Portaria do Reitor, de 18 de setembro de 2024, publicado(a) no DOE de 20 de setembro de 2024, portador da identificação funcional nº 0491117-9, no uso </w:t>
      </w:r>
      <w:r>
        <w:rPr>
          <w:rFonts w:ascii="Arial" w:hAnsi="Arial" w:cs="Arial"/>
          <w:sz w:val="20"/>
          <w:szCs w:val="20"/>
        </w:rPr>
        <w:t>da competência conferida pela legislação aplicável,</w:t>
      </w:r>
      <w:r w:rsidRPr="5EBCF017">
        <w:rPr>
          <w:rFonts w:ascii="Arial" w:hAnsi="Arial" w:cs="Arial"/>
          <w:sz w:val="20"/>
          <w:szCs w:val="20"/>
        </w:rPr>
        <w:t xml:space="preserve"> considerando o </w:t>
      </w:r>
      <w:r>
        <w:rPr>
          <w:rFonts w:ascii="Arial" w:hAnsi="Arial" w:cs="Arial"/>
          <w:sz w:val="20"/>
          <w:szCs w:val="20"/>
        </w:rPr>
        <w:t>resultado obtido conforme o</w:t>
      </w:r>
      <w:r w:rsidRPr="5EBCF017">
        <w:rPr>
          <w:rFonts w:ascii="Arial" w:hAnsi="Arial" w:cs="Arial"/>
          <w:sz w:val="20"/>
          <w:szCs w:val="20"/>
        </w:rPr>
        <w:t xml:space="preserve"> processo administrativo n.</w:t>
      </w:r>
      <w:r w:rsidRPr="006A0F65">
        <w:rPr>
          <w:rFonts w:ascii="Arial" w:hAnsi="Arial" w:cs="Arial"/>
          <w:sz w:val="20"/>
          <w:szCs w:val="20"/>
        </w:rPr>
        <w:t>º 0</w:t>
      </w:r>
      <w:r w:rsidR="00F27092">
        <w:rPr>
          <w:rFonts w:ascii="Arial" w:hAnsi="Arial" w:cs="Arial"/>
          <w:sz w:val="20"/>
          <w:szCs w:val="20"/>
        </w:rPr>
        <w:t>587</w:t>
      </w:r>
      <w:r w:rsidRPr="006A0F65">
        <w:rPr>
          <w:rFonts w:ascii="Arial" w:hAnsi="Arial" w:cs="Arial"/>
          <w:sz w:val="20"/>
          <w:szCs w:val="20"/>
        </w:rPr>
        <w:t>/202</w:t>
      </w:r>
      <w:r w:rsidR="00F27092">
        <w:rPr>
          <w:rFonts w:ascii="Arial" w:hAnsi="Arial" w:cs="Arial"/>
          <w:sz w:val="20"/>
          <w:szCs w:val="20"/>
        </w:rPr>
        <w:t>6</w:t>
      </w:r>
      <w:r w:rsidRPr="006A0F65">
        <w:rPr>
          <w:rFonts w:ascii="Arial" w:hAnsi="Arial" w:cs="Arial"/>
          <w:sz w:val="20"/>
          <w:szCs w:val="20"/>
        </w:rPr>
        <w:t>-FMVZ</w:t>
      </w:r>
      <w:r w:rsidRPr="5EBCF017">
        <w:rPr>
          <w:rFonts w:ascii="Arial" w:hAnsi="Arial" w:cs="Arial"/>
          <w:sz w:val="20"/>
          <w:szCs w:val="20"/>
        </w:rPr>
        <w:t xml:space="preserve">, </w:t>
      </w:r>
      <w:r>
        <w:rPr>
          <w:rFonts w:ascii="Arial" w:hAnsi="Arial" w:cs="Arial"/>
          <w:sz w:val="20"/>
          <w:szCs w:val="20"/>
        </w:rPr>
        <w:t>resolve celebrar a presente ATA de REGISTRO DE PREÇOS, procedendo ao</w:t>
      </w:r>
      <w:r w:rsidRPr="5EBCF017">
        <w:rPr>
          <w:rFonts w:ascii="Arial" w:hAnsi="Arial" w:cs="Arial"/>
          <w:sz w:val="20"/>
          <w:szCs w:val="20"/>
        </w:rPr>
        <w:t xml:space="preserve"> registr</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d</w:t>
      </w:r>
      <w:r w:rsidRPr="5EBCF017">
        <w:rPr>
          <w:rFonts w:ascii="Arial" w:hAnsi="Arial" w:cs="Arial"/>
          <w:sz w:val="20"/>
          <w:szCs w:val="20"/>
        </w:rPr>
        <w:t>os preços d</w:t>
      </w:r>
      <w:r>
        <w:rPr>
          <w:rFonts w:ascii="Arial" w:hAnsi="Arial" w:cs="Arial"/>
          <w:sz w:val="20"/>
          <w:szCs w:val="20"/>
        </w:rPr>
        <w:t>o</w:t>
      </w:r>
      <w:r w:rsidRPr="5EBCF017">
        <w:rPr>
          <w:rFonts w:ascii="Arial" w:hAnsi="Arial" w:cs="Arial"/>
          <w:sz w:val="20"/>
          <w:szCs w:val="20"/>
        </w:rPr>
        <w:t>(s)</w:t>
      </w:r>
      <w:r>
        <w:rPr>
          <w:rFonts w:ascii="Arial" w:hAnsi="Arial" w:cs="Arial"/>
          <w:sz w:val="20"/>
          <w:szCs w:val="20"/>
        </w:rPr>
        <w:t xml:space="preserve"> fornecedor(es)</w:t>
      </w:r>
      <w:r w:rsidRPr="5EBCF017">
        <w:rPr>
          <w:rFonts w:ascii="Arial" w:hAnsi="Arial" w:cs="Arial"/>
          <w:sz w:val="20"/>
          <w:szCs w:val="20"/>
        </w:rPr>
        <w:t xml:space="preserve"> indicad</w:t>
      </w:r>
      <w:r>
        <w:rPr>
          <w:rFonts w:ascii="Arial" w:hAnsi="Arial" w:cs="Arial"/>
          <w:sz w:val="20"/>
          <w:szCs w:val="20"/>
        </w:rPr>
        <w:t>o</w:t>
      </w:r>
      <w:r w:rsidRPr="5EBCF017">
        <w:rPr>
          <w:rFonts w:ascii="Arial" w:hAnsi="Arial" w:cs="Arial"/>
          <w:sz w:val="20"/>
          <w:szCs w:val="20"/>
        </w:rPr>
        <w:t>(s) e qualificad</w:t>
      </w:r>
      <w:r>
        <w:rPr>
          <w:rFonts w:ascii="Arial" w:hAnsi="Arial" w:cs="Arial"/>
          <w:sz w:val="20"/>
          <w:szCs w:val="20"/>
        </w:rPr>
        <w:t>o</w:t>
      </w:r>
      <w:r w:rsidRPr="5EBCF017">
        <w:rPr>
          <w:rFonts w:ascii="Arial" w:hAnsi="Arial" w:cs="Arial"/>
          <w:sz w:val="20"/>
          <w:szCs w:val="20"/>
        </w:rPr>
        <w:t xml:space="preserve">(s) nesta </w:t>
      </w:r>
      <w:r>
        <w:rPr>
          <w:rFonts w:ascii="Arial" w:hAnsi="Arial" w:cs="Arial"/>
          <w:sz w:val="20"/>
          <w:szCs w:val="20"/>
        </w:rPr>
        <w:t>ata</w:t>
      </w:r>
      <w:r w:rsidRPr="5EBCF017">
        <w:rPr>
          <w:rFonts w:ascii="Arial" w:hAnsi="Arial" w:cs="Arial"/>
          <w:sz w:val="20"/>
          <w:szCs w:val="20"/>
        </w:rPr>
        <w:t>, de acordo com a classificação por el</w:t>
      </w:r>
      <w:r>
        <w:rPr>
          <w:rFonts w:ascii="Arial" w:hAnsi="Arial" w:cs="Arial"/>
          <w:sz w:val="20"/>
          <w:szCs w:val="20"/>
        </w:rPr>
        <w:t>e</w:t>
      </w:r>
      <w:r w:rsidRPr="5EBCF017">
        <w:rPr>
          <w:rFonts w:ascii="Arial" w:hAnsi="Arial" w:cs="Arial"/>
          <w:sz w:val="20"/>
          <w:szCs w:val="20"/>
        </w:rPr>
        <w:t>(s) alcançada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w:t>
      </w:r>
      <w:r>
        <w:rPr>
          <w:rFonts w:ascii="Arial" w:hAnsi="Arial" w:cs="Arial"/>
          <w:sz w:val="20"/>
          <w:szCs w:val="20"/>
        </w:rPr>
        <w:t>à</w:t>
      </w:r>
      <w:r w:rsidRPr="5EBCF017">
        <w:rPr>
          <w:rFonts w:ascii="Arial" w:hAnsi="Arial" w:cs="Arial"/>
          <w:sz w:val="20"/>
          <w:szCs w:val="20"/>
        </w:rPr>
        <w:t xml:space="preserve">s condições </w:t>
      </w:r>
      <w:r w:rsidRPr="007B2846">
        <w:rPr>
          <w:rFonts w:ascii="Arial" w:hAnsi="Arial" w:cs="Arial"/>
          <w:sz w:val="20"/>
          <w:szCs w:val="20"/>
        </w:rPr>
        <w:t xml:space="preserve">previstas no </w:t>
      </w:r>
      <w:r w:rsidRPr="006A0F65">
        <w:rPr>
          <w:rFonts w:ascii="Arial" w:hAnsi="Arial" w:cs="Arial"/>
          <w:sz w:val="20"/>
          <w:szCs w:val="20"/>
        </w:rPr>
        <w:t>Edital de licitação</w:t>
      </w:r>
      <w:r w:rsidRPr="5EBCF017">
        <w:rPr>
          <w:rFonts w:ascii="Arial" w:hAnsi="Arial" w:cs="Arial"/>
          <w:sz w:val="20"/>
          <w:szCs w:val="20"/>
        </w:rPr>
        <w:t xml:space="preserve">, sujeitando-se as partes às normas constantes na </w:t>
      </w:r>
      <w:hyperlink r:id="rId8" w:history="1">
        <w:r w:rsidRPr="00025F71">
          <w:rPr>
            <w:rStyle w:val="Hyperlink"/>
            <w:rFonts w:ascii="Arial" w:hAnsi="Arial" w:cs="Arial"/>
            <w:sz w:val="20"/>
            <w:szCs w:val="20"/>
          </w:rPr>
          <w:t>Lei nº 14.133, de 1º de abril de 2021</w:t>
        </w:r>
      </w:hyperlink>
      <w:r>
        <w:rPr>
          <w:rFonts w:ascii="Arial" w:hAnsi="Arial" w:cs="Arial"/>
          <w:sz w:val="20"/>
          <w:szCs w:val="20"/>
        </w:rPr>
        <w:t>,</w:t>
      </w:r>
      <w:r w:rsidRPr="5EBCF017">
        <w:rPr>
          <w:rFonts w:ascii="Arial" w:hAnsi="Arial" w:cs="Arial"/>
          <w:sz w:val="20"/>
          <w:szCs w:val="20"/>
        </w:rPr>
        <w:t xml:space="preserve"> no </w:t>
      </w:r>
      <w:hyperlink r:id="rId9" w:history="1">
        <w:r w:rsidRPr="00F24E94">
          <w:rPr>
            <w:rStyle w:val="Hyperlink"/>
            <w:rFonts w:ascii="Arial" w:hAnsi="Arial" w:cs="Arial"/>
            <w:sz w:val="20"/>
            <w:szCs w:val="20"/>
          </w:rPr>
          <w:t>Decreto estadual nº 67.608, de 27 de março de 2023</w:t>
        </w:r>
      </w:hyperlink>
      <w:r w:rsidRPr="5EBCF017">
        <w:rPr>
          <w:rFonts w:ascii="Arial" w:hAnsi="Arial" w:cs="Arial"/>
          <w:sz w:val="20"/>
          <w:szCs w:val="20"/>
        </w:rPr>
        <w:t>,</w:t>
      </w:r>
      <w:r>
        <w:rPr>
          <w:rFonts w:ascii="Arial" w:hAnsi="Arial" w:cs="Arial"/>
          <w:sz w:val="20"/>
          <w:szCs w:val="20"/>
        </w:rPr>
        <w:t xml:space="preserve"> c/c o </w:t>
      </w:r>
      <w:hyperlink r:id="rId10" w:history="1">
        <w:r w:rsidRPr="00F24E94">
          <w:rPr>
            <w:rStyle w:val="Hyperlink"/>
            <w:rFonts w:ascii="Arial" w:hAnsi="Arial" w:cs="Arial"/>
            <w:sz w:val="20"/>
            <w:szCs w:val="20"/>
          </w:rPr>
          <w:t>Decreto nº 11.462, de 31 de março de 2023</w:t>
        </w:r>
      </w:hyperlink>
      <w:r>
        <w:rPr>
          <w:rFonts w:ascii="Arial" w:hAnsi="Arial" w:cs="Arial"/>
          <w:sz w:val="20"/>
          <w:szCs w:val="20"/>
        </w:rPr>
        <w:t>, e demais preceitos da legislação aplicável,</w:t>
      </w:r>
      <w:r w:rsidRPr="5EBCF017">
        <w:rPr>
          <w:rFonts w:ascii="Arial" w:hAnsi="Arial" w:cs="Arial"/>
          <w:sz w:val="20"/>
          <w:szCs w:val="20"/>
        </w:rPr>
        <w:t xml:space="preserve"> e em conformidade com as disposições a seguir:</w:t>
      </w:r>
    </w:p>
    <w:p w14:paraId="3C24846E" w14:textId="77777777" w:rsidR="00812A0F" w:rsidRPr="00636001" w:rsidRDefault="00812A0F" w:rsidP="00812A0F">
      <w:pPr>
        <w:pStyle w:val="Nivel01"/>
      </w:pPr>
      <w:r w:rsidRPr="00636001">
        <w:t>DO OBJETO</w:t>
      </w:r>
    </w:p>
    <w:p w14:paraId="5FF93B43" w14:textId="4F89F680" w:rsidR="00812A0F" w:rsidRPr="005F295F" w:rsidRDefault="00812A0F" w:rsidP="00812A0F">
      <w:pPr>
        <w:pStyle w:val="Nivel2"/>
      </w:pPr>
      <w:r w:rsidRPr="005F295F">
        <w:t xml:space="preserve">A presente Ata tem por objeto o registro de </w:t>
      </w:r>
      <w:r w:rsidR="00F27092">
        <w:t xml:space="preserve">preços para  </w:t>
      </w:r>
      <w:r w:rsidR="00F27092" w:rsidRPr="00F27092">
        <w:t>Aquisição de gêneros alimentícios (rações e suplementos alimentares) para alimentação dos animais mantidos no CEMPAS (Centro de Medicina e Pesquisa em Animais Selvagens)</w:t>
      </w:r>
      <w:r w:rsidR="00F27092">
        <w:rPr>
          <w:sz w:val="28"/>
          <w:szCs w:val="28"/>
        </w:rPr>
        <w:t xml:space="preserve"> </w:t>
      </w:r>
      <w:r w:rsidR="00F27092">
        <w:t>d</w:t>
      </w:r>
      <w:r w:rsidR="00C91B77">
        <w:t>a</w:t>
      </w:r>
      <w:r>
        <w:t xml:space="preserve"> Faculdade de Medicina Veterinária e Zootecnia de Botucatu</w:t>
      </w:r>
      <w:r w:rsidRPr="00AE491B">
        <w:t xml:space="preserve">, </w:t>
      </w:r>
      <w:r>
        <w:t>conforme o detalhamento e as especificações técnicas constantes da documentação que constitui Anexo do</w:t>
      </w:r>
      <w:r w:rsidRPr="003A4B35">
        <w:rPr>
          <w:i/>
          <w:color w:val="FF0000"/>
        </w:rPr>
        <w:t xml:space="preserve"> </w:t>
      </w:r>
      <w:r w:rsidRPr="003A4B35">
        <w:rPr>
          <w:iCs/>
        </w:rPr>
        <w:t xml:space="preserve">Edital de Pregão Eletrônico nº </w:t>
      </w:r>
      <w:r>
        <w:rPr>
          <w:iCs/>
        </w:rPr>
        <w:t>0</w:t>
      </w:r>
      <w:r w:rsidR="00F27092">
        <w:rPr>
          <w:iCs/>
        </w:rPr>
        <w:t>8</w:t>
      </w:r>
      <w:r w:rsidRPr="003A4B35">
        <w:rPr>
          <w:iCs/>
        </w:rPr>
        <w:t>/202</w:t>
      </w:r>
      <w:r>
        <w:rPr>
          <w:iCs/>
        </w:rPr>
        <w:t>6</w:t>
      </w:r>
      <w:r w:rsidRPr="003A4B35">
        <w:rPr>
          <w:iCs/>
        </w:rPr>
        <w:t>-FMVZ</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7763683B" w14:textId="77777777" w:rsidR="00812A0F" w:rsidRPr="005F295F" w:rsidRDefault="00812A0F" w:rsidP="00812A0F">
      <w:pPr>
        <w:pStyle w:val="Nivel01"/>
      </w:pPr>
      <w:r w:rsidRPr="00636001">
        <w:t>DOS</w:t>
      </w:r>
      <w:r w:rsidRPr="005F295F">
        <w:t xml:space="preserve"> PREÇOS, ESPECIFICAÇÕES E QUANTITATIVOS</w:t>
      </w:r>
    </w:p>
    <w:p w14:paraId="3BA2990B" w14:textId="77777777" w:rsidR="00812A0F" w:rsidRDefault="00812A0F" w:rsidP="00812A0F">
      <w:pPr>
        <w:pStyle w:val="Nivel2"/>
      </w:pPr>
      <w:bookmarkStart w:id="0" w:name="_Hlk158050763"/>
      <w:r w:rsidRPr="005F295F">
        <w:t>O preço registrado, as especificações do objeto, a quantidade</w:t>
      </w:r>
      <w:r>
        <w:t xml:space="preserve"> mínima a ser cotada, a quantidade máxima de cada item que poderá ser contratada</w:t>
      </w:r>
      <w:r w:rsidRPr="005F295F">
        <w:t xml:space="preserve">, fornecedor(es) e as demais condições ofertadas na(s) proposta(s) são as que seguem: </w:t>
      </w:r>
    </w:p>
    <w:p w14:paraId="279C3EF6" w14:textId="77777777" w:rsidR="00374F0E" w:rsidRPr="005F295F" w:rsidRDefault="00374F0E" w:rsidP="00374F0E">
      <w:pPr>
        <w:pStyle w:val="Nivel2"/>
        <w:numPr>
          <w:ilvl w:val="0"/>
          <w:numId w:val="0"/>
        </w:numPr>
      </w:pPr>
    </w:p>
    <w:tbl>
      <w:tblPr>
        <w:tblW w:w="9343" w:type="dxa"/>
        <w:tblInd w:w="10" w:type="dxa"/>
        <w:tblLayout w:type="fixed"/>
        <w:tblCellMar>
          <w:left w:w="10" w:type="dxa"/>
          <w:right w:w="10" w:type="dxa"/>
        </w:tblCellMar>
        <w:tblLook w:val="0000" w:firstRow="0" w:lastRow="0" w:firstColumn="0" w:lastColumn="0" w:noHBand="0" w:noVBand="0"/>
      </w:tblPr>
      <w:tblGrid>
        <w:gridCol w:w="413"/>
        <w:gridCol w:w="4536"/>
        <w:gridCol w:w="1134"/>
        <w:gridCol w:w="992"/>
        <w:gridCol w:w="992"/>
        <w:gridCol w:w="1276"/>
      </w:tblGrid>
      <w:tr w:rsidR="00812A0F" w:rsidRPr="005F295F" w14:paraId="19CAB459" w14:textId="77777777" w:rsidTr="00F10692">
        <w:trPr>
          <w:trHeight w:val="511"/>
        </w:trPr>
        <w:tc>
          <w:tcPr>
            <w:tcW w:w="9343" w:type="dxa"/>
            <w:gridSpan w:val="6"/>
            <w:tcBorders>
              <w:top w:val="single" w:sz="2" w:space="0" w:color="000000"/>
              <w:left w:val="single" w:sz="2" w:space="0" w:color="000000"/>
              <w:bottom w:val="single" w:sz="2" w:space="0" w:color="000000"/>
              <w:right w:val="single" w:sz="2" w:space="0" w:color="000000"/>
            </w:tcBorders>
            <w:vAlign w:val="center"/>
          </w:tcPr>
          <w:p w14:paraId="2F50DC8B" w14:textId="1ED6B467" w:rsidR="00F06B3F" w:rsidRPr="00374F0E" w:rsidRDefault="00812A0F" w:rsidP="00F06B3F">
            <w:pPr>
              <w:widowControl w:val="0"/>
              <w:autoSpaceDE w:val="0"/>
              <w:autoSpaceDN w:val="0"/>
              <w:adjustRightInd w:val="0"/>
              <w:ind w:right="-28"/>
              <w:jc w:val="both"/>
              <w:rPr>
                <w:rFonts w:ascii="Arial" w:hAnsi="Arial" w:cs="Arial"/>
                <w:color w:val="EE0000"/>
                <w:sz w:val="20"/>
                <w:szCs w:val="20"/>
              </w:rPr>
            </w:pPr>
            <w:r w:rsidRPr="00374F0E">
              <w:rPr>
                <w:rFonts w:ascii="Arial" w:hAnsi="Arial" w:cs="Arial"/>
                <w:b/>
                <w:bCs/>
                <w:color w:val="EE0000"/>
                <w:sz w:val="20"/>
                <w:szCs w:val="20"/>
              </w:rPr>
              <w:t>Fornecedor:</w:t>
            </w:r>
            <w:r w:rsidRPr="00374F0E">
              <w:rPr>
                <w:rFonts w:ascii="Arial" w:hAnsi="Arial" w:cs="Arial"/>
                <w:color w:val="EE0000"/>
                <w:sz w:val="20"/>
                <w:szCs w:val="20"/>
              </w:rPr>
              <w:t xml:space="preserve">  </w:t>
            </w:r>
            <w:r w:rsidR="001762C8" w:rsidRPr="00374F0E">
              <w:rPr>
                <w:rFonts w:ascii="Arial" w:hAnsi="Arial" w:cs="Arial"/>
                <w:color w:val="EE0000"/>
                <w:sz w:val="20"/>
                <w:szCs w:val="20"/>
              </w:rPr>
              <w:t>Milton André de Barros &amp; Cia Ltda, CNPJ: 10.823.514/0001-09</w:t>
            </w:r>
          </w:p>
          <w:p w14:paraId="21F33805" w14:textId="47B721F2" w:rsidR="00F06B3F" w:rsidRPr="00374F0E" w:rsidRDefault="00EA7560" w:rsidP="00F06B3F">
            <w:pPr>
              <w:widowControl w:val="0"/>
              <w:autoSpaceDE w:val="0"/>
              <w:autoSpaceDN w:val="0"/>
              <w:adjustRightInd w:val="0"/>
              <w:ind w:right="-28"/>
              <w:jc w:val="both"/>
              <w:rPr>
                <w:rFonts w:ascii="Arial" w:hAnsi="Arial" w:cs="Arial"/>
                <w:color w:val="EE0000"/>
                <w:sz w:val="20"/>
                <w:szCs w:val="20"/>
              </w:rPr>
            </w:pPr>
            <w:r w:rsidRPr="00374F0E">
              <w:rPr>
                <w:rFonts w:ascii="Arial" w:hAnsi="Arial" w:cs="Arial"/>
                <w:b/>
                <w:bCs/>
                <w:color w:val="EE0000"/>
                <w:sz w:val="20"/>
                <w:szCs w:val="20"/>
              </w:rPr>
              <w:t>Endereço:</w:t>
            </w:r>
            <w:r w:rsidR="00F06B3F" w:rsidRPr="00374F0E">
              <w:rPr>
                <w:rFonts w:ascii="Arial" w:hAnsi="Arial" w:cs="Arial"/>
                <w:color w:val="EE0000"/>
                <w:sz w:val="20"/>
                <w:szCs w:val="20"/>
              </w:rPr>
              <w:t xml:space="preserve"> </w:t>
            </w:r>
            <w:r w:rsidR="001762C8" w:rsidRPr="00374F0E">
              <w:rPr>
                <w:rFonts w:ascii="Arial" w:hAnsi="Arial" w:cs="Arial"/>
                <w:color w:val="EE0000"/>
                <w:sz w:val="20"/>
                <w:szCs w:val="20"/>
              </w:rPr>
              <w:t>Avenida Floriano Peixoto, 622 - Centro - Botucatu /SP</w:t>
            </w:r>
          </w:p>
          <w:p w14:paraId="0AB8CF1E" w14:textId="6DD5FC6A" w:rsidR="00F06B3F" w:rsidRPr="00374F0E" w:rsidRDefault="00F06B3F" w:rsidP="00F06B3F">
            <w:pPr>
              <w:widowControl w:val="0"/>
              <w:autoSpaceDE w:val="0"/>
              <w:autoSpaceDN w:val="0"/>
              <w:adjustRightInd w:val="0"/>
              <w:ind w:right="-28"/>
              <w:jc w:val="both"/>
              <w:rPr>
                <w:rFonts w:ascii="Arial" w:hAnsi="Arial" w:cs="Arial"/>
                <w:color w:val="EE0000"/>
                <w:sz w:val="20"/>
                <w:szCs w:val="20"/>
              </w:rPr>
            </w:pPr>
            <w:r w:rsidRPr="00374F0E">
              <w:rPr>
                <w:rFonts w:ascii="Arial" w:hAnsi="Arial" w:cs="Arial"/>
                <w:b/>
                <w:bCs/>
                <w:color w:val="EE0000"/>
                <w:sz w:val="20"/>
                <w:szCs w:val="20"/>
              </w:rPr>
              <w:t>Contatos:</w:t>
            </w:r>
            <w:r w:rsidRPr="00374F0E">
              <w:rPr>
                <w:rFonts w:ascii="Arial" w:hAnsi="Arial" w:cs="Arial"/>
                <w:color w:val="EE0000"/>
                <w:sz w:val="20"/>
                <w:szCs w:val="20"/>
              </w:rPr>
              <w:t xml:space="preserve"> </w:t>
            </w:r>
            <w:r w:rsidR="001762C8" w:rsidRPr="00374F0E">
              <w:rPr>
                <w:rFonts w:ascii="Arial" w:hAnsi="Arial" w:cs="Arial"/>
                <w:color w:val="EE0000"/>
                <w:sz w:val="20"/>
                <w:szCs w:val="20"/>
              </w:rPr>
              <w:t>(14) 3813-9216</w:t>
            </w:r>
          </w:p>
          <w:p w14:paraId="67D60D57" w14:textId="382DF4B1" w:rsidR="00812A0F" w:rsidRPr="005F295F" w:rsidRDefault="00F06B3F" w:rsidP="00F06B3F">
            <w:pPr>
              <w:widowControl w:val="0"/>
              <w:autoSpaceDE w:val="0"/>
              <w:autoSpaceDN w:val="0"/>
              <w:adjustRightInd w:val="0"/>
              <w:ind w:right="-28"/>
              <w:jc w:val="both"/>
              <w:rPr>
                <w:rFonts w:ascii="Arial" w:hAnsi="Arial" w:cs="Arial"/>
                <w:sz w:val="20"/>
                <w:szCs w:val="20"/>
              </w:rPr>
            </w:pPr>
            <w:r w:rsidRPr="00374F0E">
              <w:rPr>
                <w:rFonts w:ascii="Arial" w:hAnsi="Arial" w:cs="Arial"/>
                <w:b/>
                <w:bCs/>
                <w:color w:val="EE0000"/>
                <w:sz w:val="20"/>
                <w:szCs w:val="20"/>
              </w:rPr>
              <w:t xml:space="preserve">Dados </w:t>
            </w:r>
            <w:r w:rsidR="00EA7560" w:rsidRPr="00374F0E">
              <w:rPr>
                <w:rFonts w:ascii="Arial" w:hAnsi="Arial" w:cs="Arial"/>
                <w:b/>
                <w:bCs/>
                <w:color w:val="EE0000"/>
                <w:sz w:val="20"/>
                <w:szCs w:val="20"/>
              </w:rPr>
              <w:t>Bancários:</w:t>
            </w:r>
            <w:r w:rsidRPr="00374F0E">
              <w:rPr>
                <w:rFonts w:ascii="Arial" w:hAnsi="Arial" w:cs="Arial"/>
                <w:color w:val="EE0000"/>
                <w:sz w:val="20"/>
                <w:szCs w:val="20"/>
              </w:rPr>
              <w:t xml:space="preserve"> </w:t>
            </w:r>
            <w:r w:rsidR="001762C8" w:rsidRPr="00374F0E">
              <w:rPr>
                <w:rFonts w:ascii="Arial" w:hAnsi="Arial" w:cs="Arial"/>
                <w:color w:val="EE0000"/>
                <w:sz w:val="20"/>
                <w:szCs w:val="20"/>
              </w:rPr>
              <w:t>Banco do Brasil - Agência: n.º 0079-5 Conta Corrente: n.º 44446-4</w:t>
            </w:r>
          </w:p>
        </w:tc>
      </w:tr>
      <w:tr w:rsidR="00415590" w:rsidRPr="005F295F" w14:paraId="048A776E" w14:textId="77777777" w:rsidTr="00F10692">
        <w:trPr>
          <w:trHeight w:val="674"/>
        </w:trPr>
        <w:tc>
          <w:tcPr>
            <w:tcW w:w="413" w:type="dxa"/>
            <w:tcBorders>
              <w:top w:val="nil"/>
              <w:left w:val="single" w:sz="2" w:space="0" w:color="000000"/>
              <w:bottom w:val="single" w:sz="2" w:space="0" w:color="000000"/>
              <w:right w:val="nil"/>
            </w:tcBorders>
            <w:vAlign w:val="center"/>
          </w:tcPr>
          <w:p w14:paraId="107589D6" w14:textId="77777777" w:rsidR="00415590" w:rsidRPr="0063445F" w:rsidRDefault="00415590" w:rsidP="00F27092">
            <w:pPr>
              <w:widowControl w:val="0"/>
              <w:autoSpaceDE w:val="0"/>
              <w:autoSpaceDN w:val="0"/>
              <w:adjustRightInd w:val="0"/>
              <w:ind w:right="-28"/>
              <w:jc w:val="center"/>
              <w:rPr>
                <w:rFonts w:ascii="Arial" w:hAnsi="Arial" w:cs="Arial"/>
                <w:b/>
                <w:bCs/>
                <w:sz w:val="18"/>
                <w:szCs w:val="18"/>
              </w:rPr>
            </w:pPr>
            <w:r w:rsidRPr="0063445F">
              <w:rPr>
                <w:rFonts w:ascii="Arial" w:hAnsi="Arial" w:cs="Arial"/>
                <w:b/>
                <w:bCs/>
                <w:sz w:val="18"/>
                <w:szCs w:val="18"/>
              </w:rPr>
              <w:lastRenderedPageBreak/>
              <w:t>Item</w:t>
            </w:r>
          </w:p>
        </w:tc>
        <w:tc>
          <w:tcPr>
            <w:tcW w:w="4536" w:type="dxa"/>
            <w:tcBorders>
              <w:top w:val="nil"/>
              <w:left w:val="single" w:sz="2" w:space="0" w:color="000000"/>
              <w:bottom w:val="single" w:sz="2" w:space="0" w:color="000000"/>
              <w:right w:val="nil"/>
            </w:tcBorders>
            <w:vAlign w:val="center"/>
          </w:tcPr>
          <w:p w14:paraId="045F7466" w14:textId="77777777" w:rsidR="00415590" w:rsidRPr="0063445F" w:rsidRDefault="00415590" w:rsidP="00F27092">
            <w:pPr>
              <w:widowControl w:val="0"/>
              <w:autoSpaceDE w:val="0"/>
              <w:autoSpaceDN w:val="0"/>
              <w:adjustRightInd w:val="0"/>
              <w:ind w:right="-28"/>
              <w:jc w:val="center"/>
              <w:rPr>
                <w:rFonts w:ascii="Arial" w:hAnsi="Arial" w:cs="Arial"/>
                <w:b/>
                <w:bCs/>
                <w:sz w:val="18"/>
                <w:szCs w:val="18"/>
              </w:rPr>
            </w:pPr>
            <w:r w:rsidRPr="0063445F">
              <w:rPr>
                <w:rFonts w:ascii="Arial" w:hAnsi="Arial" w:cs="Arial"/>
                <w:b/>
                <w:bCs/>
                <w:sz w:val="18"/>
                <w:szCs w:val="18"/>
              </w:rPr>
              <w:t>Especificação</w:t>
            </w:r>
          </w:p>
          <w:p w14:paraId="6D5C447A" w14:textId="209EBA58" w:rsidR="00415590" w:rsidRPr="0063445F" w:rsidRDefault="00415590" w:rsidP="00F27092">
            <w:pPr>
              <w:widowControl w:val="0"/>
              <w:autoSpaceDE w:val="0"/>
              <w:autoSpaceDN w:val="0"/>
              <w:adjustRightInd w:val="0"/>
              <w:ind w:right="-28"/>
              <w:jc w:val="center"/>
              <w:rPr>
                <w:rFonts w:ascii="Arial" w:hAnsi="Arial" w:cs="Arial"/>
                <w:b/>
                <w:bCs/>
                <w:sz w:val="18"/>
                <w:szCs w:val="18"/>
              </w:rPr>
            </w:pPr>
            <w:r w:rsidRPr="0063445F">
              <w:rPr>
                <w:rFonts w:ascii="Arial" w:hAnsi="Arial" w:cs="Arial"/>
                <w:b/>
                <w:bCs/>
                <w:sz w:val="18"/>
                <w:szCs w:val="18"/>
              </w:rPr>
              <w:t>Marca</w:t>
            </w:r>
          </w:p>
        </w:tc>
        <w:tc>
          <w:tcPr>
            <w:tcW w:w="1134" w:type="dxa"/>
            <w:tcBorders>
              <w:top w:val="nil"/>
              <w:left w:val="single" w:sz="2" w:space="0" w:color="000000"/>
              <w:bottom w:val="single" w:sz="2" w:space="0" w:color="000000"/>
              <w:right w:val="single" w:sz="4" w:space="0" w:color="auto"/>
            </w:tcBorders>
            <w:vAlign w:val="center"/>
          </w:tcPr>
          <w:p w14:paraId="07BBE1B4" w14:textId="77777777" w:rsidR="00415590" w:rsidRPr="0063445F" w:rsidRDefault="00415590" w:rsidP="00F27092">
            <w:pPr>
              <w:widowControl w:val="0"/>
              <w:autoSpaceDE w:val="0"/>
              <w:autoSpaceDN w:val="0"/>
              <w:adjustRightInd w:val="0"/>
              <w:ind w:right="-28"/>
              <w:jc w:val="center"/>
              <w:rPr>
                <w:rFonts w:ascii="Arial" w:hAnsi="Arial" w:cs="Arial"/>
                <w:b/>
                <w:bCs/>
                <w:sz w:val="18"/>
                <w:szCs w:val="18"/>
              </w:rPr>
            </w:pPr>
            <w:r w:rsidRPr="0063445F">
              <w:rPr>
                <w:rFonts w:ascii="Arial" w:hAnsi="Arial"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01618B1A" w14:textId="18A20292" w:rsidR="00415590" w:rsidRPr="0063445F" w:rsidRDefault="00415590" w:rsidP="00F27092">
            <w:pPr>
              <w:widowControl w:val="0"/>
              <w:autoSpaceDE w:val="0"/>
              <w:autoSpaceDN w:val="0"/>
              <w:adjustRightInd w:val="0"/>
              <w:ind w:right="-28"/>
              <w:jc w:val="center"/>
              <w:rPr>
                <w:rFonts w:ascii="Arial" w:hAnsi="Arial" w:cs="Arial"/>
                <w:b/>
                <w:bCs/>
                <w:sz w:val="16"/>
                <w:szCs w:val="16"/>
              </w:rPr>
            </w:pPr>
            <w:r>
              <w:rPr>
                <w:rFonts w:ascii="Arial" w:hAnsi="Arial" w:cs="Arial"/>
                <w:b/>
                <w:bCs/>
                <w:sz w:val="16"/>
                <w:szCs w:val="16"/>
              </w:rPr>
              <w:t>Quantidade</w:t>
            </w:r>
          </w:p>
        </w:tc>
        <w:tc>
          <w:tcPr>
            <w:tcW w:w="992" w:type="dxa"/>
            <w:tcBorders>
              <w:top w:val="single" w:sz="4" w:space="0" w:color="auto"/>
              <w:left w:val="single" w:sz="4" w:space="0" w:color="auto"/>
              <w:bottom w:val="single" w:sz="4" w:space="0" w:color="auto"/>
              <w:right w:val="single" w:sz="4" w:space="0" w:color="auto"/>
            </w:tcBorders>
            <w:vAlign w:val="center"/>
          </w:tcPr>
          <w:p w14:paraId="16221B85" w14:textId="77777777" w:rsidR="00415590" w:rsidRPr="0063445F" w:rsidRDefault="00415590" w:rsidP="00F27092">
            <w:pPr>
              <w:widowControl w:val="0"/>
              <w:autoSpaceDE w:val="0"/>
              <w:autoSpaceDN w:val="0"/>
              <w:adjustRightInd w:val="0"/>
              <w:ind w:right="-28"/>
              <w:jc w:val="center"/>
              <w:rPr>
                <w:rFonts w:ascii="Arial" w:hAnsi="Arial" w:cs="Arial"/>
                <w:b/>
                <w:bCs/>
                <w:sz w:val="18"/>
                <w:szCs w:val="18"/>
              </w:rPr>
            </w:pPr>
            <w:r w:rsidRPr="0063445F">
              <w:rPr>
                <w:rFonts w:ascii="Arial" w:hAnsi="Arial" w:cs="Arial"/>
                <w:b/>
                <w:bCs/>
                <w:sz w:val="18"/>
                <w:szCs w:val="18"/>
              </w:rPr>
              <w:t>Valor Unitário</w:t>
            </w:r>
          </w:p>
        </w:tc>
        <w:tc>
          <w:tcPr>
            <w:tcW w:w="1276" w:type="dxa"/>
            <w:tcBorders>
              <w:top w:val="nil"/>
              <w:left w:val="single" w:sz="4" w:space="0" w:color="auto"/>
              <w:bottom w:val="single" w:sz="4" w:space="0" w:color="auto"/>
              <w:right w:val="single" w:sz="2" w:space="0" w:color="000000"/>
            </w:tcBorders>
            <w:vAlign w:val="center"/>
          </w:tcPr>
          <w:p w14:paraId="35868433" w14:textId="31A80EEF" w:rsidR="00415590" w:rsidRPr="0063445F" w:rsidRDefault="00415590" w:rsidP="00F27092">
            <w:pPr>
              <w:widowControl w:val="0"/>
              <w:autoSpaceDE w:val="0"/>
              <w:autoSpaceDN w:val="0"/>
              <w:adjustRightInd w:val="0"/>
              <w:ind w:right="-28"/>
              <w:jc w:val="center"/>
              <w:rPr>
                <w:rFonts w:ascii="Arial" w:hAnsi="Arial" w:cs="Arial"/>
                <w:b/>
                <w:bCs/>
                <w:sz w:val="18"/>
                <w:szCs w:val="18"/>
              </w:rPr>
            </w:pPr>
            <w:r w:rsidRPr="0063445F">
              <w:rPr>
                <w:rFonts w:ascii="Arial" w:hAnsi="Arial" w:cs="Arial"/>
                <w:b/>
                <w:bCs/>
                <w:sz w:val="18"/>
                <w:szCs w:val="18"/>
              </w:rPr>
              <w:t>T</w:t>
            </w:r>
            <w:r>
              <w:rPr>
                <w:rFonts w:ascii="Arial" w:hAnsi="Arial" w:cs="Arial"/>
                <w:b/>
                <w:bCs/>
                <w:sz w:val="18"/>
                <w:szCs w:val="18"/>
              </w:rPr>
              <w:t>otal</w:t>
            </w:r>
          </w:p>
        </w:tc>
      </w:tr>
      <w:tr w:rsidR="00415590" w:rsidRPr="005F295F" w14:paraId="69155B7C" w14:textId="77777777" w:rsidTr="00F10692">
        <w:trPr>
          <w:trHeight w:val="174"/>
        </w:trPr>
        <w:tc>
          <w:tcPr>
            <w:tcW w:w="413" w:type="dxa"/>
            <w:tcBorders>
              <w:top w:val="single" w:sz="4" w:space="0" w:color="auto"/>
              <w:left w:val="single" w:sz="2" w:space="0" w:color="000000"/>
              <w:bottom w:val="single" w:sz="4" w:space="0" w:color="auto"/>
              <w:right w:val="nil"/>
            </w:tcBorders>
          </w:tcPr>
          <w:p w14:paraId="4F145921" w14:textId="2DD3A577" w:rsidR="00415590" w:rsidRPr="00374F0E" w:rsidRDefault="00415590" w:rsidP="0063445F">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t>1</w:t>
            </w:r>
          </w:p>
        </w:tc>
        <w:tc>
          <w:tcPr>
            <w:tcW w:w="4536" w:type="dxa"/>
            <w:tcBorders>
              <w:top w:val="single" w:sz="4" w:space="0" w:color="auto"/>
              <w:left w:val="single" w:sz="2" w:space="0" w:color="000000"/>
              <w:bottom w:val="single" w:sz="4" w:space="0" w:color="auto"/>
              <w:right w:val="nil"/>
            </w:tcBorders>
          </w:tcPr>
          <w:p w14:paraId="186EC453" w14:textId="2476AC42" w:rsidR="00415590" w:rsidRPr="00374F0E" w:rsidRDefault="00415590" w:rsidP="00415590">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b/>
                <w:bCs/>
                <w:color w:val="EE0000"/>
                <w:sz w:val="20"/>
                <w:szCs w:val="20"/>
              </w:rPr>
              <w:t>RAÇÃO PELETIZADA PARA</w:t>
            </w:r>
            <w:r w:rsidR="00C05479" w:rsidRPr="00374F0E">
              <w:rPr>
                <w:rFonts w:ascii="Arial" w:hAnsi="Arial" w:cs="Arial"/>
                <w:b/>
                <w:bCs/>
                <w:color w:val="EE0000"/>
                <w:sz w:val="20"/>
                <w:szCs w:val="20"/>
              </w:rPr>
              <w:t xml:space="preserve"> GATO ADULTO</w:t>
            </w:r>
            <w:r w:rsidR="00C05479" w:rsidRPr="00374F0E">
              <w:rPr>
                <w:rFonts w:ascii="Arial" w:hAnsi="Arial" w:cs="Arial"/>
                <w:color w:val="EE0000"/>
                <w:sz w:val="20"/>
                <w:szCs w:val="20"/>
              </w:rPr>
              <w:t>;</w:t>
            </w:r>
          </w:p>
          <w:p w14:paraId="22BC8DAF" w14:textId="49925C27" w:rsidR="00415590" w:rsidRPr="00374F0E" w:rsidRDefault="00415590" w:rsidP="00415590">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color w:val="EE0000"/>
                <w:sz w:val="20"/>
                <w:szCs w:val="20"/>
              </w:rPr>
              <w:t>Tipo: Premium; Sabor: Carne e</w:t>
            </w:r>
            <w:r w:rsidR="00C05479" w:rsidRPr="00374F0E">
              <w:rPr>
                <w:rFonts w:ascii="Arial" w:hAnsi="Arial" w:cs="Arial"/>
                <w:color w:val="EE0000"/>
                <w:sz w:val="20"/>
                <w:szCs w:val="20"/>
              </w:rPr>
              <w:t xml:space="preserve"> </w:t>
            </w:r>
            <w:r w:rsidRPr="00374F0E">
              <w:rPr>
                <w:rFonts w:ascii="Arial" w:hAnsi="Arial" w:cs="Arial"/>
                <w:color w:val="EE0000"/>
                <w:sz w:val="20"/>
                <w:szCs w:val="20"/>
              </w:rPr>
              <w:t>GATO ADULTO;/ou frango; Ingredientes: Farinha de carne e ossos de</w:t>
            </w:r>
            <w:r w:rsidR="00C05479" w:rsidRPr="00374F0E">
              <w:rPr>
                <w:rFonts w:ascii="Arial" w:hAnsi="Arial" w:cs="Arial"/>
                <w:color w:val="EE0000"/>
                <w:sz w:val="20"/>
                <w:szCs w:val="20"/>
              </w:rPr>
              <w:t xml:space="preserve"> </w:t>
            </w:r>
            <w:r w:rsidRPr="00374F0E">
              <w:rPr>
                <w:rFonts w:ascii="Arial" w:hAnsi="Arial" w:cs="Arial"/>
                <w:color w:val="EE0000"/>
                <w:sz w:val="20"/>
                <w:szCs w:val="20"/>
              </w:rPr>
              <w:t>bovinos, farinha de vísceras de aves, glúten de milho, milho integral, farelo de soja, quirera de arroz, gordura de aves, hidrolisado de fígado de aves, parede celular de levedura, taurina (mín. 1.200 mg/kg), metionina (mín. 7.000 mg/kg), vitaminas e minerais; Dosagem Máxima Umidade: 12%, Dosagem Mínima Proteína: 30%, Dosagem Mínima Extrato Etéreo: 9%, Dosagem Máxima Matéria Mineral: 8,5%, Dosagem Máxima Matéria Fibrosa: 4%; Dosagem Mínima Cálcio: 0,6%, Dosagem Mínima Fósforo: 0,6%; Embalagem: Saco de 10 quilograma. Metalizadas com fotoprotetor, resistente e hermeticamente fechad</w:t>
            </w:r>
            <w:r w:rsidR="00C05479" w:rsidRPr="00374F0E">
              <w:rPr>
                <w:rFonts w:ascii="Arial" w:hAnsi="Arial" w:cs="Arial"/>
                <w:color w:val="EE0000"/>
                <w:sz w:val="20"/>
                <w:szCs w:val="20"/>
              </w:rPr>
              <w:t>o.</w:t>
            </w:r>
          </w:p>
          <w:p w14:paraId="552E70F3" w14:textId="1FE0AFE2" w:rsidR="00C05479" w:rsidRPr="00374F0E" w:rsidRDefault="00C05479" w:rsidP="00C05479">
            <w:pPr>
              <w:widowControl w:val="0"/>
              <w:autoSpaceDE w:val="0"/>
              <w:autoSpaceDN w:val="0"/>
              <w:adjustRightInd w:val="0"/>
              <w:spacing w:line="360" w:lineRule="auto"/>
              <w:ind w:left="-578" w:right="-30" w:firstLine="567"/>
              <w:jc w:val="both"/>
              <w:rPr>
                <w:rFonts w:ascii="Arial" w:hAnsi="Arial" w:cs="Arial"/>
                <w:b/>
                <w:bCs/>
                <w:color w:val="EE0000"/>
                <w:sz w:val="20"/>
                <w:szCs w:val="20"/>
              </w:rPr>
            </w:pPr>
            <w:r w:rsidRPr="00374F0E">
              <w:rPr>
                <w:rFonts w:ascii="Arial" w:hAnsi="Arial" w:cs="Arial"/>
                <w:b/>
                <w:bCs/>
                <w:color w:val="EE0000"/>
                <w:sz w:val="20"/>
                <w:szCs w:val="20"/>
              </w:rPr>
              <w:t xml:space="preserve">Marca: </w:t>
            </w:r>
            <w:proofErr w:type="spellStart"/>
            <w:r w:rsidRPr="00374F0E">
              <w:rPr>
                <w:rFonts w:ascii="Arial" w:hAnsi="Arial" w:cs="Arial"/>
                <w:b/>
                <w:bCs/>
                <w:color w:val="EE0000"/>
                <w:sz w:val="20"/>
                <w:szCs w:val="20"/>
              </w:rPr>
              <w:t>Special</w:t>
            </w:r>
            <w:proofErr w:type="spellEnd"/>
            <w:r w:rsidRPr="00374F0E">
              <w:rPr>
                <w:rFonts w:ascii="Arial" w:hAnsi="Arial" w:cs="Arial"/>
                <w:b/>
                <w:bCs/>
                <w:color w:val="EE0000"/>
                <w:sz w:val="20"/>
                <w:szCs w:val="20"/>
              </w:rPr>
              <w:t xml:space="preserve"> </w:t>
            </w:r>
            <w:proofErr w:type="spellStart"/>
            <w:r w:rsidRPr="00374F0E">
              <w:rPr>
                <w:rFonts w:ascii="Arial" w:hAnsi="Arial" w:cs="Arial"/>
                <w:b/>
                <w:bCs/>
                <w:color w:val="EE0000"/>
                <w:sz w:val="20"/>
                <w:szCs w:val="20"/>
              </w:rPr>
              <w:t>Cat</w:t>
            </w:r>
            <w:proofErr w:type="spellEnd"/>
            <w:r w:rsidRPr="00374F0E">
              <w:rPr>
                <w:rFonts w:ascii="Arial" w:hAnsi="Arial" w:cs="Arial"/>
                <w:b/>
                <w:bCs/>
                <w:color w:val="EE0000"/>
                <w:sz w:val="20"/>
                <w:szCs w:val="20"/>
              </w:rPr>
              <w:t xml:space="preserve"> Carne</w:t>
            </w:r>
          </w:p>
        </w:tc>
        <w:tc>
          <w:tcPr>
            <w:tcW w:w="1134" w:type="dxa"/>
            <w:tcBorders>
              <w:top w:val="single" w:sz="4" w:space="0" w:color="auto"/>
              <w:left w:val="single" w:sz="2" w:space="0" w:color="000000"/>
              <w:bottom w:val="single" w:sz="4" w:space="0" w:color="auto"/>
              <w:right w:val="single" w:sz="4" w:space="0" w:color="auto"/>
            </w:tcBorders>
          </w:tcPr>
          <w:p w14:paraId="63036912" w14:textId="77777777" w:rsidR="00F10692" w:rsidRPr="00374F0E" w:rsidRDefault="00F10692" w:rsidP="00F10692">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t>Saco 10</w:t>
            </w:r>
          </w:p>
          <w:p w14:paraId="71AFEDE5" w14:textId="14E2B461" w:rsidR="00415590" w:rsidRPr="00374F0E" w:rsidRDefault="00F10692" w:rsidP="00F10692">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t>Quilograma</w:t>
            </w:r>
          </w:p>
        </w:tc>
        <w:tc>
          <w:tcPr>
            <w:tcW w:w="992" w:type="dxa"/>
            <w:tcBorders>
              <w:top w:val="single" w:sz="4" w:space="0" w:color="auto"/>
              <w:left w:val="single" w:sz="4" w:space="0" w:color="auto"/>
              <w:bottom w:val="single" w:sz="4" w:space="0" w:color="auto"/>
              <w:right w:val="single" w:sz="4" w:space="0" w:color="auto"/>
            </w:tcBorders>
          </w:tcPr>
          <w:p w14:paraId="77C30993" w14:textId="58EC6180" w:rsidR="00415590" w:rsidRPr="00374F0E" w:rsidRDefault="00F10692" w:rsidP="0063445F">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t>20</w:t>
            </w:r>
          </w:p>
        </w:tc>
        <w:tc>
          <w:tcPr>
            <w:tcW w:w="992" w:type="dxa"/>
            <w:tcBorders>
              <w:top w:val="single" w:sz="4" w:space="0" w:color="auto"/>
              <w:left w:val="single" w:sz="4" w:space="0" w:color="auto"/>
              <w:bottom w:val="single" w:sz="4" w:space="0" w:color="auto"/>
              <w:right w:val="single" w:sz="4" w:space="0" w:color="auto"/>
            </w:tcBorders>
          </w:tcPr>
          <w:p w14:paraId="10534F3B" w14:textId="0D86983F" w:rsidR="00415590" w:rsidRPr="00374F0E" w:rsidRDefault="00F10692" w:rsidP="00960E11">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color w:val="EE0000"/>
                <w:sz w:val="20"/>
                <w:szCs w:val="20"/>
              </w:rPr>
              <w:t>R$ 132,00</w:t>
            </w:r>
          </w:p>
        </w:tc>
        <w:tc>
          <w:tcPr>
            <w:tcW w:w="1276" w:type="dxa"/>
            <w:tcBorders>
              <w:top w:val="single" w:sz="4" w:space="0" w:color="auto"/>
              <w:left w:val="single" w:sz="4" w:space="0" w:color="auto"/>
              <w:bottom w:val="single" w:sz="4" w:space="0" w:color="auto"/>
              <w:right w:val="single" w:sz="4" w:space="0" w:color="auto"/>
            </w:tcBorders>
          </w:tcPr>
          <w:p w14:paraId="6713439A" w14:textId="38F1A1C2" w:rsidR="00415590" w:rsidRPr="00374F0E" w:rsidRDefault="00F10692" w:rsidP="00960E11">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color w:val="EE0000"/>
                <w:sz w:val="20"/>
                <w:szCs w:val="20"/>
              </w:rPr>
              <w:t>R$ 2.640,00</w:t>
            </w:r>
          </w:p>
        </w:tc>
      </w:tr>
      <w:tr w:rsidR="00C05479" w:rsidRPr="005F295F" w14:paraId="33BD21C5" w14:textId="77777777" w:rsidTr="00F10692">
        <w:trPr>
          <w:trHeight w:val="4902"/>
        </w:trPr>
        <w:tc>
          <w:tcPr>
            <w:tcW w:w="413" w:type="dxa"/>
            <w:tcBorders>
              <w:top w:val="single" w:sz="4" w:space="0" w:color="auto"/>
              <w:left w:val="single" w:sz="4" w:space="0" w:color="auto"/>
              <w:bottom w:val="single" w:sz="4" w:space="0" w:color="auto"/>
              <w:right w:val="single" w:sz="4" w:space="0" w:color="auto"/>
            </w:tcBorders>
          </w:tcPr>
          <w:p w14:paraId="704F365C" w14:textId="77777777" w:rsidR="00C05479" w:rsidRPr="00374F0E" w:rsidRDefault="00C05479" w:rsidP="0063445F">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t>2</w:t>
            </w:r>
          </w:p>
          <w:p w14:paraId="1D8DF560" w14:textId="62E0E76D" w:rsidR="00C05479" w:rsidRPr="00374F0E" w:rsidRDefault="00C05479" w:rsidP="00C05479">
            <w:pPr>
              <w:widowControl w:val="0"/>
              <w:autoSpaceDE w:val="0"/>
              <w:autoSpaceDN w:val="0"/>
              <w:adjustRightInd w:val="0"/>
              <w:spacing w:line="360" w:lineRule="auto"/>
              <w:ind w:right="-30"/>
              <w:jc w:val="center"/>
              <w:rPr>
                <w:rFonts w:ascii="Arial" w:hAnsi="Arial" w:cs="Arial"/>
                <w:color w:val="EE0000"/>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4798272" w14:textId="77777777" w:rsidR="00C05479" w:rsidRPr="00374F0E" w:rsidRDefault="00F10692" w:rsidP="00F10692">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b/>
                <w:bCs/>
                <w:color w:val="EE0000"/>
                <w:sz w:val="20"/>
                <w:szCs w:val="20"/>
              </w:rPr>
              <w:t>RAÇÃO ÚMIDA PARA CÃO ADULTO</w:t>
            </w:r>
            <w:r w:rsidRPr="00374F0E">
              <w:rPr>
                <w:rFonts w:ascii="Arial" w:hAnsi="Arial" w:cs="Arial"/>
                <w:color w:val="EE0000"/>
                <w:sz w:val="20"/>
                <w:szCs w:val="20"/>
              </w:rPr>
              <w:t xml:space="preserve">; Tipo: Patê; Sabor: Carne e/ou frango; Ingredientes: Carne mecanicamente separada de aves, fígado de </w:t>
            </w:r>
            <w:proofErr w:type="spellStart"/>
            <w:r w:rsidRPr="00374F0E">
              <w:rPr>
                <w:rFonts w:ascii="Arial" w:hAnsi="Arial" w:cs="Arial"/>
                <w:color w:val="EE0000"/>
                <w:sz w:val="20"/>
                <w:szCs w:val="20"/>
              </w:rPr>
              <w:t>aves,carne</w:t>
            </w:r>
            <w:proofErr w:type="spellEnd"/>
            <w:r w:rsidRPr="00374F0E">
              <w:rPr>
                <w:rFonts w:ascii="Arial" w:hAnsi="Arial" w:cs="Arial"/>
                <w:color w:val="EE0000"/>
                <w:sz w:val="20"/>
                <w:szCs w:val="20"/>
              </w:rPr>
              <w:t xml:space="preserve"> de suíno, cenoura, farinha de arroz, água, cloreto de sódio, cloreto de potássio, goma xantana, </w:t>
            </w:r>
            <w:proofErr w:type="spellStart"/>
            <w:r w:rsidRPr="00374F0E">
              <w:rPr>
                <w:rFonts w:ascii="Arial" w:hAnsi="Arial" w:cs="Arial"/>
                <w:color w:val="EE0000"/>
                <w:sz w:val="20"/>
                <w:szCs w:val="20"/>
              </w:rPr>
              <w:t>premix</w:t>
            </w:r>
            <w:proofErr w:type="spellEnd"/>
            <w:r w:rsidRPr="00374F0E">
              <w:rPr>
                <w:rFonts w:ascii="Arial" w:hAnsi="Arial" w:cs="Arial"/>
                <w:color w:val="EE0000"/>
                <w:sz w:val="20"/>
                <w:szCs w:val="20"/>
              </w:rPr>
              <w:t xml:space="preserve"> vitamínico mineral, biotina, </w:t>
            </w:r>
            <w:proofErr w:type="spellStart"/>
            <w:r w:rsidRPr="00374F0E">
              <w:rPr>
                <w:rFonts w:ascii="Arial" w:hAnsi="Arial" w:cs="Arial"/>
                <w:color w:val="EE0000"/>
                <w:sz w:val="20"/>
                <w:szCs w:val="20"/>
              </w:rPr>
              <w:t>colina,niacina</w:t>
            </w:r>
            <w:proofErr w:type="spellEnd"/>
            <w:r w:rsidRPr="00374F0E">
              <w:rPr>
                <w:rFonts w:ascii="Arial" w:hAnsi="Arial" w:cs="Arial"/>
                <w:color w:val="EE0000"/>
                <w:sz w:val="20"/>
                <w:szCs w:val="20"/>
              </w:rPr>
              <w:t>; Dosagem Máxima Umidade: 86%,</w:t>
            </w:r>
            <w:r w:rsidRPr="00374F0E">
              <w:rPr>
                <w:color w:val="EE0000"/>
              </w:rPr>
              <w:t xml:space="preserve"> </w:t>
            </w:r>
            <w:r w:rsidRPr="00374F0E">
              <w:rPr>
                <w:rFonts w:ascii="Arial" w:hAnsi="Arial" w:cs="Arial"/>
                <w:color w:val="EE0000"/>
                <w:sz w:val="20"/>
                <w:szCs w:val="20"/>
              </w:rPr>
              <w:t>Dosagem Mínima Proteína: 8%, Dosagem Mínima Extrato Etéreo: 3%, Dosagem Máxima Matéria  Mineral: 2,5%, Dosagem Máxima Matéria Fibrosa:2,5%, Dosagem Mínima Cálcio: 0,3%, Dosagem Mínima Fósforo: 0,3%; Embalagem: Lata com 280 grama.</w:t>
            </w:r>
          </w:p>
          <w:p w14:paraId="4A293FB9" w14:textId="0BFBFF7C" w:rsidR="00F10692" w:rsidRPr="00374F0E" w:rsidRDefault="00F10692" w:rsidP="00F10692">
            <w:pPr>
              <w:widowControl w:val="0"/>
              <w:autoSpaceDE w:val="0"/>
              <w:autoSpaceDN w:val="0"/>
              <w:adjustRightInd w:val="0"/>
              <w:spacing w:line="360" w:lineRule="auto"/>
              <w:ind w:right="-30"/>
              <w:jc w:val="both"/>
              <w:rPr>
                <w:rFonts w:ascii="Arial" w:hAnsi="Arial" w:cs="Arial"/>
                <w:b/>
                <w:bCs/>
                <w:color w:val="EE0000"/>
                <w:sz w:val="20"/>
                <w:szCs w:val="20"/>
              </w:rPr>
            </w:pPr>
            <w:r w:rsidRPr="00374F0E">
              <w:rPr>
                <w:rFonts w:ascii="Arial" w:hAnsi="Arial" w:cs="Arial"/>
                <w:b/>
                <w:bCs/>
                <w:color w:val="EE0000"/>
                <w:sz w:val="20"/>
                <w:szCs w:val="20"/>
              </w:rPr>
              <w:t xml:space="preserve">Marca: </w:t>
            </w:r>
            <w:proofErr w:type="spellStart"/>
            <w:r w:rsidRPr="00374F0E">
              <w:rPr>
                <w:rFonts w:ascii="Arial" w:hAnsi="Arial" w:cs="Arial"/>
                <w:b/>
                <w:bCs/>
                <w:color w:val="EE0000"/>
                <w:sz w:val="20"/>
                <w:szCs w:val="20"/>
              </w:rPr>
              <w:t>Pedrigree</w:t>
            </w:r>
            <w:proofErr w:type="spellEnd"/>
            <w:r w:rsidRPr="00374F0E">
              <w:rPr>
                <w:rFonts w:ascii="Arial" w:hAnsi="Arial" w:cs="Arial"/>
                <w:b/>
                <w:bCs/>
                <w:color w:val="EE0000"/>
                <w:sz w:val="20"/>
                <w:szCs w:val="20"/>
              </w:rPr>
              <w:t xml:space="preserve"> patê</w:t>
            </w:r>
          </w:p>
        </w:tc>
        <w:tc>
          <w:tcPr>
            <w:tcW w:w="1134" w:type="dxa"/>
            <w:tcBorders>
              <w:top w:val="single" w:sz="4" w:space="0" w:color="auto"/>
              <w:left w:val="single" w:sz="4" w:space="0" w:color="auto"/>
              <w:bottom w:val="single" w:sz="4" w:space="0" w:color="auto"/>
              <w:right w:val="single" w:sz="4" w:space="0" w:color="auto"/>
            </w:tcBorders>
          </w:tcPr>
          <w:p w14:paraId="2B7E8555" w14:textId="43537AAE" w:rsidR="00C05479" w:rsidRPr="00374F0E" w:rsidRDefault="00F10692" w:rsidP="00F7680F">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t xml:space="preserve">Lata 280 Gramas </w:t>
            </w:r>
          </w:p>
        </w:tc>
        <w:tc>
          <w:tcPr>
            <w:tcW w:w="992" w:type="dxa"/>
            <w:tcBorders>
              <w:top w:val="single" w:sz="4" w:space="0" w:color="auto"/>
              <w:left w:val="single" w:sz="4" w:space="0" w:color="auto"/>
              <w:bottom w:val="single" w:sz="4" w:space="0" w:color="auto"/>
              <w:right w:val="single" w:sz="4" w:space="0" w:color="auto"/>
            </w:tcBorders>
          </w:tcPr>
          <w:p w14:paraId="2FCDE1A6" w14:textId="6870329D" w:rsidR="00C05479" w:rsidRPr="00374F0E" w:rsidRDefault="00425841" w:rsidP="0063445F">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t>160</w:t>
            </w:r>
          </w:p>
        </w:tc>
        <w:tc>
          <w:tcPr>
            <w:tcW w:w="992" w:type="dxa"/>
            <w:tcBorders>
              <w:top w:val="single" w:sz="4" w:space="0" w:color="auto"/>
              <w:left w:val="single" w:sz="4" w:space="0" w:color="auto"/>
              <w:bottom w:val="single" w:sz="4" w:space="0" w:color="auto"/>
              <w:right w:val="single" w:sz="4" w:space="0" w:color="auto"/>
            </w:tcBorders>
          </w:tcPr>
          <w:p w14:paraId="085679FF" w14:textId="3C07A999" w:rsidR="00C05479" w:rsidRPr="00374F0E" w:rsidRDefault="00425841" w:rsidP="00960E11">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color w:val="EE0000"/>
                <w:sz w:val="20"/>
                <w:szCs w:val="20"/>
              </w:rPr>
              <w:t>R$ 13,00</w:t>
            </w:r>
          </w:p>
        </w:tc>
        <w:tc>
          <w:tcPr>
            <w:tcW w:w="1276" w:type="dxa"/>
            <w:tcBorders>
              <w:top w:val="single" w:sz="4" w:space="0" w:color="auto"/>
              <w:left w:val="single" w:sz="4" w:space="0" w:color="auto"/>
              <w:bottom w:val="single" w:sz="4" w:space="0" w:color="auto"/>
              <w:right w:val="single" w:sz="4" w:space="0" w:color="auto"/>
            </w:tcBorders>
          </w:tcPr>
          <w:p w14:paraId="7892D332" w14:textId="037B3A26" w:rsidR="00C05479" w:rsidRPr="00374F0E" w:rsidRDefault="00425841" w:rsidP="00960E11">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color w:val="EE0000"/>
                <w:sz w:val="20"/>
                <w:szCs w:val="20"/>
              </w:rPr>
              <w:t>R$ 2.080,00</w:t>
            </w:r>
          </w:p>
        </w:tc>
      </w:tr>
      <w:tr w:rsidR="00C05479" w:rsidRPr="005F295F" w14:paraId="4DEF1B3B" w14:textId="77777777" w:rsidTr="00425841">
        <w:trPr>
          <w:trHeight w:val="4426"/>
        </w:trPr>
        <w:tc>
          <w:tcPr>
            <w:tcW w:w="413" w:type="dxa"/>
            <w:tcBorders>
              <w:top w:val="single" w:sz="4" w:space="0" w:color="auto"/>
              <w:left w:val="single" w:sz="4" w:space="0" w:color="auto"/>
              <w:bottom w:val="single" w:sz="4" w:space="0" w:color="auto"/>
              <w:right w:val="single" w:sz="4" w:space="0" w:color="auto"/>
            </w:tcBorders>
          </w:tcPr>
          <w:p w14:paraId="6DD9E0AD" w14:textId="34A9CACB" w:rsidR="00C05479" w:rsidRPr="00374F0E" w:rsidRDefault="00C05479" w:rsidP="0063445F">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lastRenderedPageBreak/>
              <w:t>3</w:t>
            </w:r>
          </w:p>
        </w:tc>
        <w:tc>
          <w:tcPr>
            <w:tcW w:w="4536" w:type="dxa"/>
            <w:tcBorders>
              <w:top w:val="single" w:sz="4" w:space="0" w:color="auto"/>
              <w:left w:val="single" w:sz="4" w:space="0" w:color="auto"/>
              <w:bottom w:val="single" w:sz="4" w:space="0" w:color="auto"/>
              <w:right w:val="single" w:sz="4" w:space="0" w:color="auto"/>
            </w:tcBorders>
          </w:tcPr>
          <w:p w14:paraId="30EA33F3" w14:textId="77777777" w:rsidR="00C05479" w:rsidRPr="00374F0E" w:rsidRDefault="00425841" w:rsidP="00425841">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b/>
                <w:bCs/>
                <w:color w:val="EE0000"/>
                <w:sz w:val="20"/>
                <w:szCs w:val="20"/>
              </w:rPr>
              <w:t>RAÇÃO ÚMIDA PARA GATO ADULTO;</w:t>
            </w:r>
            <w:r w:rsidRPr="00374F0E">
              <w:rPr>
                <w:rFonts w:ascii="Arial" w:hAnsi="Arial" w:cs="Arial"/>
                <w:color w:val="EE0000"/>
                <w:sz w:val="20"/>
                <w:szCs w:val="20"/>
              </w:rPr>
              <w:t xml:space="preserve"> Tipo: Patê, Ingredientes: Carne mecanicamente separada de atum, miúdos de suínos, carcaça de frango, água, vitaminas (C, D3, E, K3, B1, B2, B6, niacina, cloreto de colina), minerais, taurina (Mínimo 0,05%) , goma, cloreto de sódio, cloreto de potássio; Dosagem Máxima Umidade: 86%, Dosagem Mínima Proteína: 8%, Dosagem Mínima Extrato Etéreo: 3%, Dosagem Máxima Matéria Mineral: 3%, Dosagem Máxima Matéria Fibrosa: 2%, Dosagem Mínima Cálcio: 0,15%; Embalagem: Lata com 290 grama.</w:t>
            </w:r>
          </w:p>
          <w:p w14:paraId="5A8D4E53" w14:textId="4AC0BF77" w:rsidR="00425841" w:rsidRPr="00374F0E" w:rsidRDefault="00425841" w:rsidP="00425841">
            <w:pPr>
              <w:widowControl w:val="0"/>
              <w:autoSpaceDE w:val="0"/>
              <w:autoSpaceDN w:val="0"/>
              <w:adjustRightInd w:val="0"/>
              <w:spacing w:line="360" w:lineRule="auto"/>
              <w:ind w:right="-30"/>
              <w:rPr>
                <w:rFonts w:ascii="Arial" w:hAnsi="Arial" w:cs="Arial"/>
                <w:b/>
                <w:bCs/>
                <w:color w:val="EE0000"/>
                <w:sz w:val="20"/>
                <w:szCs w:val="20"/>
              </w:rPr>
            </w:pPr>
            <w:r w:rsidRPr="00374F0E">
              <w:rPr>
                <w:rFonts w:ascii="Arial" w:hAnsi="Arial" w:cs="Arial"/>
                <w:b/>
                <w:bCs/>
                <w:color w:val="EE0000"/>
                <w:sz w:val="20"/>
                <w:szCs w:val="20"/>
              </w:rPr>
              <w:t xml:space="preserve">Marca: </w:t>
            </w:r>
            <w:proofErr w:type="spellStart"/>
            <w:r w:rsidRPr="00374F0E">
              <w:rPr>
                <w:rFonts w:ascii="Arial" w:hAnsi="Arial" w:cs="Arial"/>
                <w:b/>
                <w:bCs/>
                <w:color w:val="EE0000"/>
                <w:sz w:val="20"/>
                <w:szCs w:val="20"/>
              </w:rPr>
              <w:t>Whiskas</w:t>
            </w:r>
            <w:proofErr w:type="spellEnd"/>
            <w:r w:rsidRPr="00374F0E">
              <w:rPr>
                <w:rFonts w:ascii="Arial" w:hAnsi="Arial" w:cs="Arial"/>
                <w:b/>
                <w:bCs/>
                <w:color w:val="EE0000"/>
                <w:sz w:val="20"/>
                <w:szCs w:val="20"/>
              </w:rPr>
              <w:t xml:space="preserve"> patê</w:t>
            </w:r>
          </w:p>
        </w:tc>
        <w:tc>
          <w:tcPr>
            <w:tcW w:w="1134" w:type="dxa"/>
            <w:tcBorders>
              <w:top w:val="single" w:sz="4" w:space="0" w:color="auto"/>
              <w:left w:val="single" w:sz="4" w:space="0" w:color="auto"/>
              <w:bottom w:val="single" w:sz="4" w:space="0" w:color="auto"/>
              <w:right w:val="single" w:sz="4" w:space="0" w:color="auto"/>
            </w:tcBorders>
          </w:tcPr>
          <w:p w14:paraId="7A029B31" w14:textId="78411903" w:rsidR="00C05479" w:rsidRPr="00374F0E" w:rsidRDefault="00425841" w:rsidP="00F7680F">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t xml:space="preserve">Lata 290 Gramas </w:t>
            </w:r>
          </w:p>
        </w:tc>
        <w:tc>
          <w:tcPr>
            <w:tcW w:w="992" w:type="dxa"/>
            <w:tcBorders>
              <w:top w:val="single" w:sz="4" w:space="0" w:color="auto"/>
              <w:left w:val="single" w:sz="4" w:space="0" w:color="auto"/>
              <w:bottom w:val="single" w:sz="4" w:space="0" w:color="auto"/>
              <w:right w:val="single" w:sz="4" w:space="0" w:color="auto"/>
            </w:tcBorders>
          </w:tcPr>
          <w:p w14:paraId="5108AD39" w14:textId="0293AE25" w:rsidR="00C05479" w:rsidRPr="00374F0E" w:rsidRDefault="00425841" w:rsidP="0063445F">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t>300</w:t>
            </w:r>
          </w:p>
        </w:tc>
        <w:tc>
          <w:tcPr>
            <w:tcW w:w="992" w:type="dxa"/>
            <w:tcBorders>
              <w:top w:val="single" w:sz="4" w:space="0" w:color="auto"/>
              <w:left w:val="single" w:sz="4" w:space="0" w:color="auto"/>
              <w:bottom w:val="single" w:sz="4" w:space="0" w:color="auto"/>
              <w:right w:val="single" w:sz="4" w:space="0" w:color="auto"/>
            </w:tcBorders>
          </w:tcPr>
          <w:p w14:paraId="54EA3873" w14:textId="1C840EE4" w:rsidR="00C05479" w:rsidRPr="00374F0E" w:rsidRDefault="00425841" w:rsidP="00960E11">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color w:val="EE0000"/>
                <w:sz w:val="20"/>
                <w:szCs w:val="20"/>
              </w:rPr>
              <w:t>R$ 12,50</w:t>
            </w:r>
          </w:p>
        </w:tc>
        <w:tc>
          <w:tcPr>
            <w:tcW w:w="1276" w:type="dxa"/>
            <w:tcBorders>
              <w:top w:val="single" w:sz="4" w:space="0" w:color="auto"/>
              <w:left w:val="single" w:sz="4" w:space="0" w:color="auto"/>
              <w:bottom w:val="single" w:sz="4" w:space="0" w:color="auto"/>
              <w:right w:val="single" w:sz="4" w:space="0" w:color="auto"/>
            </w:tcBorders>
          </w:tcPr>
          <w:p w14:paraId="38847E53" w14:textId="59EF8A72" w:rsidR="00C05479" w:rsidRPr="00374F0E" w:rsidRDefault="00425841" w:rsidP="00960E11">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color w:val="EE0000"/>
                <w:sz w:val="20"/>
                <w:szCs w:val="20"/>
              </w:rPr>
              <w:t>R$ 3.750,00</w:t>
            </w:r>
          </w:p>
        </w:tc>
      </w:tr>
      <w:tr w:rsidR="00C05479" w:rsidRPr="005F295F" w14:paraId="6DC3B0CE" w14:textId="77777777" w:rsidTr="00F10692">
        <w:trPr>
          <w:trHeight w:val="4902"/>
        </w:trPr>
        <w:tc>
          <w:tcPr>
            <w:tcW w:w="413" w:type="dxa"/>
            <w:tcBorders>
              <w:top w:val="single" w:sz="4" w:space="0" w:color="auto"/>
              <w:left w:val="single" w:sz="4" w:space="0" w:color="auto"/>
              <w:bottom w:val="single" w:sz="4" w:space="0" w:color="auto"/>
              <w:right w:val="single" w:sz="4" w:space="0" w:color="auto"/>
            </w:tcBorders>
          </w:tcPr>
          <w:p w14:paraId="2CAB31B5" w14:textId="70D5A243" w:rsidR="00C05479" w:rsidRPr="00374F0E" w:rsidRDefault="00C05479" w:rsidP="0063445F">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t>4</w:t>
            </w:r>
          </w:p>
        </w:tc>
        <w:tc>
          <w:tcPr>
            <w:tcW w:w="4536" w:type="dxa"/>
            <w:tcBorders>
              <w:top w:val="single" w:sz="4" w:space="0" w:color="auto"/>
              <w:left w:val="single" w:sz="4" w:space="0" w:color="auto"/>
              <w:bottom w:val="single" w:sz="4" w:space="0" w:color="auto"/>
              <w:right w:val="single" w:sz="4" w:space="0" w:color="auto"/>
            </w:tcBorders>
          </w:tcPr>
          <w:p w14:paraId="428C421B" w14:textId="77777777" w:rsidR="00425841" w:rsidRPr="00374F0E" w:rsidRDefault="00425841" w:rsidP="00425841">
            <w:pPr>
              <w:widowControl w:val="0"/>
              <w:autoSpaceDE w:val="0"/>
              <w:autoSpaceDN w:val="0"/>
              <w:adjustRightInd w:val="0"/>
              <w:spacing w:line="360" w:lineRule="auto"/>
              <w:ind w:right="-30"/>
              <w:rPr>
                <w:rFonts w:ascii="Arial" w:hAnsi="Arial" w:cs="Arial"/>
                <w:b/>
                <w:bCs/>
                <w:color w:val="EE0000"/>
                <w:sz w:val="20"/>
                <w:szCs w:val="20"/>
              </w:rPr>
            </w:pPr>
            <w:r w:rsidRPr="00374F0E">
              <w:rPr>
                <w:rFonts w:ascii="Arial" w:hAnsi="Arial" w:cs="Arial"/>
                <w:b/>
                <w:bCs/>
                <w:color w:val="EE0000"/>
                <w:sz w:val="20"/>
                <w:szCs w:val="20"/>
              </w:rPr>
              <w:t>SUBSTITUTO DE LEITE MATERNO PARA FILHOTES DE CÃES E GATOS;</w:t>
            </w:r>
          </w:p>
          <w:p w14:paraId="0BF1AC72" w14:textId="77777777" w:rsidR="00C05479" w:rsidRPr="00374F0E" w:rsidRDefault="00425841" w:rsidP="00425841">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color w:val="EE0000"/>
                <w:sz w:val="20"/>
                <w:szCs w:val="20"/>
              </w:rPr>
              <w:t>Ingredientes: Vitaminas, minerais, aminoácidos, prebióticos (FOS); Dosagem Mínima Proteína: 32%, Dosagem Mínima Extrato Etéreo: 26%, Dosagem Máxima Umidade: 10%, Dosagem Máxima Matéria Mineral: 7,4%, Dosagem Máxima Matéria Fibrosa: 1.900 mg/kg, Dosagem Mínima Cálcio: 1,6%, Dosagem Mínima Fósforo: 0,9%; Características adicionais: Valor Energético 5.273,34 Kcal/kg; Aplicação: Uso Veterinário; Aspecto Físico: Pó; Embalagem: Sache laminado 300 grama.</w:t>
            </w:r>
          </w:p>
          <w:p w14:paraId="3E9EC8D7" w14:textId="139ACA3F" w:rsidR="00425841" w:rsidRPr="00374F0E" w:rsidRDefault="00425841" w:rsidP="00425841">
            <w:pPr>
              <w:widowControl w:val="0"/>
              <w:autoSpaceDE w:val="0"/>
              <w:autoSpaceDN w:val="0"/>
              <w:adjustRightInd w:val="0"/>
              <w:spacing w:line="360" w:lineRule="auto"/>
              <w:ind w:right="-30"/>
              <w:jc w:val="both"/>
              <w:rPr>
                <w:rFonts w:ascii="Arial" w:hAnsi="Arial" w:cs="Arial"/>
                <w:b/>
                <w:bCs/>
                <w:color w:val="EE0000"/>
                <w:sz w:val="20"/>
                <w:szCs w:val="20"/>
              </w:rPr>
            </w:pPr>
            <w:r w:rsidRPr="00374F0E">
              <w:rPr>
                <w:rFonts w:ascii="Arial" w:hAnsi="Arial" w:cs="Arial"/>
                <w:b/>
                <w:bCs/>
                <w:color w:val="EE0000"/>
                <w:sz w:val="20"/>
                <w:szCs w:val="20"/>
              </w:rPr>
              <w:t xml:space="preserve">Marca: Pet </w:t>
            </w:r>
            <w:proofErr w:type="spellStart"/>
            <w:r w:rsidRPr="00374F0E">
              <w:rPr>
                <w:rFonts w:ascii="Arial" w:hAnsi="Arial" w:cs="Arial"/>
                <w:b/>
                <w:bCs/>
                <w:color w:val="EE0000"/>
                <w:sz w:val="20"/>
                <w:szCs w:val="20"/>
              </w:rPr>
              <w:t>Milk</w:t>
            </w:r>
            <w:proofErr w:type="spellEnd"/>
            <w:r w:rsidRPr="00374F0E">
              <w:rPr>
                <w:rFonts w:ascii="Arial" w:hAnsi="Arial" w:cs="Arial"/>
                <w:b/>
                <w:bCs/>
                <w:color w:val="EE0000"/>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14:paraId="6C8BC302" w14:textId="02667EF6" w:rsidR="00C05479" w:rsidRPr="00374F0E" w:rsidRDefault="00275AD5" w:rsidP="00F7680F">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t>Embalagem de 300g</w:t>
            </w:r>
          </w:p>
        </w:tc>
        <w:tc>
          <w:tcPr>
            <w:tcW w:w="992" w:type="dxa"/>
            <w:tcBorders>
              <w:top w:val="single" w:sz="4" w:space="0" w:color="auto"/>
              <w:left w:val="single" w:sz="4" w:space="0" w:color="auto"/>
              <w:bottom w:val="single" w:sz="4" w:space="0" w:color="auto"/>
              <w:right w:val="single" w:sz="4" w:space="0" w:color="auto"/>
            </w:tcBorders>
          </w:tcPr>
          <w:p w14:paraId="48C51AF0" w14:textId="0F77F33B" w:rsidR="00C05479" w:rsidRPr="00374F0E" w:rsidRDefault="00275AD5" w:rsidP="0063445F">
            <w:pPr>
              <w:widowControl w:val="0"/>
              <w:autoSpaceDE w:val="0"/>
              <w:autoSpaceDN w:val="0"/>
              <w:adjustRightInd w:val="0"/>
              <w:spacing w:line="360" w:lineRule="auto"/>
              <w:ind w:right="-30"/>
              <w:jc w:val="center"/>
              <w:rPr>
                <w:rFonts w:ascii="Arial" w:hAnsi="Arial" w:cs="Arial"/>
                <w:color w:val="EE0000"/>
                <w:sz w:val="20"/>
                <w:szCs w:val="20"/>
              </w:rPr>
            </w:pPr>
            <w:r w:rsidRPr="00374F0E">
              <w:rPr>
                <w:rFonts w:ascii="Arial" w:hAnsi="Arial" w:cs="Arial"/>
                <w:color w:val="EE0000"/>
                <w:sz w:val="20"/>
                <w:szCs w:val="20"/>
              </w:rPr>
              <w:t>80</w:t>
            </w:r>
          </w:p>
        </w:tc>
        <w:tc>
          <w:tcPr>
            <w:tcW w:w="992" w:type="dxa"/>
            <w:tcBorders>
              <w:top w:val="single" w:sz="4" w:space="0" w:color="auto"/>
              <w:left w:val="single" w:sz="4" w:space="0" w:color="auto"/>
              <w:bottom w:val="single" w:sz="4" w:space="0" w:color="auto"/>
              <w:right w:val="single" w:sz="4" w:space="0" w:color="auto"/>
            </w:tcBorders>
          </w:tcPr>
          <w:p w14:paraId="4CA742BA" w14:textId="418447B5" w:rsidR="00C05479" w:rsidRPr="00374F0E" w:rsidRDefault="00275AD5" w:rsidP="00960E11">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color w:val="EE0000"/>
                <w:sz w:val="20"/>
                <w:szCs w:val="20"/>
              </w:rPr>
              <w:t>R$ 147,35</w:t>
            </w:r>
          </w:p>
        </w:tc>
        <w:tc>
          <w:tcPr>
            <w:tcW w:w="1276" w:type="dxa"/>
            <w:tcBorders>
              <w:top w:val="single" w:sz="4" w:space="0" w:color="auto"/>
              <w:left w:val="single" w:sz="4" w:space="0" w:color="auto"/>
              <w:bottom w:val="single" w:sz="4" w:space="0" w:color="auto"/>
              <w:right w:val="single" w:sz="4" w:space="0" w:color="auto"/>
            </w:tcBorders>
          </w:tcPr>
          <w:p w14:paraId="47B7B5BB" w14:textId="1CEF0286" w:rsidR="00C05479" w:rsidRPr="00374F0E" w:rsidRDefault="00275AD5" w:rsidP="00960E11">
            <w:pPr>
              <w:widowControl w:val="0"/>
              <w:autoSpaceDE w:val="0"/>
              <w:autoSpaceDN w:val="0"/>
              <w:adjustRightInd w:val="0"/>
              <w:spacing w:line="360" w:lineRule="auto"/>
              <w:ind w:right="-30"/>
              <w:jc w:val="both"/>
              <w:rPr>
                <w:rFonts w:ascii="Arial" w:hAnsi="Arial" w:cs="Arial"/>
                <w:color w:val="EE0000"/>
                <w:sz w:val="20"/>
                <w:szCs w:val="20"/>
              </w:rPr>
            </w:pPr>
            <w:r w:rsidRPr="00374F0E">
              <w:rPr>
                <w:rFonts w:ascii="Arial" w:hAnsi="Arial" w:cs="Arial"/>
                <w:color w:val="EE0000"/>
                <w:sz w:val="20"/>
                <w:szCs w:val="20"/>
              </w:rPr>
              <w:t>R$ 11.788,00</w:t>
            </w:r>
          </w:p>
        </w:tc>
      </w:tr>
    </w:tbl>
    <w:p w14:paraId="73639D81" w14:textId="77777777" w:rsidR="00812A0F" w:rsidRPr="005F295F" w:rsidRDefault="00812A0F" w:rsidP="00812A0F">
      <w:pPr>
        <w:spacing w:line="360" w:lineRule="auto"/>
        <w:rPr>
          <w:rFonts w:ascii="Arial" w:hAnsi="Arial" w:cs="Arial"/>
          <w:sz w:val="20"/>
          <w:szCs w:val="20"/>
        </w:rPr>
      </w:pPr>
    </w:p>
    <w:bookmarkEnd w:id="0"/>
    <w:p w14:paraId="4F9E488F" w14:textId="77777777" w:rsidR="00812A0F" w:rsidRPr="0096123D" w:rsidRDefault="00812A0F" w:rsidP="00812A0F">
      <w:pPr>
        <w:pStyle w:val="Nivel2"/>
        <w:rPr>
          <w:lang w:eastAsia="en-US"/>
        </w:rPr>
      </w:pPr>
      <w:r w:rsidRPr="0096123D">
        <w:rPr>
          <w:lang w:eastAsia="en-US"/>
        </w:rPr>
        <w:t xml:space="preserve">A listagem do cadastro de reserva referente ao presente registro de preços consta como anexo </w:t>
      </w:r>
      <w:r>
        <w:rPr>
          <w:lang w:eastAsia="en-US"/>
        </w:rPr>
        <w:t>d</w:t>
      </w:r>
      <w:r w:rsidRPr="0096123D">
        <w:rPr>
          <w:lang w:eastAsia="en-US"/>
        </w:rPr>
        <w:t>esta Ata.</w:t>
      </w:r>
    </w:p>
    <w:p w14:paraId="065288F8" w14:textId="1DEE3687" w:rsidR="00812A0F" w:rsidRDefault="00812A0F" w:rsidP="00812A0F">
      <w:pPr>
        <w:pStyle w:val="Nivel01"/>
      </w:pPr>
      <w:r w:rsidRPr="007B2846">
        <w:t xml:space="preserve">ÓRGÃO(S) GERENCIADOR </w:t>
      </w:r>
      <w:r w:rsidR="00221BEF" w:rsidRPr="007B2846">
        <w:t>E PARTICIPANTE</w:t>
      </w:r>
      <w:r w:rsidRPr="007B2846">
        <w:t>(S)</w:t>
      </w:r>
      <w:r w:rsidR="00F97D22">
        <w:t>:</w:t>
      </w:r>
    </w:p>
    <w:p w14:paraId="275D3E9A" w14:textId="79BD3672" w:rsidR="00812A0F" w:rsidRPr="00AE491B" w:rsidRDefault="00812A0F" w:rsidP="00F97D22">
      <w:pPr>
        <w:pStyle w:val="Nivel2"/>
      </w:pPr>
      <w:r w:rsidRPr="007B2846">
        <w:t>O órgão</w:t>
      </w:r>
      <w:r>
        <w:t xml:space="preserve"> ou entidade</w:t>
      </w:r>
      <w:r w:rsidRPr="007B2846">
        <w:t xml:space="preserve"> gerenciador</w:t>
      </w:r>
      <w:r>
        <w:t>a</w:t>
      </w:r>
      <w:r w:rsidRPr="007B2846">
        <w:t xml:space="preserve"> será </w:t>
      </w:r>
      <w:r w:rsidRPr="00AE491B">
        <w:t>Faculdade de Medicina Veterinária e Zootecnia - Campus de Botucatu</w:t>
      </w:r>
    </w:p>
    <w:p w14:paraId="3F376FBD" w14:textId="55F7D395" w:rsidR="00812A0F" w:rsidRDefault="00812A0F" w:rsidP="00F97D22">
      <w:pPr>
        <w:pStyle w:val="Nivel2"/>
      </w:pPr>
      <w:r w:rsidRPr="00252AAC">
        <w:lastRenderedPageBreak/>
        <w:t xml:space="preserve">Além do órgão ou entidade gerenciadora, </w:t>
      </w:r>
      <w:r w:rsidR="00B2023F">
        <w:t xml:space="preserve">não existem outras unidades </w:t>
      </w:r>
      <w:r w:rsidR="00AC5C2A" w:rsidRPr="00AC5C2A">
        <w:t>participantes do registro de preços:</w:t>
      </w:r>
    </w:p>
    <w:p w14:paraId="4CC67EAD" w14:textId="77777777" w:rsidR="00812A0F" w:rsidRDefault="00812A0F" w:rsidP="00812A0F">
      <w:pPr>
        <w:pStyle w:val="Nivel01"/>
      </w:pPr>
      <w:r w:rsidRPr="005F295F">
        <w:t>DA ADESÃO À ATA DE REGISTRO DE PREÇOS</w:t>
      </w:r>
    </w:p>
    <w:p w14:paraId="75F68497" w14:textId="77777777" w:rsidR="00812A0F" w:rsidRPr="001F3B17" w:rsidRDefault="00812A0F" w:rsidP="00812A0F">
      <w:pPr>
        <w:pStyle w:val="Nvel2-Red"/>
        <w:rPr>
          <w:i w:val="0"/>
          <w:iCs w:val="0"/>
          <w:color w:val="auto"/>
          <w:lang w:eastAsia="en-US"/>
        </w:rPr>
      </w:pPr>
      <w:r w:rsidRPr="001F3B17">
        <w:rPr>
          <w:i w:val="0"/>
          <w:iCs w:val="0"/>
          <w:color w:val="auto"/>
          <w:lang w:eastAsia="en-US"/>
        </w:rPr>
        <w:t xml:space="preserve"> Não será admitida a adesão a esta ata de registro de preços.</w:t>
      </w:r>
    </w:p>
    <w:p w14:paraId="0D499B94" w14:textId="77777777" w:rsidR="00812A0F" w:rsidRPr="001F3B17" w:rsidRDefault="00812A0F" w:rsidP="00812A0F">
      <w:pPr>
        <w:pStyle w:val="Nivel01"/>
      </w:pPr>
      <w:r w:rsidRPr="001F3B17">
        <w:t>VALIDADE, FORMALIZAÇÃO DA ATA DE REGISTRO DE PREÇOS E CADASTRO RESERVA</w:t>
      </w:r>
    </w:p>
    <w:p w14:paraId="5BE24705" w14:textId="77777777" w:rsidR="00812A0F" w:rsidRPr="001F3B17" w:rsidRDefault="00812A0F" w:rsidP="00812A0F">
      <w:pPr>
        <w:pStyle w:val="Nivel2"/>
      </w:pPr>
      <w:r w:rsidRPr="001F3B17">
        <w:t>O prazo de vigência e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12CB64E2" w14:textId="77777777" w:rsidR="00812A0F" w:rsidRDefault="00812A0F" w:rsidP="00812A0F">
      <w:pPr>
        <w:pStyle w:val="Nvel3"/>
        <w:rPr>
          <w:color w:val="auto"/>
        </w:rPr>
      </w:pPr>
      <w:r w:rsidRPr="002460AA">
        <w:rPr>
          <w:color w:val="auto"/>
        </w:rPr>
        <w:t>Em caso de prorrogação da Ata,</w:t>
      </w:r>
      <w:r>
        <w:rPr>
          <w:color w:val="auto"/>
        </w:rPr>
        <w:t xml:space="preserve"> </w:t>
      </w:r>
      <w:r w:rsidRPr="002460AA">
        <w:rPr>
          <w:color w:val="auto"/>
        </w:rPr>
        <w:t>poderá</w:t>
      </w:r>
      <w:r>
        <w:rPr>
          <w:color w:val="auto"/>
        </w:rPr>
        <w:t xml:space="preserve"> </w:t>
      </w:r>
      <w:r w:rsidRPr="002460AA">
        <w:rPr>
          <w:color w:val="auto"/>
        </w:rPr>
        <w:t>ser renovado o quantitativo originalmente registrado.</w:t>
      </w:r>
    </w:p>
    <w:p w14:paraId="1FE9F251" w14:textId="77777777" w:rsidR="00812A0F" w:rsidRPr="001F3B17" w:rsidRDefault="00812A0F" w:rsidP="00812A0F">
      <w:pPr>
        <w:pStyle w:val="Nvel3"/>
        <w:rPr>
          <w:color w:val="auto"/>
        </w:rPr>
      </w:pPr>
      <w:r w:rsidRPr="001F3B17">
        <w:rPr>
          <w:color w:val="auto"/>
        </w:rPr>
        <w:t>A contratação decorrente da ata de registro de preços terá sua vigência estabelecida no próprio instrumento contratual e serão observadas, no momento da contratação e a cada exercício financeiro, a disponibilidade de créditos orçamentários, bem como a previsão no plano plurianual, quando ultrapassar 1 (um) exercício financeiro.</w:t>
      </w:r>
    </w:p>
    <w:p w14:paraId="6D01DA73" w14:textId="77777777" w:rsidR="00812A0F" w:rsidRPr="001F3B17" w:rsidRDefault="00812A0F" w:rsidP="00812A0F">
      <w:pPr>
        <w:pStyle w:val="Nvel3"/>
        <w:rPr>
          <w:color w:val="auto"/>
        </w:rPr>
      </w:pPr>
      <w:r w:rsidRPr="001F3B17">
        <w:rPr>
          <w:color w:val="auto"/>
        </w:rPr>
        <w:t>Na formalização do instrumento da contratação deverá haver a indicação da disponibilidade dos créditos orçamentários respectivos.</w:t>
      </w:r>
    </w:p>
    <w:p w14:paraId="7B26637D" w14:textId="77777777" w:rsidR="00812A0F" w:rsidRPr="004F5943" w:rsidRDefault="00812A0F" w:rsidP="00812A0F">
      <w:pPr>
        <w:pStyle w:val="Nivel2"/>
      </w:pPr>
      <w:r w:rsidRPr="00C74737">
        <w:t xml:space="preserve">A </w:t>
      </w:r>
      <w:r>
        <w:t xml:space="preserve">formalização da </w:t>
      </w:r>
      <w:r w:rsidRPr="00C74737">
        <w:t>contratação com os fornecedores registrados n</w:t>
      </w:r>
      <w:r>
        <w:t>est</w:t>
      </w:r>
      <w:r w:rsidRPr="00C74737">
        <w:t xml:space="preserve">a ata </w:t>
      </w:r>
      <w:r>
        <w:t xml:space="preserve">de registro de preços </w:t>
      </w:r>
      <w:r w:rsidRPr="004F5943">
        <w:t xml:space="preserve">deverá </w:t>
      </w:r>
      <w:r>
        <w:t>ocorrer</w:t>
      </w:r>
      <w:r w:rsidRPr="004F5943">
        <w:t xml:space="preserve"> no prazo de validade d</w:t>
      </w:r>
      <w:r>
        <w:t>este instrumento</w:t>
      </w:r>
      <w:r w:rsidRPr="004F5943">
        <w:t>.</w:t>
      </w:r>
    </w:p>
    <w:p w14:paraId="0AC39A0A" w14:textId="77777777" w:rsidR="00812A0F" w:rsidRPr="007B2846" w:rsidRDefault="00812A0F" w:rsidP="00812A0F">
      <w:pPr>
        <w:pStyle w:val="Nivel2"/>
      </w:pPr>
      <w:r w:rsidRPr="007B2846">
        <w:t xml:space="preserve">Os contratos decorrentes do sistema de registro de preços poderão ser alterados, observado o art. 124 da </w:t>
      </w:r>
      <w:hyperlink r:id="rId11" w:history="1">
        <w:r w:rsidRPr="00025F71">
          <w:rPr>
            <w:rStyle w:val="Hyperlink"/>
          </w:rPr>
          <w:t>Lei nº 14.133, de 2021</w:t>
        </w:r>
      </w:hyperlink>
      <w:r w:rsidRPr="007B2846">
        <w:t>.</w:t>
      </w:r>
    </w:p>
    <w:p w14:paraId="0CF92D34" w14:textId="77777777" w:rsidR="00812A0F" w:rsidRPr="001220A6" w:rsidRDefault="00812A0F" w:rsidP="00812A0F">
      <w:pPr>
        <w:pStyle w:val="Nivel2"/>
      </w:pPr>
      <w:r>
        <w:t>A</w:t>
      </w:r>
      <w:bookmarkStart w:id="1" w:name="cadastro_reserva"/>
      <w:bookmarkEnd w:id="1"/>
      <w:r w:rsidRPr="001220A6">
        <w:t>s contratações</w:t>
      </w:r>
      <w:r>
        <w:t xml:space="preserve"> respeitarão</w:t>
      </w:r>
      <w:r w:rsidRPr="001220A6">
        <w:t xml:space="preserve"> a ordem de classificação dos </w:t>
      </w:r>
      <w:r>
        <w:t>fornecedor</w:t>
      </w:r>
      <w:r w:rsidRPr="001220A6">
        <w:t>es registrados n</w:t>
      </w:r>
      <w:r>
        <w:t>est</w:t>
      </w:r>
      <w:r w:rsidRPr="001220A6">
        <w:t>a ata.</w:t>
      </w:r>
    </w:p>
    <w:p w14:paraId="4E47E6E0" w14:textId="77777777" w:rsidR="00812A0F" w:rsidRPr="00D03368" w:rsidRDefault="00812A0F" w:rsidP="00812A0F">
      <w:pPr>
        <w:pStyle w:val="Nivel2"/>
      </w:pPr>
      <w:r w:rsidRPr="00063172">
        <w:t xml:space="preserve">O registro </w:t>
      </w:r>
      <w:r>
        <w:t>de fornecedores incluído nesta ata na forma de anexo, quando for o caso, consiste n</w:t>
      </w:r>
      <w:r w:rsidRPr="00063172">
        <w:t>a formação de cadastro</w:t>
      </w:r>
      <w:r>
        <w:t xml:space="preserve"> </w:t>
      </w:r>
      <w:r w:rsidRPr="00063172">
        <w:t xml:space="preserve">de reserva </w:t>
      </w:r>
      <w:r>
        <w:t xml:space="preserve">para </w:t>
      </w:r>
      <w:r w:rsidRPr="00063172">
        <w:t>o caso de impossibilidade de atendimento pelo signatário da ata.</w:t>
      </w:r>
    </w:p>
    <w:p w14:paraId="3771080D" w14:textId="77777777" w:rsidR="00812A0F" w:rsidRPr="00C82CB6" w:rsidRDefault="00812A0F" w:rsidP="00812A0F">
      <w:pPr>
        <w:pStyle w:val="Nivel2"/>
      </w:pPr>
      <w:r w:rsidRPr="00C82CB6">
        <w:t xml:space="preserve">A </w:t>
      </w:r>
      <w:r>
        <w:t xml:space="preserve">fase de apresentação de amostra(s) ou de execução de prova de conceito que seja exigida na documentação que integra o instrumento convocatório, quando houver, e a </w:t>
      </w:r>
      <w:r w:rsidRPr="00C82CB6">
        <w:t xml:space="preserve">habilitação dos </w:t>
      </w:r>
      <w:r>
        <w:t>fornecedores</w:t>
      </w:r>
      <w:r w:rsidRPr="00C82CB6">
        <w:t xml:space="preserve"> que comp</w:t>
      </w:r>
      <w:r>
        <w:t>õem</w:t>
      </w:r>
      <w:r w:rsidRPr="00C82CB6">
        <w:t xml:space="preserve"> o cadastro de reserva</w:t>
      </w:r>
      <w:r>
        <w:t>, quando for o caso,</w:t>
      </w:r>
      <w:r w:rsidRPr="00C82CB6">
        <w:t xml:space="preserve"> ser</w:t>
      </w:r>
      <w:r>
        <w:t>ão</w:t>
      </w:r>
      <w:r w:rsidRPr="00C82CB6">
        <w:t xml:space="preserve"> efetuada</w:t>
      </w:r>
      <w:r>
        <w:t>s</w:t>
      </w:r>
      <w:r w:rsidRPr="00C82CB6">
        <w:t xml:space="preserve"> quando houver necessidade de contratação dos </w:t>
      </w:r>
      <w:r>
        <w:t>fornecedores</w:t>
      </w:r>
      <w:r w:rsidRPr="00C82CB6">
        <w:t xml:space="preserve"> remanescentes, </w:t>
      </w:r>
      <w:r>
        <w:t>por impossibilidade de atendimento da demanda pelo signatário da ata, observada a disciplina estabelecida nesta ata e no instrumento convocatório mencionado no subitem 1.1.</w:t>
      </w:r>
      <w:bookmarkStart w:id="2" w:name="habilitacao_reserva"/>
      <w:bookmarkEnd w:id="2"/>
    </w:p>
    <w:p w14:paraId="064EAB0D" w14:textId="77777777" w:rsidR="00812A0F" w:rsidRPr="00F62A71" w:rsidRDefault="00812A0F" w:rsidP="00812A0F">
      <w:pPr>
        <w:pStyle w:val="Nivel2"/>
      </w:pPr>
      <w:r w:rsidRPr="00666FEB">
        <w:t>O preço registrado</w:t>
      </w:r>
      <w:r>
        <w:t>,</w:t>
      </w:r>
      <w:r w:rsidRPr="00666FEB">
        <w:t xml:space="preserve"> com indicação dos fornecedores</w:t>
      </w:r>
      <w:r>
        <w:t>,</w:t>
      </w:r>
      <w:r w:rsidRPr="00666FEB">
        <w:t xml:space="preserve"> será divulgado no PNCP</w:t>
      </w:r>
      <w:r>
        <w:t xml:space="preserve"> </w:t>
      </w:r>
      <w:r w:rsidRPr="002A6165">
        <w:t>e ficará disponibilizado durante a vigência d</w:t>
      </w:r>
      <w:r>
        <w:t>est</w:t>
      </w:r>
      <w:r w:rsidRPr="002A6165">
        <w:t>a ata de registro de preços.</w:t>
      </w:r>
    </w:p>
    <w:p w14:paraId="1304BA69" w14:textId="77777777" w:rsidR="00812A0F" w:rsidRPr="00C82CB6" w:rsidRDefault="00812A0F" w:rsidP="00812A0F">
      <w:pPr>
        <w:pStyle w:val="Nivel2"/>
      </w:pPr>
      <w:r>
        <w:t>Caso se caracterize hipótese de impossibilidade de atendimento da demanda pelo signatário da ata de que trata o item 5.6</w:t>
      </w:r>
      <w:r w:rsidRPr="00C82CB6">
        <w:t>,</w:t>
      </w:r>
      <w:r>
        <w:t xml:space="preserve"> observado o disposto no referido item,</w:t>
      </w:r>
      <w:r w:rsidRPr="00C82CB6">
        <w:t xml:space="preserve"> fica</w:t>
      </w:r>
      <w:r>
        <w:t>rá</w:t>
      </w:r>
      <w:r w:rsidRPr="00C82CB6">
        <w:t xml:space="preserve"> facultado à Administração convocar os </w:t>
      </w:r>
      <w:r>
        <w:t>fornecedores</w:t>
      </w:r>
      <w:r w:rsidRPr="00C82CB6">
        <w:t xml:space="preserve"> remanescentes do cadastro de reserva</w:t>
      </w:r>
      <w:r>
        <w:t>, quando houver</w:t>
      </w:r>
      <w:r w:rsidRPr="00C82CB6">
        <w:t xml:space="preserve">, na ordem de classificação, para </w:t>
      </w:r>
      <w:r>
        <w:t>contratação</w:t>
      </w:r>
      <w:r w:rsidRPr="00C82CB6">
        <w:t xml:space="preserve"> nas condições propostas pelo primeiro classificado.</w:t>
      </w:r>
      <w:bookmarkStart w:id="3" w:name="recusa_dos_que_baixaram_preco"/>
      <w:bookmarkEnd w:id="3"/>
    </w:p>
    <w:p w14:paraId="377019D3" w14:textId="77777777" w:rsidR="00812A0F" w:rsidRPr="001F3B17" w:rsidRDefault="00812A0F" w:rsidP="00812A0F">
      <w:pPr>
        <w:pStyle w:val="Nvel3"/>
        <w:rPr>
          <w:color w:val="auto"/>
        </w:rPr>
      </w:pPr>
      <w:r w:rsidRPr="001F3B17">
        <w:rPr>
          <w:color w:val="auto"/>
        </w:rPr>
        <w:lastRenderedPageBreak/>
        <w:t>Na hipótese de nenhum dos fornecedores que aceitaram cotar o objeto com preço igual ao do adjudicatário concordar com a contratação nas condições propostas pelo primeiro classificado nos termos do subitem anterior, a Administração, observados o valor es</w:t>
      </w:r>
      <w:r w:rsidRPr="001F3B17">
        <w:rPr>
          <w:rFonts w:eastAsia="Arial"/>
          <w:color w:val="auto"/>
        </w:rPr>
        <w:t>ti</w:t>
      </w:r>
      <w:r w:rsidRPr="001F3B17">
        <w:rPr>
          <w:color w:val="auto"/>
        </w:rPr>
        <w:t>mado e sua eventual atualização na forma prevista na documentação que integra o instrumento convocatório mencionado no subitem 1.1, poderá:</w:t>
      </w:r>
    </w:p>
    <w:p w14:paraId="629B78A9" w14:textId="77777777" w:rsidR="00812A0F" w:rsidRPr="001F3B17" w:rsidRDefault="00812A0F" w:rsidP="00812A0F">
      <w:pPr>
        <w:pStyle w:val="Nvel4"/>
        <w:rPr>
          <w:color w:val="auto"/>
        </w:rPr>
      </w:pPr>
      <w:r w:rsidRPr="001F3B17">
        <w:rPr>
          <w:color w:val="auto"/>
        </w:rPr>
        <w:t>Convocar para negociação os fornecedores remanescentes que mantiveram sua proposta original, quando houver, na ordem de classificação, com vistas à obtenção de preço melhor, mesmo que acima do preço do adjudicatário;</w:t>
      </w:r>
    </w:p>
    <w:p w14:paraId="0170D067" w14:textId="77777777" w:rsidR="00812A0F" w:rsidRPr="001F3B17" w:rsidRDefault="00812A0F" w:rsidP="00812A0F">
      <w:pPr>
        <w:pStyle w:val="Nvel4"/>
        <w:rPr>
          <w:color w:val="auto"/>
        </w:rPr>
      </w:pPr>
      <w:r w:rsidRPr="001F3B17">
        <w:rPr>
          <w:color w:val="auto"/>
        </w:rPr>
        <w:t>Adjudicar e celebrar a contratação nas condições ofertadas pelos fornecedores remanescentes, observado o disposto neste item 5 e a ordem de classificação, quando frustrada a negociação de melhor condição.</w:t>
      </w:r>
    </w:p>
    <w:p w14:paraId="5FF7AD33" w14:textId="77777777" w:rsidR="00812A0F" w:rsidRDefault="00812A0F" w:rsidP="00812A0F">
      <w:pPr>
        <w:pStyle w:val="Nivel2"/>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w:t>
      </w:r>
      <w:r>
        <w:t>contratação</w:t>
      </w:r>
      <w:r w:rsidRPr="00A25D1D">
        <w:t xml:space="preserve"> pretendida, desde que devidamente </w:t>
      </w:r>
      <w:r>
        <w:t>justificada</w:t>
      </w:r>
      <w:r w:rsidRPr="00A25D1D">
        <w:t>.</w:t>
      </w:r>
    </w:p>
    <w:p w14:paraId="3BBC56B2" w14:textId="77777777" w:rsidR="00812A0F" w:rsidRPr="00A25D1D" w:rsidRDefault="00812A0F" w:rsidP="00812A0F">
      <w:pPr>
        <w:pStyle w:val="Nivel2"/>
      </w:pPr>
      <w:r w:rsidRPr="002615E8">
        <w:t>No prazo de validade deste instrumento, o(s) órgão(s) ou entidade(s) participante(s) não participará(</w:t>
      </w:r>
      <w:proofErr w:type="spellStart"/>
      <w:r w:rsidRPr="002615E8">
        <w:t>ão</w:t>
      </w:r>
      <w:proofErr w:type="spellEnd"/>
      <w:r w:rsidRPr="002615E8">
        <w:t xml:space="preserve">) em outra ata de registro de preços com o mesmo objeto, salvo na hipótese do inciso VIII do </w:t>
      </w:r>
      <w:r w:rsidRPr="00C1639E">
        <w:rPr>
          <w:i/>
          <w:iCs/>
        </w:rPr>
        <w:t>caput</w:t>
      </w:r>
      <w:r w:rsidRPr="002615E8">
        <w:t xml:space="preserve"> do art</w:t>
      </w:r>
      <w:r>
        <w:t>.</w:t>
      </w:r>
      <w:r w:rsidRPr="002615E8">
        <w:t xml:space="preserve"> 82 da </w:t>
      </w:r>
      <w:hyperlink r:id="rId12" w:history="1">
        <w:r w:rsidRPr="00025F71">
          <w:rPr>
            <w:rStyle w:val="Hyperlink"/>
          </w:rPr>
          <w:t>Lei nº 14.133, de 2021</w:t>
        </w:r>
      </w:hyperlink>
      <w:r w:rsidRPr="002615E8">
        <w:t>, quando for o caso.</w:t>
      </w:r>
    </w:p>
    <w:p w14:paraId="4356AF73" w14:textId="77777777" w:rsidR="00812A0F" w:rsidRDefault="00812A0F" w:rsidP="00812A0F">
      <w:pPr>
        <w:pStyle w:val="Nivel01"/>
      </w:pPr>
      <w:r w:rsidRPr="00D52993">
        <w:t xml:space="preserve">ALTERAÇÃO </w:t>
      </w:r>
      <w:r>
        <w:t xml:space="preserve">OU ATUALIZAÇÃO </w:t>
      </w:r>
      <w:r w:rsidRPr="00D52993">
        <w:t>DOS PREÇOS REGISTRADOS</w:t>
      </w:r>
    </w:p>
    <w:p w14:paraId="6F959EE0" w14:textId="77777777" w:rsidR="00812A0F" w:rsidRPr="00D52993" w:rsidRDefault="00812A0F" w:rsidP="00812A0F">
      <w:pPr>
        <w:pStyle w:val="Nivel2"/>
      </w:pPr>
      <w:r w:rsidRPr="00D52993">
        <w:t>Os preços registrados poderão ser alterados em decorrência de eventual redução dos preços pra</w:t>
      </w:r>
      <w:r w:rsidRPr="00D52993">
        <w:rPr>
          <w:rFonts w:eastAsia="Calibri"/>
        </w:rPr>
        <w:t>ti</w:t>
      </w:r>
      <w:r w:rsidRPr="00D52993">
        <w:t>cados no mercado ou de fato que eleve o custo do</w:t>
      </w:r>
      <w:r>
        <w:t>(</w:t>
      </w:r>
      <w:r w:rsidRPr="00D52993">
        <w:t>s</w:t>
      </w:r>
      <w:r>
        <w:t>)</w:t>
      </w:r>
      <w:r w:rsidRPr="00D52993">
        <w:t xml:space="preserve"> </w:t>
      </w:r>
      <w:r>
        <w:t>item(</w:t>
      </w:r>
      <w:proofErr w:type="spellStart"/>
      <w:r>
        <w:t>ns</w:t>
      </w:r>
      <w:proofErr w:type="spellEnd"/>
      <w:r>
        <w:t>)</w:t>
      </w:r>
      <w:r w:rsidRPr="00D52993">
        <w:t xml:space="preserve"> registrado</w:t>
      </w:r>
      <w:r>
        <w:t>(</w:t>
      </w:r>
      <w:r w:rsidRPr="00D52993">
        <w:t>s</w:t>
      </w:r>
      <w:r>
        <w:t>)</w:t>
      </w:r>
      <w:r w:rsidRPr="00D52993">
        <w:t>, nas seguintes situações:</w:t>
      </w:r>
    </w:p>
    <w:p w14:paraId="59FCD7E2" w14:textId="77777777" w:rsidR="00812A0F" w:rsidRPr="006713A3" w:rsidRDefault="00812A0F" w:rsidP="00812A0F">
      <w:pPr>
        <w:spacing w:before="120" w:after="120" w:line="276" w:lineRule="auto"/>
        <w:ind w:left="284"/>
        <w:jc w:val="both"/>
      </w:pPr>
      <w:r>
        <w:rPr>
          <w:rFonts w:ascii="Arial" w:hAnsi="Arial" w:cs="Arial"/>
          <w:sz w:val="20"/>
          <w:szCs w:val="20"/>
        </w:rPr>
        <w:t>a)</w:t>
      </w:r>
      <w:r>
        <w:rPr>
          <w:rFonts w:ascii="Arial" w:hAnsi="Arial" w:cs="Arial"/>
          <w:sz w:val="20"/>
          <w:szCs w:val="20"/>
        </w:rPr>
        <w:tab/>
        <w:t>e</w:t>
      </w:r>
      <w:r w:rsidRPr="006713A3">
        <w:rPr>
          <w:rFonts w:ascii="Arial" w:hAnsi="Arial" w:cs="Arial"/>
          <w:sz w:val="20"/>
          <w:szCs w:val="20"/>
        </w:rPr>
        <w:t xml:space="preserve">m caso de força maior, caso fortuito ou fato do príncipe ou em decorrência de fatos imprevisíveis ou previsíveis de consequências incalculáveis, que inviabilizem a execução da ata tal como pactuada, nos termos da </w:t>
      </w:r>
      <w:r w:rsidRPr="00363B11">
        <w:rPr>
          <w:rFonts w:ascii="Arial" w:hAnsi="Arial" w:cs="Arial"/>
          <w:sz w:val="20"/>
          <w:szCs w:val="20"/>
        </w:rPr>
        <w:t xml:space="preserve">alínea “d” do inciso II do </w:t>
      </w:r>
      <w:r w:rsidRPr="00363B11">
        <w:rPr>
          <w:rFonts w:ascii="Arial" w:hAnsi="Arial" w:cs="Arial"/>
          <w:i/>
          <w:iCs/>
          <w:sz w:val="20"/>
          <w:szCs w:val="20"/>
        </w:rPr>
        <w:t>caput</w:t>
      </w:r>
      <w:r w:rsidRPr="00363B11">
        <w:rPr>
          <w:rFonts w:ascii="Arial" w:hAnsi="Arial" w:cs="Arial"/>
          <w:sz w:val="20"/>
          <w:szCs w:val="20"/>
        </w:rPr>
        <w:t xml:space="preserve"> do art. 124 da </w:t>
      </w:r>
      <w:hyperlink r:id="rId13" w:history="1">
        <w:r w:rsidRPr="00025F71">
          <w:rPr>
            <w:rStyle w:val="Hyperlink"/>
            <w:rFonts w:ascii="Arial" w:hAnsi="Arial" w:cs="Arial"/>
            <w:sz w:val="20"/>
            <w:szCs w:val="20"/>
          </w:rPr>
          <w:t>Lei nº 14.133, de 2021</w:t>
        </w:r>
      </w:hyperlink>
      <w:r w:rsidRPr="006713A3">
        <w:rPr>
          <w:rFonts w:ascii="Arial" w:hAnsi="Arial" w:cs="Arial"/>
          <w:color w:val="0000EF"/>
          <w:sz w:val="20"/>
          <w:szCs w:val="20"/>
        </w:rPr>
        <w:t>;</w:t>
      </w:r>
    </w:p>
    <w:p w14:paraId="53F2D124" w14:textId="77777777" w:rsidR="00812A0F" w:rsidRPr="006713A3" w:rsidRDefault="00812A0F" w:rsidP="00812A0F">
      <w:pPr>
        <w:spacing w:before="120" w:after="120" w:line="276" w:lineRule="auto"/>
        <w:ind w:left="284"/>
        <w:jc w:val="both"/>
      </w:pPr>
      <w:r>
        <w:rPr>
          <w:rFonts w:ascii="Arial" w:hAnsi="Arial" w:cs="Arial"/>
          <w:sz w:val="20"/>
          <w:szCs w:val="20"/>
        </w:rPr>
        <w:t>b)</w:t>
      </w:r>
      <w:r>
        <w:rPr>
          <w:rFonts w:ascii="Arial" w:hAnsi="Arial" w:cs="Arial"/>
          <w:sz w:val="20"/>
          <w:szCs w:val="20"/>
        </w:rPr>
        <w:tab/>
        <w:t>e</w:t>
      </w:r>
      <w:r w:rsidRPr="006713A3">
        <w:rPr>
          <w:rFonts w:ascii="Arial" w:hAnsi="Arial" w:cs="Arial"/>
          <w:sz w:val="20"/>
          <w:szCs w:val="20"/>
        </w:rPr>
        <w:t xml:space="preserve">m caso de criação, alteração ou extinção de quaisquer tributos ou encargos legais ou </w:t>
      </w:r>
      <w:r>
        <w:rPr>
          <w:rFonts w:ascii="Arial" w:hAnsi="Arial" w:cs="Arial"/>
          <w:sz w:val="20"/>
          <w:szCs w:val="20"/>
        </w:rPr>
        <w:t>d</w:t>
      </w:r>
      <w:r w:rsidRPr="006713A3">
        <w:rPr>
          <w:rFonts w:ascii="Arial" w:hAnsi="Arial" w:cs="Arial"/>
          <w:sz w:val="20"/>
          <w:szCs w:val="20"/>
        </w:rPr>
        <w:t>a superveniência de disposições legais, com comprovada repercussão sobre os preços registrados</w:t>
      </w:r>
      <w:r>
        <w:rPr>
          <w:rFonts w:ascii="Arial" w:hAnsi="Arial" w:cs="Arial"/>
          <w:sz w:val="20"/>
          <w:szCs w:val="20"/>
        </w:rPr>
        <w:t>.</w:t>
      </w:r>
      <w:r w:rsidRPr="006713A3">
        <w:rPr>
          <w:rFonts w:ascii="Arial" w:hAnsi="Arial" w:cs="Arial"/>
          <w:sz w:val="20"/>
          <w:szCs w:val="20"/>
        </w:rPr>
        <w:t xml:space="preserve"> </w:t>
      </w:r>
    </w:p>
    <w:p w14:paraId="254E3C54" w14:textId="77777777" w:rsidR="00812A0F" w:rsidRPr="001F3B17" w:rsidRDefault="00812A0F" w:rsidP="00812A0F">
      <w:pPr>
        <w:pStyle w:val="Nivel2"/>
      </w:pPr>
      <w:r>
        <w:t>É previsto</w:t>
      </w:r>
      <w:r w:rsidRPr="007B2846">
        <w:t xml:space="preserve"> reajustamento </w:t>
      </w:r>
      <w:r>
        <w:t>d</w:t>
      </w:r>
      <w:r w:rsidRPr="007B2846">
        <w:t>os preços registrados</w:t>
      </w:r>
      <w:r>
        <w:t xml:space="preserve"> nesta ata</w:t>
      </w:r>
      <w:r w:rsidRPr="007B2846">
        <w:t>,</w:t>
      </w:r>
      <w:r w:rsidRPr="006713A3">
        <w:t xml:space="preserve"> </w:t>
      </w:r>
      <w:r w:rsidRPr="00322232">
        <w:t xml:space="preserve">observados os mesmos critérios estabelecidos </w:t>
      </w:r>
      <w:r>
        <w:t xml:space="preserve">no instrumento convocatório mencionado no subitem 1.1 </w:t>
      </w:r>
      <w:r w:rsidRPr="00322232">
        <w:t xml:space="preserve">para o reajustamento dos preços </w:t>
      </w:r>
      <w:r w:rsidRPr="001F3B17">
        <w:t>de eventual contratação dela decorrente.</w:t>
      </w:r>
    </w:p>
    <w:p w14:paraId="456D2BB8" w14:textId="77777777" w:rsidR="00812A0F" w:rsidRPr="001F3B17" w:rsidRDefault="00812A0F" w:rsidP="00812A0F">
      <w:pPr>
        <w:pStyle w:val="Nvel3"/>
        <w:rPr>
          <w:color w:val="auto"/>
        </w:rPr>
      </w:pPr>
      <w:r w:rsidRPr="001F3B17">
        <w:rPr>
          <w:color w:val="auto"/>
        </w:rPr>
        <w:t xml:space="preserve">Caso seja realizado reajustamento dos preços desta ata, somente caberá reajustamento dos preços de eventual contratação dela decorrente se forem observados os requisitos especificados no respectivo instrumento, e for ultrapassado o interregno mínimo de 1 (um) ano contado a partir dos efeitos do reajustamento dos preços desta ata. No caso de reajustamento(s) subsequente(s) ao primeiro, o interregno mínimo de 1 (um) ano será contado a partir dos efeitos do último reajustamento. </w:t>
      </w:r>
    </w:p>
    <w:p w14:paraId="08331D72" w14:textId="77777777" w:rsidR="00812A0F" w:rsidRPr="001F3B17" w:rsidRDefault="00812A0F" w:rsidP="00812A0F">
      <w:pPr>
        <w:pStyle w:val="Nivel01"/>
      </w:pPr>
      <w:r w:rsidRPr="001F3B17">
        <w:t>NEGOCIAÇÃO DE PREÇOS REGISTRADOS</w:t>
      </w:r>
    </w:p>
    <w:p w14:paraId="2BFD4B99" w14:textId="77777777" w:rsidR="00812A0F" w:rsidRPr="001F3B17" w:rsidRDefault="00812A0F" w:rsidP="00812A0F">
      <w:pPr>
        <w:pStyle w:val="Nivel2"/>
      </w:pPr>
      <w:r w:rsidRPr="001F3B17">
        <w:t>Quando, por motivo superveniente, o preço registrado se tornar superior àquele pra</w:t>
      </w:r>
      <w:r w:rsidRPr="001F3B17">
        <w:rPr>
          <w:rFonts w:eastAsia="Calibri"/>
        </w:rPr>
        <w:t>ti</w:t>
      </w:r>
      <w:r w:rsidRPr="001F3B17">
        <w:t>cado no mercado, o órgão ou en</w:t>
      </w:r>
      <w:r w:rsidRPr="001F3B17">
        <w:rPr>
          <w:rFonts w:eastAsia="Calibri"/>
        </w:rPr>
        <w:t>ti</w:t>
      </w:r>
      <w:r w:rsidRPr="001F3B17">
        <w:t>dade gerenciadora convocará o fornecedor para negociar a sua redução.</w:t>
      </w:r>
    </w:p>
    <w:p w14:paraId="2F49F45D" w14:textId="77777777" w:rsidR="00812A0F" w:rsidRPr="001F3B17" w:rsidRDefault="00812A0F" w:rsidP="00812A0F">
      <w:pPr>
        <w:pStyle w:val="Nvel3"/>
        <w:rPr>
          <w:color w:val="auto"/>
        </w:rPr>
      </w:pPr>
      <w:r w:rsidRPr="001F3B17">
        <w:rPr>
          <w:color w:val="auto"/>
        </w:rPr>
        <w:lastRenderedPageBreak/>
        <w:t xml:space="preserve">Quando for exitosa a negociação a que alude o subitem anterior, o órgão ou entidade gerenciadora comunicará o novo preço aos órgãos e entidades que tiverem firmado contratos decorrentes da ata de registro de preços, para que realizem negociação com vistas à alteração contratual, observado o disposto no art. 124 da </w:t>
      </w:r>
      <w:hyperlink r:id="rId14" w:history="1">
        <w:r w:rsidRPr="001F3B17">
          <w:rPr>
            <w:rStyle w:val="Hyperlink"/>
            <w:color w:val="auto"/>
          </w:rPr>
          <w:t>Lei nº 14.133, de 2021</w:t>
        </w:r>
      </w:hyperlink>
      <w:r w:rsidRPr="001F3B17">
        <w:rPr>
          <w:color w:val="auto"/>
        </w:rPr>
        <w:t>.</w:t>
      </w:r>
    </w:p>
    <w:p w14:paraId="43306E13" w14:textId="77777777" w:rsidR="00812A0F" w:rsidRPr="001F3B17" w:rsidRDefault="00812A0F" w:rsidP="00812A0F">
      <w:pPr>
        <w:pStyle w:val="Nvel3"/>
        <w:rPr>
          <w:color w:val="auto"/>
        </w:rPr>
      </w:pPr>
      <w:r w:rsidRPr="001F3B17">
        <w:rPr>
          <w:color w:val="auto"/>
        </w:rPr>
        <w:t>O fornecedor será liberado do compromisso assumido quanto ao item registrado, sem aplicação de penalidades administrativas, caso não aceite reduzir seu preço aos valores praticados pelo mercado.</w:t>
      </w:r>
    </w:p>
    <w:p w14:paraId="33FBA406" w14:textId="77777777" w:rsidR="00812A0F" w:rsidRPr="001F3B17" w:rsidRDefault="00812A0F" w:rsidP="00812A0F">
      <w:pPr>
        <w:pStyle w:val="Nvel4"/>
        <w:rPr>
          <w:color w:val="auto"/>
        </w:rPr>
      </w:pPr>
      <w:r w:rsidRPr="001F3B17">
        <w:rPr>
          <w:color w:val="auto"/>
        </w:rPr>
        <w:t xml:space="preserve">Na hipótese prevista no subitem anterior, o órgão ou entidade gerenciadora convocará os fornecedores do cadastro de reserva, na ordem de classificação, para verificar se aceitam reduzir seus preços aos valores de mercado, observado o disposto no subitem 9.1.3. </w:t>
      </w:r>
    </w:p>
    <w:p w14:paraId="57D03AD7" w14:textId="77777777" w:rsidR="00812A0F" w:rsidRPr="001F3B17" w:rsidRDefault="00812A0F" w:rsidP="00812A0F">
      <w:pPr>
        <w:pStyle w:val="Nvel3"/>
        <w:numPr>
          <w:ilvl w:val="4"/>
          <w:numId w:val="1"/>
        </w:numPr>
        <w:ind w:left="1134" w:firstLine="0"/>
        <w:rPr>
          <w:color w:val="auto"/>
        </w:rPr>
      </w:pPr>
      <w:r w:rsidRPr="001F3B17">
        <w:rPr>
          <w:color w:val="auto"/>
        </w:rPr>
        <w:t>O órgão ou en</w:t>
      </w:r>
      <w:r w:rsidRPr="001F3B17">
        <w:rPr>
          <w:rFonts w:eastAsia="Calibri"/>
          <w:color w:val="auto"/>
        </w:rPr>
        <w:t>tid</w:t>
      </w:r>
      <w:r w:rsidRPr="001F3B17">
        <w:rPr>
          <w:color w:val="auto"/>
        </w:rPr>
        <w:t>ade gerenciadora cancelará a ata de registro de preços, nos termos do disposto no item 9.2, e adotará as medidas cabíveis para a obtenção de contratação mais vantajosa, caso, nas negociações a que alude o subitem anterior, os fornecedores do cadastro de reserva não aceitem reduzir seus preços aos valores de mercado.</w:t>
      </w:r>
      <w:bookmarkStart w:id="4" w:name="reducao_preco_mercado_negociacao_frustra"/>
      <w:bookmarkEnd w:id="4"/>
    </w:p>
    <w:p w14:paraId="6A6E40F1" w14:textId="77777777" w:rsidR="00812A0F" w:rsidRPr="001F3B17" w:rsidRDefault="00812A0F" w:rsidP="00812A0F">
      <w:pPr>
        <w:pStyle w:val="Nivel2"/>
      </w:pPr>
      <w:r w:rsidRPr="001F3B17">
        <w:t>Quando o preço praticado no mercado se tornar superior ao preço registrado, o fornecedor poderá requerer ao órgão ou entidade gerenciadora a alteração do preço registrado, desde que observe os requisitos especificados no subitem 7.2.1.</w:t>
      </w:r>
      <w:bookmarkStart w:id="5" w:name="hipotese_preco_mercado_maior"/>
      <w:bookmarkEnd w:id="5"/>
    </w:p>
    <w:p w14:paraId="22BE3A8A" w14:textId="77777777" w:rsidR="00812A0F" w:rsidRPr="001F3B17" w:rsidRDefault="00812A0F" w:rsidP="00812A0F">
      <w:pPr>
        <w:pStyle w:val="Nvel3"/>
        <w:rPr>
          <w:color w:val="auto"/>
        </w:rPr>
      </w:pPr>
      <w:r w:rsidRPr="001F3B17">
        <w:rPr>
          <w:color w:val="auto"/>
        </w:rPr>
        <w:t>O requerimento a que alude o subitem 7.2 deverá observar o disposto no subitem 6.1 e estar acompanhado de:</w:t>
      </w:r>
    </w:p>
    <w:p w14:paraId="76D88391" w14:textId="77777777" w:rsidR="00812A0F" w:rsidRPr="001F3B17" w:rsidRDefault="00812A0F" w:rsidP="00812A0F">
      <w:pPr>
        <w:spacing w:before="120" w:after="120" w:line="276" w:lineRule="auto"/>
        <w:ind w:left="567"/>
        <w:jc w:val="both"/>
        <w:rPr>
          <w:rFonts w:ascii="Arial" w:hAnsi="Arial" w:cs="Arial"/>
          <w:sz w:val="20"/>
          <w:szCs w:val="20"/>
        </w:rPr>
      </w:pPr>
      <w:r w:rsidRPr="001F3B17">
        <w:rPr>
          <w:rFonts w:ascii="Arial" w:hAnsi="Arial" w:cs="Arial"/>
          <w:sz w:val="20"/>
          <w:szCs w:val="20"/>
        </w:rPr>
        <w:t>a)</w:t>
      </w:r>
      <w:r w:rsidRPr="001F3B17">
        <w:rPr>
          <w:rFonts w:ascii="Arial" w:hAnsi="Arial" w:cs="Arial"/>
          <w:sz w:val="20"/>
          <w:szCs w:val="20"/>
        </w:rPr>
        <w:tab/>
        <w:t>prova de fato superveniente que impossibilite o cumprimento do compromisso registrado nesta ata;</w:t>
      </w:r>
    </w:p>
    <w:p w14:paraId="6B3C3DCC" w14:textId="77777777" w:rsidR="00812A0F" w:rsidRPr="001F3B17" w:rsidRDefault="00812A0F" w:rsidP="00812A0F">
      <w:pPr>
        <w:spacing w:before="120" w:after="120" w:line="276" w:lineRule="auto"/>
        <w:ind w:left="567"/>
        <w:jc w:val="both"/>
      </w:pPr>
      <w:r w:rsidRPr="001F3B17">
        <w:rPr>
          <w:rFonts w:ascii="Arial" w:hAnsi="Arial" w:cs="Arial"/>
          <w:sz w:val="20"/>
          <w:szCs w:val="20"/>
        </w:rPr>
        <w:t>b)</w:t>
      </w:r>
      <w:r w:rsidRPr="001F3B17">
        <w:rPr>
          <w:rFonts w:ascii="Arial" w:hAnsi="Arial" w:cs="Arial"/>
          <w:sz w:val="20"/>
          <w:szCs w:val="20"/>
        </w:rPr>
        <w:tab/>
        <w:t>documentação comprobatória da inviabilidade de manutenção do preço registrado.</w:t>
      </w:r>
      <w:bookmarkStart w:id="6" w:name="prova_preco_mercado_maior"/>
      <w:bookmarkEnd w:id="6"/>
    </w:p>
    <w:p w14:paraId="011B9926" w14:textId="77777777" w:rsidR="00812A0F" w:rsidRPr="001F3B17" w:rsidRDefault="00812A0F" w:rsidP="00812A0F">
      <w:pPr>
        <w:pStyle w:val="Nvel3"/>
        <w:rPr>
          <w:color w:val="auto"/>
        </w:rPr>
      </w:pPr>
      <w:r w:rsidRPr="001F3B17">
        <w:rPr>
          <w:color w:val="auto"/>
        </w:rPr>
        <w:t>Na hipótese de não comprovação dos requisitos especificados nos subitens 7.2 e 7.2.1:</w:t>
      </w:r>
    </w:p>
    <w:p w14:paraId="1ACEF8C9" w14:textId="77777777" w:rsidR="00812A0F" w:rsidRPr="001F3B17" w:rsidRDefault="00812A0F" w:rsidP="00812A0F">
      <w:pPr>
        <w:spacing w:before="120" w:after="120" w:line="276" w:lineRule="auto"/>
        <w:ind w:left="567"/>
        <w:jc w:val="both"/>
        <w:rPr>
          <w:rFonts w:ascii="Arial" w:hAnsi="Arial" w:cs="Arial"/>
          <w:sz w:val="20"/>
          <w:szCs w:val="20"/>
        </w:rPr>
      </w:pPr>
      <w:r w:rsidRPr="001F3B17">
        <w:rPr>
          <w:rFonts w:ascii="Arial" w:hAnsi="Arial" w:cs="Arial"/>
          <w:sz w:val="20"/>
          <w:szCs w:val="20"/>
        </w:rPr>
        <w:t>a)</w:t>
      </w:r>
      <w:r w:rsidRPr="001F3B17">
        <w:rPr>
          <w:rFonts w:ascii="Arial" w:hAnsi="Arial" w:cs="Arial"/>
          <w:sz w:val="20"/>
          <w:szCs w:val="20"/>
        </w:rPr>
        <w:tab/>
        <w:t>o pedido será indeferido pelo órgão ou entidade gerenciadora;</w:t>
      </w:r>
    </w:p>
    <w:p w14:paraId="112AF06B" w14:textId="77777777" w:rsidR="00812A0F" w:rsidRPr="001F3B17" w:rsidRDefault="00812A0F" w:rsidP="00812A0F">
      <w:pPr>
        <w:spacing w:before="120" w:after="120" w:line="276" w:lineRule="auto"/>
        <w:ind w:left="567"/>
        <w:jc w:val="both"/>
      </w:pPr>
      <w:r w:rsidRPr="001F3B17">
        <w:rPr>
          <w:rFonts w:ascii="Arial" w:hAnsi="Arial" w:cs="Arial"/>
          <w:sz w:val="20"/>
          <w:szCs w:val="20"/>
        </w:rPr>
        <w:t>b)</w:t>
      </w:r>
      <w:r w:rsidRPr="001F3B17">
        <w:rPr>
          <w:rFonts w:ascii="Arial" w:hAnsi="Arial" w:cs="Arial"/>
          <w:sz w:val="20"/>
          <w:szCs w:val="20"/>
        </w:rPr>
        <w:tab/>
        <w:t xml:space="preserve">o fornecedor deverá cumprir o compromisso registrado na ata sob pena de cancelamento do seu registro, nos termos do subitem 9.1, sem prejuízo da aplicação das sanções cabíveis, em especial aquelas previstas na </w:t>
      </w:r>
      <w:hyperlink r:id="rId15" w:history="1">
        <w:r w:rsidRPr="001F3B17">
          <w:rPr>
            <w:rStyle w:val="Hyperlink"/>
            <w:rFonts w:ascii="Arial" w:hAnsi="Arial" w:cs="Arial"/>
            <w:sz w:val="20"/>
            <w:szCs w:val="20"/>
          </w:rPr>
          <w:t>Lei nº 14.133, de 2021</w:t>
        </w:r>
      </w:hyperlink>
      <w:r w:rsidRPr="001F3B17">
        <w:rPr>
          <w:rFonts w:ascii="Arial" w:hAnsi="Arial" w:cs="Arial"/>
          <w:sz w:val="20"/>
          <w:szCs w:val="20"/>
        </w:rPr>
        <w:t>.</w:t>
      </w:r>
      <w:bookmarkStart w:id="7" w:name="nao_comprovacao_majoracao_mercado"/>
      <w:bookmarkEnd w:id="7"/>
    </w:p>
    <w:p w14:paraId="3755FD18" w14:textId="77777777" w:rsidR="00812A0F" w:rsidRPr="001F3B17" w:rsidRDefault="00812A0F" w:rsidP="00812A0F">
      <w:pPr>
        <w:pStyle w:val="Nvel3"/>
        <w:rPr>
          <w:color w:val="auto"/>
        </w:rPr>
      </w:pPr>
      <w:r w:rsidRPr="001F3B17">
        <w:rPr>
          <w:color w:val="auto"/>
        </w:rPr>
        <w:t>Quando realizado o cancelamento do registro do fornecedor a que alude a alínea “b” do subitem 7.2.2, o órgão ou entidade gerenciadora convocará os fornecedores do cadastro de reserva, na ordem de classificação, para verificar se aceitam manter seus preços registrados, observado o disposto no subitem 5.6.</w:t>
      </w:r>
    </w:p>
    <w:p w14:paraId="78DB5719" w14:textId="77777777" w:rsidR="00812A0F" w:rsidRPr="001F3B17" w:rsidRDefault="00812A0F" w:rsidP="00812A0F">
      <w:pPr>
        <w:pStyle w:val="Nvel4"/>
        <w:rPr>
          <w:color w:val="auto"/>
        </w:rPr>
      </w:pPr>
      <w:r w:rsidRPr="001F3B17">
        <w:rPr>
          <w:color w:val="auto"/>
        </w:rPr>
        <w:t>O órgão ou entidade gerenciadora cancelará a ata de registro de preços, nos termos do subitem 9.2, e adotará as medidas cabíveis para a obtenção da contratação mais vantajosa, caso não obtenha êxito nas negociações a que alude o subitem anterior.</w:t>
      </w:r>
      <w:bookmarkStart w:id="8" w:name="majora_preco_mercado_negociacao_frustra"/>
      <w:bookmarkEnd w:id="8"/>
    </w:p>
    <w:p w14:paraId="11A94648" w14:textId="77777777" w:rsidR="00812A0F" w:rsidRPr="001F3B17" w:rsidRDefault="00812A0F" w:rsidP="00812A0F">
      <w:pPr>
        <w:pStyle w:val="Nvel3"/>
        <w:rPr>
          <w:color w:val="auto"/>
        </w:rPr>
      </w:pPr>
      <w:r w:rsidRPr="001F3B17">
        <w:rPr>
          <w:color w:val="auto"/>
        </w:rPr>
        <w:t>Quando forem comprovados os requisitos estabelecidos nos subitens 7.2 e 7.2.1, o órgão ou en</w:t>
      </w:r>
      <w:r w:rsidRPr="001F3B17">
        <w:rPr>
          <w:rFonts w:eastAsia="Calibri"/>
          <w:color w:val="auto"/>
        </w:rPr>
        <w:t>ti</w:t>
      </w:r>
      <w:r w:rsidRPr="001F3B17">
        <w:rPr>
          <w:color w:val="auto"/>
        </w:rPr>
        <w:t>dade gerenciadora:</w:t>
      </w:r>
    </w:p>
    <w:p w14:paraId="25F9F6B9" w14:textId="77777777" w:rsidR="00812A0F" w:rsidRPr="001F3B17" w:rsidRDefault="00812A0F" w:rsidP="00812A0F">
      <w:pPr>
        <w:spacing w:before="120" w:after="120" w:line="276" w:lineRule="auto"/>
        <w:ind w:left="567"/>
        <w:jc w:val="both"/>
      </w:pPr>
      <w:r w:rsidRPr="001F3B17">
        <w:rPr>
          <w:rFonts w:ascii="Arial" w:hAnsi="Arial" w:cs="Arial"/>
          <w:sz w:val="20"/>
          <w:szCs w:val="20"/>
        </w:rPr>
        <w:lastRenderedPageBreak/>
        <w:t>a)</w:t>
      </w:r>
      <w:r w:rsidRPr="001F3B17">
        <w:rPr>
          <w:rFonts w:ascii="Arial" w:hAnsi="Arial" w:cs="Arial"/>
          <w:sz w:val="20"/>
          <w:szCs w:val="20"/>
        </w:rPr>
        <w:tab/>
        <w:t>alterará o preço registrado, observados os valores praticados pelo mercado, no limite do impacto causado pelos fatos supervenientes ensejadores da inviabilidade de manutenção do preço inicial;</w:t>
      </w:r>
    </w:p>
    <w:p w14:paraId="017AE463" w14:textId="77777777" w:rsidR="00812A0F" w:rsidRPr="001F3B17" w:rsidRDefault="00812A0F" w:rsidP="00812A0F">
      <w:pPr>
        <w:spacing w:before="120" w:after="120" w:line="276" w:lineRule="auto"/>
        <w:ind w:left="567"/>
        <w:jc w:val="both"/>
      </w:pPr>
      <w:r w:rsidRPr="001F3B17">
        <w:rPr>
          <w:rFonts w:ascii="Arial" w:hAnsi="Arial" w:cs="Arial"/>
          <w:sz w:val="20"/>
          <w:szCs w:val="20"/>
        </w:rPr>
        <w:t>b)</w:t>
      </w:r>
      <w:r w:rsidRPr="001F3B17">
        <w:rPr>
          <w:rFonts w:ascii="Arial" w:hAnsi="Arial" w:cs="Arial"/>
          <w:sz w:val="20"/>
          <w:szCs w:val="20"/>
        </w:rPr>
        <w:tab/>
        <w:t xml:space="preserve">comunicará o novo preço aos órgãos e entidades que tiverem firmado contratos decorrentes desta ata de registro de preços, para eventual alteração contratual, observado o disposto no art. 124 da </w:t>
      </w:r>
      <w:hyperlink r:id="rId16" w:history="1">
        <w:r w:rsidRPr="001F3B17">
          <w:rPr>
            <w:rStyle w:val="Hyperlink"/>
            <w:rFonts w:ascii="Arial" w:hAnsi="Arial" w:cs="Arial"/>
            <w:sz w:val="20"/>
            <w:szCs w:val="20"/>
          </w:rPr>
          <w:t>Lei nº 14.133, de 2021</w:t>
        </w:r>
      </w:hyperlink>
      <w:r w:rsidRPr="001F3B17">
        <w:rPr>
          <w:rFonts w:ascii="Arial" w:hAnsi="Arial" w:cs="Arial"/>
          <w:sz w:val="20"/>
          <w:szCs w:val="20"/>
        </w:rPr>
        <w:t>.</w:t>
      </w:r>
    </w:p>
    <w:p w14:paraId="629860E3" w14:textId="77777777" w:rsidR="00812A0F" w:rsidRPr="001F3B17" w:rsidRDefault="00812A0F" w:rsidP="00812A0F">
      <w:pPr>
        <w:pStyle w:val="Nivel01"/>
      </w:pPr>
      <w:r w:rsidRPr="001F3B17">
        <w:t>REMANEJAMENTO DAS QUANTIDADES REGISTRADAS NA ATA DE REGISTRO DE PREÇOS</w:t>
      </w:r>
    </w:p>
    <w:p w14:paraId="0AC9C3C7" w14:textId="77777777" w:rsidR="00812A0F" w:rsidRPr="001F3B17" w:rsidRDefault="00812A0F" w:rsidP="00812A0F">
      <w:pPr>
        <w:pStyle w:val="Nivel2"/>
      </w:pPr>
      <w:r w:rsidRPr="001F3B17">
        <w:t xml:space="preserve"> As quan</w:t>
      </w:r>
      <w:r w:rsidRPr="001F3B17">
        <w:rPr>
          <w:rFonts w:eastAsia="Arial"/>
        </w:rPr>
        <w:t>ti</w:t>
      </w:r>
      <w:r w:rsidRPr="001F3B17">
        <w:t>dades previstas para os itens com preços registrados nesta ata de registro de preços poderão ser remanejadas pelo órgão ou en</w:t>
      </w:r>
      <w:r w:rsidRPr="001F3B17">
        <w:rPr>
          <w:rFonts w:eastAsia="Arial"/>
        </w:rPr>
        <w:t>ti</w:t>
      </w:r>
      <w:r w:rsidRPr="001F3B17">
        <w:t>dade gerenciadora entre os órgãos ou en</w:t>
      </w:r>
      <w:r w:rsidRPr="001F3B17">
        <w:rPr>
          <w:rFonts w:eastAsia="Arial"/>
        </w:rPr>
        <w:t>ti</w:t>
      </w:r>
      <w:r w:rsidRPr="001F3B17">
        <w:t>dades par</w:t>
      </w:r>
      <w:r w:rsidRPr="001F3B17">
        <w:rPr>
          <w:rFonts w:eastAsia="Arial"/>
        </w:rPr>
        <w:t>ti</w:t>
      </w:r>
      <w:r w:rsidRPr="001F3B17">
        <w:t>cipantes do registro de preços e, caso seja admitida a adesão no item 4 deste instrumento, órgãos ou entidades não par</w:t>
      </w:r>
      <w:r w:rsidRPr="001F3B17">
        <w:rPr>
          <w:rFonts w:eastAsia="Arial"/>
        </w:rPr>
        <w:t>ti</w:t>
      </w:r>
      <w:r w:rsidRPr="001F3B17">
        <w:t>cipantes, nas seguintes condições:</w:t>
      </w:r>
    </w:p>
    <w:p w14:paraId="79686A07" w14:textId="77777777" w:rsidR="00812A0F" w:rsidRPr="001F3B17" w:rsidRDefault="00812A0F" w:rsidP="00812A0F">
      <w:pPr>
        <w:pStyle w:val="PargrafodaLista"/>
        <w:numPr>
          <w:ilvl w:val="0"/>
          <w:numId w:val="2"/>
        </w:numPr>
        <w:spacing w:before="120" w:after="120" w:line="276" w:lineRule="auto"/>
        <w:ind w:left="930" w:hanging="646"/>
        <w:jc w:val="both"/>
        <w:rPr>
          <w:rFonts w:ascii="Arial" w:hAnsi="Arial" w:cs="Arial"/>
          <w:sz w:val="20"/>
          <w:szCs w:val="20"/>
        </w:rPr>
      </w:pPr>
      <w:r w:rsidRPr="001F3B17">
        <w:rPr>
          <w:rFonts w:ascii="Arial" w:hAnsi="Arial" w:cs="Arial"/>
          <w:sz w:val="20"/>
          <w:szCs w:val="20"/>
        </w:rPr>
        <w:t>de órgão ou en</w:t>
      </w:r>
      <w:r w:rsidRPr="001F3B17">
        <w:rPr>
          <w:rFonts w:ascii="Arial" w:eastAsia="Arial" w:hAnsi="Arial" w:cs="Arial"/>
          <w:sz w:val="20"/>
          <w:szCs w:val="20"/>
        </w:rPr>
        <w:t>ti</w:t>
      </w:r>
      <w:r w:rsidRPr="001F3B17">
        <w:rPr>
          <w:rFonts w:ascii="Arial" w:hAnsi="Arial" w:cs="Arial"/>
          <w:sz w:val="20"/>
          <w:szCs w:val="20"/>
        </w:rPr>
        <w:t>dade par</w:t>
      </w:r>
      <w:r w:rsidRPr="001F3B17">
        <w:rPr>
          <w:rFonts w:ascii="Arial" w:eastAsia="Arial" w:hAnsi="Arial" w:cs="Arial"/>
          <w:sz w:val="20"/>
          <w:szCs w:val="20"/>
        </w:rPr>
        <w:t>ti</w:t>
      </w:r>
      <w:r w:rsidRPr="001F3B17">
        <w:rPr>
          <w:rFonts w:ascii="Arial" w:hAnsi="Arial" w:cs="Arial"/>
          <w:sz w:val="20"/>
          <w:szCs w:val="20"/>
        </w:rPr>
        <w:t>cipante para órgão ou en</w:t>
      </w:r>
      <w:r w:rsidRPr="001F3B17">
        <w:rPr>
          <w:rFonts w:ascii="Arial" w:eastAsia="Arial" w:hAnsi="Arial" w:cs="Arial"/>
          <w:sz w:val="20"/>
          <w:szCs w:val="20"/>
        </w:rPr>
        <w:t>ti</w:t>
      </w:r>
      <w:r w:rsidRPr="001F3B17">
        <w:rPr>
          <w:rFonts w:ascii="Arial" w:hAnsi="Arial" w:cs="Arial"/>
          <w:sz w:val="20"/>
          <w:szCs w:val="20"/>
        </w:rPr>
        <w:t>dade par</w:t>
      </w:r>
      <w:r w:rsidRPr="001F3B17">
        <w:rPr>
          <w:rFonts w:ascii="Arial" w:eastAsia="Arial" w:hAnsi="Arial" w:cs="Arial"/>
          <w:sz w:val="20"/>
          <w:szCs w:val="20"/>
        </w:rPr>
        <w:t>ti</w:t>
      </w:r>
      <w:r w:rsidRPr="001F3B17">
        <w:rPr>
          <w:rFonts w:ascii="Arial" w:hAnsi="Arial" w:cs="Arial"/>
          <w:sz w:val="20"/>
          <w:szCs w:val="20"/>
        </w:rPr>
        <w:t>cipante; ou</w:t>
      </w:r>
    </w:p>
    <w:p w14:paraId="35B88C59" w14:textId="77777777" w:rsidR="00812A0F" w:rsidRPr="001F3B17" w:rsidRDefault="00812A0F" w:rsidP="00812A0F">
      <w:pPr>
        <w:pStyle w:val="PargrafodaLista"/>
        <w:numPr>
          <w:ilvl w:val="0"/>
          <w:numId w:val="2"/>
        </w:numPr>
        <w:spacing w:before="120" w:after="120" w:line="276" w:lineRule="auto"/>
        <w:ind w:left="930" w:hanging="646"/>
        <w:jc w:val="both"/>
      </w:pPr>
      <w:r w:rsidRPr="001F3B17">
        <w:rPr>
          <w:rFonts w:ascii="Arial" w:hAnsi="Arial" w:cs="Arial"/>
          <w:sz w:val="20"/>
          <w:szCs w:val="20"/>
        </w:rPr>
        <w:t>de órgão ou en</w:t>
      </w:r>
      <w:r w:rsidRPr="001F3B17">
        <w:rPr>
          <w:rFonts w:ascii="Arial" w:eastAsia="Arial" w:hAnsi="Arial" w:cs="Arial"/>
          <w:sz w:val="20"/>
          <w:szCs w:val="20"/>
        </w:rPr>
        <w:t>ti</w:t>
      </w:r>
      <w:r w:rsidRPr="001F3B17">
        <w:rPr>
          <w:rFonts w:ascii="Arial" w:hAnsi="Arial" w:cs="Arial"/>
          <w:sz w:val="20"/>
          <w:szCs w:val="20"/>
        </w:rPr>
        <w:t>dade par</w:t>
      </w:r>
      <w:r w:rsidRPr="001F3B17">
        <w:rPr>
          <w:rFonts w:ascii="Arial" w:eastAsia="Arial" w:hAnsi="Arial" w:cs="Arial"/>
          <w:sz w:val="20"/>
          <w:szCs w:val="20"/>
        </w:rPr>
        <w:t>ti</w:t>
      </w:r>
      <w:r w:rsidRPr="001F3B17">
        <w:rPr>
          <w:rFonts w:ascii="Arial" w:hAnsi="Arial" w:cs="Arial"/>
          <w:sz w:val="20"/>
          <w:szCs w:val="20"/>
        </w:rPr>
        <w:t xml:space="preserve">cipante para órgão ou entidade não participante, caso seja admitida a adesão no item 4 deste instrumento, hipótese em que serão observados os limites previstos no art. 86 da </w:t>
      </w:r>
      <w:hyperlink r:id="rId17" w:history="1">
        <w:r w:rsidRPr="001F3B17">
          <w:rPr>
            <w:rStyle w:val="Hyperlink"/>
            <w:rFonts w:ascii="Arial" w:hAnsi="Arial" w:cs="Arial"/>
            <w:sz w:val="20"/>
            <w:szCs w:val="20"/>
          </w:rPr>
          <w:t>Lei nº 14.133, de 2021</w:t>
        </w:r>
      </w:hyperlink>
      <w:r w:rsidRPr="001F3B17">
        <w:rPr>
          <w:rFonts w:ascii="Arial" w:hAnsi="Arial" w:cs="Arial"/>
          <w:sz w:val="20"/>
          <w:szCs w:val="20"/>
        </w:rPr>
        <w:t>.</w:t>
      </w:r>
    </w:p>
    <w:p w14:paraId="03ED0B47" w14:textId="77777777" w:rsidR="00812A0F" w:rsidRPr="001F3B17" w:rsidRDefault="00812A0F" w:rsidP="00812A0F">
      <w:pPr>
        <w:pStyle w:val="Nivel2"/>
      </w:pPr>
      <w:r w:rsidRPr="001F3B17">
        <w:t>O órgão ou en</w:t>
      </w:r>
      <w:r w:rsidRPr="001F3B17">
        <w:rPr>
          <w:rFonts w:eastAsia="Arial"/>
        </w:rPr>
        <w:t>ti</w:t>
      </w:r>
      <w:r w:rsidRPr="001F3B17">
        <w:t>dade gerenciadora que tiver es</w:t>
      </w:r>
      <w:r w:rsidRPr="001F3B17">
        <w:rPr>
          <w:rFonts w:eastAsia="Arial"/>
        </w:rPr>
        <w:t>ti</w:t>
      </w:r>
      <w:r w:rsidRPr="001F3B17">
        <w:t>mado as quan</w:t>
      </w:r>
      <w:r w:rsidRPr="001F3B17">
        <w:rPr>
          <w:rFonts w:eastAsia="Arial"/>
        </w:rPr>
        <w:t>ti</w:t>
      </w:r>
      <w:r w:rsidRPr="001F3B17">
        <w:t>dades que pretende contratar será considerado participante para fins do remanejamento.</w:t>
      </w:r>
      <w:bookmarkStart w:id="9" w:name="gerenciador_estimador_é_partic_em_remane"/>
      <w:bookmarkEnd w:id="9"/>
    </w:p>
    <w:p w14:paraId="37D64735" w14:textId="77777777" w:rsidR="00812A0F" w:rsidRPr="001F3B17" w:rsidRDefault="00812A0F" w:rsidP="00812A0F">
      <w:pPr>
        <w:pStyle w:val="Nivel2"/>
      </w:pPr>
      <w:r w:rsidRPr="001F3B17">
        <w:t>O órgão ou en</w:t>
      </w:r>
      <w:r w:rsidRPr="001F3B17">
        <w:rPr>
          <w:rFonts w:eastAsia="Arial"/>
        </w:rPr>
        <w:t>ti</w:t>
      </w:r>
      <w:r w:rsidRPr="001F3B17">
        <w:t>dade gerenciadora somente autorizará o remanejamento solicitado que seja justificado pelo solicitante, se houver prévia anuência do fornecedor e do órgão ou en</w:t>
      </w:r>
      <w:r w:rsidRPr="001F3B17">
        <w:rPr>
          <w:rFonts w:eastAsia="Arial"/>
        </w:rPr>
        <w:t>ti</w:t>
      </w:r>
      <w:r w:rsidRPr="001F3B17">
        <w:t>dade que sofrer redução dos quantitativos informados.</w:t>
      </w:r>
    </w:p>
    <w:p w14:paraId="3276A0BC" w14:textId="77777777" w:rsidR="00812A0F" w:rsidRPr="001F3B17" w:rsidRDefault="00812A0F" w:rsidP="00812A0F">
      <w:pPr>
        <w:pStyle w:val="Nivel01"/>
      </w:pPr>
      <w:r w:rsidRPr="001F3B17">
        <w:t>CANCELAMENTO DO REGISTRO DO LICITANTE VENCEDOR E DOS PREÇOS REGISTRADOS</w:t>
      </w:r>
      <w:bookmarkStart w:id="10" w:name="cancelamento"/>
      <w:bookmarkEnd w:id="10"/>
    </w:p>
    <w:p w14:paraId="0C011608" w14:textId="77777777" w:rsidR="00812A0F" w:rsidRPr="001F3B17" w:rsidRDefault="00812A0F" w:rsidP="00812A0F">
      <w:pPr>
        <w:pStyle w:val="Nivel2"/>
      </w:pPr>
      <w:r w:rsidRPr="001F3B17">
        <w:t>O órgão ou entidade gerenciadora cancelará o registro do fornecedor quando este:</w:t>
      </w:r>
      <w:bookmarkStart w:id="11" w:name="cancelamento_do_fornecedor"/>
      <w:bookmarkEnd w:id="11"/>
    </w:p>
    <w:p w14:paraId="20B6DA32" w14:textId="77777777" w:rsidR="00812A0F" w:rsidRPr="001F3B17" w:rsidRDefault="00812A0F" w:rsidP="00812A0F">
      <w:pPr>
        <w:spacing w:before="120" w:after="120" w:line="276" w:lineRule="auto"/>
        <w:ind w:left="284"/>
        <w:jc w:val="both"/>
      </w:pPr>
      <w:r w:rsidRPr="001F3B17">
        <w:rPr>
          <w:rFonts w:ascii="Arial" w:hAnsi="Arial" w:cs="Arial"/>
          <w:sz w:val="20"/>
          <w:szCs w:val="20"/>
        </w:rPr>
        <w:t>a)</w:t>
      </w:r>
      <w:r w:rsidRPr="001F3B17">
        <w:rPr>
          <w:rFonts w:ascii="Arial" w:hAnsi="Arial" w:cs="Arial"/>
          <w:sz w:val="20"/>
          <w:szCs w:val="20"/>
        </w:rPr>
        <w:tab/>
        <w:t>descumprir as condições da ata de registro de preços, sem motivo justificado;</w:t>
      </w:r>
    </w:p>
    <w:p w14:paraId="21DD66DD" w14:textId="77777777" w:rsidR="00812A0F" w:rsidRPr="001F3B17" w:rsidRDefault="00812A0F" w:rsidP="00812A0F">
      <w:pPr>
        <w:spacing w:before="120" w:after="120" w:line="276" w:lineRule="auto"/>
        <w:ind w:left="284"/>
        <w:jc w:val="both"/>
      </w:pPr>
      <w:r w:rsidRPr="001F3B17">
        <w:rPr>
          <w:rFonts w:ascii="Arial" w:hAnsi="Arial" w:cs="Arial"/>
          <w:sz w:val="20"/>
          <w:szCs w:val="20"/>
        </w:rPr>
        <w:t>b)</w:t>
      </w:r>
      <w:r w:rsidRPr="001F3B17">
        <w:rPr>
          <w:rFonts w:ascii="Arial" w:hAnsi="Arial" w:cs="Arial"/>
          <w:sz w:val="20"/>
          <w:szCs w:val="20"/>
        </w:rPr>
        <w:tab/>
        <w:t>se recusar a formalizar a contratação no prazo e condições estabelecidos pela Administração sem justificativa aceitável;</w:t>
      </w:r>
    </w:p>
    <w:p w14:paraId="45BFF6B0" w14:textId="77777777" w:rsidR="00812A0F" w:rsidRPr="001F3B17" w:rsidRDefault="00812A0F" w:rsidP="00812A0F">
      <w:pPr>
        <w:spacing w:before="120" w:after="120" w:line="276" w:lineRule="auto"/>
        <w:ind w:left="284"/>
        <w:jc w:val="both"/>
      </w:pPr>
      <w:r w:rsidRPr="001F3B17">
        <w:rPr>
          <w:rFonts w:ascii="Arial" w:hAnsi="Arial" w:cs="Arial"/>
          <w:sz w:val="20"/>
          <w:szCs w:val="20"/>
        </w:rPr>
        <w:t>c)</w:t>
      </w:r>
      <w:r w:rsidRPr="001F3B17">
        <w:rPr>
          <w:rFonts w:ascii="Arial" w:hAnsi="Arial" w:cs="Arial"/>
          <w:sz w:val="20"/>
          <w:szCs w:val="20"/>
        </w:rPr>
        <w:tab/>
        <w:t>não aceitar manter seu preço registrado, na hipótese prevista no subitem 7.2.2; ou</w:t>
      </w:r>
    </w:p>
    <w:p w14:paraId="7067A5EF" w14:textId="77777777" w:rsidR="00812A0F" w:rsidRPr="001F3B17" w:rsidRDefault="00812A0F" w:rsidP="00812A0F">
      <w:pPr>
        <w:spacing w:before="120" w:after="120" w:line="276" w:lineRule="auto"/>
        <w:ind w:left="284"/>
        <w:jc w:val="both"/>
      </w:pPr>
      <w:r w:rsidRPr="001F3B17">
        <w:rPr>
          <w:rFonts w:ascii="Arial" w:hAnsi="Arial" w:cs="Arial"/>
          <w:sz w:val="20"/>
          <w:szCs w:val="20"/>
        </w:rPr>
        <w:t>d)</w:t>
      </w:r>
      <w:r w:rsidRPr="001F3B17">
        <w:rPr>
          <w:rFonts w:ascii="Arial" w:hAnsi="Arial" w:cs="Arial"/>
          <w:sz w:val="20"/>
          <w:szCs w:val="20"/>
        </w:rPr>
        <w:tab/>
        <w:t xml:space="preserve">for apenado com sanção prevista no inciso III do caput do art. 156 da </w:t>
      </w:r>
      <w:hyperlink r:id="rId18" w:history="1">
        <w:r w:rsidRPr="001F3B17">
          <w:rPr>
            <w:rStyle w:val="Hyperlink"/>
            <w:rFonts w:ascii="Arial" w:hAnsi="Arial" w:cs="Arial"/>
            <w:sz w:val="20"/>
            <w:szCs w:val="20"/>
          </w:rPr>
          <w:t>Lei nº 14.133, de 2021</w:t>
        </w:r>
      </w:hyperlink>
      <w:r w:rsidRPr="001F3B17">
        <w:rPr>
          <w:rFonts w:ascii="Arial" w:hAnsi="Arial" w:cs="Arial"/>
          <w:sz w:val="20"/>
          <w:szCs w:val="20"/>
        </w:rPr>
        <w:t>, aplicada no âmbito da Administração Pública do Estado de São Paulo, ou sanção prevista no inciso IV do caput do mesmo artigo.</w:t>
      </w:r>
    </w:p>
    <w:p w14:paraId="5355C685" w14:textId="77777777" w:rsidR="00812A0F" w:rsidRPr="001F3B17" w:rsidRDefault="00812A0F" w:rsidP="00812A0F">
      <w:pPr>
        <w:pStyle w:val="Nvel3"/>
        <w:rPr>
          <w:color w:val="auto"/>
        </w:rPr>
      </w:pPr>
      <w:r w:rsidRPr="001F3B17">
        <w:rPr>
          <w:color w:val="auto"/>
        </w:rPr>
        <w:t>Na hipótese a que alude a alínea “d” do subitem anterior, caso a penalidade aplicada ao fornecedor não ultrapasse o prazo de vigência desta ata de registro de preços, o órgão ou entidade gerenciadora poderá, mediante decisão fundamentada, decidir pela manutenção do registro de preços, sendo vedadas novas contratações derivadas desta ata enquanto perdurarem os efeitos da sanção.</w:t>
      </w:r>
    </w:p>
    <w:p w14:paraId="1CADD088" w14:textId="6E542A0C" w:rsidR="00812A0F" w:rsidRPr="001F3B17" w:rsidRDefault="00812A0F" w:rsidP="00812A0F">
      <w:pPr>
        <w:pStyle w:val="Nvel3"/>
        <w:rPr>
          <w:color w:val="auto"/>
        </w:rPr>
      </w:pPr>
      <w:r w:rsidRPr="001F3B17">
        <w:rPr>
          <w:color w:val="auto"/>
        </w:rPr>
        <w:t xml:space="preserve">O cancelamento de registros nas hipóteses previstas no subitem </w:t>
      </w:r>
      <w:r w:rsidRPr="001F3B17">
        <w:rPr>
          <w:color w:val="auto"/>
        </w:rPr>
        <w:fldChar w:fldCharType="begin"/>
      </w:r>
      <w:r w:rsidRPr="001F3B17">
        <w:rPr>
          <w:color w:val="auto"/>
        </w:rPr>
        <w:instrText xml:space="preserve"> REF cancelamento_do_fornecedor \r \h  \* MERGEFORMAT </w:instrText>
      </w:r>
      <w:r w:rsidRPr="001F3B17">
        <w:rPr>
          <w:color w:val="auto"/>
        </w:rPr>
      </w:r>
      <w:r w:rsidRPr="001F3B17">
        <w:rPr>
          <w:color w:val="auto"/>
        </w:rPr>
        <w:fldChar w:fldCharType="separate"/>
      </w:r>
      <w:r w:rsidR="00280ABE">
        <w:rPr>
          <w:color w:val="auto"/>
        </w:rPr>
        <w:t>9.1</w:t>
      </w:r>
      <w:r w:rsidRPr="001F3B17">
        <w:rPr>
          <w:color w:val="auto"/>
        </w:rPr>
        <w:fldChar w:fldCharType="end"/>
      </w:r>
      <w:r w:rsidRPr="001F3B17">
        <w:rPr>
          <w:color w:val="auto"/>
        </w:rPr>
        <w:t xml:space="preserve"> será formalizado por despacho do órgão ou da entidade gerenciadora, garantidos o contraditório e a ampla defesa.</w:t>
      </w:r>
    </w:p>
    <w:p w14:paraId="5325C0AE" w14:textId="77777777" w:rsidR="00812A0F" w:rsidRPr="001F3B17" w:rsidRDefault="00812A0F" w:rsidP="00812A0F">
      <w:pPr>
        <w:pStyle w:val="Nvel3-R"/>
        <w:rPr>
          <w:i w:val="0"/>
          <w:iCs w:val="0"/>
          <w:color w:val="auto"/>
        </w:rPr>
      </w:pPr>
      <w:r w:rsidRPr="001F3B17">
        <w:rPr>
          <w:i w:val="0"/>
          <w:iCs w:val="0"/>
          <w:color w:val="auto"/>
        </w:rPr>
        <w:lastRenderedPageBreak/>
        <w:t>Quando for cancelado o registro do fornecedor, o órgão ou entidade gerenciadora poderá convocar os fornecedores que compõem o cadastro de reserva, observados a ordem de classificação e o disposto no subitem 5.6.</w:t>
      </w:r>
    </w:p>
    <w:p w14:paraId="6A5DB3CB" w14:textId="77777777" w:rsidR="00812A0F" w:rsidRPr="001F3B17" w:rsidRDefault="00812A0F" w:rsidP="00812A0F">
      <w:pPr>
        <w:pStyle w:val="Nvel3"/>
        <w:rPr>
          <w:color w:val="auto"/>
        </w:rPr>
      </w:pPr>
      <w:r w:rsidRPr="001F3B17">
        <w:rPr>
          <w:color w:val="auto"/>
        </w:rPr>
        <w:t>O órgão ou entidade participante deverá informar ao órgão ou entidade gerenciadora qualquer das ocorrências previstas no subitem 9.1, dada a necessidade de instauração de procedimento para cancelamento do registro do fornecedor.</w:t>
      </w:r>
    </w:p>
    <w:p w14:paraId="27C751C2" w14:textId="77777777" w:rsidR="00812A0F" w:rsidRPr="001F3B17" w:rsidRDefault="00812A0F" w:rsidP="00812A0F">
      <w:pPr>
        <w:pStyle w:val="Nivel2"/>
      </w:pPr>
      <w:r w:rsidRPr="001F3B17">
        <w:t>O órgão ou entidade gerenciadora poderá, justificadamente, cancelar, total ou parcialmente, os preços registrados nesta ata de registro de preços:</w:t>
      </w:r>
      <w:bookmarkStart w:id="12" w:name="cancelamento_da_ata"/>
      <w:bookmarkEnd w:id="12"/>
    </w:p>
    <w:p w14:paraId="24983F3E" w14:textId="77777777" w:rsidR="00812A0F" w:rsidRPr="001F3B17" w:rsidRDefault="00812A0F" w:rsidP="00812A0F">
      <w:pPr>
        <w:pStyle w:val="PargrafodaLista"/>
        <w:numPr>
          <w:ilvl w:val="0"/>
          <w:numId w:val="3"/>
        </w:numPr>
        <w:spacing w:before="120" w:after="120" w:line="276" w:lineRule="auto"/>
        <w:ind w:left="641" w:hanging="357"/>
        <w:jc w:val="both"/>
        <w:rPr>
          <w:rFonts w:ascii="Arial" w:hAnsi="Arial" w:cs="Arial"/>
          <w:sz w:val="20"/>
          <w:szCs w:val="20"/>
        </w:rPr>
      </w:pPr>
      <w:r w:rsidRPr="001F3B17">
        <w:rPr>
          <w:rFonts w:ascii="Arial" w:hAnsi="Arial" w:cs="Arial"/>
          <w:sz w:val="20"/>
          <w:szCs w:val="20"/>
        </w:rPr>
        <w:t>por razão de interesse público;</w:t>
      </w:r>
    </w:p>
    <w:p w14:paraId="7FBEF719" w14:textId="77777777" w:rsidR="00812A0F" w:rsidRPr="001F3B17" w:rsidRDefault="00812A0F" w:rsidP="00812A0F">
      <w:pPr>
        <w:pStyle w:val="PargrafodaLista"/>
        <w:numPr>
          <w:ilvl w:val="0"/>
          <w:numId w:val="3"/>
        </w:numPr>
        <w:spacing w:before="120" w:after="120" w:line="276" w:lineRule="auto"/>
        <w:ind w:left="641" w:hanging="357"/>
        <w:jc w:val="both"/>
        <w:rPr>
          <w:rFonts w:ascii="Arial" w:hAnsi="Arial" w:cs="Arial"/>
          <w:sz w:val="20"/>
          <w:szCs w:val="20"/>
        </w:rPr>
      </w:pPr>
      <w:r w:rsidRPr="001F3B17">
        <w:rPr>
          <w:rFonts w:ascii="Arial" w:hAnsi="Arial" w:cs="Arial"/>
          <w:sz w:val="20"/>
          <w:szCs w:val="20"/>
        </w:rPr>
        <w:t>a pedido do fornecedor, à vista de prova da ocorrência superveniente de caso fortuito ou força maior que impossibilitem o cumprimento do compromisso registrado; ou</w:t>
      </w:r>
    </w:p>
    <w:p w14:paraId="5C1A8885" w14:textId="77777777" w:rsidR="00812A0F" w:rsidRPr="001F3B17" w:rsidRDefault="00812A0F" w:rsidP="00812A0F">
      <w:pPr>
        <w:pStyle w:val="PargrafodaLista"/>
        <w:numPr>
          <w:ilvl w:val="0"/>
          <w:numId w:val="3"/>
        </w:numPr>
        <w:spacing w:before="120" w:after="120" w:line="276" w:lineRule="auto"/>
        <w:ind w:left="641" w:hanging="357"/>
        <w:jc w:val="both"/>
      </w:pPr>
      <w:r w:rsidRPr="001F3B17">
        <w:rPr>
          <w:rFonts w:ascii="Arial" w:hAnsi="Arial" w:cs="Arial"/>
          <w:sz w:val="20"/>
          <w:szCs w:val="20"/>
        </w:rPr>
        <w:t xml:space="preserve">se não houver êxito nas negociações, nos termos dos subitens 7.1.2.1.1 e 7.2.3.1. </w:t>
      </w:r>
    </w:p>
    <w:p w14:paraId="00F43BB3" w14:textId="77777777" w:rsidR="00812A0F" w:rsidRPr="001F3B17" w:rsidRDefault="00812A0F" w:rsidP="00812A0F">
      <w:pPr>
        <w:pStyle w:val="Nivel01"/>
      </w:pPr>
      <w:r w:rsidRPr="001F3B17">
        <w:t>DAS PENALIDADES</w:t>
      </w:r>
    </w:p>
    <w:p w14:paraId="34A2EC4A" w14:textId="77777777" w:rsidR="00812A0F" w:rsidRPr="001F3B17" w:rsidRDefault="00812A0F" w:rsidP="00812A0F">
      <w:pPr>
        <w:pStyle w:val="Nivel2"/>
      </w:pPr>
      <w:r w:rsidRPr="001F3B17">
        <w:t>O descumprimento desta Ata de Registro de Preços ensejará aplicação das penalidades estabelecidas no instrumento convocatório mencionado no subitem 1.1, garantidos o contraditório e a ampla defesa.</w:t>
      </w:r>
    </w:p>
    <w:p w14:paraId="694F9771" w14:textId="77777777" w:rsidR="00812A0F" w:rsidRPr="001F3B17" w:rsidRDefault="00812A0F" w:rsidP="00812A0F">
      <w:pPr>
        <w:pStyle w:val="Nvel3"/>
        <w:rPr>
          <w:color w:val="auto"/>
        </w:rPr>
      </w:pPr>
      <w:r w:rsidRPr="001F3B17">
        <w:rPr>
          <w:color w:val="auto"/>
        </w:rPr>
        <w:t xml:space="preserve">As sanções cabíveis também se aplicam aos integrantes do cadastro de reserva no registro de preços que, convocados, não honrarem o compromisso assumido injustificadamente. </w:t>
      </w:r>
    </w:p>
    <w:p w14:paraId="2D71B71C" w14:textId="77777777" w:rsidR="00812A0F" w:rsidRPr="001F3B17" w:rsidRDefault="00812A0F" w:rsidP="00812A0F">
      <w:pPr>
        <w:pStyle w:val="Nivel2"/>
      </w:pPr>
      <w:r w:rsidRPr="001F3B17">
        <w:t>É da competência do órgão ou entidade gerenciadora, garantidos o contraditório e a ampla defesa, aplicar as penalidades decorrentes do descumprimento do pactuado nesta ata de registro de preço, em relação à sua demanda registrada, ou do descumprimento das obrigações contratuais, em relação às suas próprias contratações.</w:t>
      </w:r>
    </w:p>
    <w:p w14:paraId="7E8A8249" w14:textId="77777777" w:rsidR="00812A0F" w:rsidRPr="001F3B17" w:rsidRDefault="00812A0F" w:rsidP="00812A0F">
      <w:pPr>
        <w:pStyle w:val="Nivel2"/>
      </w:pPr>
      <w:r w:rsidRPr="001F3B17">
        <w:t>É da competência do respectivo órgão ou entidade participante, garantidos o contraditório e a ampla defesa, aplicar as penalidades decorrentes do descumprimento do pactuado nesta ata de registro de preços, em relação à sua demanda registrada, ou do descumprimento das obrigações contratuais, em relação às suas próprias contratações.</w:t>
      </w:r>
    </w:p>
    <w:p w14:paraId="22B537E9" w14:textId="77777777" w:rsidR="00812A0F" w:rsidRPr="001F3B17" w:rsidRDefault="00812A0F" w:rsidP="00812A0F">
      <w:pPr>
        <w:pStyle w:val="Nivel2"/>
      </w:pPr>
      <w:r w:rsidRPr="001F3B17">
        <w:t>O órgão ou entidade participante deverá informar ao órgão ou entidade gerenciadora as ocorrências de que trata o subitem 9.1.4, para a finalidade indicada nessa disposição.</w:t>
      </w:r>
    </w:p>
    <w:p w14:paraId="1D2EB632" w14:textId="77777777" w:rsidR="00812A0F" w:rsidRPr="001F3B17" w:rsidRDefault="00812A0F" w:rsidP="00812A0F">
      <w:pPr>
        <w:pStyle w:val="Nivel01"/>
      </w:pPr>
      <w:r w:rsidRPr="001F3B17">
        <w:t>CONDIÇÕES GERAIS</w:t>
      </w:r>
    </w:p>
    <w:p w14:paraId="241059C2" w14:textId="77777777" w:rsidR="00812A0F" w:rsidRPr="001F3B17" w:rsidRDefault="00812A0F" w:rsidP="00812A0F">
      <w:pPr>
        <w:pStyle w:val="Nivel2"/>
      </w:pPr>
      <w:r w:rsidRPr="001F3B17">
        <w:t>Os fornecedores registrados nesta ata de registro de preços estarão obrigados a celebrar as contratações que dela poderão advir nas condições estabelecidas, observado o disposto no instrumento convocatório mencionado no item 1.1 e neste instrumento.</w:t>
      </w:r>
    </w:p>
    <w:p w14:paraId="225026CB" w14:textId="77777777" w:rsidR="00812A0F" w:rsidRPr="001F3B17" w:rsidRDefault="00812A0F" w:rsidP="00812A0F">
      <w:pPr>
        <w:pStyle w:val="Nvel3"/>
        <w:rPr>
          <w:color w:val="auto"/>
        </w:rPr>
      </w:pPr>
      <w:r w:rsidRPr="001F3B17">
        <w:rPr>
          <w:color w:val="auto"/>
        </w:rPr>
        <w:t>A existência de preços registrados não obriga a Administração a celebrar contratações decorrentes desta ata de registro de preços, observando-se o disposto no item 5.9.</w:t>
      </w:r>
    </w:p>
    <w:p w14:paraId="77ECFFE0" w14:textId="77777777" w:rsidR="00812A0F" w:rsidRPr="001F3B17" w:rsidRDefault="00812A0F" w:rsidP="00812A0F">
      <w:pPr>
        <w:pStyle w:val="Nivel2"/>
      </w:pPr>
      <w:r w:rsidRPr="001F3B17">
        <w:t>A contratação com os fornecedores registrados nesta ata será formalizada pelo órgão ou entidade interessada mediante a emissão de nota de empenho, cuja minuta integra como Anexo o instrumento convocatório mencionado no item 1.1.</w:t>
      </w:r>
    </w:p>
    <w:p w14:paraId="5A21352D" w14:textId="77777777" w:rsidR="00812A0F" w:rsidRPr="001F3B17" w:rsidRDefault="00812A0F" w:rsidP="00812A0F">
      <w:pPr>
        <w:pStyle w:val="Nvel3-R"/>
        <w:rPr>
          <w:i w:val="0"/>
          <w:iCs w:val="0"/>
          <w:color w:val="auto"/>
        </w:rPr>
      </w:pPr>
      <w:r w:rsidRPr="001F3B17">
        <w:rPr>
          <w:i w:val="0"/>
          <w:iCs w:val="0"/>
          <w:color w:val="auto"/>
        </w:rPr>
        <w:t xml:space="preserve">Se, por ocasião da formalização da contratação, algum dos documentos apresentados pelo fornecedor para fins de comprovação das condições de habilitação estiver </w:t>
      </w:r>
      <w:r w:rsidRPr="001F3B17">
        <w:rPr>
          <w:i w:val="0"/>
          <w:iCs w:val="0"/>
          <w:color w:val="auto"/>
        </w:rPr>
        <w:lastRenderedPageBreak/>
        <w:t>com o prazo de validade expirado, o órgão ou entidade interessada verificará a situação por meio eletrônico hábil de informações e certificará a regularidade nos autos do processo, anexando a ele os documentos comprobatórios, salvo impossibilidade devidamente justificada.</w:t>
      </w:r>
    </w:p>
    <w:p w14:paraId="4701E27A" w14:textId="77777777" w:rsidR="00812A0F" w:rsidRPr="001F3B17" w:rsidRDefault="00812A0F" w:rsidP="00812A0F">
      <w:pPr>
        <w:pStyle w:val="Nvel3-R"/>
        <w:rPr>
          <w:i w:val="0"/>
          <w:iCs w:val="0"/>
          <w:color w:val="auto"/>
        </w:rPr>
      </w:pPr>
      <w:r w:rsidRPr="001F3B17">
        <w:rPr>
          <w:i w:val="0"/>
          <w:iCs w:val="0"/>
          <w:color w:val="auto"/>
        </w:rPr>
        <w:t>Se não for possível atualizar os documentos referidos no subitem anterior por meio eletrônico hábil de informações, o fornecedor será notificado para, no prazo de 02 (dois) dias úteis, comprovar a sua situação de regularidade mediante a apresentação das certidões respectivas com prazos de validade em vigência, sob pena de a contratação não se realizar.</w:t>
      </w:r>
    </w:p>
    <w:p w14:paraId="2E5A4813" w14:textId="77777777" w:rsidR="00812A0F" w:rsidRPr="001F3B17" w:rsidRDefault="00812A0F" w:rsidP="00812A0F">
      <w:pPr>
        <w:pStyle w:val="Nvel3-R"/>
        <w:rPr>
          <w:i w:val="0"/>
          <w:iCs w:val="0"/>
          <w:color w:val="auto"/>
        </w:rPr>
      </w:pPr>
      <w:r w:rsidRPr="001F3B17">
        <w:rPr>
          <w:i w:val="0"/>
          <w:iCs w:val="0"/>
          <w:color w:val="auto"/>
        </w:rPr>
        <w:t xml:space="preserve">Constitui condição para a celebração da contratação, bem como para a realização dos pagamentos dela decorrentes, a inexistência de registros em nome do fornecedor no “Cadastro Informativo dos Créditos não Quitados de Órgãos e Entidades Estaduais– CADIN ESTADUAL”. Esta condição será considerada cumprida se o devedor comprovar que os respectivos registros se encontram suspensos, nos termos do art. 8º, §§ 1º e 2º, da </w:t>
      </w:r>
      <w:hyperlink r:id="rId19" w:history="1">
        <w:r w:rsidRPr="001F3B17">
          <w:rPr>
            <w:rStyle w:val="Hyperlink"/>
            <w:i w:val="0"/>
            <w:iCs w:val="0"/>
            <w:color w:val="auto"/>
          </w:rPr>
          <w:t>Lei estadual nº 12.799, de 2008</w:t>
        </w:r>
      </w:hyperlink>
      <w:r w:rsidRPr="001F3B17">
        <w:rPr>
          <w:i w:val="0"/>
          <w:iCs w:val="0"/>
          <w:color w:val="auto"/>
        </w:rPr>
        <w:t>.</w:t>
      </w:r>
    </w:p>
    <w:p w14:paraId="588BCE01" w14:textId="77777777" w:rsidR="00812A0F" w:rsidRPr="001F3B17" w:rsidRDefault="00812A0F" w:rsidP="00812A0F">
      <w:pPr>
        <w:pStyle w:val="Nvel3-R"/>
        <w:rPr>
          <w:i w:val="0"/>
          <w:iCs w:val="0"/>
          <w:color w:val="auto"/>
        </w:rPr>
      </w:pPr>
      <w:r w:rsidRPr="001F3B17">
        <w:rPr>
          <w:i w:val="0"/>
          <w:iCs w:val="0"/>
          <w:color w:val="auto"/>
        </w:rPr>
        <w:t>Com a finalidade de verificar se o fornecedor mantém as condições de participação no certame, serão novamente consultados, previamente à celebração da contratação, os cadastros especificados no instrumento convocatório mencionado no item 1.1.</w:t>
      </w:r>
    </w:p>
    <w:p w14:paraId="066AD2AF" w14:textId="77777777" w:rsidR="00812A0F" w:rsidRPr="001F3B17" w:rsidRDefault="00812A0F" w:rsidP="00812A0F">
      <w:pPr>
        <w:pStyle w:val="Nvel3-R"/>
        <w:rPr>
          <w:i w:val="0"/>
          <w:iCs w:val="0"/>
          <w:color w:val="auto"/>
        </w:rPr>
      </w:pPr>
      <w:r w:rsidRPr="001F3B17">
        <w:rPr>
          <w:i w:val="0"/>
          <w:iCs w:val="0"/>
          <w:color w:val="auto"/>
        </w:rPr>
        <w:t>Constitui(em), igualmente, condição(</w:t>
      </w:r>
      <w:proofErr w:type="spellStart"/>
      <w:r w:rsidRPr="001F3B17">
        <w:rPr>
          <w:i w:val="0"/>
          <w:iCs w:val="0"/>
          <w:color w:val="auto"/>
        </w:rPr>
        <w:t>ões</w:t>
      </w:r>
      <w:proofErr w:type="spellEnd"/>
      <w:r w:rsidRPr="001F3B17">
        <w:rPr>
          <w:i w:val="0"/>
          <w:iCs w:val="0"/>
          <w:color w:val="auto"/>
        </w:rPr>
        <w:t>) para a celebração da contratação:</w:t>
      </w:r>
    </w:p>
    <w:p w14:paraId="4B2140A4" w14:textId="77777777" w:rsidR="00812A0F" w:rsidRPr="001F3B17" w:rsidRDefault="00812A0F" w:rsidP="00812A0F">
      <w:pPr>
        <w:pStyle w:val="Nvel4"/>
        <w:rPr>
          <w:color w:val="auto"/>
        </w:rPr>
      </w:pPr>
      <w:r w:rsidRPr="001F3B17">
        <w:rPr>
          <w:color w:val="auto"/>
        </w:rPr>
        <w:t>a apresentação do(s) documento(s) que o fornecedor, à época do certame, houver se comprometido a exibir por ocasião da celebração da contratação por meio de declaração específica, caso exigida na documentação que integra como Anexo o instrumento convocatório mencionado no item 1.1;</w:t>
      </w:r>
    </w:p>
    <w:p w14:paraId="55B9AED7" w14:textId="77777777" w:rsidR="00812A0F" w:rsidRPr="001F3B17" w:rsidRDefault="00812A0F" w:rsidP="00812A0F">
      <w:pPr>
        <w:pStyle w:val="Nvel4"/>
        <w:rPr>
          <w:color w:val="auto"/>
        </w:rPr>
      </w:pPr>
      <w:r w:rsidRPr="001F3B17">
        <w:rPr>
          <w:color w:val="auto"/>
        </w:rPr>
        <w:t>a indicação de gestor encarregado de representar o fornecedor com exclusividade perante o contratante, caso se trate de sociedade cooperativa (se admitida a participação de cooperativa);</w:t>
      </w:r>
    </w:p>
    <w:p w14:paraId="4F755116" w14:textId="77777777" w:rsidR="00812A0F" w:rsidRPr="001F3B17" w:rsidRDefault="00812A0F" w:rsidP="00812A0F">
      <w:pPr>
        <w:pStyle w:val="Nvel2-Red"/>
        <w:rPr>
          <w:i w:val="0"/>
          <w:iCs w:val="0"/>
          <w:color w:val="auto"/>
        </w:rPr>
      </w:pPr>
      <w:r w:rsidRPr="001F3B17">
        <w:rPr>
          <w:i w:val="0"/>
          <w:iCs w:val="0"/>
          <w:color w:val="auto"/>
        </w:rPr>
        <w:t xml:space="preserve">O fornecedor </w:t>
      </w:r>
      <w:r w:rsidRPr="001F3B17">
        <w:rPr>
          <w:rFonts w:eastAsia="Arial"/>
          <w:i w:val="0"/>
          <w:iCs w:val="0"/>
          <w:color w:val="auto"/>
        </w:rPr>
        <w:t xml:space="preserve">terá o prazo de 05 (cinco) dias, contados a partir da data de sua convocação, para assinar a Ata de Registro de Preços, sob pena de decadência, sem prejuízo das sanções previstas na </w:t>
      </w:r>
      <w:hyperlink r:id="rId20" w:history="1">
        <w:r w:rsidRPr="001F3B17">
          <w:rPr>
            <w:rStyle w:val="Hyperlink"/>
            <w:rFonts w:eastAsia="Arial"/>
            <w:i w:val="0"/>
            <w:iCs w:val="0"/>
            <w:color w:val="auto"/>
          </w:rPr>
          <w:t>Lei nº 14.133, de 2021</w:t>
        </w:r>
      </w:hyperlink>
      <w:r w:rsidRPr="001F3B17">
        <w:rPr>
          <w:bCs/>
          <w:i w:val="0"/>
          <w:iCs w:val="0"/>
          <w:color w:val="auto"/>
        </w:rPr>
        <w:t>.</w:t>
      </w:r>
    </w:p>
    <w:p w14:paraId="62B490CE" w14:textId="77777777" w:rsidR="00812A0F" w:rsidRPr="001F3B17" w:rsidRDefault="00812A0F" w:rsidP="00812A0F">
      <w:pPr>
        <w:pStyle w:val="Nvel3-R"/>
        <w:rPr>
          <w:i w:val="0"/>
          <w:iCs w:val="0"/>
          <w:color w:val="auto"/>
        </w:rPr>
      </w:pPr>
      <w:r w:rsidRPr="001F3B17">
        <w:rPr>
          <w:i w:val="0"/>
          <w:iCs w:val="0"/>
          <w:color w:val="auto"/>
        </w:rPr>
        <w:t>A Ata de Registro de Preços será assinada com a utilização de meio eletrônico, nos termos da legislação aplicável.</w:t>
      </w:r>
    </w:p>
    <w:p w14:paraId="44242A8B" w14:textId="77777777" w:rsidR="00812A0F" w:rsidRPr="001F3B17" w:rsidRDefault="00812A0F" w:rsidP="00812A0F">
      <w:pPr>
        <w:pStyle w:val="Nvel3-R"/>
        <w:rPr>
          <w:i w:val="0"/>
          <w:iCs w:val="0"/>
          <w:color w:val="auto"/>
        </w:rPr>
      </w:pPr>
      <w:r w:rsidRPr="001F3B17">
        <w:rPr>
          <w:i w:val="0"/>
          <w:iCs w:val="0"/>
          <w:color w:val="auto"/>
        </w:rPr>
        <w:t>O prazo para assinatura previsto no subitem anterior poderá ser prorrogado por igual período por solicitação justificada do interessado e aceita pela Administração.</w:t>
      </w:r>
    </w:p>
    <w:p w14:paraId="3A80EC11" w14:textId="77777777" w:rsidR="00812A0F" w:rsidRPr="001F3B17" w:rsidRDefault="00812A0F" w:rsidP="00812A0F">
      <w:pPr>
        <w:pStyle w:val="Nvel3-R"/>
        <w:rPr>
          <w:i w:val="0"/>
          <w:iCs w:val="0"/>
          <w:color w:val="auto"/>
        </w:rPr>
      </w:pPr>
      <w:r w:rsidRPr="001F3B17">
        <w:rPr>
          <w:bCs/>
          <w:i w:val="0"/>
          <w:iCs w:val="0"/>
          <w:color w:val="auto"/>
        </w:rPr>
        <w:t>Será considerado celebrado o contrato, em caso de assinaturas por meio eletrônico em datas diferentes, na data da última assinatura eletrônica das partes do termo contratual.</w:t>
      </w:r>
    </w:p>
    <w:p w14:paraId="7EED0C48" w14:textId="77777777" w:rsidR="00812A0F" w:rsidRPr="001F3B17" w:rsidRDefault="00812A0F" w:rsidP="00812A0F">
      <w:pPr>
        <w:pStyle w:val="Nvel2-Red"/>
        <w:rPr>
          <w:i w:val="0"/>
          <w:iCs w:val="0"/>
          <w:color w:val="auto"/>
        </w:rPr>
      </w:pPr>
      <w:r w:rsidRPr="001F3B17">
        <w:rPr>
          <w:rFonts w:eastAsia="Arial"/>
          <w:i w:val="0"/>
          <w:iCs w:val="0"/>
          <w:color w:val="auto"/>
        </w:rPr>
        <w:t xml:space="preserve">O fornecedor terá o prazo de 05 (cinco) dias, contados a partir da data de sua convocação, para comparecer perante a Unidade Contratante para a retirada da nota de empenho ou, alternativamente, solicitar o seu envio por meio eletrônico, sob pena de decadência, sem prejuízo das sanções previstas na </w:t>
      </w:r>
      <w:hyperlink r:id="rId21" w:history="1">
        <w:r w:rsidRPr="001F3B17">
          <w:rPr>
            <w:rStyle w:val="Hyperlink"/>
            <w:rFonts w:eastAsia="Arial"/>
            <w:i w:val="0"/>
            <w:iCs w:val="0"/>
            <w:color w:val="auto"/>
            <w:szCs w:val="16"/>
          </w:rPr>
          <w:t>Lei nº 14.133, de 2021</w:t>
        </w:r>
      </w:hyperlink>
      <w:r w:rsidRPr="001F3B17">
        <w:rPr>
          <w:rFonts w:eastAsia="Arial"/>
          <w:i w:val="0"/>
          <w:iCs w:val="0"/>
          <w:color w:val="auto"/>
        </w:rPr>
        <w:t>.</w:t>
      </w:r>
    </w:p>
    <w:p w14:paraId="66FD2AA1" w14:textId="77777777" w:rsidR="00812A0F" w:rsidRPr="001F3B17" w:rsidRDefault="00812A0F" w:rsidP="00812A0F">
      <w:pPr>
        <w:pStyle w:val="Nvel3-R"/>
        <w:rPr>
          <w:i w:val="0"/>
          <w:iCs w:val="0"/>
          <w:color w:val="auto"/>
        </w:rPr>
      </w:pPr>
      <w:r w:rsidRPr="001F3B17">
        <w:rPr>
          <w:rFonts w:eastAsia="Arial"/>
          <w:i w:val="0"/>
          <w:iCs w:val="0"/>
          <w:color w:val="auto"/>
          <w:szCs w:val="16"/>
        </w:rPr>
        <w:lastRenderedPageBreak/>
        <w:t>O prazo para formalização da contratação previsto no subitem anterior poderá ser prorrogado por igual período, por solicitação justificada do interessado e aceita pela Administração;</w:t>
      </w:r>
    </w:p>
    <w:p w14:paraId="195941BA" w14:textId="77777777" w:rsidR="00812A0F" w:rsidRPr="001F3B17" w:rsidRDefault="00812A0F" w:rsidP="00812A0F">
      <w:pPr>
        <w:pStyle w:val="Nvel3-R"/>
        <w:rPr>
          <w:i w:val="0"/>
          <w:iCs w:val="0"/>
          <w:color w:val="auto"/>
        </w:rPr>
      </w:pPr>
      <w:r w:rsidRPr="001F3B17">
        <w:rPr>
          <w:rFonts w:eastAsia="Arial"/>
          <w:i w:val="0"/>
          <w:iCs w:val="0"/>
          <w:color w:val="auto"/>
          <w:szCs w:val="16"/>
        </w:rPr>
        <w:t>O não comparecimento do fornecedor para retirar a nota de empenho ou, quando solicitado o seu envio por meio eletrônico, a ausência de envio de confirmação de recebimento dentro do prazo previsto no subitem acima importará na recusa à contratação, sujeita à aplicação das sanções cabíveis.</w:t>
      </w:r>
    </w:p>
    <w:p w14:paraId="103B2AE1" w14:textId="77777777" w:rsidR="00812A0F" w:rsidRPr="001F3B17" w:rsidRDefault="00812A0F" w:rsidP="00812A0F">
      <w:pPr>
        <w:pStyle w:val="Nvel3-R"/>
        <w:rPr>
          <w:i w:val="0"/>
          <w:iCs w:val="0"/>
          <w:color w:val="auto"/>
        </w:rPr>
      </w:pPr>
      <w:r w:rsidRPr="001F3B17">
        <w:rPr>
          <w:rFonts w:eastAsia="Arial"/>
          <w:i w:val="0"/>
          <w:iCs w:val="0"/>
          <w:color w:val="auto"/>
        </w:rPr>
        <w:t>A retirada da Nota de Empenho ou, quando solicitado o seu envio por meio eletrônico, o envio de confirmação de recebimento, implica o reconhecimento pelo fornecedor:</w:t>
      </w:r>
    </w:p>
    <w:p w14:paraId="48E8B6F4" w14:textId="77777777" w:rsidR="00812A0F" w:rsidRPr="001F3B17" w:rsidRDefault="00812A0F" w:rsidP="00812A0F">
      <w:pPr>
        <w:pStyle w:val="Nvel4"/>
        <w:rPr>
          <w:color w:val="auto"/>
        </w:rPr>
      </w:pPr>
      <w:r w:rsidRPr="001F3B17">
        <w:rPr>
          <w:rFonts w:eastAsia="Arial"/>
          <w:color w:val="auto"/>
        </w:rPr>
        <w:t xml:space="preserve">de que referida Nota está substituindo o instrumento de contrato, aplicando-se à relação jurídica ali estabelecida as disposições da </w:t>
      </w:r>
      <w:hyperlink r:id="rId22" w:history="1">
        <w:r w:rsidRPr="001F3B17">
          <w:rPr>
            <w:rStyle w:val="Hyperlink"/>
            <w:rFonts w:eastAsia="Arial"/>
            <w:color w:val="auto"/>
          </w:rPr>
          <w:t>Lei nº 14.133, de 2021</w:t>
        </w:r>
      </w:hyperlink>
      <w:r w:rsidRPr="001F3B17">
        <w:rPr>
          <w:rFonts w:eastAsia="Arial"/>
          <w:color w:val="auto"/>
        </w:rPr>
        <w:t>;</w:t>
      </w:r>
    </w:p>
    <w:p w14:paraId="22BF97D8" w14:textId="77777777" w:rsidR="00812A0F" w:rsidRPr="001F3B17" w:rsidRDefault="00812A0F" w:rsidP="00812A0F">
      <w:pPr>
        <w:pStyle w:val="Nvel4"/>
        <w:rPr>
          <w:color w:val="auto"/>
        </w:rPr>
      </w:pPr>
      <w:r w:rsidRPr="001F3B17">
        <w:rPr>
          <w:rFonts w:eastAsia="Arial"/>
          <w:color w:val="auto"/>
        </w:rPr>
        <w:t>de que está vinculado às previsões contidas no instrumento convocatório mencionado no item 1.1 e seus Anexos e à sua proposta;</w:t>
      </w:r>
    </w:p>
    <w:p w14:paraId="2B30EDD8" w14:textId="77777777" w:rsidR="00812A0F" w:rsidRPr="001F3B17" w:rsidRDefault="00812A0F" w:rsidP="00812A0F">
      <w:pPr>
        <w:pStyle w:val="Nvel4"/>
        <w:rPr>
          <w:color w:val="auto"/>
        </w:rPr>
      </w:pPr>
      <w:r w:rsidRPr="001F3B17">
        <w:rPr>
          <w:rFonts w:eastAsia="Arial"/>
          <w:color w:val="auto"/>
          <w:szCs w:val="16"/>
        </w:rPr>
        <w:t xml:space="preserve">de que se aplicam às omissões as disposições da </w:t>
      </w:r>
      <w:hyperlink r:id="rId23" w:history="1">
        <w:r w:rsidRPr="001F3B17">
          <w:rPr>
            <w:rStyle w:val="Hyperlink"/>
            <w:rFonts w:eastAsia="Arial"/>
            <w:color w:val="auto"/>
            <w:szCs w:val="16"/>
          </w:rPr>
          <w:t>Lei nº 14.133, de 2021</w:t>
        </w:r>
      </w:hyperlink>
      <w:r w:rsidRPr="001F3B17">
        <w:rPr>
          <w:rFonts w:eastAsia="Arial"/>
          <w:color w:val="auto"/>
          <w:szCs w:val="16"/>
        </w:rPr>
        <w:t xml:space="preserve">, e normas regulamentares pertinentes, e, subsidiariamente, as disposições da </w:t>
      </w:r>
      <w:hyperlink r:id="rId24" w:history="1">
        <w:r w:rsidRPr="001F3B17">
          <w:rPr>
            <w:rStyle w:val="Hyperlink"/>
            <w:rFonts w:eastAsia="Arial"/>
            <w:color w:val="auto"/>
            <w:szCs w:val="16"/>
          </w:rPr>
          <w:t>Lei nº 8.078, de 1990</w:t>
        </w:r>
      </w:hyperlink>
      <w:r w:rsidRPr="001F3B17">
        <w:rPr>
          <w:rFonts w:eastAsia="Arial"/>
          <w:color w:val="auto"/>
          <w:szCs w:val="16"/>
        </w:rPr>
        <w:t>, e princípios gerais dos contratos;</w:t>
      </w:r>
    </w:p>
    <w:p w14:paraId="0F21500A" w14:textId="77777777" w:rsidR="00812A0F" w:rsidRPr="001F3B17" w:rsidRDefault="00812A0F" w:rsidP="00812A0F">
      <w:pPr>
        <w:pStyle w:val="Nvel4"/>
        <w:rPr>
          <w:rStyle w:val="Hyperlink"/>
          <w:color w:val="auto"/>
        </w:rPr>
      </w:pPr>
      <w:r w:rsidRPr="001F3B17">
        <w:rPr>
          <w:rFonts w:eastAsia="Arial"/>
          <w:color w:val="auto"/>
        </w:rPr>
        <w:t xml:space="preserve">de que as hipóteses de extinção da contratação são aquelas previstas nos </w:t>
      </w:r>
      <w:hyperlink r:id="rId25" w:anchor="art137" w:history="1">
        <w:r w:rsidRPr="001F3B17">
          <w:rPr>
            <w:rStyle w:val="Hyperlink"/>
            <w:rFonts w:eastAsia="Arial"/>
            <w:color w:val="auto"/>
          </w:rPr>
          <w:t>artigos 137 e 138 da Lei nº 14.133, de 2021</w:t>
        </w:r>
      </w:hyperlink>
      <w:r w:rsidRPr="001F3B17">
        <w:rPr>
          <w:rStyle w:val="Hyperlink"/>
          <w:rFonts w:eastAsia="Arial"/>
          <w:color w:val="auto"/>
        </w:rPr>
        <w:t>;</w:t>
      </w:r>
    </w:p>
    <w:p w14:paraId="0C083793" w14:textId="77777777" w:rsidR="00812A0F" w:rsidRPr="001F3B17" w:rsidRDefault="00812A0F" w:rsidP="00812A0F">
      <w:pPr>
        <w:pStyle w:val="Nvel4"/>
        <w:rPr>
          <w:rStyle w:val="Hyperlink"/>
          <w:color w:val="auto"/>
        </w:rPr>
      </w:pPr>
      <w:r w:rsidRPr="001F3B17">
        <w:rPr>
          <w:rFonts w:eastAsia="Arial"/>
          <w:color w:val="auto"/>
        </w:rPr>
        <w:t xml:space="preserve">dos direitos da Administração previstos nos </w:t>
      </w:r>
      <w:hyperlink r:id="rId26" w:anchor="art137" w:history="1">
        <w:r w:rsidRPr="001F3B17">
          <w:rPr>
            <w:rStyle w:val="Hyperlink"/>
            <w:rFonts w:eastAsia="Arial"/>
            <w:color w:val="auto"/>
          </w:rPr>
          <w:t>artigos 137 a 139 da Lei nº 14.133, de 2021</w:t>
        </w:r>
      </w:hyperlink>
      <w:r w:rsidRPr="001F3B17">
        <w:rPr>
          <w:rStyle w:val="Hyperlink"/>
          <w:rFonts w:eastAsia="Arial"/>
          <w:color w:val="auto"/>
        </w:rPr>
        <w:t>;</w:t>
      </w:r>
    </w:p>
    <w:p w14:paraId="3248AEC3" w14:textId="77777777" w:rsidR="00812A0F" w:rsidRPr="001F3B17" w:rsidRDefault="00812A0F" w:rsidP="00812A0F">
      <w:pPr>
        <w:pStyle w:val="Nvel4"/>
        <w:rPr>
          <w:color w:val="auto"/>
        </w:rPr>
      </w:pPr>
      <w:r w:rsidRPr="001F3B17">
        <w:rPr>
          <w:rFonts w:eastAsia="Arial"/>
          <w:color w:val="auto"/>
        </w:rPr>
        <w:t>de que as condições de habilitação e contratação consignadas no instrumento convocatório mencionado no item 1.1 deverão ser mantidas pelo fornecedor durante a vigência da contratação.</w:t>
      </w:r>
    </w:p>
    <w:p w14:paraId="296536B3" w14:textId="77777777" w:rsidR="00812A0F" w:rsidRPr="001F3B17" w:rsidRDefault="00812A0F" w:rsidP="00812A0F">
      <w:pPr>
        <w:pStyle w:val="Nivel2"/>
      </w:pPr>
      <w:r w:rsidRPr="001F3B17">
        <w:t>As condições gerais de execução do objeto, tais como os prazos para entrega e recebimento, as obrigações da Administração e do fornecedor registrado, penalidades e demais condições do ajuste, encontram-se definidos na documentação que integra o instrumento convocatório mencionado no item 1.1.</w:t>
      </w:r>
    </w:p>
    <w:p w14:paraId="2AF02BEC" w14:textId="77777777" w:rsidR="00812A0F" w:rsidRPr="001F3B17" w:rsidRDefault="00812A0F" w:rsidP="00812A0F">
      <w:pPr>
        <w:pStyle w:val="Nvel2-Red"/>
        <w:rPr>
          <w:i w:val="0"/>
          <w:iCs w:val="0"/>
          <w:color w:val="auto"/>
        </w:rPr>
      </w:pPr>
      <w:r w:rsidRPr="001F3B17">
        <w:rPr>
          <w:i w:val="0"/>
          <w:iCs w:val="0"/>
          <w:color w:val="auto"/>
        </w:rPr>
        <w:t>No caso de adjudicação por preço global de grupo de itens, só será admitida a contratação de item(</w:t>
      </w:r>
      <w:proofErr w:type="spellStart"/>
      <w:r w:rsidRPr="001F3B17">
        <w:rPr>
          <w:i w:val="0"/>
          <w:iCs w:val="0"/>
          <w:color w:val="auto"/>
        </w:rPr>
        <w:t>ns</w:t>
      </w:r>
      <w:proofErr w:type="spellEnd"/>
      <w:r w:rsidRPr="001F3B17">
        <w:rPr>
          <w:i w:val="0"/>
          <w:iCs w:val="0"/>
          <w:color w:val="auto"/>
        </w:rPr>
        <w:t>) específico(s) do grupo se houver prévia pesquisa de mercado e demonstração de sua vantagem para o órgão ou entidade.</w:t>
      </w:r>
    </w:p>
    <w:p w14:paraId="5AD1CDBB" w14:textId="77777777" w:rsidR="00812A0F" w:rsidRPr="001F3B17" w:rsidRDefault="00812A0F" w:rsidP="00812A0F">
      <w:pPr>
        <w:widowControl w:val="0"/>
        <w:autoSpaceDE w:val="0"/>
        <w:autoSpaceDN w:val="0"/>
        <w:adjustRightInd w:val="0"/>
        <w:spacing w:before="120" w:after="120" w:line="276" w:lineRule="auto"/>
        <w:jc w:val="both"/>
        <w:rPr>
          <w:rFonts w:ascii="Arial" w:hAnsi="Arial" w:cs="Arial"/>
          <w:sz w:val="20"/>
          <w:szCs w:val="20"/>
        </w:rPr>
      </w:pPr>
      <w:r w:rsidRPr="001F3B17">
        <w:rPr>
          <w:rFonts w:ascii="Arial" w:hAnsi="Arial" w:cs="Arial"/>
          <w:sz w:val="20"/>
          <w:szCs w:val="20"/>
        </w:rPr>
        <w:t xml:space="preserve">Para firmeza e validade do pactuado, a presente Ata foi lavrada em 02 (duas) vias, que, depois de lida e achada em ordem, vai assinada pelo(a) representante do órgão ou entidade gerenciadora e pelo(as) representante(s) do(s) fornecedor(es) registrado(s), e por testemunhas, todos abaixo identificados, encaminhando-se cópia às entidades participantes mencionados no item 3.2. </w:t>
      </w:r>
    </w:p>
    <w:p w14:paraId="3DCE6656" w14:textId="314B93E1" w:rsidR="00812A0F" w:rsidRPr="001F3B17" w:rsidRDefault="00410850" w:rsidP="00374F0E">
      <w:pPr>
        <w:widowControl w:val="0"/>
        <w:autoSpaceDE w:val="0"/>
        <w:autoSpaceDN w:val="0"/>
        <w:adjustRightInd w:val="0"/>
        <w:spacing w:line="360" w:lineRule="auto"/>
        <w:ind w:right="-30"/>
        <w:jc w:val="right"/>
        <w:rPr>
          <w:rFonts w:ascii="Arial" w:hAnsi="Arial" w:cs="Arial"/>
          <w:sz w:val="20"/>
          <w:szCs w:val="20"/>
        </w:rPr>
      </w:pPr>
      <w:r>
        <w:rPr>
          <w:rFonts w:ascii="Arial" w:hAnsi="Arial" w:cs="Arial"/>
          <w:sz w:val="20"/>
          <w:szCs w:val="20"/>
        </w:rPr>
        <w:t>Botucatu, data da última assinatura eletrônica.</w:t>
      </w:r>
    </w:p>
    <w:p w14:paraId="2EB09F23" w14:textId="13E13ED8" w:rsidR="00410850" w:rsidRDefault="00410850" w:rsidP="00410850">
      <w:pPr>
        <w:rPr>
          <w:rFonts w:ascii="Arial" w:hAnsi="Arial" w:cs="Arial"/>
          <w:sz w:val="20"/>
          <w:szCs w:val="20"/>
        </w:rPr>
      </w:pPr>
      <w:r w:rsidRPr="00410850">
        <w:rPr>
          <w:rFonts w:ascii="Arial" w:hAnsi="Arial" w:cs="Arial"/>
          <w:sz w:val="20"/>
          <w:szCs w:val="20"/>
        </w:rPr>
        <w:t>PELO ÓRGÃO GERENCIADOR:</w:t>
      </w:r>
    </w:p>
    <w:p w14:paraId="4C7E8960" w14:textId="77777777" w:rsidR="00410850" w:rsidRDefault="00410850" w:rsidP="00410850">
      <w:pPr>
        <w:rPr>
          <w:rFonts w:ascii="Arial" w:hAnsi="Arial" w:cs="Arial"/>
          <w:sz w:val="20"/>
          <w:szCs w:val="20"/>
        </w:rPr>
      </w:pPr>
    </w:p>
    <w:p w14:paraId="053FF25A" w14:textId="77777777" w:rsidR="00410850" w:rsidRPr="00410850" w:rsidRDefault="00410850" w:rsidP="00410850">
      <w:pPr>
        <w:rPr>
          <w:rFonts w:ascii="Arial" w:hAnsi="Arial" w:cs="Arial"/>
          <w:sz w:val="20"/>
          <w:szCs w:val="20"/>
        </w:rPr>
      </w:pPr>
    </w:p>
    <w:p w14:paraId="48D5C2FA" w14:textId="77777777" w:rsidR="00410850" w:rsidRPr="00410850" w:rsidRDefault="00410850" w:rsidP="006F683C">
      <w:pPr>
        <w:spacing w:after="0"/>
        <w:jc w:val="center"/>
        <w:rPr>
          <w:rFonts w:ascii="Arial" w:hAnsi="Arial" w:cs="Arial"/>
          <w:sz w:val="20"/>
          <w:szCs w:val="20"/>
        </w:rPr>
      </w:pPr>
      <w:r w:rsidRPr="00410850">
        <w:rPr>
          <w:rFonts w:ascii="Arial" w:hAnsi="Arial" w:cs="Arial"/>
          <w:sz w:val="20"/>
          <w:szCs w:val="20"/>
        </w:rPr>
        <w:t>_________________________________</w:t>
      </w:r>
    </w:p>
    <w:p w14:paraId="4BA5D2AD" w14:textId="77777777" w:rsidR="00410850" w:rsidRPr="00410850" w:rsidRDefault="00410850" w:rsidP="006F683C">
      <w:pPr>
        <w:spacing w:after="0"/>
        <w:jc w:val="center"/>
        <w:rPr>
          <w:rFonts w:ascii="Arial" w:hAnsi="Arial" w:cs="Arial"/>
          <w:sz w:val="20"/>
          <w:szCs w:val="20"/>
        </w:rPr>
      </w:pPr>
      <w:r w:rsidRPr="00410850">
        <w:rPr>
          <w:rFonts w:ascii="Arial" w:hAnsi="Arial" w:cs="Arial"/>
          <w:sz w:val="20"/>
          <w:szCs w:val="20"/>
        </w:rPr>
        <w:lastRenderedPageBreak/>
        <w:t>PROF. DR. MÁRIO DE BENI ARRIGONI</w:t>
      </w:r>
    </w:p>
    <w:p w14:paraId="3390193B" w14:textId="77777777" w:rsidR="00410850" w:rsidRPr="00410850" w:rsidRDefault="00410850" w:rsidP="006F683C">
      <w:pPr>
        <w:spacing w:after="0"/>
        <w:jc w:val="center"/>
        <w:rPr>
          <w:rFonts w:ascii="Arial" w:hAnsi="Arial" w:cs="Arial"/>
          <w:sz w:val="20"/>
          <w:szCs w:val="20"/>
        </w:rPr>
      </w:pPr>
      <w:r w:rsidRPr="00410850">
        <w:rPr>
          <w:rFonts w:ascii="Arial" w:hAnsi="Arial" w:cs="Arial"/>
          <w:sz w:val="20"/>
          <w:szCs w:val="20"/>
        </w:rPr>
        <w:t>CPF: 050.871.678-02</w:t>
      </w:r>
    </w:p>
    <w:p w14:paraId="3A24B2DE" w14:textId="77777777" w:rsidR="00410850" w:rsidRPr="00410850" w:rsidRDefault="00410850" w:rsidP="006F683C">
      <w:pPr>
        <w:spacing w:after="0"/>
        <w:jc w:val="center"/>
        <w:rPr>
          <w:rFonts w:ascii="Arial" w:hAnsi="Arial" w:cs="Arial"/>
          <w:sz w:val="20"/>
          <w:szCs w:val="20"/>
        </w:rPr>
      </w:pPr>
      <w:r w:rsidRPr="00410850">
        <w:rPr>
          <w:rFonts w:ascii="Arial" w:hAnsi="Arial" w:cs="Arial"/>
          <w:sz w:val="20"/>
          <w:szCs w:val="20"/>
        </w:rPr>
        <w:t>DIRETOR DA FMVZ</w:t>
      </w:r>
    </w:p>
    <w:p w14:paraId="099DF03C" w14:textId="77777777" w:rsidR="006F683C" w:rsidRDefault="006F683C" w:rsidP="00410850">
      <w:pPr>
        <w:rPr>
          <w:rFonts w:ascii="Arial" w:hAnsi="Arial" w:cs="Arial"/>
          <w:sz w:val="20"/>
          <w:szCs w:val="20"/>
        </w:rPr>
      </w:pPr>
    </w:p>
    <w:p w14:paraId="64304C6A" w14:textId="77777777" w:rsidR="006F683C" w:rsidRDefault="006F683C" w:rsidP="00410850">
      <w:pPr>
        <w:rPr>
          <w:rFonts w:ascii="Arial" w:hAnsi="Arial" w:cs="Arial"/>
          <w:sz w:val="20"/>
          <w:szCs w:val="20"/>
        </w:rPr>
      </w:pPr>
    </w:p>
    <w:p w14:paraId="2CEEBE99" w14:textId="0B15F3A2" w:rsidR="00410850" w:rsidRPr="00410850" w:rsidRDefault="00410850" w:rsidP="00410850">
      <w:pPr>
        <w:rPr>
          <w:rFonts w:ascii="Arial" w:hAnsi="Arial" w:cs="Arial"/>
          <w:sz w:val="20"/>
          <w:szCs w:val="20"/>
        </w:rPr>
      </w:pPr>
      <w:r w:rsidRPr="00410850">
        <w:rPr>
          <w:rFonts w:ascii="Arial" w:hAnsi="Arial" w:cs="Arial"/>
          <w:sz w:val="20"/>
          <w:szCs w:val="20"/>
        </w:rPr>
        <w:t>PELA DETENTORA:</w:t>
      </w:r>
    </w:p>
    <w:p w14:paraId="322E473D" w14:textId="77777777" w:rsidR="00410850" w:rsidRDefault="00410850" w:rsidP="00410850">
      <w:pPr>
        <w:jc w:val="center"/>
        <w:rPr>
          <w:rFonts w:ascii="Arial" w:hAnsi="Arial" w:cs="Arial"/>
          <w:sz w:val="20"/>
          <w:szCs w:val="20"/>
        </w:rPr>
      </w:pPr>
    </w:p>
    <w:p w14:paraId="3C4E7B67" w14:textId="77777777" w:rsidR="00410850" w:rsidRDefault="00410850" w:rsidP="00410850">
      <w:pPr>
        <w:jc w:val="center"/>
        <w:rPr>
          <w:rFonts w:ascii="Arial" w:hAnsi="Arial" w:cs="Arial"/>
          <w:sz w:val="20"/>
          <w:szCs w:val="20"/>
        </w:rPr>
      </w:pPr>
    </w:p>
    <w:p w14:paraId="5E12C627" w14:textId="346FB3B8" w:rsidR="00410850" w:rsidRPr="00410850" w:rsidRDefault="00410850" w:rsidP="00A90FFC">
      <w:pPr>
        <w:spacing w:after="0"/>
        <w:jc w:val="center"/>
        <w:rPr>
          <w:rFonts w:ascii="Arial" w:hAnsi="Arial" w:cs="Arial"/>
          <w:sz w:val="20"/>
          <w:szCs w:val="20"/>
        </w:rPr>
      </w:pPr>
      <w:r w:rsidRPr="00410850">
        <w:rPr>
          <w:rFonts w:ascii="Arial" w:hAnsi="Arial" w:cs="Arial"/>
          <w:sz w:val="20"/>
          <w:szCs w:val="20"/>
        </w:rPr>
        <w:t>_________________________________</w:t>
      </w:r>
    </w:p>
    <w:p w14:paraId="2054E122" w14:textId="678BA2BE" w:rsidR="00B2023F" w:rsidRPr="00374F0E" w:rsidRDefault="00854E02" w:rsidP="006F683C">
      <w:pPr>
        <w:spacing w:after="0"/>
        <w:rPr>
          <w:color w:val="EE0000"/>
        </w:rPr>
      </w:pPr>
      <w:r w:rsidRPr="00374F0E">
        <w:rPr>
          <w:color w:val="EE0000"/>
        </w:rPr>
        <w:t xml:space="preserve">                                                             MILTON ANDRÉ DE BARROS </w:t>
      </w:r>
    </w:p>
    <w:p w14:paraId="62307704" w14:textId="400AF7D1" w:rsidR="00854E02" w:rsidRPr="00374F0E" w:rsidRDefault="006F683C" w:rsidP="006F683C">
      <w:pPr>
        <w:spacing w:after="0"/>
        <w:rPr>
          <w:color w:val="EE0000"/>
        </w:rPr>
      </w:pPr>
      <w:r w:rsidRPr="00374F0E">
        <w:rPr>
          <w:color w:val="EE0000"/>
        </w:rPr>
        <w:t xml:space="preserve">                                                                      </w:t>
      </w:r>
      <w:r w:rsidR="00854E02" w:rsidRPr="00374F0E">
        <w:rPr>
          <w:color w:val="EE0000"/>
        </w:rPr>
        <w:t xml:space="preserve">CPF: </w:t>
      </w:r>
      <w:r w:rsidRPr="00374F0E">
        <w:rPr>
          <w:color w:val="EE0000"/>
        </w:rPr>
        <w:t>312.021.818-99</w:t>
      </w:r>
    </w:p>
    <w:p w14:paraId="3AC49815" w14:textId="3C46D812" w:rsidR="006F683C" w:rsidRPr="00374F0E" w:rsidRDefault="006F683C" w:rsidP="006F683C">
      <w:pPr>
        <w:spacing w:after="0"/>
        <w:rPr>
          <w:color w:val="EE0000"/>
        </w:rPr>
      </w:pPr>
      <w:r w:rsidRPr="00374F0E">
        <w:rPr>
          <w:color w:val="EE0000"/>
        </w:rPr>
        <w:t xml:space="preserve">                                                                                   SÓCIO </w:t>
      </w:r>
    </w:p>
    <w:p w14:paraId="0507AAD5" w14:textId="77777777" w:rsidR="00B2023F" w:rsidRDefault="00B2023F" w:rsidP="00410850"/>
    <w:p w14:paraId="714C7B86" w14:textId="734DA6DF" w:rsidR="00410850" w:rsidRDefault="00410850" w:rsidP="00410850">
      <w:r>
        <w:t>TESTEMUNHAS:</w:t>
      </w:r>
    </w:p>
    <w:p w14:paraId="10A81098" w14:textId="77777777" w:rsidR="00410850" w:rsidRDefault="00410850" w:rsidP="00410850"/>
    <w:p w14:paraId="5618DBBC" w14:textId="77777777" w:rsidR="00410850" w:rsidRDefault="00410850" w:rsidP="00410850"/>
    <w:tbl>
      <w:tblPr>
        <w:tblStyle w:val="Tabelacomgrade"/>
        <w:tblpPr w:leftFromText="141" w:rightFromText="141" w:vertAnchor="text" w:horzAnchor="margin" w:tblpXSpec="right" w:tblpY="44"/>
        <w:tblW w:w="0" w:type="auto"/>
        <w:tblLook w:val="04A0" w:firstRow="1" w:lastRow="0" w:firstColumn="1" w:lastColumn="0" w:noHBand="0" w:noVBand="1"/>
      </w:tblPr>
      <w:tblGrid>
        <w:gridCol w:w="3667"/>
      </w:tblGrid>
      <w:tr w:rsidR="00410850" w14:paraId="4A6F6170" w14:textId="77777777" w:rsidTr="00410850">
        <w:trPr>
          <w:trHeight w:val="1871"/>
        </w:trPr>
        <w:tc>
          <w:tcPr>
            <w:tcW w:w="3667" w:type="dxa"/>
            <w:tcBorders>
              <w:top w:val="nil"/>
              <w:left w:val="nil"/>
              <w:bottom w:val="nil"/>
              <w:right w:val="nil"/>
            </w:tcBorders>
          </w:tcPr>
          <w:p w14:paraId="5E77D7A2" w14:textId="77777777" w:rsidR="00410850" w:rsidRDefault="00410850" w:rsidP="00410850">
            <w:pPr>
              <w:spacing w:line="240" w:lineRule="auto"/>
            </w:pPr>
            <w:r>
              <w:t xml:space="preserve">         </w:t>
            </w:r>
          </w:p>
          <w:p w14:paraId="36985744" w14:textId="77777777" w:rsidR="00410850" w:rsidRDefault="00410850" w:rsidP="00410850">
            <w:pPr>
              <w:spacing w:line="240" w:lineRule="auto"/>
            </w:pPr>
          </w:p>
          <w:p w14:paraId="0D589762" w14:textId="77777777" w:rsidR="00410850" w:rsidRDefault="00410850" w:rsidP="00410850">
            <w:pPr>
              <w:spacing w:after="0" w:line="240" w:lineRule="auto"/>
            </w:pPr>
            <w:r>
              <w:t xml:space="preserve">________________________________  </w:t>
            </w:r>
          </w:p>
          <w:p w14:paraId="1AB44F9D" w14:textId="7B966826" w:rsidR="00410850" w:rsidRPr="00EE3FA2" w:rsidRDefault="00410850" w:rsidP="00410850">
            <w:pPr>
              <w:spacing w:after="0" w:line="240" w:lineRule="auto"/>
            </w:pPr>
            <w:r>
              <w:t xml:space="preserve">      </w:t>
            </w:r>
            <w:r w:rsidR="00374F0E">
              <w:t>FABIANO APARECIDO DOS SANTOS</w:t>
            </w:r>
            <w:r w:rsidRPr="00EE3FA2">
              <w:t xml:space="preserve"> </w:t>
            </w:r>
          </w:p>
          <w:p w14:paraId="125EF8AE" w14:textId="54266F71" w:rsidR="00410850" w:rsidRDefault="00410850" w:rsidP="00410850">
            <w:pPr>
              <w:spacing w:after="0" w:line="240" w:lineRule="auto"/>
            </w:pPr>
            <w:r>
              <w:t>Supervisor da Seção Técnica de Materiais</w:t>
            </w:r>
          </w:p>
          <w:p w14:paraId="6076D8FE" w14:textId="142577E2" w:rsidR="00410850" w:rsidRDefault="00410850" w:rsidP="00410850">
            <w:pPr>
              <w:spacing w:after="0" w:line="240" w:lineRule="auto"/>
              <w:jc w:val="center"/>
            </w:pPr>
            <w:r>
              <w:t xml:space="preserve">CPF: </w:t>
            </w:r>
            <w:r w:rsidR="00374F0E">
              <w:rPr>
                <w:rFonts w:ascii="Arial" w:hAnsi="Arial" w:cs="Arial"/>
                <w:sz w:val="18"/>
                <w:szCs w:val="18"/>
              </w:rPr>
              <w:t>226.959.188-79</w:t>
            </w:r>
          </w:p>
        </w:tc>
      </w:tr>
    </w:tbl>
    <w:p w14:paraId="72553D19" w14:textId="77777777" w:rsidR="00410850" w:rsidRDefault="00410850" w:rsidP="00410850">
      <w:pPr>
        <w:spacing w:line="240" w:lineRule="auto"/>
        <w:ind w:left="-284"/>
      </w:pPr>
    </w:p>
    <w:p w14:paraId="3021D834" w14:textId="77777777" w:rsidR="00410850" w:rsidRDefault="00410850" w:rsidP="00410850">
      <w:pPr>
        <w:spacing w:line="240" w:lineRule="auto"/>
        <w:ind w:left="-284"/>
      </w:pPr>
    </w:p>
    <w:p w14:paraId="0DE45F6C" w14:textId="045A4ED8" w:rsidR="00410850" w:rsidRPr="00410850" w:rsidRDefault="00410850" w:rsidP="00410850">
      <w:pPr>
        <w:spacing w:after="0" w:line="240" w:lineRule="auto"/>
        <w:ind w:left="-284"/>
        <w:jc w:val="center"/>
      </w:pPr>
      <w:r>
        <w:t xml:space="preserve">________________________________                                                     </w:t>
      </w:r>
      <w:r w:rsidRPr="003852E6">
        <w:rPr>
          <w:sz w:val="20"/>
          <w:szCs w:val="20"/>
        </w:rPr>
        <w:t>MAYCON SCHMIDT DE LISBOA</w:t>
      </w:r>
    </w:p>
    <w:p w14:paraId="0D2D7BF8" w14:textId="25D5BD5B" w:rsidR="00410850" w:rsidRPr="003852E6" w:rsidRDefault="00410850" w:rsidP="00410850">
      <w:pPr>
        <w:spacing w:after="0" w:line="240" w:lineRule="auto"/>
        <w:rPr>
          <w:sz w:val="20"/>
          <w:szCs w:val="20"/>
        </w:rPr>
      </w:pPr>
      <w:r w:rsidRPr="003852E6">
        <w:rPr>
          <w:sz w:val="20"/>
          <w:szCs w:val="20"/>
        </w:rPr>
        <w:t xml:space="preserve">                </w:t>
      </w:r>
      <w:r w:rsidR="003852E6">
        <w:rPr>
          <w:sz w:val="20"/>
          <w:szCs w:val="20"/>
        </w:rPr>
        <w:t xml:space="preserve">   </w:t>
      </w:r>
      <w:r w:rsidRPr="003852E6">
        <w:rPr>
          <w:sz w:val="20"/>
          <w:szCs w:val="20"/>
        </w:rPr>
        <w:t xml:space="preserve"> Diretor Técnico Administrativo</w:t>
      </w:r>
    </w:p>
    <w:p w14:paraId="24F98262" w14:textId="0F75C1BB" w:rsidR="00410850" w:rsidRPr="00410850" w:rsidRDefault="00410850" w:rsidP="00410850">
      <w:pPr>
        <w:spacing w:after="0" w:line="240" w:lineRule="auto"/>
      </w:pPr>
      <w:r w:rsidRPr="00410850">
        <w:t xml:space="preserve">                          CPF: 275.549.388-78</w:t>
      </w:r>
    </w:p>
    <w:sectPr w:rsidR="00410850" w:rsidRPr="00410850">
      <w:headerReference w:type="default" r:id="rId27"/>
      <w:footerReference w:type="default" r:id="rId28"/>
      <w:headerReference w:type="first" r:id="rId29"/>
      <w:footerReference w:type="first" r:id="rId30"/>
      <w:pgSz w:w="11906" w:h="16838"/>
      <w:pgMar w:top="2269" w:right="1701" w:bottom="1560" w:left="1701" w:header="1701" w:footer="11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8C4A5" w14:textId="77777777" w:rsidR="0014271C" w:rsidRDefault="0014271C">
      <w:pPr>
        <w:spacing w:after="0" w:line="240" w:lineRule="auto"/>
      </w:pPr>
      <w:r>
        <w:separator/>
      </w:r>
    </w:p>
  </w:endnote>
  <w:endnote w:type="continuationSeparator" w:id="0">
    <w:p w14:paraId="20772E38" w14:textId="77777777" w:rsidR="0014271C" w:rsidRDefault="00142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15DB2A9-E2C9-4B39-BFE7-F5A6550BAB60}"/>
    <w:embedBold r:id="rId2" w:fontKey="{FB46DCE4-9170-4A3C-A7A9-03B0903243A3}"/>
    <w:embedItalic r:id="rId3" w:fontKey="{07CE8407-FE5F-4B90-AD05-2824469EBE6A}"/>
  </w:font>
  <w:font w:name="Tahoma">
    <w:panose1 w:val="020B0604030504040204"/>
    <w:charset w:val="00"/>
    <w:family w:val="swiss"/>
    <w:pitch w:val="variable"/>
    <w:sig w:usb0="E1002EFF" w:usb1="C000605B" w:usb2="00000029" w:usb3="00000000" w:csb0="000101FF" w:csb1="00000000"/>
    <w:embedRegular r:id="rId4" w:fontKey="{7E6D76FA-529C-4156-AEBE-9E61C19A8378}"/>
  </w:font>
  <w:font w:name="Georgia">
    <w:panose1 w:val="02040502050405020303"/>
    <w:charset w:val="00"/>
    <w:family w:val="roman"/>
    <w:pitch w:val="variable"/>
    <w:sig w:usb0="00000287" w:usb1="00000000" w:usb2="00000000" w:usb3="00000000" w:csb0="0000009F" w:csb1="00000000"/>
    <w:embedItalic r:id="rId5" w:fontKey="{2AB5BF76-4051-4C2E-84BE-1E9239DD23E8}"/>
  </w:font>
  <w:font w:name="DengXian">
    <w:panose1 w:val="02010600030101010101"/>
    <w:charset w:val="86"/>
    <w:family w:val="auto"/>
    <w:pitch w:val="variable"/>
    <w:sig w:usb0="A00002BF" w:usb1="38CF7CFA" w:usb2="00000016" w:usb3="00000000" w:csb0="0004000F" w:csb1="00000000"/>
    <w:embedRegular r:id="rId6" w:subsetted="1" w:fontKey="{0CAF94DD-A315-4FCE-A0D0-B64461364843}"/>
    <w:embedBold r:id="rId7" w:subsetted="1" w:fontKey="{8582AAA0-DD69-40F6-9B78-2BAE4CD2D957}"/>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8" w:fontKey="{5E3C7288-3462-47CB-A5B0-757CB484D251}"/>
  </w:font>
  <w:font w:name="Cambria">
    <w:panose1 w:val="02040503050406030204"/>
    <w:charset w:val="00"/>
    <w:family w:val="roman"/>
    <w:pitch w:val="variable"/>
    <w:sig w:usb0="E00006FF" w:usb1="420024FF" w:usb2="02000000" w:usb3="00000000" w:csb0="0000019F" w:csb1="00000000"/>
    <w:embedRegular r:id="rId9" w:fontKey="{45EB6BF6-D2D9-4EF7-9FFC-868D3BEFCF0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6C3E5" w14:textId="24ED8EB2" w:rsidR="000B3C06" w:rsidRDefault="00BD75B3">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114300" distR="114300" simplePos="0" relativeHeight="251667456" behindDoc="0" locked="0" layoutInCell="1" hidden="0" allowOverlap="1" wp14:anchorId="09CBEC5C" wp14:editId="7C87A7C8">
              <wp:simplePos x="0" y="0"/>
              <wp:positionH relativeFrom="column">
                <wp:posOffset>777240</wp:posOffset>
              </wp:positionH>
              <wp:positionV relativeFrom="paragraph">
                <wp:posOffset>19050</wp:posOffset>
              </wp:positionV>
              <wp:extent cx="3898265" cy="847725"/>
              <wp:effectExtent l="0" t="0" r="0" b="9525"/>
              <wp:wrapNone/>
              <wp:docPr id="1949564691" name="Forma Livre: Forma 1949564691"/>
              <wp:cNvGraphicFramePr/>
              <a:graphic xmlns:a="http://schemas.openxmlformats.org/drawingml/2006/main">
                <a:graphicData uri="http://schemas.microsoft.com/office/word/2010/wordprocessingShape">
                  <wps:wsp>
                    <wps:cNvSpPr/>
                    <wps:spPr>
                      <a:xfrm>
                        <a:off x="0" y="0"/>
                        <a:ext cx="3898265" cy="847725"/>
                      </a:xfrm>
                      <a:custGeom>
                        <a:avLst/>
                        <a:gdLst/>
                        <a:ahLst/>
                        <a:cxnLst/>
                        <a:rect l="l" t="t" r="r" b="b"/>
                        <a:pathLst>
                          <a:path w="5943600" h="681355" extrusionOk="0">
                            <a:moveTo>
                              <a:pt x="0" y="0"/>
                            </a:moveTo>
                            <a:lnTo>
                              <a:pt x="0" y="681355"/>
                            </a:lnTo>
                            <a:lnTo>
                              <a:pt x="5943600" y="681355"/>
                            </a:lnTo>
                            <a:lnTo>
                              <a:pt x="5943600" y="0"/>
                            </a:lnTo>
                            <a:close/>
                          </a:path>
                        </a:pathLst>
                      </a:custGeom>
                      <a:noFill/>
                      <a:ln>
                        <a:noFill/>
                      </a:ln>
                    </wps:spPr>
                    <wps:txbx>
                      <w:txbxContent>
                        <w:p w14:paraId="49EFA0EF" w14:textId="77777777" w:rsidR="00BD75B3" w:rsidRDefault="00BD75B3" w:rsidP="00BD75B3">
                          <w:pPr>
                            <w:pStyle w:val="Rodap"/>
                            <w:jc w:val="center"/>
                            <w:rPr>
                              <w:rFonts w:ascii="DengXian" w:eastAsia="DengXian" w:hAnsi="DengXian" w:cs="Arial"/>
                              <w:b/>
                              <w:sz w:val="16"/>
                              <w:szCs w:val="16"/>
                            </w:rPr>
                          </w:pPr>
                          <w:r>
                            <w:rPr>
                              <w:rFonts w:ascii="DengXian" w:eastAsia="DengXian" w:hAnsi="DengXian" w:cs="Arial"/>
                              <w:b/>
                              <w:sz w:val="16"/>
                              <w:szCs w:val="16"/>
                            </w:rPr>
                            <w:t>FMVZ/UNESP - Faculdade de Medicina Veterinária e Zootecnia</w:t>
                          </w:r>
                        </w:p>
                        <w:p w14:paraId="08FDDFCC" w14:textId="64683944" w:rsidR="00BD75B3" w:rsidRDefault="00BD75B3" w:rsidP="00BD75B3">
                          <w:pPr>
                            <w:pStyle w:val="Rodap"/>
                            <w:jc w:val="center"/>
                            <w:rPr>
                              <w:rFonts w:ascii="DengXian" w:eastAsia="DengXian" w:hAnsi="DengXian" w:cs="Arial"/>
                              <w:b/>
                              <w:sz w:val="16"/>
                              <w:szCs w:val="16"/>
                            </w:rPr>
                          </w:pPr>
                          <w:r>
                            <w:rPr>
                              <w:rFonts w:ascii="DengXian" w:eastAsia="DengXian" w:hAnsi="DengXian" w:cs="Arial"/>
                              <w:b/>
                              <w:sz w:val="16"/>
                              <w:szCs w:val="16"/>
                            </w:rPr>
                            <w:t xml:space="preserve">Seção Técnica de </w:t>
                          </w:r>
                          <w:r w:rsidR="0047249C">
                            <w:rPr>
                              <w:rFonts w:ascii="DengXian" w:eastAsia="DengXian" w:hAnsi="DengXian" w:cs="Arial"/>
                              <w:b/>
                              <w:sz w:val="16"/>
                              <w:szCs w:val="16"/>
                            </w:rPr>
                            <w:t>Materiais</w:t>
                          </w:r>
                        </w:p>
                        <w:p w14:paraId="0E7F48F7" w14:textId="2153CF09" w:rsidR="00BD75B3" w:rsidRDefault="00BD75B3" w:rsidP="00BD75B3">
                          <w:pPr>
                            <w:pStyle w:val="Rodap"/>
                            <w:jc w:val="center"/>
                            <w:rPr>
                              <w:rFonts w:ascii="DengXian" w:eastAsia="DengXian" w:hAnsi="DengXian" w:cs="Arial"/>
                              <w:sz w:val="16"/>
                              <w:szCs w:val="16"/>
                            </w:rPr>
                          </w:pPr>
                          <w:r>
                            <w:rPr>
                              <w:rFonts w:ascii="DengXian" w:eastAsia="DengXian" w:hAnsi="DengXian" w:cs="Arial"/>
                              <w:sz w:val="16"/>
                              <w:szCs w:val="16"/>
                            </w:rPr>
                            <w:t>Rua: Prof. Doutor Walter Maurício Correa s/n</w:t>
                          </w:r>
                          <w:r>
                            <w:rPr>
                              <w:rFonts w:ascii="DengXian" w:eastAsia="DengXian" w:hAnsi="DengXian" w:cs="Arial"/>
                              <w:sz w:val="16"/>
                              <w:szCs w:val="16"/>
                            </w:rPr>
                            <w:br/>
                            <w:t>Câmpus de Botucatu - 18618-681 - Botucatu, SP</w:t>
                          </w:r>
                          <w:r>
                            <w:rPr>
                              <w:rFonts w:ascii="DengXian" w:eastAsia="DengXian" w:hAnsi="DengXian"/>
                              <w:noProof/>
                            </w:rPr>
                            <w:t xml:space="preserve"> </w:t>
                          </w:r>
                        </w:p>
                        <w:p w14:paraId="441ED384" w14:textId="61D4AF64" w:rsidR="00BD75B3" w:rsidRDefault="00BD75B3" w:rsidP="00BD75B3">
                          <w:pPr>
                            <w:pStyle w:val="Rodap"/>
                            <w:jc w:val="center"/>
                            <w:rPr>
                              <w:rFonts w:ascii="DengXian" w:eastAsia="DengXian" w:hAnsi="DengXian" w:cs="Arial"/>
                              <w:sz w:val="16"/>
                              <w:szCs w:val="16"/>
                            </w:rPr>
                          </w:pPr>
                          <w:r>
                            <w:rPr>
                              <w:rFonts w:ascii="DengXian" w:eastAsia="DengXian" w:hAnsi="DengXian" w:cs="Arial"/>
                              <w:sz w:val="16"/>
                              <w:szCs w:val="16"/>
                            </w:rPr>
                            <w:sym w:font="Wingdings" w:char="F028"/>
                          </w:r>
                          <w:r>
                            <w:rPr>
                              <w:rFonts w:ascii="DengXian" w:eastAsia="DengXian" w:hAnsi="DengXian" w:cs="Arial"/>
                              <w:sz w:val="16"/>
                              <w:szCs w:val="16"/>
                            </w:rPr>
                            <w:t>: (14) 3880-2</w:t>
                          </w:r>
                          <w:r w:rsidR="0047249C">
                            <w:rPr>
                              <w:rFonts w:ascii="DengXian" w:eastAsia="DengXian" w:hAnsi="DengXian" w:cs="Arial"/>
                              <w:sz w:val="16"/>
                              <w:szCs w:val="16"/>
                            </w:rPr>
                            <w:t>1</w:t>
                          </w:r>
                          <w:r w:rsidR="00F676D8">
                            <w:rPr>
                              <w:rFonts w:ascii="DengXian" w:eastAsia="DengXian" w:hAnsi="DengXian" w:cs="Arial"/>
                              <w:sz w:val="16"/>
                              <w:szCs w:val="16"/>
                            </w:rPr>
                            <w:t>9</w:t>
                          </w:r>
                          <w:r w:rsidR="0047249C">
                            <w:rPr>
                              <w:rFonts w:ascii="DengXian" w:eastAsia="DengXian" w:hAnsi="DengXian" w:cs="Arial"/>
                              <w:sz w:val="16"/>
                              <w:szCs w:val="16"/>
                            </w:rPr>
                            <w:t>0</w:t>
                          </w:r>
                          <w:r>
                            <w:rPr>
                              <w:rFonts w:ascii="DengXian" w:eastAsia="DengXian" w:hAnsi="DengXian" w:cs="Arial"/>
                              <w:sz w:val="16"/>
                              <w:szCs w:val="16"/>
                            </w:rPr>
                            <w:t xml:space="preserve"> – </w:t>
                          </w:r>
                          <w:r>
                            <w:rPr>
                              <w:rFonts w:ascii="DengXian" w:eastAsia="DengXian" w:hAnsi="DengXian" w:cs="Arial"/>
                              <w:sz w:val="16"/>
                              <w:szCs w:val="16"/>
                            </w:rPr>
                            <w:sym w:font="Wingdings" w:char="F02A"/>
                          </w:r>
                          <w:r>
                            <w:rPr>
                              <w:rFonts w:ascii="DengXian" w:eastAsia="DengXian" w:hAnsi="DengXian" w:cs="Arial"/>
                              <w:sz w:val="16"/>
                              <w:szCs w:val="16"/>
                            </w:rPr>
                            <w:t xml:space="preserve"> </w:t>
                          </w:r>
                          <w:r w:rsidR="0047249C">
                            <w:rPr>
                              <w:rFonts w:ascii="DengXian" w:eastAsia="DengXian" w:hAnsi="DengXian" w:cs="Arial"/>
                              <w:sz w:val="16"/>
                              <w:szCs w:val="16"/>
                            </w:rPr>
                            <w:t>materiais</w:t>
                          </w:r>
                          <w:r>
                            <w:rPr>
                              <w:rFonts w:ascii="DengXian" w:eastAsia="DengXian" w:hAnsi="DengXian" w:cs="Arial"/>
                              <w:sz w:val="16"/>
                              <w:szCs w:val="16"/>
                            </w:rPr>
                            <w:t xml:space="preserve">.fmvz@unesp.br – </w:t>
                          </w:r>
                          <w:r>
                            <w:rPr>
                              <w:rFonts w:ascii="DengXian" w:eastAsia="DengXian" w:hAnsi="DengXian" w:cs="Arial"/>
                              <w:sz w:val="16"/>
                              <w:szCs w:val="16"/>
                            </w:rPr>
                            <w:sym w:font="Wingdings" w:char="F03A"/>
                          </w:r>
                          <w:r>
                            <w:rPr>
                              <w:rFonts w:ascii="DengXian" w:eastAsia="DengXian" w:hAnsi="DengXian" w:cs="Arial"/>
                              <w:sz w:val="16"/>
                              <w:szCs w:val="16"/>
                            </w:rPr>
                            <w:t xml:space="preserve"> www.fmvz.unesp.br</w:t>
                          </w:r>
                        </w:p>
                        <w:p w14:paraId="59EE5A7A" w14:textId="7AE54E09" w:rsidR="000B3C06" w:rsidRDefault="000B3C06">
                          <w:pPr>
                            <w:spacing w:line="275" w:lineRule="auto"/>
                            <w:jc w:val="center"/>
                            <w:textDirection w:val="btLr"/>
                          </w:pPr>
                        </w:p>
                      </w:txbxContent>
                    </wps:txbx>
                    <wps:bodyPr spcFirstLastPara="1" wrap="square" lIns="88900" tIns="38100" rIns="88900" bIns="38100" anchor="t" anchorCtr="0">
                      <a:noAutofit/>
                    </wps:bodyPr>
                  </wps:wsp>
                </a:graphicData>
              </a:graphic>
              <wp14:sizeRelH relativeFrom="margin">
                <wp14:pctWidth>0</wp14:pctWidth>
              </wp14:sizeRelH>
              <wp14:sizeRelV relativeFrom="margin">
                <wp14:pctHeight>0</wp14:pctHeight>
              </wp14:sizeRelV>
            </wp:anchor>
          </w:drawing>
        </mc:Choice>
        <mc:Fallback>
          <w:pict>
            <v:shape w14:anchorId="09CBEC5C" id="Forma Livre: Forma 1949564691" o:spid="_x0000_s1027" style="position:absolute;margin-left:61.2pt;margin-top:1.5pt;width:306.95pt;height:6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5943600,6813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8ujHwIAAIwEAAAOAAAAZHJzL2Uyb0RvYy54bWysVMGO2jAQvVfqP1i+lwRY2IAIq6orqkqr&#10;LtLufoBxHGLV8bi2Q8Lfd+yQgHZPrXpJZjzjl/fe2Nk8dLUiJ2GdBJ3T6SSlRGgOhdTHnL697r5k&#10;lDjPdMEUaJHTs3D0Yfv506Y1azGDClQhLEEQ7datyWnlvVknieOVqJmbgBEaiyXYmnlM7TEpLGsR&#10;vVbJLE2XSQu2MBa4cA5XH/si3Ub8shTcP5elE56onCI3H582Pg/hmWw3bH20zFSSX2iwf2BRM6nx&#10;oyPUI/OMNFZ+gKolt+Cg9BMOdQJlKbmIGlDNNH2n5qViRkQtaI4zo03u/8Hyn6cXs7doQ2vc2mEY&#10;VHSlrcMb+ZEumnUezRKdJxwX59kqmy0XlHCsZXf397NFcDO57uaN898FRCR2enK+N7sYIlYNEe/0&#10;EFocWRiWisPylOCwLCU4rEM/LMN82BfohZC0OV2s7ubLFMdb5XSZTecLZIU0bRNO5fOvQD2013AS&#10;rxA3+neykPW1qvTHrgtsL3BoGN4mwo0s0I+/bI/nEDkMgFyBE/23gsbo6qgb+26d1bCTSkVrlQ7i&#10;xoUIiHuvkw2R7w4dkQVe1uBnWDlAcd5b4gzfSev8E3N+zyxegyklLV6NnLrfDbOCEvVD49nLslUw&#10;28dknk1DYm8rh9sK07wCHCKOsg+/ecz6iWj42ngoZTgZkWZP5ZLgkY/KL9cz3KnbPHZdfyLbPwAA&#10;AP//AwBQSwMEFAAGAAgAAAAhAFvYiCXcAAAACQEAAA8AAABkcnMvZG93bnJldi54bWxMj81OwzAQ&#10;hO9IfQdrK3FB1GkSAoQ4VYXotaiFA0c3XpIIex3FbhrenuUEx9E3mp9qMzsrJhxD70nBepWAQGq8&#10;6alV8P62u30AEaImo60nVPCNATb14qrSpfEXOuB0jK3gEAqlVtDFOJRShqZDp8PKD0jMPv3odGQ5&#10;ttKM+sLhzso0SQrpdE/c0OkBnztsvo5np+BjMnvrd4dJ3uSPryE2+/zFo1LXy3n7BCLiHP/M8Duf&#10;p0PNm07+TCYIyzpNc7YqyPgS8/usyECcGGTFHci6kv8f1D8AAAD//wMAUEsBAi0AFAAGAAgAAAAh&#10;ALaDOJL+AAAA4QEAABMAAAAAAAAAAAAAAAAAAAAAAFtDb250ZW50X1R5cGVzXS54bWxQSwECLQAU&#10;AAYACAAAACEAOP0h/9YAAACUAQAACwAAAAAAAAAAAAAAAAAvAQAAX3JlbHMvLnJlbHNQSwECLQAU&#10;AAYACAAAACEATkPLox8CAACMBAAADgAAAAAAAAAAAAAAAAAuAgAAZHJzL2Uyb0RvYy54bWxQSwEC&#10;LQAUAAYACAAAACEAW9iIJdwAAAAJAQAADwAAAAAAAAAAAAAAAAB5BAAAZHJzL2Rvd25yZXYueG1s&#10;UEsFBgAAAAAEAAQA8wAAAIIFAAAAAA==&#10;" adj="-11796480,,5400" path="m,l,681355r5943600,l5943600,,,xe" filled="f" stroked="f">
              <v:stroke joinstyle="miter"/>
              <v:formulas/>
              <v:path arrowok="t" o:extrusionok="f" o:connecttype="custom" textboxrect="0,0,5943600,681355"/>
              <v:textbox inset="7pt,3pt,7pt,3pt">
                <w:txbxContent>
                  <w:p w14:paraId="49EFA0EF" w14:textId="77777777" w:rsidR="00BD75B3" w:rsidRDefault="00BD75B3" w:rsidP="00BD75B3">
                    <w:pPr>
                      <w:pStyle w:val="Rodap"/>
                      <w:jc w:val="center"/>
                      <w:rPr>
                        <w:rFonts w:ascii="DengXian" w:eastAsia="DengXian" w:hAnsi="DengXian" w:cs="Arial"/>
                        <w:b/>
                        <w:sz w:val="16"/>
                        <w:szCs w:val="16"/>
                      </w:rPr>
                    </w:pPr>
                    <w:r>
                      <w:rPr>
                        <w:rFonts w:ascii="DengXian" w:eastAsia="DengXian" w:hAnsi="DengXian" w:cs="Arial"/>
                        <w:b/>
                        <w:sz w:val="16"/>
                        <w:szCs w:val="16"/>
                      </w:rPr>
                      <w:t>FMVZ/UNESP - Faculdade de Medicina Veterinária e Zootecnia</w:t>
                    </w:r>
                  </w:p>
                  <w:p w14:paraId="08FDDFCC" w14:textId="64683944" w:rsidR="00BD75B3" w:rsidRDefault="00BD75B3" w:rsidP="00BD75B3">
                    <w:pPr>
                      <w:pStyle w:val="Rodap"/>
                      <w:jc w:val="center"/>
                      <w:rPr>
                        <w:rFonts w:ascii="DengXian" w:eastAsia="DengXian" w:hAnsi="DengXian" w:cs="Arial"/>
                        <w:b/>
                        <w:sz w:val="16"/>
                        <w:szCs w:val="16"/>
                      </w:rPr>
                    </w:pPr>
                    <w:r>
                      <w:rPr>
                        <w:rFonts w:ascii="DengXian" w:eastAsia="DengXian" w:hAnsi="DengXian" w:cs="Arial"/>
                        <w:b/>
                        <w:sz w:val="16"/>
                        <w:szCs w:val="16"/>
                      </w:rPr>
                      <w:t xml:space="preserve">Seção Técnica de </w:t>
                    </w:r>
                    <w:r w:rsidR="0047249C">
                      <w:rPr>
                        <w:rFonts w:ascii="DengXian" w:eastAsia="DengXian" w:hAnsi="DengXian" w:cs="Arial"/>
                        <w:b/>
                        <w:sz w:val="16"/>
                        <w:szCs w:val="16"/>
                      </w:rPr>
                      <w:t>Materiais</w:t>
                    </w:r>
                  </w:p>
                  <w:p w14:paraId="0E7F48F7" w14:textId="2153CF09" w:rsidR="00BD75B3" w:rsidRDefault="00BD75B3" w:rsidP="00BD75B3">
                    <w:pPr>
                      <w:pStyle w:val="Rodap"/>
                      <w:jc w:val="center"/>
                      <w:rPr>
                        <w:rFonts w:ascii="DengXian" w:eastAsia="DengXian" w:hAnsi="DengXian" w:cs="Arial"/>
                        <w:sz w:val="16"/>
                        <w:szCs w:val="16"/>
                      </w:rPr>
                    </w:pPr>
                    <w:r>
                      <w:rPr>
                        <w:rFonts w:ascii="DengXian" w:eastAsia="DengXian" w:hAnsi="DengXian" w:cs="Arial"/>
                        <w:sz w:val="16"/>
                        <w:szCs w:val="16"/>
                      </w:rPr>
                      <w:t>Rua: Prof. Doutor Walter Maurício Correa s/n</w:t>
                    </w:r>
                    <w:r>
                      <w:rPr>
                        <w:rFonts w:ascii="DengXian" w:eastAsia="DengXian" w:hAnsi="DengXian" w:cs="Arial"/>
                        <w:sz w:val="16"/>
                        <w:szCs w:val="16"/>
                      </w:rPr>
                      <w:br/>
                      <w:t>Câmpus de Botucatu - 18618-681 - Botucatu, SP</w:t>
                    </w:r>
                    <w:r>
                      <w:rPr>
                        <w:rFonts w:ascii="DengXian" w:eastAsia="DengXian" w:hAnsi="DengXian"/>
                        <w:noProof/>
                      </w:rPr>
                      <w:t xml:space="preserve"> </w:t>
                    </w:r>
                  </w:p>
                  <w:p w14:paraId="441ED384" w14:textId="61D4AF64" w:rsidR="00BD75B3" w:rsidRDefault="00BD75B3" w:rsidP="00BD75B3">
                    <w:pPr>
                      <w:pStyle w:val="Rodap"/>
                      <w:jc w:val="center"/>
                      <w:rPr>
                        <w:rFonts w:ascii="DengXian" w:eastAsia="DengXian" w:hAnsi="DengXian" w:cs="Arial"/>
                        <w:sz w:val="16"/>
                        <w:szCs w:val="16"/>
                      </w:rPr>
                    </w:pPr>
                    <w:r>
                      <w:rPr>
                        <w:rFonts w:ascii="DengXian" w:eastAsia="DengXian" w:hAnsi="DengXian" w:cs="Arial"/>
                        <w:sz w:val="16"/>
                        <w:szCs w:val="16"/>
                      </w:rPr>
                      <w:sym w:font="Wingdings" w:char="F028"/>
                    </w:r>
                    <w:r>
                      <w:rPr>
                        <w:rFonts w:ascii="DengXian" w:eastAsia="DengXian" w:hAnsi="DengXian" w:cs="Arial"/>
                        <w:sz w:val="16"/>
                        <w:szCs w:val="16"/>
                      </w:rPr>
                      <w:t>: (14) 3880-2</w:t>
                    </w:r>
                    <w:r w:rsidR="0047249C">
                      <w:rPr>
                        <w:rFonts w:ascii="DengXian" w:eastAsia="DengXian" w:hAnsi="DengXian" w:cs="Arial"/>
                        <w:sz w:val="16"/>
                        <w:szCs w:val="16"/>
                      </w:rPr>
                      <w:t>1</w:t>
                    </w:r>
                    <w:r w:rsidR="00F676D8">
                      <w:rPr>
                        <w:rFonts w:ascii="DengXian" w:eastAsia="DengXian" w:hAnsi="DengXian" w:cs="Arial"/>
                        <w:sz w:val="16"/>
                        <w:szCs w:val="16"/>
                      </w:rPr>
                      <w:t>9</w:t>
                    </w:r>
                    <w:r w:rsidR="0047249C">
                      <w:rPr>
                        <w:rFonts w:ascii="DengXian" w:eastAsia="DengXian" w:hAnsi="DengXian" w:cs="Arial"/>
                        <w:sz w:val="16"/>
                        <w:szCs w:val="16"/>
                      </w:rPr>
                      <w:t>0</w:t>
                    </w:r>
                    <w:r>
                      <w:rPr>
                        <w:rFonts w:ascii="DengXian" w:eastAsia="DengXian" w:hAnsi="DengXian" w:cs="Arial"/>
                        <w:sz w:val="16"/>
                        <w:szCs w:val="16"/>
                      </w:rPr>
                      <w:t xml:space="preserve"> – </w:t>
                    </w:r>
                    <w:r>
                      <w:rPr>
                        <w:rFonts w:ascii="DengXian" w:eastAsia="DengXian" w:hAnsi="DengXian" w:cs="Arial"/>
                        <w:sz w:val="16"/>
                        <w:szCs w:val="16"/>
                      </w:rPr>
                      <w:sym w:font="Wingdings" w:char="F02A"/>
                    </w:r>
                    <w:r>
                      <w:rPr>
                        <w:rFonts w:ascii="DengXian" w:eastAsia="DengXian" w:hAnsi="DengXian" w:cs="Arial"/>
                        <w:sz w:val="16"/>
                        <w:szCs w:val="16"/>
                      </w:rPr>
                      <w:t xml:space="preserve"> </w:t>
                    </w:r>
                    <w:r w:rsidR="0047249C">
                      <w:rPr>
                        <w:rFonts w:ascii="DengXian" w:eastAsia="DengXian" w:hAnsi="DengXian" w:cs="Arial"/>
                        <w:sz w:val="16"/>
                        <w:szCs w:val="16"/>
                      </w:rPr>
                      <w:t>materiais</w:t>
                    </w:r>
                    <w:r>
                      <w:rPr>
                        <w:rFonts w:ascii="DengXian" w:eastAsia="DengXian" w:hAnsi="DengXian" w:cs="Arial"/>
                        <w:sz w:val="16"/>
                        <w:szCs w:val="16"/>
                      </w:rPr>
                      <w:t xml:space="preserve">.fmvz@unesp.br – </w:t>
                    </w:r>
                    <w:r>
                      <w:rPr>
                        <w:rFonts w:ascii="DengXian" w:eastAsia="DengXian" w:hAnsi="DengXian" w:cs="Arial"/>
                        <w:sz w:val="16"/>
                        <w:szCs w:val="16"/>
                      </w:rPr>
                      <w:sym w:font="Wingdings" w:char="F03A"/>
                    </w:r>
                    <w:r>
                      <w:rPr>
                        <w:rFonts w:ascii="DengXian" w:eastAsia="DengXian" w:hAnsi="DengXian" w:cs="Arial"/>
                        <w:sz w:val="16"/>
                        <w:szCs w:val="16"/>
                      </w:rPr>
                      <w:t xml:space="preserve"> www.fmvz.unesp.br</w:t>
                    </w:r>
                  </w:p>
                  <w:p w14:paraId="59EE5A7A" w14:textId="7AE54E09" w:rsidR="000B3C06" w:rsidRDefault="000B3C06">
                    <w:pPr>
                      <w:spacing w:line="275" w:lineRule="auto"/>
                      <w:jc w:val="center"/>
                      <w:textDirection w:val="btLr"/>
                    </w:pPr>
                  </w:p>
                </w:txbxContent>
              </v:textbox>
            </v:shape>
          </w:pict>
        </mc:Fallback>
      </mc:AlternateContent>
    </w:r>
    <w:r>
      <w:rPr>
        <w:noProof/>
      </w:rPr>
      <w:drawing>
        <wp:anchor distT="0" distB="0" distL="114300" distR="114300" simplePos="0" relativeHeight="251666432" behindDoc="0" locked="0" layoutInCell="1" hidden="0" allowOverlap="1" wp14:anchorId="2AFCC4A1" wp14:editId="464B1128">
          <wp:simplePos x="0" y="0"/>
          <wp:positionH relativeFrom="column">
            <wp:posOffset>-5201</wp:posOffset>
          </wp:positionH>
          <wp:positionV relativeFrom="paragraph">
            <wp:posOffset>0</wp:posOffset>
          </wp:positionV>
          <wp:extent cx="6473190" cy="1000125"/>
          <wp:effectExtent l="0" t="0" r="0" b="0"/>
          <wp:wrapNone/>
          <wp:docPr id="1949564702" name="image2.png" descr="Fundo preto com estrelas&#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2.png" descr="Fundo preto com estrelas&#10;&#10;O conteúdo gerado por IA pode estar incorreto."/>
                  <pic:cNvPicPr preferRelativeResize="0"/>
                </pic:nvPicPr>
                <pic:blipFill>
                  <a:blip r:embed="rId1"/>
                  <a:srcRect/>
                  <a:stretch>
                    <a:fillRect/>
                  </a:stretch>
                </pic:blipFill>
                <pic:spPr>
                  <a:xfrm>
                    <a:off x="0" y="0"/>
                    <a:ext cx="6473190" cy="100012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3D23F" w14:textId="77777777" w:rsidR="000B3C06" w:rsidRDefault="00000000">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68480" behindDoc="0" locked="0" layoutInCell="1" hidden="0" allowOverlap="1" wp14:anchorId="20DE47E5" wp14:editId="0A78D2D1">
          <wp:simplePos x="0" y="0"/>
          <wp:positionH relativeFrom="column">
            <wp:posOffset>-1080134</wp:posOffset>
          </wp:positionH>
          <wp:positionV relativeFrom="paragraph">
            <wp:posOffset>0</wp:posOffset>
          </wp:positionV>
          <wp:extent cx="6473190" cy="1000125"/>
          <wp:effectExtent l="0" t="0" r="0" b="0"/>
          <wp:wrapNone/>
          <wp:docPr id="1949564697" name="image2.png" descr="Fundo preto com estrelas&#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2.png" descr="Fundo preto com estrelas&#10;&#10;O conteúdo gerado por IA pode estar incorreto."/>
                  <pic:cNvPicPr preferRelativeResize="0"/>
                </pic:nvPicPr>
                <pic:blipFill>
                  <a:blip r:embed="rId1"/>
                  <a:srcRect/>
                  <a:stretch>
                    <a:fillRect/>
                  </a:stretch>
                </pic:blipFill>
                <pic:spPr>
                  <a:xfrm>
                    <a:off x="0" y="0"/>
                    <a:ext cx="6473190" cy="1000125"/>
                  </a:xfrm>
                  <a:prstGeom prst="rect">
                    <a:avLst/>
                  </a:prstGeom>
                  <a:ln/>
                </pic:spPr>
              </pic:pic>
            </a:graphicData>
          </a:graphic>
        </wp:anchor>
      </w:drawing>
    </w:r>
    <w:r>
      <w:rPr>
        <w:noProof/>
      </w:rPr>
      <mc:AlternateContent>
        <mc:Choice Requires="wps">
          <w:drawing>
            <wp:anchor distT="0" distB="0" distL="114300" distR="114300" simplePos="0" relativeHeight="251669504" behindDoc="0" locked="0" layoutInCell="1" hidden="0" allowOverlap="1" wp14:anchorId="583C5F5C" wp14:editId="1F23388C">
              <wp:simplePos x="0" y="0"/>
              <wp:positionH relativeFrom="column">
                <wp:posOffset>745825</wp:posOffset>
              </wp:positionH>
              <wp:positionV relativeFrom="paragraph">
                <wp:posOffset>341662</wp:posOffset>
              </wp:positionV>
              <wp:extent cx="3908390" cy="200444"/>
              <wp:effectExtent l="0" t="0" r="0" b="0"/>
              <wp:wrapNone/>
              <wp:docPr id="1949564693" name="Forma Livre: Forma 1949564693"/>
              <wp:cNvGraphicFramePr/>
              <a:graphic xmlns:a="http://schemas.openxmlformats.org/drawingml/2006/main">
                <a:graphicData uri="http://schemas.microsoft.com/office/word/2010/wordprocessingShape">
                  <wps:wsp>
                    <wps:cNvSpPr/>
                    <wps:spPr>
                      <a:xfrm>
                        <a:off x="3396568" y="3684541"/>
                        <a:ext cx="3898865" cy="190919"/>
                      </a:xfrm>
                      <a:custGeom>
                        <a:avLst/>
                        <a:gdLst/>
                        <a:ahLst/>
                        <a:cxnLst/>
                        <a:rect l="l" t="t" r="r" b="b"/>
                        <a:pathLst>
                          <a:path w="5943600" h="681355" extrusionOk="0">
                            <a:moveTo>
                              <a:pt x="0" y="0"/>
                            </a:moveTo>
                            <a:lnTo>
                              <a:pt x="0" y="681355"/>
                            </a:lnTo>
                            <a:lnTo>
                              <a:pt x="5943600" y="681355"/>
                            </a:lnTo>
                            <a:lnTo>
                              <a:pt x="5943600" y="0"/>
                            </a:lnTo>
                            <a:close/>
                          </a:path>
                        </a:pathLst>
                      </a:custGeom>
                      <a:noFill/>
                      <a:ln>
                        <a:noFill/>
                      </a:ln>
                    </wps:spPr>
                    <wps:txbx>
                      <w:txbxContent>
                        <w:p w14:paraId="4E44633B" w14:textId="77777777" w:rsidR="000B3C06" w:rsidRDefault="00000000">
                          <w:pPr>
                            <w:spacing w:line="275" w:lineRule="auto"/>
                            <w:jc w:val="center"/>
                            <w:textDirection w:val="btLr"/>
                          </w:pPr>
                          <w:r>
                            <w:rPr>
                              <w:rFonts w:ascii="Arial Narrow" w:eastAsia="Arial Narrow" w:hAnsi="Arial Narrow" w:cs="Arial Narrow"/>
                              <w:color w:val="000000"/>
                              <w:sz w:val="16"/>
                            </w:rPr>
                            <w:t>Endereço: Rua Quirino de Andrade, 215 – Telefone: (11) 5627-0323 - E-mail: imprensa@unesp.br</w:t>
                          </w:r>
                        </w:p>
                      </w:txbxContent>
                    </wps:txbx>
                    <wps:bodyPr spcFirstLastPara="1" wrap="square" lIns="88900" tIns="38100" rIns="88900" bIns="38100" anchor="t" anchorCtr="0">
                      <a:noAutofit/>
                    </wps:bodyPr>
                  </wps:wsp>
                </a:graphicData>
              </a:graphic>
            </wp:anchor>
          </w:drawing>
        </mc:Choice>
        <mc:Fallback>
          <w:pict>
            <v:shape w14:anchorId="583C5F5C" id="Forma Livre: Forma 1949564693" o:spid="_x0000_s1029" style="position:absolute;margin-left:58.75pt;margin-top:26.9pt;width:307.75pt;height:15.8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5943600,6813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vZJKwIAAJgEAAAOAAAAZHJzL2Uyb0RvYy54bWysVMGO2yAQvVfqPyDuje1NYtlRnFXVVapK&#10;q26k3X4AwThGxUCBxM7fdwbHSdQ9teoFz8DweG8eeP04dIqchPPS6Ipms5QSobmppT5U9Mfb9lNB&#10;iQ9M10wZLSp6Fp4+bj5+WPd2JR5Ma1QtHAEQ7Ve9rWgbgl0lieet6JifGSs0LDbGdSxA6g5J7VgP&#10;6J1KHtI0T3rjausMF97D7NO4SDcRv2kEDy9N40UgqqLALcTRxXGPY7JZs9XBMdtKfqHB/oFFx6SG&#10;Q69QTywwcnTyHVQnuTPeNGHGTZeYppFcRA2gJkv/UPPaMiuiFmiOt9c2+f8Hy7+fXu3OQRt661ce&#10;QlQxNK7DL/AjQ0Xn8zJf5uDkGeK8WCwX2dg4MQTCsaAoiyJfUsKhIivTMiuxILkh8aMPX4WJqOz0&#10;7MPY+HqKWDtFfNBT6MA+NE5F4wIlYJyjBIzbj+dbFnAfUsWQ9BVdlot5noLVbUXzIpsvgRXQdEe8&#10;oS8/0XMs78xJvJm4MaBE2ADU430A1rdVpd9XXWBHgVPB9LUR7soCQP+yfOIwAXJlvBjPQo2xq1fd&#10;wPW+s9pspVKxtUqjuOsEFOJMcnMZozDsByJrMBD7iTN7U593jnjLt9L58Mx82DEHTyKjpIdnUlH/&#10;68icoER903APi6LEZoeYzIsME3e/sr9fYZq3BkwEK8fwS4BsdESbz8dgGok3I9IcqVwSuP5R+eWp&#10;4vu6z2PV7Yey+Q0AAP//AwBQSwMEFAAGAAgAAAAhALupF3PdAAAACQEAAA8AAABkcnMvZG93bnJl&#10;di54bWxMj8FOwzAQRO9I/IO1SFwQdUoS2qZxKoTotaiFQ49uvE0i7HUUu2n4e5YTHEc7mn2v3EzO&#10;ihGH0HlSMJ8lIJBqbzpqFHx+bB+XIELUZLT1hAq+McCmur0pdWH8lfY4HmIjeIRCoRW0MfaFlKFu&#10;0ekw8z0S385+cDpyHBppBn3lcWflU5I8S6c74g+t7vG1xfrrcHEKjqPZWb/dj/IhW72HWO+yN49K&#10;3d9NL2sQEaf4V4ZffEaHiplO/kImCMt5vsi5qiBPWYELizRluZOCZZ6BrEr536D6AQAA//8DAFBL&#10;AQItABQABgAIAAAAIQC2gziS/gAAAOEBAAATAAAAAAAAAAAAAAAAAAAAAABbQ29udGVudF9UeXBl&#10;c10ueG1sUEsBAi0AFAAGAAgAAAAhADj9If/WAAAAlAEAAAsAAAAAAAAAAAAAAAAALwEAAF9yZWxz&#10;Ly5yZWxzUEsBAi0AFAAGAAgAAAAhAKQi9kkrAgAAmAQAAA4AAAAAAAAAAAAAAAAALgIAAGRycy9l&#10;Mm9Eb2MueG1sUEsBAi0AFAAGAAgAAAAhALupF3PdAAAACQEAAA8AAAAAAAAAAAAAAAAAhQQAAGRy&#10;cy9kb3ducmV2LnhtbFBLBQYAAAAABAAEAPMAAACPBQAAAAA=&#10;" adj="-11796480,,5400" path="m,l,681355r5943600,l5943600,,,xe" filled="f" stroked="f">
              <v:stroke joinstyle="miter"/>
              <v:formulas/>
              <v:path arrowok="t" o:extrusionok="f" o:connecttype="custom" textboxrect="0,0,5943600,681355"/>
              <v:textbox inset="7pt,3pt,7pt,3pt">
                <w:txbxContent>
                  <w:p w14:paraId="4E44633B" w14:textId="77777777" w:rsidR="000B3C06" w:rsidRDefault="00000000">
                    <w:pPr>
                      <w:spacing w:line="275" w:lineRule="auto"/>
                      <w:jc w:val="center"/>
                      <w:textDirection w:val="btLr"/>
                    </w:pPr>
                    <w:r>
                      <w:rPr>
                        <w:rFonts w:ascii="Arial Narrow" w:eastAsia="Arial Narrow" w:hAnsi="Arial Narrow" w:cs="Arial Narrow"/>
                        <w:color w:val="000000"/>
                        <w:sz w:val="16"/>
                      </w:rPr>
                      <w:t>Endereço: Rua Quirino de Andrade, 215 – Telefone: (11) 5627-0323 - E-mail: imprensa@unesp.br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BB361" w14:textId="77777777" w:rsidR="0014271C" w:rsidRDefault="0014271C">
      <w:pPr>
        <w:spacing w:after="0" w:line="240" w:lineRule="auto"/>
      </w:pPr>
      <w:r>
        <w:separator/>
      </w:r>
    </w:p>
  </w:footnote>
  <w:footnote w:type="continuationSeparator" w:id="0">
    <w:p w14:paraId="7B64031A" w14:textId="77777777" w:rsidR="0014271C" w:rsidRDefault="00142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26236" w14:textId="586BFC59" w:rsidR="000B3C06" w:rsidRDefault="00BD75B3">
    <w:pPr>
      <w:pBdr>
        <w:top w:val="nil"/>
        <w:left w:val="nil"/>
        <w:bottom w:val="nil"/>
        <w:right w:val="nil"/>
        <w:between w:val="nil"/>
      </w:pBdr>
      <w:tabs>
        <w:tab w:val="center" w:pos="4252"/>
        <w:tab w:val="right" w:pos="8504"/>
      </w:tabs>
      <w:spacing w:after="0" w:line="240" w:lineRule="auto"/>
    </w:pPr>
    <w:r w:rsidRPr="00BD75B3">
      <w:rPr>
        <w:noProof/>
        <w:color w:val="000000"/>
      </w:rPr>
      <w:drawing>
        <wp:anchor distT="0" distB="0" distL="114300" distR="114300" simplePos="0" relativeHeight="251670528" behindDoc="0" locked="0" layoutInCell="1" allowOverlap="1" wp14:anchorId="1BE6F058" wp14:editId="331A35AF">
          <wp:simplePos x="0" y="0"/>
          <wp:positionH relativeFrom="column">
            <wp:posOffset>4576393</wp:posOffset>
          </wp:positionH>
          <wp:positionV relativeFrom="paragraph">
            <wp:posOffset>-537209</wp:posOffset>
          </wp:positionV>
          <wp:extent cx="1433639" cy="552450"/>
          <wp:effectExtent l="0" t="0" r="0" b="0"/>
          <wp:wrapNone/>
          <wp:docPr id="1012581331" name="Imagem 6"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81331" name="Imagem 6" descr="Logotip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940" cy="5560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D75B3">
      <w:rPr>
        <w:noProof/>
        <w:color w:val="000000"/>
      </w:rPr>
      <mc:AlternateContent>
        <mc:Choice Requires="wps">
          <w:drawing>
            <wp:anchor distT="45720" distB="45720" distL="114300" distR="114300" simplePos="0" relativeHeight="251672576" behindDoc="0" locked="0" layoutInCell="1" allowOverlap="1" wp14:anchorId="1E04CC32" wp14:editId="273612E8">
              <wp:simplePos x="0" y="0"/>
              <wp:positionH relativeFrom="column">
                <wp:posOffset>2233295</wp:posOffset>
              </wp:positionH>
              <wp:positionV relativeFrom="paragraph">
                <wp:posOffset>-219075</wp:posOffset>
              </wp:positionV>
              <wp:extent cx="2360930" cy="1404620"/>
              <wp:effectExtent l="0" t="0" r="0" b="31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22C94CB" w14:textId="45A419C0" w:rsidR="00BD75B3" w:rsidRPr="00BD75B3" w:rsidRDefault="00BD75B3" w:rsidP="00BD75B3">
                          <w:pPr>
                            <w:spacing w:after="0"/>
                            <w:rPr>
                              <w:rFonts w:ascii="Arial" w:hAnsi="Arial" w:cs="Arial"/>
                              <w:color w:val="262626" w:themeColor="text1" w:themeTint="D9"/>
                              <w:sz w:val="18"/>
                              <w:szCs w:val="18"/>
                            </w:rPr>
                          </w:pPr>
                          <w:r w:rsidRPr="00BD75B3">
                            <w:rPr>
                              <w:rFonts w:ascii="Arial" w:hAnsi="Arial" w:cs="Arial"/>
                              <w:color w:val="262626" w:themeColor="text1" w:themeTint="D9"/>
                              <w:sz w:val="18"/>
                              <w:szCs w:val="18"/>
                            </w:rPr>
                            <w:t>Câmpus de Botucatu</w:t>
                          </w:r>
                        </w:p>
                        <w:p w14:paraId="1FAD931C" w14:textId="0BFA4CE0" w:rsidR="00BD75B3" w:rsidRPr="00BD75B3" w:rsidRDefault="00BD75B3" w:rsidP="00BD75B3">
                          <w:pPr>
                            <w:spacing w:after="0"/>
                            <w:rPr>
                              <w:rFonts w:ascii="Arial" w:hAnsi="Arial" w:cs="Arial"/>
                              <w:color w:val="262626" w:themeColor="text1" w:themeTint="D9"/>
                              <w:sz w:val="18"/>
                              <w:szCs w:val="18"/>
                            </w:rPr>
                          </w:pPr>
                          <w:r w:rsidRPr="00BD75B3">
                            <w:rPr>
                              <w:rFonts w:ascii="Arial" w:hAnsi="Arial" w:cs="Arial"/>
                              <w:color w:val="262626" w:themeColor="text1" w:themeTint="D9"/>
                              <w:sz w:val="18"/>
                              <w:szCs w:val="18"/>
                            </w:rPr>
                            <w:t>Seção Técnica de</w:t>
                          </w:r>
                          <w:r>
                            <w:rPr>
                              <w:rFonts w:ascii="Arial" w:hAnsi="Arial" w:cs="Arial"/>
                              <w:color w:val="262626" w:themeColor="text1" w:themeTint="D9"/>
                              <w:sz w:val="18"/>
                              <w:szCs w:val="18"/>
                            </w:rPr>
                            <w:t xml:space="preserve"> </w:t>
                          </w:r>
                          <w:r w:rsidR="0047249C">
                            <w:rPr>
                              <w:rFonts w:ascii="Arial" w:hAnsi="Arial" w:cs="Arial"/>
                              <w:color w:val="262626" w:themeColor="text1" w:themeTint="D9"/>
                              <w:sz w:val="18"/>
                              <w:szCs w:val="18"/>
                            </w:rPr>
                            <w:t>Materiais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E04CC32" id="_x0000_t202" coordsize="21600,21600" o:spt="202" path="m,l,21600r21600,l21600,xe">
              <v:stroke joinstyle="miter"/>
              <v:path gradientshapeok="t" o:connecttype="rect"/>
            </v:shapetype>
            <v:shape id="Caixa de Texto 2" o:spid="_x0000_s1026" type="#_x0000_t202" style="position:absolute;margin-left:175.85pt;margin-top:-17.25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FzD0i4gAAAAsBAAAPAAAAZHJzL2Rvd25yZXYueG1sTI/LTsMwEEX3SPyDNUhsUOs8aFOFOFV5&#10;bdi1BImlG0+TQDyOYrcNfD3DCnYzmqM75xbryfbihKPvHCmI5xEIpNqZjhoF1evzbAXCB01G945Q&#10;wRd6WJeXF4XOjTvTFk+70AgOIZ9rBW0IQy6lr1u02s/dgMS3gxutDryOjTSjPnO47WUSRUtpdUf8&#10;odUDPrRYf+6OVsH3ffW4eboJ8SEJ78nb1r5U9YdW6vpq2tyBCDiFPxh+9VkdSnbauyMZL3oF6SLO&#10;GFUwS28XIJjIkpSHPaOrZQayLOT/DuUPAAAA//8DAFBLAQItABQABgAIAAAAIQC2gziS/gAAAOEB&#10;AAATAAAAAAAAAAAAAAAAAAAAAABbQ29udGVudF9UeXBlc10ueG1sUEsBAi0AFAAGAAgAAAAhADj9&#10;If/WAAAAlAEAAAsAAAAAAAAAAAAAAAAALwEAAF9yZWxzLy5yZWxzUEsBAi0AFAAGAAgAAAAhALVB&#10;GHEOAgAA9wMAAA4AAAAAAAAAAAAAAAAALgIAAGRycy9lMm9Eb2MueG1sUEsBAi0AFAAGAAgAAAAh&#10;AIXMPSLiAAAACwEAAA8AAAAAAAAAAAAAAAAAaAQAAGRycy9kb3ducmV2LnhtbFBLBQYAAAAABAAE&#10;APMAAAB3BQAAAAA=&#10;" stroked="f">
              <v:textbox style="mso-fit-shape-to-text:t">
                <w:txbxContent>
                  <w:p w14:paraId="322C94CB" w14:textId="45A419C0" w:rsidR="00BD75B3" w:rsidRPr="00BD75B3" w:rsidRDefault="00BD75B3" w:rsidP="00BD75B3">
                    <w:pPr>
                      <w:spacing w:after="0"/>
                      <w:rPr>
                        <w:rFonts w:ascii="Arial" w:hAnsi="Arial" w:cs="Arial"/>
                        <w:color w:val="262626" w:themeColor="text1" w:themeTint="D9"/>
                        <w:sz w:val="18"/>
                        <w:szCs w:val="18"/>
                      </w:rPr>
                    </w:pPr>
                    <w:r w:rsidRPr="00BD75B3">
                      <w:rPr>
                        <w:rFonts w:ascii="Arial" w:hAnsi="Arial" w:cs="Arial"/>
                        <w:color w:val="262626" w:themeColor="text1" w:themeTint="D9"/>
                        <w:sz w:val="18"/>
                        <w:szCs w:val="18"/>
                      </w:rPr>
                      <w:t>Câmpus de Botucatu</w:t>
                    </w:r>
                  </w:p>
                  <w:p w14:paraId="1FAD931C" w14:textId="0BFA4CE0" w:rsidR="00BD75B3" w:rsidRPr="00BD75B3" w:rsidRDefault="00BD75B3" w:rsidP="00BD75B3">
                    <w:pPr>
                      <w:spacing w:after="0"/>
                      <w:rPr>
                        <w:rFonts w:ascii="Arial" w:hAnsi="Arial" w:cs="Arial"/>
                        <w:color w:val="262626" w:themeColor="text1" w:themeTint="D9"/>
                        <w:sz w:val="18"/>
                        <w:szCs w:val="18"/>
                      </w:rPr>
                    </w:pPr>
                    <w:r w:rsidRPr="00BD75B3">
                      <w:rPr>
                        <w:rFonts w:ascii="Arial" w:hAnsi="Arial" w:cs="Arial"/>
                        <w:color w:val="262626" w:themeColor="text1" w:themeTint="D9"/>
                        <w:sz w:val="18"/>
                        <w:szCs w:val="18"/>
                      </w:rPr>
                      <w:t>Seção Técnica de</w:t>
                    </w:r>
                    <w:r>
                      <w:rPr>
                        <w:rFonts w:ascii="Arial" w:hAnsi="Arial" w:cs="Arial"/>
                        <w:color w:val="262626" w:themeColor="text1" w:themeTint="D9"/>
                        <w:sz w:val="18"/>
                        <w:szCs w:val="18"/>
                      </w:rPr>
                      <w:t xml:space="preserve"> </w:t>
                    </w:r>
                    <w:r w:rsidR="0047249C">
                      <w:rPr>
                        <w:rFonts w:ascii="Arial" w:hAnsi="Arial" w:cs="Arial"/>
                        <w:color w:val="262626" w:themeColor="text1" w:themeTint="D9"/>
                        <w:sz w:val="18"/>
                        <w:szCs w:val="18"/>
                      </w:rPr>
                      <w:t>Materiais</w:t>
                    </w:r>
                  </w:p>
                </w:txbxContent>
              </v:textbox>
              <w10:wrap type="square"/>
            </v:shape>
          </w:pict>
        </mc:Fallback>
      </mc:AlternateContent>
    </w:r>
    <w:r>
      <w:rPr>
        <w:noProof/>
        <w:color w:val="000000"/>
      </w:rPr>
      <w:drawing>
        <wp:anchor distT="0" distB="0" distL="114300" distR="114300" simplePos="0" relativeHeight="251659264" behindDoc="0" locked="0" layoutInCell="1" hidden="0" allowOverlap="1" wp14:anchorId="6A1F4465" wp14:editId="778D1D08">
          <wp:simplePos x="0" y="0"/>
          <wp:positionH relativeFrom="margin">
            <wp:posOffset>-316865</wp:posOffset>
          </wp:positionH>
          <wp:positionV relativeFrom="topMargin">
            <wp:posOffset>469900</wp:posOffset>
          </wp:positionV>
          <wp:extent cx="4693920" cy="639445"/>
          <wp:effectExtent l="0" t="0" r="0" b="0"/>
          <wp:wrapNone/>
          <wp:docPr id="1949564701" name="image8.png" descr="Form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8.png" descr="Forma&#10;&#10;O conteúdo gerado por IA pode estar incorreto."/>
                  <pic:cNvPicPr preferRelativeResize="0"/>
                </pic:nvPicPr>
                <pic:blipFill>
                  <a:blip r:embed="rId2"/>
                  <a:srcRect/>
                  <a:stretch>
                    <a:fillRect/>
                  </a:stretch>
                </pic:blipFill>
                <pic:spPr>
                  <a:xfrm>
                    <a:off x="0" y="0"/>
                    <a:ext cx="4693920" cy="639445"/>
                  </a:xfrm>
                  <a:prstGeom prst="rect">
                    <a:avLst/>
                  </a:prstGeom>
                  <a:ln/>
                </pic:spPr>
              </pic:pic>
            </a:graphicData>
          </a:graphic>
        </wp:anchor>
      </w:drawing>
    </w:r>
  </w:p>
  <w:p w14:paraId="059F2A74" w14:textId="4AFA09A7" w:rsidR="00BD75B3" w:rsidRPr="00BD75B3" w:rsidRDefault="00BD75B3" w:rsidP="00BD75B3">
    <w:pPr>
      <w:pBdr>
        <w:top w:val="nil"/>
        <w:left w:val="nil"/>
        <w:bottom w:val="nil"/>
        <w:right w:val="nil"/>
        <w:between w:val="nil"/>
      </w:pBdr>
      <w:tabs>
        <w:tab w:val="center" w:pos="4252"/>
        <w:tab w:val="right" w:pos="8504"/>
      </w:tabs>
      <w:spacing w:after="0" w:line="240" w:lineRule="auto"/>
      <w:rPr>
        <w:color w:val="000000"/>
      </w:rPr>
    </w:pPr>
  </w:p>
  <w:p w14:paraId="391EAE4C" w14:textId="2BB1C816" w:rsidR="000B3C06" w:rsidRDefault="00000000">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61312" behindDoc="0" locked="0" layoutInCell="1" hidden="0" allowOverlap="1" wp14:anchorId="7F20C50E" wp14:editId="7642A9DF">
          <wp:simplePos x="0" y="0"/>
          <wp:positionH relativeFrom="column">
            <wp:posOffset>-942974</wp:posOffset>
          </wp:positionH>
          <wp:positionV relativeFrom="paragraph">
            <wp:posOffset>72355</wp:posOffset>
          </wp:positionV>
          <wp:extent cx="7987030" cy="48895"/>
          <wp:effectExtent l="0" t="0" r="0" b="0"/>
          <wp:wrapNone/>
          <wp:docPr id="194956470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7987030" cy="4889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76ECD" w14:textId="77777777" w:rsidR="000B3C06" w:rsidRDefault="00000000">
    <w:pPr>
      <w:pBdr>
        <w:top w:val="nil"/>
        <w:left w:val="nil"/>
        <w:bottom w:val="nil"/>
        <w:right w:val="nil"/>
        <w:between w:val="nil"/>
      </w:pBdr>
      <w:tabs>
        <w:tab w:val="center" w:pos="4252"/>
        <w:tab w:val="right" w:pos="8504"/>
      </w:tabs>
      <w:spacing w:after="0" w:line="240" w:lineRule="auto"/>
      <w:rPr>
        <w:color w:val="000000"/>
      </w:rPr>
    </w:pPr>
    <w:r>
      <w:rPr>
        <w:noProof/>
        <w:color w:val="000000"/>
      </w:rPr>
      <w:drawing>
        <wp:anchor distT="0" distB="0" distL="114300" distR="114300" simplePos="0" relativeHeight="251662336" behindDoc="0" locked="0" layoutInCell="1" hidden="0" allowOverlap="1" wp14:anchorId="367FEADB" wp14:editId="6461969E">
          <wp:simplePos x="0" y="0"/>
          <wp:positionH relativeFrom="margin">
            <wp:align>right</wp:align>
          </wp:positionH>
          <wp:positionV relativeFrom="topMargin">
            <wp:posOffset>516255</wp:posOffset>
          </wp:positionV>
          <wp:extent cx="571904" cy="571904"/>
          <wp:effectExtent l="0" t="0" r="0" b="0"/>
          <wp:wrapNone/>
          <wp:docPr id="1949564696" name="image3.png" descr="Placa branca com letras pretas&#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3.png" descr="Placa branca com letras pretas&#10;&#10;O conteúdo gerado por IA pode estar incorreto."/>
                  <pic:cNvPicPr preferRelativeResize="0"/>
                </pic:nvPicPr>
                <pic:blipFill>
                  <a:blip r:embed="rId1"/>
                  <a:srcRect/>
                  <a:stretch>
                    <a:fillRect/>
                  </a:stretch>
                </pic:blipFill>
                <pic:spPr>
                  <a:xfrm>
                    <a:off x="0" y="0"/>
                    <a:ext cx="571904" cy="571904"/>
                  </a:xfrm>
                  <a:prstGeom prst="rect">
                    <a:avLst/>
                  </a:prstGeom>
                  <a:ln/>
                </pic:spPr>
              </pic:pic>
            </a:graphicData>
          </a:graphic>
        </wp:anchor>
      </w:drawing>
    </w:r>
    <w:r>
      <w:rPr>
        <w:noProof/>
        <w:color w:val="000000"/>
      </w:rPr>
      <w:drawing>
        <wp:anchor distT="0" distB="0" distL="114300" distR="114300" simplePos="0" relativeHeight="251663360" behindDoc="0" locked="0" layoutInCell="1" hidden="0" allowOverlap="1" wp14:anchorId="0EDC1B0B" wp14:editId="2D064133">
          <wp:simplePos x="0" y="0"/>
          <wp:positionH relativeFrom="margin">
            <wp:align>left</wp:align>
          </wp:positionH>
          <wp:positionV relativeFrom="topMargin">
            <wp:posOffset>444500</wp:posOffset>
          </wp:positionV>
          <wp:extent cx="4693920" cy="640054"/>
          <wp:effectExtent l="0" t="0" r="0" b="0"/>
          <wp:wrapNone/>
          <wp:docPr id="1949564698" name="image8.png" descr="Form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8.png" descr="Forma&#10;&#10;O conteúdo gerado por IA pode estar incorreto."/>
                  <pic:cNvPicPr preferRelativeResize="0"/>
                </pic:nvPicPr>
                <pic:blipFill>
                  <a:blip r:embed="rId2"/>
                  <a:srcRect/>
                  <a:stretch>
                    <a:fillRect/>
                  </a:stretch>
                </pic:blipFill>
                <pic:spPr>
                  <a:xfrm>
                    <a:off x="0" y="0"/>
                    <a:ext cx="4693920" cy="640054"/>
                  </a:xfrm>
                  <a:prstGeom prst="rect">
                    <a:avLst/>
                  </a:prstGeom>
                  <a:ln/>
                </pic:spPr>
              </pic:pic>
            </a:graphicData>
          </a:graphic>
        </wp:anchor>
      </w:drawing>
    </w:r>
    <w:r>
      <w:rPr>
        <w:noProof/>
      </w:rPr>
      <mc:AlternateContent>
        <mc:Choice Requires="wps">
          <w:drawing>
            <wp:anchor distT="0" distB="0" distL="114300" distR="114300" simplePos="0" relativeHeight="251664384" behindDoc="0" locked="0" layoutInCell="1" hidden="0" allowOverlap="1" wp14:anchorId="640010F3" wp14:editId="719728CB">
              <wp:simplePos x="0" y="0"/>
              <wp:positionH relativeFrom="column">
                <wp:posOffset>2543493</wp:posOffset>
              </wp:positionH>
              <wp:positionV relativeFrom="paragraph">
                <wp:posOffset>843598</wp:posOffset>
              </wp:positionV>
              <wp:extent cx="2291715" cy="238125"/>
              <wp:effectExtent l="0" t="0" r="0" b="0"/>
              <wp:wrapNone/>
              <wp:docPr id="1949564692" name="Retângulo 1949564692"/>
              <wp:cNvGraphicFramePr/>
              <a:graphic xmlns:a="http://schemas.openxmlformats.org/drawingml/2006/main">
                <a:graphicData uri="http://schemas.microsoft.com/office/word/2010/wordprocessingShape">
                  <wps:wsp>
                    <wps:cNvSpPr/>
                    <wps:spPr>
                      <a:xfrm>
                        <a:off x="4204905" y="3665700"/>
                        <a:ext cx="2282190" cy="228600"/>
                      </a:xfrm>
                      <a:prstGeom prst="rect">
                        <a:avLst/>
                      </a:prstGeom>
                      <a:noFill/>
                      <a:ln>
                        <a:noFill/>
                      </a:ln>
                    </wps:spPr>
                    <wps:txbx>
                      <w:txbxContent>
                        <w:p w14:paraId="3398C66F" w14:textId="77777777" w:rsidR="000B3C06" w:rsidRDefault="00000000">
                          <w:pPr>
                            <w:spacing w:line="258" w:lineRule="auto"/>
                            <w:textDirection w:val="btLr"/>
                          </w:pPr>
                          <w:r>
                            <w:rPr>
                              <w:color w:val="1E1E1C"/>
                              <w:sz w:val="18"/>
                            </w:rPr>
                            <w:t>Câmpus XXXXX</w:t>
                          </w:r>
                        </w:p>
                      </w:txbxContent>
                    </wps:txbx>
                    <wps:bodyPr spcFirstLastPara="1" wrap="square" lIns="91425" tIns="45700" rIns="91425" bIns="45700" anchor="t" anchorCtr="0">
                      <a:noAutofit/>
                    </wps:bodyPr>
                  </wps:wsp>
                </a:graphicData>
              </a:graphic>
            </wp:anchor>
          </w:drawing>
        </mc:Choice>
        <mc:Fallback>
          <w:pict>
            <v:rect w14:anchorId="640010F3" id="Retângulo 1949564692" o:spid="_x0000_s1028" style="position:absolute;margin-left:200.3pt;margin-top:66.45pt;width:180.4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QkbugEAAGEDAAAOAAAAZHJzL2Uyb0RvYy54bWysU9uO0zAQfUfiHyy/01zolm1Ud4VYFSGt&#10;oNLCB7iO3VhKbDPjNunfM3a72wJviBdnbjpzzsxk9TANPTtqQOud4NWs5Ew75Vvr9oL/+L55d88Z&#10;Rula2XunBT9p5A/rt29WY2h07TvftxoYgThsxiB4F2NoigJVpweJMx+0o6TxMMhILuyLFuRI6ENf&#10;1GW5KEYPbQCvNCJFH89Jvs74xmgVvxmDOrJecOIW8wv53aW3WK9kswcZOqsuNOQ/sBikddT0FepR&#10;RskOYP+CGqwCj97EmfJD4Y2xSmcNpKYq/1Dz3MmgsxYaDobXMeH/g1Vfj89hCzSGMWCDZCYVk4Eh&#10;fYkfmwSf1+V8Wd5xdhL8/WJx96G8DE5PkSkqqOv7ulrSfBVVkLM4FxRXpAAYP2s/sGQIDrSYPC95&#10;fMJI3an0pSQ1dn5j+z4vp3e/BagwRYor3WTFaTcx21LztNEU2fn2tAWGQW0stXySGLcSaLcVZyPt&#10;W3D8eZCgOeu/OBrosprXpDBmZ54lMrjN7G4z0qnO0xlFzs7mp5iP6kz14yF6Y7OsK5ULZ9pjVnu5&#10;uXQot36uuv4Z618AAAD//wMAUEsDBBQABgAIAAAAIQCxPlui3AAAAAsBAAAPAAAAZHJzL2Rvd25y&#10;ZXYueG1sTI/BTsMwDIbvSLxDZCRuLOnoOihNJ4TgwJFuB45ZY9qKxKmadOveHnOCo/3/+vy52i3e&#10;iRNOcQikIVspEEhtsAN1Gg77t7sHEDEZssYFQg0XjLCrr68qU9pwpg88NakTDKFYGg19SmMpZWx7&#10;9CauwojE2VeYvEk8Tp20kzkz3Du5VqqQ3gzEF3oz4kuP7Xczew0jOju7vFGfrXydKCve9/Ky0fr2&#10;Znl+ApFwSX9l+NVndajZ6RhmslE4DTnTucrB/foRBDe2RbYBceTNVuUg60r+/6H+AQAA//8DAFBL&#10;AQItABQABgAIAAAAIQC2gziS/gAAAOEBAAATAAAAAAAAAAAAAAAAAAAAAABbQ29udGVudF9UeXBl&#10;c10ueG1sUEsBAi0AFAAGAAgAAAAhADj9If/WAAAAlAEAAAsAAAAAAAAAAAAAAAAALwEAAF9yZWxz&#10;Ly5yZWxzUEsBAi0AFAAGAAgAAAAhAFQtCRu6AQAAYQMAAA4AAAAAAAAAAAAAAAAALgIAAGRycy9l&#10;Mm9Eb2MueG1sUEsBAi0AFAAGAAgAAAAhALE+W6LcAAAACwEAAA8AAAAAAAAAAAAAAAAAFAQAAGRy&#10;cy9kb3ducmV2LnhtbFBLBQYAAAAABAAEAPMAAAAdBQAAAAA=&#10;" filled="f" stroked="f">
              <v:textbox inset="2.53958mm,1.2694mm,2.53958mm,1.2694mm">
                <w:txbxContent>
                  <w:p w14:paraId="3398C66F" w14:textId="77777777" w:rsidR="000B3C06" w:rsidRDefault="00000000">
                    <w:pPr>
                      <w:spacing w:line="258" w:lineRule="auto"/>
                      <w:textDirection w:val="btLr"/>
                    </w:pPr>
                    <w:r>
                      <w:rPr>
                        <w:color w:val="1E1E1C"/>
                        <w:sz w:val="18"/>
                      </w:rPr>
                      <w:t>Câmpus XXXXX</w:t>
                    </w:r>
                  </w:p>
                </w:txbxContent>
              </v:textbox>
            </v:rect>
          </w:pict>
        </mc:Fallback>
      </mc:AlternateContent>
    </w:r>
  </w:p>
  <w:p w14:paraId="2D5283D1" w14:textId="77777777" w:rsidR="000B3C06" w:rsidRDefault="00000000">
    <w:pPr>
      <w:pBdr>
        <w:top w:val="nil"/>
        <w:left w:val="nil"/>
        <w:bottom w:val="nil"/>
        <w:right w:val="nil"/>
        <w:between w:val="nil"/>
      </w:pBdr>
      <w:tabs>
        <w:tab w:val="center" w:pos="4252"/>
        <w:tab w:val="right" w:pos="8504"/>
      </w:tabs>
      <w:spacing w:after="0" w:line="240" w:lineRule="auto"/>
      <w:jc w:val="right"/>
      <w:rPr>
        <w:color w:val="000000"/>
      </w:rPr>
    </w:pPr>
    <w:r>
      <w:rPr>
        <w:noProof/>
      </w:rPr>
      <w:drawing>
        <wp:anchor distT="0" distB="0" distL="114300" distR="114300" simplePos="0" relativeHeight="251665408" behindDoc="0" locked="0" layoutInCell="1" hidden="0" allowOverlap="1" wp14:anchorId="4F04F0E0" wp14:editId="0B99A868">
          <wp:simplePos x="0" y="0"/>
          <wp:positionH relativeFrom="column">
            <wp:posOffset>1</wp:posOffset>
          </wp:positionH>
          <wp:positionV relativeFrom="paragraph">
            <wp:posOffset>109688</wp:posOffset>
          </wp:positionV>
          <wp:extent cx="7987288" cy="48895"/>
          <wp:effectExtent l="0" t="0" r="0" b="0"/>
          <wp:wrapNone/>
          <wp:docPr id="194956469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7987288" cy="488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83857"/>
    <w:multiLevelType w:val="multilevel"/>
    <w:tmpl w:val="7F8ED45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b/>
        <w:bCs/>
        <w:color w:val="auto"/>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80524FC"/>
    <w:multiLevelType w:val="hybridMultilevel"/>
    <w:tmpl w:val="6ECE5C88"/>
    <w:lvl w:ilvl="0" w:tplc="69A8C6A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39175A67"/>
    <w:multiLevelType w:val="hybridMultilevel"/>
    <w:tmpl w:val="92869EFA"/>
    <w:lvl w:ilvl="0" w:tplc="5AC8217E">
      <w:start w:val="1"/>
      <w:numFmt w:val="lowerLetter"/>
      <w:lvlText w:val="%1)"/>
      <w:lvlJc w:val="left"/>
      <w:pPr>
        <w:ind w:left="928" w:hanging="644"/>
      </w:pPr>
      <w:rPr>
        <w:rFonts w:ascii="Arial" w:hAnsi="Arial" w:cs="Arial" w:hint="default"/>
        <w:sz w:val="20"/>
        <w:szCs w:val="2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16cid:durableId="1016541998">
    <w:abstractNumId w:val="0"/>
  </w:num>
  <w:num w:numId="2" w16cid:durableId="1517190868">
    <w:abstractNumId w:val="2"/>
  </w:num>
  <w:num w:numId="3" w16cid:durableId="1982422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C06"/>
    <w:rsid w:val="00034E04"/>
    <w:rsid w:val="0006086A"/>
    <w:rsid w:val="00092FE3"/>
    <w:rsid w:val="00097B1D"/>
    <w:rsid w:val="000B3C06"/>
    <w:rsid w:val="00117B0A"/>
    <w:rsid w:val="0014271C"/>
    <w:rsid w:val="00156226"/>
    <w:rsid w:val="001762C8"/>
    <w:rsid w:val="00180527"/>
    <w:rsid w:val="001D0A57"/>
    <w:rsid w:val="00221BEF"/>
    <w:rsid w:val="00252AAC"/>
    <w:rsid w:val="00275AD5"/>
    <w:rsid w:val="00280ABE"/>
    <w:rsid w:val="00314447"/>
    <w:rsid w:val="00344A11"/>
    <w:rsid w:val="00374F0E"/>
    <w:rsid w:val="003852E6"/>
    <w:rsid w:val="003E4457"/>
    <w:rsid w:val="004075B8"/>
    <w:rsid w:val="00410850"/>
    <w:rsid w:val="00415590"/>
    <w:rsid w:val="00425841"/>
    <w:rsid w:val="00434021"/>
    <w:rsid w:val="0047249C"/>
    <w:rsid w:val="004741FB"/>
    <w:rsid w:val="004A4155"/>
    <w:rsid w:val="004B0B34"/>
    <w:rsid w:val="00587501"/>
    <w:rsid w:val="005A2D55"/>
    <w:rsid w:val="005B0B70"/>
    <w:rsid w:val="005C4B8D"/>
    <w:rsid w:val="005D553E"/>
    <w:rsid w:val="005F2009"/>
    <w:rsid w:val="0063445F"/>
    <w:rsid w:val="00653718"/>
    <w:rsid w:val="00665C20"/>
    <w:rsid w:val="00686195"/>
    <w:rsid w:val="006D1925"/>
    <w:rsid w:val="006F1B20"/>
    <w:rsid w:val="006F5593"/>
    <w:rsid w:val="006F683C"/>
    <w:rsid w:val="007B1FE1"/>
    <w:rsid w:val="007B7095"/>
    <w:rsid w:val="007E56A2"/>
    <w:rsid w:val="00812A0F"/>
    <w:rsid w:val="00816B4E"/>
    <w:rsid w:val="00854E02"/>
    <w:rsid w:val="00856D00"/>
    <w:rsid w:val="008812DC"/>
    <w:rsid w:val="008932A2"/>
    <w:rsid w:val="008D123A"/>
    <w:rsid w:val="009657CE"/>
    <w:rsid w:val="00A028FA"/>
    <w:rsid w:val="00A04549"/>
    <w:rsid w:val="00A428BF"/>
    <w:rsid w:val="00A432F4"/>
    <w:rsid w:val="00A628C7"/>
    <w:rsid w:val="00A82C0B"/>
    <w:rsid w:val="00A90FFC"/>
    <w:rsid w:val="00A933DA"/>
    <w:rsid w:val="00AA2709"/>
    <w:rsid w:val="00AC24F6"/>
    <w:rsid w:val="00AC5C2A"/>
    <w:rsid w:val="00AE1D1D"/>
    <w:rsid w:val="00B2023F"/>
    <w:rsid w:val="00B35547"/>
    <w:rsid w:val="00B413C5"/>
    <w:rsid w:val="00B45F50"/>
    <w:rsid w:val="00B65108"/>
    <w:rsid w:val="00B82DCC"/>
    <w:rsid w:val="00BD75B3"/>
    <w:rsid w:val="00C05479"/>
    <w:rsid w:val="00C91B77"/>
    <w:rsid w:val="00CB6D29"/>
    <w:rsid w:val="00CF2E87"/>
    <w:rsid w:val="00D54DF1"/>
    <w:rsid w:val="00D649C1"/>
    <w:rsid w:val="00D67EA3"/>
    <w:rsid w:val="00DA1879"/>
    <w:rsid w:val="00E9233E"/>
    <w:rsid w:val="00EA1876"/>
    <w:rsid w:val="00EA7560"/>
    <w:rsid w:val="00EE3FA2"/>
    <w:rsid w:val="00EF50FE"/>
    <w:rsid w:val="00F0558E"/>
    <w:rsid w:val="00F06B3F"/>
    <w:rsid w:val="00F10692"/>
    <w:rsid w:val="00F27092"/>
    <w:rsid w:val="00F4461D"/>
    <w:rsid w:val="00F676D8"/>
    <w:rsid w:val="00F7680F"/>
    <w:rsid w:val="00F87F5D"/>
    <w:rsid w:val="00F9706D"/>
    <w:rsid w:val="00F97789"/>
    <w:rsid w:val="00F97D22"/>
    <w:rsid w:val="00FF1C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5F83B"/>
  <w15:docId w15:val="{FD69AFF8-976B-45F6-A8AC-8915E9DB8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paragraph" w:styleId="Cabealho">
    <w:name w:val="header"/>
    <w:basedOn w:val="Normal"/>
    <w:link w:val="CabealhoChar"/>
    <w:uiPriority w:val="99"/>
    <w:rsid w:val="00852CD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2CD6"/>
  </w:style>
  <w:style w:type="paragraph" w:styleId="Rodap">
    <w:name w:val="footer"/>
    <w:basedOn w:val="Normal"/>
    <w:link w:val="RodapChar"/>
    <w:rsid w:val="00852CD6"/>
    <w:pPr>
      <w:tabs>
        <w:tab w:val="center" w:pos="4252"/>
        <w:tab w:val="right" w:pos="8504"/>
      </w:tabs>
      <w:spacing w:after="0" w:line="240" w:lineRule="auto"/>
    </w:pPr>
  </w:style>
  <w:style w:type="character" w:customStyle="1" w:styleId="RodapChar">
    <w:name w:val="Rodapé Char"/>
    <w:basedOn w:val="Fontepargpadro"/>
    <w:link w:val="Rodap"/>
    <w:rsid w:val="00852CD6"/>
  </w:style>
  <w:style w:type="paragraph" w:styleId="Textodebalo">
    <w:name w:val="Balloon Text"/>
    <w:basedOn w:val="Normal"/>
    <w:link w:val="TextodebaloChar"/>
    <w:uiPriority w:val="99"/>
    <w:semiHidden/>
    <w:rsid w:val="0069510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10A"/>
    <w:rPr>
      <w:rFonts w:ascii="Tahoma" w:hAnsi="Tahoma" w:cs="Tahoma"/>
      <w:sz w:val="16"/>
      <w:szCs w:val="16"/>
    </w:rPr>
  </w:style>
  <w:style w:type="table" w:styleId="Tabelacomgrade">
    <w:name w:val="Table Grid"/>
    <w:basedOn w:val="Tabelanormal"/>
    <w:uiPriority w:val="99"/>
    <w:rsid w:val="00CB2C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uiPriority w:val="99"/>
    <w:rsid w:val="00805BFA"/>
  </w:style>
  <w:style w:type="paragraph" w:styleId="NormalWeb">
    <w:name w:val="Normal (Web)"/>
    <w:basedOn w:val="Normal"/>
    <w:uiPriority w:val="99"/>
    <w:semiHidden/>
    <w:rsid w:val="007270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ontepargpadro"/>
    <w:uiPriority w:val="99"/>
    <w:rsid w:val="00727066"/>
  </w:style>
  <w:style w:type="character" w:styleId="Hyperlink">
    <w:name w:val="Hyperlink"/>
    <w:basedOn w:val="Fontepargpadro"/>
    <w:rsid w:val="00727066"/>
    <w:rPr>
      <w:color w:val="0000FF"/>
      <w:u w:val="single"/>
    </w:rPr>
  </w:style>
  <w:style w:type="table" w:customStyle="1" w:styleId="a">
    <w:basedOn w:val="Tabelanormal"/>
    <w:tblPr>
      <w:tblStyleRowBandSize w:val="1"/>
      <w:tblStyleColBandSize w:val="1"/>
      <w:tblCellMar>
        <w:left w:w="115" w:type="dxa"/>
        <w:right w:w="115" w:type="dxa"/>
      </w:tblCellMar>
    </w:tblPr>
  </w:style>
  <w:style w:type="table" w:customStyle="1" w:styleId="a0">
    <w:basedOn w:val="Tabelanormal"/>
    <w:tblPr>
      <w:tblStyleRowBandSize w:val="1"/>
      <w:tblStyleColBandSize w:val="1"/>
      <w:tblCellMar>
        <w:left w:w="115" w:type="dxa"/>
        <w:right w:w="115" w:type="dxa"/>
      </w:tblCellMar>
    </w:tblPr>
  </w:style>
  <w:style w:type="table" w:customStyle="1" w:styleId="a1">
    <w:basedOn w:val="Tabelanormal"/>
    <w:rPr>
      <w:sz w:val="20"/>
      <w:szCs w:val="20"/>
    </w:rPr>
    <w:tblPr>
      <w:tblStyleRowBandSize w:val="1"/>
      <w:tblStyleColBandSize w:val="1"/>
      <w:tblCellMar>
        <w:left w:w="115" w:type="dxa"/>
        <w:right w:w="115" w:type="dxa"/>
      </w:tblCellMar>
    </w:tblPr>
  </w:style>
  <w:style w:type="table" w:customStyle="1" w:styleId="a2">
    <w:basedOn w:val="Tabelanormal"/>
    <w:rPr>
      <w:sz w:val="20"/>
      <w:szCs w:val="20"/>
    </w:rPr>
    <w:tblPr>
      <w:tblStyleRowBandSize w:val="1"/>
      <w:tblStyleColBandSize w:val="1"/>
      <w:tblCellMar>
        <w:left w:w="115" w:type="dxa"/>
        <w:right w:w="115" w:type="dxa"/>
      </w:tblCellMar>
    </w:tblPr>
  </w:style>
  <w:style w:type="table" w:customStyle="1" w:styleId="a3">
    <w:basedOn w:val="Tabelanormal"/>
    <w:rPr>
      <w:sz w:val="20"/>
      <w:szCs w:val="20"/>
    </w:rPr>
    <w:tblPr>
      <w:tblStyleRowBandSize w:val="1"/>
      <w:tblStyleColBandSize w:val="1"/>
      <w:tblCellMar>
        <w:left w:w="115" w:type="dxa"/>
        <w:right w:w="115" w:type="dxa"/>
      </w:tblCellMar>
    </w:tblPr>
  </w:style>
  <w:style w:type="table" w:customStyle="1" w:styleId="a4">
    <w:basedOn w:val="Tabelanormal"/>
    <w:rPr>
      <w:sz w:val="20"/>
      <w:szCs w:val="20"/>
    </w:rPr>
    <w:tblPr>
      <w:tblStyleRowBandSize w:val="1"/>
      <w:tblStyleColBandSize w:val="1"/>
      <w:tblCellMar>
        <w:left w:w="115" w:type="dxa"/>
        <w:right w:w="115" w:type="dxa"/>
      </w:tblCellMar>
    </w:tblPr>
  </w:style>
  <w:style w:type="table" w:customStyle="1" w:styleId="a5">
    <w:basedOn w:val="Tabelanormal"/>
    <w:rPr>
      <w:sz w:val="20"/>
      <w:szCs w:val="20"/>
    </w:rPr>
    <w:tblPr>
      <w:tblStyleRowBandSize w:val="1"/>
      <w:tblStyleColBandSize w:val="1"/>
      <w:tblCellMar>
        <w:left w:w="115" w:type="dxa"/>
        <w:right w:w="115" w:type="dxa"/>
      </w:tblCellMar>
    </w:tblPr>
  </w:style>
  <w:style w:type="table" w:customStyle="1" w:styleId="a6">
    <w:basedOn w:val="Tabelanormal"/>
    <w:rPr>
      <w:sz w:val="20"/>
      <w:szCs w:val="20"/>
    </w:rPr>
    <w:tblPr>
      <w:tblStyleRowBandSize w:val="1"/>
      <w:tblStyleColBandSize w:val="1"/>
      <w:tblCellMar>
        <w:left w:w="115" w:type="dxa"/>
        <w:right w:w="115" w:type="dxa"/>
      </w:tblCellMar>
    </w:tblPr>
  </w:style>
  <w:style w:type="table" w:customStyle="1" w:styleId="a7">
    <w:basedOn w:val="Tabelanormal"/>
    <w:rPr>
      <w:sz w:val="20"/>
      <w:szCs w:val="20"/>
    </w:rPr>
    <w:tblPr>
      <w:tblStyleRowBandSize w:val="1"/>
      <w:tblStyleColBandSize w:val="1"/>
      <w:tblCellMar>
        <w:left w:w="115" w:type="dxa"/>
        <w:right w:w="115" w:type="dxa"/>
      </w:tblCellMar>
    </w:tblPr>
  </w:style>
  <w:style w:type="table" w:customStyle="1" w:styleId="a8">
    <w:basedOn w:val="Tabelanormal"/>
    <w:rPr>
      <w:sz w:val="20"/>
      <w:szCs w:val="20"/>
    </w:rPr>
    <w:tblPr>
      <w:tblStyleRowBandSize w:val="1"/>
      <w:tblStyleColBandSize w:val="1"/>
      <w:tblCellMar>
        <w:left w:w="115" w:type="dxa"/>
        <w:right w:w="115" w:type="dxa"/>
      </w:tblCellMar>
    </w:tblPr>
  </w:style>
  <w:style w:type="table" w:customStyle="1" w:styleId="a9">
    <w:basedOn w:val="Tabelanormal"/>
    <w:tblPr>
      <w:tblStyleRowBandSize w:val="1"/>
      <w:tblStyleColBandSize w:val="1"/>
      <w:tblCellMar>
        <w:top w:w="100" w:type="dxa"/>
        <w:left w:w="100" w:type="dxa"/>
        <w:bottom w:w="100" w:type="dxa"/>
        <w:right w:w="100" w:type="dxa"/>
      </w:tblCellMar>
    </w:tblPr>
  </w:style>
  <w:style w:type="table" w:customStyle="1" w:styleId="aa">
    <w:basedOn w:val="Tabelanormal"/>
    <w:rPr>
      <w:sz w:val="20"/>
      <w:szCs w:val="20"/>
    </w:rPr>
    <w:tblPr>
      <w:tblStyleRowBandSize w:val="1"/>
      <w:tblStyleColBandSize w:val="1"/>
      <w:tblCellMar>
        <w:left w:w="115" w:type="dxa"/>
        <w:right w:w="115" w:type="dxa"/>
      </w:tblCellMar>
    </w:tblPr>
  </w:style>
  <w:style w:type="table" w:customStyle="1" w:styleId="ab">
    <w:basedOn w:val="Tabelanormal"/>
    <w:rPr>
      <w:sz w:val="20"/>
      <w:szCs w:val="20"/>
    </w:rPr>
    <w:tblPr>
      <w:tblStyleRowBandSize w:val="1"/>
      <w:tblStyleColBandSize w:val="1"/>
      <w:tblCellMar>
        <w:left w:w="115" w:type="dxa"/>
        <w:right w:w="115" w:type="dxa"/>
      </w:tblCellMar>
    </w:tblPr>
  </w:style>
  <w:style w:type="table" w:customStyle="1" w:styleId="ac">
    <w:basedOn w:val="Tabelanormal"/>
    <w:rPr>
      <w:sz w:val="20"/>
      <w:szCs w:val="20"/>
    </w:rPr>
    <w:tblPr>
      <w:tblStyleRowBandSize w:val="1"/>
      <w:tblStyleColBandSize w:val="1"/>
      <w:tblCellMar>
        <w:left w:w="115" w:type="dxa"/>
        <w:right w:w="115" w:type="dxa"/>
      </w:tblCellMar>
    </w:tblPr>
  </w:style>
  <w:style w:type="table" w:customStyle="1" w:styleId="ad">
    <w:basedOn w:val="Tabelanormal"/>
    <w:rPr>
      <w:sz w:val="20"/>
      <w:szCs w:val="20"/>
    </w:rPr>
    <w:tblPr>
      <w:tblStyleRowBandSize w:val="1"/>
      <w:tblStyleColBandSize w:val="1"/>
      <w:tblCellMar>
        <w:left w:w="115" w:type="dxa"/>
        <w:right w:w="115" w:type="dxa"/>
      </w:tblCellMar>
    </w:tblPr>
  </w:style>
  <w:style w:type="table" w:customStyle="1" w:styleId="ae">
    <w:basedOn w:val="Tabelanormal"/>
    <w:rPr>
      <w:sz w:val="20"/>
      <w:szCs w:val="20"/>
    </w:rPr>
    <w:tblPr>
      <w:tblStyleRowBandSize w:val="1"/>
      <w:tblStyleColBandSize w:val="1"/>
      <w:tblCellMar>
        <w:left w:w="115" w:type="dxa"/>
        <w:right w:w="115" w:type="dxa"/>
      </w:tblCellMar>
    </w:tblPr>
  </w:style>
  <w:style w:type="table" w:customStyle="1" w:styleId="af">
    <w:basedOn w:val="Tabelanormal"/>
    <w:rPr>
      <w:sz w:val="20"/>
      <w:szCs w:val="20"/>
    </w:rPr>
    <w:tblPr>
      <w:tblStyleRowBandSize w:val="1"/>
      <w:tblStyleColBandSize w:val="1"/>
      <w:tblCellMar>
        <w:left w:w="115" w:type="dxa"/>
        <w:right w:w="115" w:type="dxa"/>
      </w:tblCellMar>
    </w:tblPr>
  </w:style>
  <w:style w:type="table" w:customStyle="1" w:styleId="af0">
    <w:basedOn w:val="Tabelanormal"/>
    <w:rPr>
      <w:sz w:val="20"/>
      <w:szCs w:val="20"/>
    </w:rPr>
    <w:tblPr>
      <w:tblStyleRowBandSize w:val="1"/>
      <w:tblStyleColBandSize w:val="1"/>
      <w:tblCellMar>
        <w:left w:w="115" w:type="dxa"/>
        <w:right w:w="115" w:type="dxa"/>
      </w:tblCellMar>
    </w:tblPr>
  </w:style>
  <w:style w:type="table" w:customStyle="1" w:styleId="af1">
    <w:basedOn w:val="Tabelanormal"/>
    <w:rPr>
      <w:sz w:val="20"/>
      <w:szCs w:val="20"/>
    </w:rPr>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PargrafodaLista">
    <w:name w:val="List Paragraph"/>
    <w:basedOn w:val="Normal"/>
    <w:uiPriority w:val="34"/>
    <w:qFormat/>
    <w:rsid w:val="00812A0F"/>
    <w:pPr>
      <w:spacing w:after="0" w:line="240" w:lineRule="auto"/>
      <w:ind w:left="720"/>
      <w:contextualSpacing/>
    </w:pPr>
    <w:rPr>
      <w:rFonts w:ascii="Times New Roman" w:eastAsia="Times New Roman" w:hAnsi="Times New Roman" w:cs="Times New Roman"/>
      <w:sz w:val="24"/>
      <w:szCs w:val="24"/>
    </w:rPr>
  </w:style>
  <w:style w:type="paragraph" w:customStyle="1" w:styleId="Nivel01">
    <w:name w:val="Nivel 01"/>
    <w:basedOn w:val="Ttulo1"/>
    <w:next w:val="Normal"/>
    <w:link w:val="Nivel01Char"/>
    <w:qFormat/>
    <w:rsid w:val="00812A0F"/>
    <w:pPr>
      <w:numPr>
        <w:numId w:val="1"/>
      </w:numPr>
      <w:tabs>
        <w:tab w:val="left" w:pos="567"/>
      </w:tabs>
      <w:spacing w:before="120" w:line="276" w:lineRule="auto"/>
      <w:ind w:left="0" w:firstLine="0"/>
      <w:jc w:val="both"/>
    </w:pPr>
    <w:rPr>
      <w:rFonts w:ascii="Arial" w:eastAsiaTheme="majorEastAsia" w:hAnsi="Arial" w:cs="Arial"/>
      <w:sz w:val="20"/>
      <w:szCs w:val="20"/>
      <w:lang w:eastAsia="en-US"/>
    </w:rPr>
  </w:style>
  <w:style w:type="character" w:customStyle="1" w:styleId="Nivel01Char">
    <w:name w:val="Nivel 01 Char"/>
    <w:basedOn w:val="Fontepargpadro"/>
    <w:link w:val="Nivel01"/>
    <w:rsid w:val="00812A0F"/>
    <w:rPr>
      <w:rFonts w:ascii="Arial" w:eastAsiaTheme="majorEastAsia" w:hAnsi="Arial" w:cs="Arial"/>
      <w:b/>
      <w:bCs/>
      <w:sz w:val="20"/>
      <w:szCs w:val="20"/>
      <w:lang w:eastAsia="en-US"/>
    </w:rPr>
  </w:style>
  <w:style w:type="paragraph" w:customStyle="1" w:styleId="Nivel2">
    <w:name w:val="Nivel 2"/>
    <w:basedOn w:val="Normal"/>
    <w:link w:val="Nivel2Char"/>
    <w:qFormat/>
    <w:rsid w:val="00812A0F"/>
    <w:pPr>
      <w:numPr>
        <w:ilvl w:val="1"/>
        <w:numId w:val="1"/>
      </w:numPr>
      <w:autoSpaceDE w:val="0"/>
      <w:autoSpaceDN w:val="0"/>
      <w:adjustRightInd w:val="0"/>
      <w:spacing w:before="120" w:after="120" w:line="276" w:lineRule="auto"/>
      <w:ind w:left="0" w:firstLine="0"/>
      <w:jc w:val="both"/>
    </w:pPr>
    <w:rPr>
      <w:rFonts w:ascii="Arial" w:eastAsia="Times New Roman" w:hAnsi="Arial" w:cs="Arial"/>
      <w:sz w:val="20"/>
      <w:szCs w:val="20"/>
    </w:rPr>
  </w:style>
  <w:style w:type="character" w:customStyle="1" w:styleId="Nivel2Char">
    <w:name w:val="Nivel 2 Char"/>
    <w:basedOn w:val="Fontepargpadro"/>
    <w:link w:val="Nivel2"/>
    <w:locked/>
    <w:rsid w:val="00812A0F"/>
    <w:rPr>
      <w:rFonts w:ascii="Arial" w:eastAsia="Times New Roman" w:hAnsi="Arial" w:cs="Arial"/>
      <w:sz w:val="20"/>
      <w:szCs w:val="20"/>
    </w:rPr>
  </w:style>
  <w:style w:type="paragraph" w:customStyle="1" w:styleId="Nvel2-Red">
    <w:name w:val="Nível 2 -Red"/>
    <w:basedOn w:val="Nivel2"/>
    <w:link w:val="Nvel2-RedChar"/>
    <w:qFormat/>
    <w:rsid w:val="00812A0F"/>
    <w:rPr>
      <w:i/>
      <w:iCs/>
      <w:color w:val="FF0000"/>
    </w:rPr>
  </w:style>
  <w:style w:type="character" w:customStyle="1" w:styleId="Nvel2-RedChar">
    <w:name w:val="Nível 2 -Red Char"/>
    <w:basedOn w:val="Nivel2Char"/>
    <w:link w:val="Nvel2-Red"/>
    <w:rsid w:val="00812A0F"/>
    <w:rPr>
      <w:rFonts w:ascii="Arial" w:eastAsia="Times New Roman" w:hAnsi="Arial" w:cs="Arial"/>
      <w:i/>
      <w:iCs/>
      <w:color w:val="FF0000"/>
      <w:sz w:val="20"/>
      <w:szCs w:val="20"/>
    </w:rPr>
  </w:style>
  <w:style w:type="paragraph" w:customStyle="1" w:styleId="Nvel3-R">
    <w:name w:val="Nível 3-R"/>
    <w:basedOn w:val="Normal"/>
    <w:link w:val="Nvel3-RChar"/>
    <w:qFormat/>
    <w:rsid w:val="00812A0F"/>
    <w:pPr>
      <w:numPr>
        <w:ilvl w:val="2"/>
        <w:numId w:val="1"/>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812A0F"/>
    <w:rPr>
      <w:rFonts w:ascii="Arial" w:eastAsiaTheme="minorEastAsia" w:hAnsi="Arial" w:cs="Arial"/>
      <w:i/>
      <w:iCs/>
      <w:color w:val="FF0000"/>
      <w:sz w:val="20"/>
      <w:szCs w:val="20"/>
    </w:rPr>
  </w:style>
  <w:style w:type="paragraph" w:customStyle="1" w:styleId="Nvel3">
    <w:name w:val="Nível 3"/>
    <w:basedOn w:val="Nvel3-R"/>
    <w:link w:val="Nvel3Char"/>
    <w:qFormat/>
    <w:rsid w:val="00812A0F"/>
    <w:rPr>
      <w:rFonts w:eastAsia="Times New Roman"/>
      <w:i w:val="0"/>
      <w:iCs w:val="0"/>
    </w:rPr>
  </w:style>
  <w:style w:type="paragraph" w:customStyle="1" w:styleId="Nvel4">
    <w:name w:val="Nível 4"/>
    <w:basedOn w:val="Nvel3"/>
    <w:link w:val="Nvel4Char"/>
    <w:qFormat/>
    <w:rsid w:val="00812A0F"/>
    <w:pPr>
      <w:numPr>
        <w:ilvl w:val="3"/>
      </w:numPr>
      <w:ind w:left="567" w:firstLine="0"/>
    </w:pPr>
  </w:style>
  <w:style w:type="character" w:customStyle="1" w:styleId="Nvel3Char">
    <w:name w:val="Nível 3 Char"/>
    <w:basedOn w:val="Nvel3-RChar"/>
    <w:link w:val="Nvel3"/>
    <w:rsid w:val="00812A0F"/>
    <w:rPr>
      <w:rFonts w:ascii="Arial" w:eastAsia="Times New Roman" w:hAnsi="Arial" w:cs="Arial"/>
      <w:i w:val="0"/>
      <w:iCs w:val="0"/>
      <w:color w:val="FF0000"/>
      <w:sz w:val="20"/>
      <w:szCs w:val="20"/>
    </w:rPr>
  </w:style>
  <w:style w:type="character" w:customStyle="1" w:styleId="Nvel4Char">
    <w:name w:val="Nível 4 Char"/>
    <w:basedOn w:val="Nvel3Char"/>
    <w:link w:val="Nvel4"/>
    <w:rsid w:val="00812A0F"/>
    <w:rPr>
      <w:rFonts w:ascii="Arial" w:eastAsia="Times New Roman" w:hAnsi="Arial" w:cs="Arial"/>
      <w:i w:val="0"/>
      <w:iCs w:val="0"/>
      <w:color w:val="FF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leis/l8078.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s://www.planalto.gov.br/ccivil_03/_Ato2023-2026/2023/Decreto/D11462.htm" TargetMode="External"/><Relationship Id="rId19" Type="http://schemas.openxmlformats.org/officeDocument/2006/relationships/hyperlink" Target="http://www.legislacao.sp.gov.br/legislacao/dg280202.nsf/ae9f9e0701e533aa032572e6006cf5fd/0cf4bc084e49b505032573d000509b17?OpenDocument&amp;Highlight=0,12.79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egislacao.sp.gov.br/legislacao/dg280202.nsf/5fb5269ed17b47ab83256cfb00501469/ae4c99f07f9f4f7d03258980004dbc9d?OpenDocument&amp;Highlight=0,67.608"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XJPLDGv9L8mu07Q5YJFXkaTicA==">CgMxLjA4AHIhMTN5NFpPNVRNN0dKekhRelVKQkdLV1pLakEza2hJa2lm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Pages>
  <Words>4295</Words>
  <Characters>23199</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Helena T. A. Ramos</dc:creator>
  <cp:lastModifiedBy>Daniela Dias Hayashida Tomazela</cp:lastModifiedBy>
  <cp:revision>55</cp:revision>
  <cp:lastPrinted>2026-06-30T11:00:00Z</cp:lastPrinted>
  <dcterms:created xsi:type="dcterms:W3CDTF">2026-02-05T13:26:00Z</dcterms:created>
  <dcterms:modified xsi:type="dcterms:W3CDTF">2026-09-04T14:13:00Z</dcterms:modified>
</cp:coreProperties>
</file>