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437" w:type="dxa"/>
        <w:jc w:val="righ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9437"/>
      </w:tblGrid>
      <w:tr>
        <w:trPr>
          <w:trHeight w:val="4077" w:hRule="atLeast"/>
        </w:trPr>
        <w:tc>
          <w:tcPr>
            <w:tcW w:w="9437" w:type="dxa"/>
            <w:tcBorders/>
          </w:tcPr>
          <w:p>
            <w:pPr>
              <w:pStyle w:val="Normal"/>
              <w:pageBreakBefore/>
              <w:jc w:val="center"/>
              <w:rPr>
                <w:b/>
                <w:b/>
                <w:bCs/>
                <w:sz w:val="32"/>
                <w:szCs w:val="32"/>
                <w:u w:val="none"/>
              </w:rPr>
            </w:pPr>
            <w:r>
              <w:rPr>
                <w:b/>
                <w:bCs/>
                <w:sz w:val="32"/>
                <w:szCs w:val="32"/>
                <w:u w:val="none"/>
              </w:rPr>
              <w:t>TERMO DE ADJUDICAÇÃO E HOMOLOGAÇÃO</w:t>
            </w:r>
          </w:p>
          <w:p>
            <w:pPr>
              <w:pStyle w:val="Normal"/>
              <w:jc w:val="center"/>
              <w:rPr>
                <w:b/>
                <w:b/>
                <w:bCs/>
                <w:sz w:val="32"/>
                <w:szCs w:val="32"/>
                <w:u w:val="none"/>
              </w:rPr>
            </w:pPr>
            <w:r>
              <w:rPr>
                <w:rFonts w:eastAsia="Times New Roman" w:cs="Times New Roman"/>
                <w:b w:val="false"/>
                <w:bCs w:val="false"/>
                <w:i/>
                <w:iCs/>
                <w:color w:val="auto"/>
                <w:sz w:val="24"/>
                <w:szCs w:val="24"/>
                <w:u w:val="none"/>
                <w:lang w:val="pt-BR" w:bidi="ar-SA"/>
              </w:rPr>
              <w:t xml:space="preserve">DISPENSA POR LIMITE </w:t>
            </w:r>
            <w:r>
              <w:rPr>
                <w:rFonts w:eastAsia="Times New Roman" w:cs="Times New Roman"/>
                <w:b w:val="false"/>
                <w:bCs w:val="false"/>
                <w:i/>
                <w:iCs/>
                <w:color w:val="auto"/>
                <w:sz w:val="24"/>
                <w:szCs w:val="24"/>
                <w:u w:val="none"/>
                <w:lang w:val="pt-BR" w:bidi="ar-SA"/>
              </w:rPr>
              <w:t>Nº 10</w:t>
            </w:r>
            <w:r>
              <w:rPr>
                <w:rFonts w:eastAsia="Times New Roman" w:cs="Times New Roman"/>
                <w:b w:val="false"/>
                <w:bCs w:val="false"/>
                <w:i/>
                <w:iCs/>
                <w:color w:val="auto"/>
                <w:sz w:val="24"/>
                <w:szCs w:val="24"/>
                <w:u w:val="none"/>
                <w:lang w:val="pt-BR" w:bidi="ar-SA"/>
              </w:rPr>
              <w:t xml:space="preserve">/2026 - </w:t>
            </w:r>
            <w:r>
              <w:rPr>
                <w:rFonts w:eastAsia="Times New Roman" w:cs="Times New Roman"/>
                <w:b w:val="false"/>
                <w:bCs w:val="false"/>
                <w:i/>
                <w:iCs/>
                <w:color w:val="auto"/>
                <w:sz w:val="24"/>
                <w:szCs w:val="24"/>
                <w:u w:val="none"/>
                <w:lang w:val="pt-BR" w:bidi="ar-SA"/>
              </w:rPr>
              <w:t>PROCESSO Nº 11/2026</w:t>
            </w:r>
          </w:p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/>
              <w:overflowPunct w:val="false"/>
              <w:autoSpaceDE w:val="false"/>
              <w:bidi w:val="0"/>
              <w:spacing w:lineRule="auto" w:line="360"/>
              <w:ind w:left="0" w:right="0" w:firstLine="1417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Miguel Gustavo Figueiredo Bueno, </w:t>
            </w:r>
            <w:r>
              <w:rPr>
                <w:sz w:val="24"/>
                <w:szCs w:val="24"/>
              </w:rPr>
              <w:t xml:space="preserve">PRESIDENTE DA CÂMARA MUNICIPAL DE PALMITAL </w:t>
            </w:r>
            <w:r>
              <w:rPr>
                <w:sz w:val="24"/>
                <w:szCs w:val="24"/>
              </w:rPr>
              <w:t>e ORDENADOR DE DESPESAS, no uso de suas atribuições que lhe são conferidos pela lei:</w:t>
            </w:r>
          </w:p>
          <w:p>
            <w:pPr>
              <w:pStyle w:val="Normal"/>
              <w:widowControl/>
              <w:overflowPunct w:val="false"/>
              <w:autoSpaceDE w:val="false"/>
              <w:bidi w:val="0"/>
              <w:spacing w:lineRule="auto" w:line="360"/>
              <w:ind w:left="0" w:right="0" w:firstLine="1417"/>
              <w:jc w:val="both"/>
              <w:textAlignment w:val="baseline"/>
              <w:rPr/>
            </w:pPr>
            <w:r>
              <w:rPr>
                <w:b/>
                <w:bCs/>
                <w:sz w:val="24"/>
                <w:szCs w:val="24"/>
              </w:rPr>
              <w:t>CONSIDERANDO</w:t>
            </w:r>
            <w:r>
              <w:rPr>
                <w:sz w:val="24"/>
                <w:szCs w:val="24"/>
              </w:rPr>
              <w:t xml:space="preserve"> a necessidade da </w:t>
            </w:r>
            <w:r>
              <w:rPr>
                <w:sz w:val="24"/>
                <w:szCs w:val="24"/>
              </w:rPr>
              <w:t>AQUISIÇÃO DE 01 (UMA) FOLHA DE VIDRO TEMPERADO INCOLOR PARA PORTA DE ACESSO AO PLENÁRIO (AUDITÓRIO) DA CÂMARA MUNICIPAL.</w:t>
            </w:r>
            <w:r>
              <w:rPr>
                <w:sz w:val="24"/>
                <w:szCs w:val="24"/>
              </w:rPr>
              <w:t>, conforme especificações técnicas constantes nos autos;</w:t>
            </w:r>
          </w:p>
          <w:p>
            <w:pPr>
              <w:pStyle w:val="Normal"/>
              <w:widowControl/>
              <w:overflowPunct w:val="false"/>
              <w:autoSpaceDE w:val="false"/>
              <w:bidi w:val="0"/>
              <w:spacing w:lineRule="auto" w:line="360"/>
              <w:ind w:left="0" w:right="0" w:firstLine="1417"/>
              <w:jc w:val="both"/>
              <w:textAlignment w:val="baseline"/>
              <w:rPr/>
            </w:pPr>
            <w:r>
              <w:rPr>
                <w:b/>
                <w:bCs/>
                <w:sz w:val="24"/>
                <w:szCs w:val="24"/>
              </w:rPr>
              <w:t>CONSIDERANDO</w:t>
            </w:r>
            <w:r>
              <w:rPr>
                <w:sz w:val="24"/>
                <w:szCs w:val="24"/>
              </w:rPr>
              <w:t xml:space="preserve"> o Termo de Referência, a pesquisa de preços e o Parecer Jurídico favorável à legalidade da contratação </w:t>
            </w:r>
            <w:r>
              <w:rPr>
                <w:rFonts w:eastAsia="Times New Roman" w:cs="Times New Roman"/>
                <w:color w:val="auto"/>
                <w:sz w:val="24"/>
                <w:szCs w:val="24"/>
                <w:lang w:val="pt-BR" w:bidi="ar-SA"/>
              </w:rPr>
              <w:t xml:space="preserve">com </w:t>
            </w:r>
            <w:r>
              <w:rPr>
                <w:rFonts w:eastAsia="Times New Roman" w:cs="Times New Roman"/>
                <w:color w:val="auto"/>
                <w:sz w:val="24"/>
                <w:szCs w:val="24"/>
                <w:lang w:val="pt-BR" w:bidi="ar-SA"/>
              </w:rPr>
              <w:t>fundamento legal Lei n° 14.133/2021, Art. 75, inc. II;</w:t>
            </w:r>
          </w:p>
          <w:p>
            <w:pPr>
              <w:pStyle w:val="Normal"/>
              <w:widowControl/>
              <w:overflowPunct w:val="false"/>
              <w:autoSpaceDE w:val="false"/>
              <w:bidi w:val="0"/>
              <w:spacing w:lineRule="auto" w:line="360"/>
              <w:ind w:left="0" w:right="0" w:firstLine="1417"/>
              <w:jc w:val="both"/>
              <w:textAlignment w:val="baseline"/>
              <w:rPr/>
            </w:pPr>
            <w:r>
              <w:rPr>
                <w:b/>
                <w:bCs/>
                <w:sz w:val="24"/>
                <w:szCs w:val="24"/>
              </w:rPr>
              <w:t>CONSIDERANDO</w:t>
            </w:r>
            <w:r>
              <w:rPr>
                <w:sz w:val="24"/>
                <w:szCs w:val="24"/>
              </w:rPr>
              <w:t xml:space="preserve"> a regularidade da documentação de habilitação fiscal, trabalhista e jurídica apresentada;</w:t>
            </w:r>
          </w:p>
          <w:p>
            <w:pPr>
              <w:pStyle w:val="Normal"/>
              <w:widowControl/>
              <w:overflowPunct w:val="false"/>
              <w:autoSpaceDE w:val="false"/>
              <w:bidi w:val="0"/>
              <w:spacing w:lineRule="auto" w:line="360"/>
              <w:ind w:left="0" w:right="0" w:firstLine="1417"/>
              <w:jc w:val="both"/>
              <w:textAlignment w:val="baseline"/>
              <w:rPr/>
            </w:pPr>
            <w:r>
              <w:rPr>
                <w:b/>
                <w:bCs/>
                <w:sz w:val="24"/>
                <w:szCs w:val="24"/>
              </w:rPr>
              <w:t>CONSIDERANDO</w:t>
            </w:r>
            <w:r>
              <w:rPr>
                <w:sz w:val="24"/>
                <w:szCs w:val="24"/>
              </w:rPr>
              <w:t xml:space="preserve"> o Despacho Conclusivo do Agente de Contratação, o qual acolho integralmente, que atesta a regularidade dos atos e indica a proposta mais vantajosa para a Administração;</w:t>
            </w:r>
          </w:p>
          <w:p>
            <w:pPr>
              <w:pStyle w:val="Normal"/>
              <w:widowControl/>
              <w:overflowPunct w:val="false"/>
              <w:autoSpaceDE w:val="false"/>
              <w:bidi w:val="0"/>
              <w:spacing w:lineRule="auto" w:line="360"/>
              <w:ind w:left="0" w:right="0" w:firstLine="1417"/>
              <w:jc w:val="both"/>
              <w:textAlignment w:val="baseline"/>
              <w:rPr/>
            </w:pPr>
            <w:r>
              <w:rPr>
                <w:b/>
                <w:bCs/>
                <w:sz w:val="24"/>
                <w:szCs w:val="24"/>
              </w:rPr>
              <w:t>CONSIDERANDO</w:t>
            </w:r>
            <w:r>
              <w:rPr>
                <w:sz w:val="24"/>
                <w:szCs w:val="24"/>
              </w:rPr>
              <w:t xml:space="preserve"> o cumprimento dos requisitos exigidos pelo Art. 72 da Lei Federal nº 14.133/2021;</w:t>
            </w:r>
          </w:p>
          <w:p>
            <w:pPr>
              <w:pStyle w:val="Normal"/>
              <w:widowControl/>
              <w:overflowPunct w:val="false"/>
              <w:autoSpaceDE w:val="false"/>
              <w:bidi w:val="0"/>
              <w:spacing w:lineRule="auto" w:line="360"/>
              <w:ind w:left="0" w:right="0" w:firstLine="1417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/>
              <w:overflowPunct w:val="false"/>
              <w:autoSpaceDE w:val="false"/>
              <w:bidi w:val="0"/>
              <w:spacing w:lineRule="auto" w:line="360"/>
              <w:ind w:left="0" w:right="0" w:firstLine="1417"/>
              <w:jc w:val="both"/>
              <w:textAlignment w:val="baseline"/>
              <w:rPr>
                <w:b/>
                <w:b/>
                <w:bCs/>
              </w:rPr>
            </w:pPr>
            <w:r>
              <w:rPr>
                <w:b/>
                <w:bCs/>
                <w:sz w:val="24"/>
                <w:szCs w:val="24"/>
              </w:rPr>
              <w:t>R</w:t>
            </w:r>
            <w:r>
              <w:rPr>
                <w:b/>
                <w:bCs/>
                <w:sz w:val="24"/>
                <w:szCs w:val="24"/>
              </w:rPr>
              <w:t>ESOLVE:</w:t>
            </w:r>
          </w:p>
          <w:p>
            <w:pPr>
              <w:pStyle w:val="Normal"/>
              <w:widowControl/>
              <w:overflowPunct w:val="false"/>
              <w:autoSpaceDE w:val="false"/>
              <w:bidi w:val="0"/>
              <w:spacing w:lineRule="auto" w:line="360"/>
              <w:ind w:left="0" w:right="0" w:firstLine="1417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/>
              <w:overflowPunct w:val="false"/>
              <w:autoSpaceDE w:val="false"/>
              <w:bidi w:val="0"/>
              <w:spacing w:lineRule="auto" w:line="360"/>
              <w:ind w:left="0" w:right="0" w:firstLine="1417"/>
              <w:jc w:val="both"/>
              <w:textAlignment w:val="baseline"/>
              <w:rPr/>
            </w:pPr>
            <w:r>
              <w:rPr>
                <w:sz w:val="24"/>
                <w:szCs w:val="24"/>
              </w:rPr>
              <w:t xml:space="preserve">1. </w:t>
            </w:r>
            <w:r>
              <w:rPr>
                <w:b/>
                <w:bCs/>
                <w:sz w:val="24"/>
                <w:szCs w:val="24"/>
              </w:rPr>
              <w:t>RATIFICAR</w:t>
            </w:r>
            <w:r>
              <w:rPr>
                <w:sz w:val="24"/>
                <w:szCs w:val="24"/>
              </w:rPr>
              <w:t xml:space="preserve"> o procedimento de DISPENSA POR LIMITE, fundamentado na  </w:t>
            </w:r>
            <w:r>
              <w:rPr>
                <w:rFonts w:eastAsia="Times New Roman" w:cs="Times New Roman"/>
                <w:color w:val="auto"/>
                <w:sz w:val="24"/>
                <w:szCs w:val="24"/>
                <w:lang w:val="pt-BR" w:bidi="ar-SA"/>
              </w:rPr>
              <w:t>Lei n° 14.133/2021, Art. 75, inc. II</w:t>
            </w:r>
            <w:r>
              <w:rPr>
                <w:sz w:val="24"/>
                <w:szCs w:val="24"/>
              </w:rPr>
              <w:t>.</w:t>
            </w:r>
          </w:p>
          <w:p>
            <w:pPr>
              <w:pStyle w:val="Normal"/>
              <w:widowControl/>
              <w:overflowPunct w:val="false"/>
              <w:autoSpaceDE w:val="false"/>
              <w:bidi w:val="0"/>
              <w:spacing w:lineRule="auto" w:line="360"/>
              <w:ind w:left="0" w:right="0" w:firstLine="1417"/>
              <w:jc w:val="both"/>
              <w:textAlignment w:val="baseline"/>
              <w:rPr/>
            </w:pPr>
            <w:r>
              <w:rPr>
                <w:sz w:val="24"/>
                <w:szCs w:val="24"/>
              </w:rPr>
              <w:t xml:space="preserve">2. </w:t>
            </w:r>
            <w:r>
              <w:rPr>
                <w:b/>
                <w:bCs/>
                <w:sz w:val="24"/>
                <w:szCs w:val="24"/>
              </w:rPr>
              <w:t>ADJUDICAR</w:t>
            </w:r>
            <w:r>
              <w:rPr>
                <w:sz w:val="24"/>
                <w:szCs w:val="24"/>
              </w:rPr>
              <w:t xml:space="preserve"> o objeto do certame à</w:t>
            </w:r>
            <w:r>
              <w:rPr>
                <w:sz w:val="24"/>
                <w:szCs w:val="24"/>
              </w:rPr>
              <w:t>(s)</w:t>
            </w:r>
            <w:r>
              <w:rPr>
                <w:sz w:val="24"/>
                <w:szCs w:val="24"/>
              </w:rPr>
              <w:t xml:space="preserve"> empresa</w:t>
            </w:r>
            <w:r>
              <w:rPr>
                <w:sz w:val="24"/>
                <w:szCs w:val="24"/>
              </w:rPr>
              <w:t>(s)</w:t>
            </w:r>
            <w:r>
              <w:rPr>
                <w:sz w:val="24"/>
                <w:szCs w:val="24"/>
              </w:rPr>
              <w:t xml:space="preserve"> abaixo qualificada</w:t>
            </w:r>
            <w:r>
              <w:rPr>
                <w:sz w:val="24"/>
                <w:szCs w:val="24"/>
              </w:rPr>
              <w:t>(s)</w:t>
            </w:r>
            <w:r>
              <w:rPr>
                <w:sz w:val="24"/>
                <w:szCs w:val="24"/>
              </w:rPr>
              <w:t>, por apresentar</w:t>
            </w:r>
            <w:r>
              <w:rPr>
                <w:sz w:val="24"/>
                <w:szCs w:val="24"/>
              </w:rPr>
              <w:t>(em)</w:t>
            </w:r>
            <w:r>
              <w:rPr>
                <w:sz w:val="24"/>
                <w:szCs w:val="24"/>
              </w:rPr>
              <w:t xml:space="preserve"> o menor preço e atender a todas as exigências do Termo de Referência:</w:t>
            </w:r>
          </w:p>
          <w:tbl>
            <w:tblPr>
              <w:tblW w:w="9437" w:type="dxa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9437"/>
            </w:tblGrid>
            <w:tr>
              <w:trPr/>
              <w:tc>
                <w:tcPr>
                  <w:tcW w:w="9437" w:type="dxa"/>
                  <w:tcBorders/>
                </w:tcPr>
                <w:p>
                  <w:pPr>
                    <w:pStyle w:val="Normal"/>
                    <w:widowControl/>
                    <w:overflowPunct w:val="false"/>
                    <w:autoSpaceDE w:val="false"/>
                    <w:bidi w:val="0"/>
                    <w:spacing w:lineRule="auto" w:line="360"/>
                    <w:ind w:left="0" w:right="0" w:firstLine="1417"/>
                    <w:jc w:val="both"/>
                    <w:textAlignment w:val="baseline"/>
                    <w:rPr/>
                  </w:pPr>
                  <w:r>
                    <w:rPr>
                      <w:b/>
                      <w:bCs/>
                      <w:sz w:val="24"/>
                      <w:szCs w:val="24"/>
                    </w:rPr>
                    <w:t>Empresa:</w:t>
                  </w:r>
                  <w:r>
                    <w:rPr>
                      <w:sz w:val="24"/>
                      <w:szCs w:val="24"/>
                    </w:rPr>
                    <w:t xml:space="preserve"> NATALICIO BERNARDINO ME. </w:t>
                  </w:r>
                  <w:r>
                    <w:rPr>
                      <w:sz w:val="24"/>
                      <w:szCs w:val="24"/>
                    </w:rPr>
                    <w:t>(VIDRAÇARIA BERNARDINO)</w:t>
                  </w:r>
                </w:p>
                <w:p>
                  <w:pPr>
                    <w:pStyle w:val="Normal"/>
                    <w:widowControl/>
                    <w:overflowPunct w:val="false"/>
                    <w:autoSpaceDE w:val="false"/>
                    <w:bidi w:val="0"/>
                    <w:spacing w:lineRule="auto" w:line="360"/>
                    <w:ind w:left="0" w:right="0" w:firstLine="1417"/>
                    <w:jc w:val="both"/>
                    <w:textAlignment w:val="baseline"/>
                    <w:rPr/>
                  </w:pPr>
                  <w:r>
                    <w:rPr>
                      <w:b/>
                      <w:bCs/>
                      <w:sz w:val="24"/>
                      <w:szCs w:val="24"/>
                    </w:rPr>
                    <w:t>CNPJ:</w:t>
                  </w:r>
                  <w:r>
                    <w:rPr>
                      <w:sz w:val="24"/>
                      <w:szCs w:val="24"/>
                    </w:rPr>
                    <w:t xml:space="preserve"> 02.900.151/0001-21</w:t>
                  </w:r>
                </w:p>
                <w:p>
                  <w:pPr>
                    <w:pStyle w:val="Normal"/>
                    <w:widowControl/>
                    <w:overflowPunct w:val="false"/>
                    <w:autoSpaceDE w:val="false"/>
                    <w:bidi w:val="0"/>
                    <w:spacing w:lineRule="auto" w:line="360"/>
                    <w:ind w:left="0" w:right="0" w:firstLine="1417"/>
                    <w:jc w:val="both"/>
                    <w:textAlignment w:val="baseline"/>
                    <w:rPr/>
                  </w:pPr>
                  <w:r>
                    <w:rPr>
                      <w:b/>
                      <w:bCs/>
                      <w:sz w:val="24"/>
                      <w:szCs w:val="24"/>
                    </w:rPr>
                    <w:t>Valor:</w:t>
                  </w:r>
                  <w:r>
                    <w:rPr>
                      <w:sz w:val="24"/>
                      <w:szCs w:val="24"/>
                    </w:rPr>
                    <w:t xml:space="preserve"> R$ 1.105,00 </w:t>
                  </w:r>
                  <w:r>
                    <w:rPr>
                      <w:sz w:val="24"/>
                      <w:szCs w:val="24"/>
                    </w:rPr>
                    <w:t>(mil cento e cinco reais).</w:t>
                  </w:r>
                </w:p>
              </w:tc>
            </w:tr>
          </w:tbl>
          <w:p>
            <w:pPr>
              <w:pStyle w:val="Normal"/>
              <w:widowControl/>
              <w:overflowPunct w:val="false"/>
              <w:autoSpaceDE w:val="false"/>
              <w:bidi w:val="0"/>
              <w:spacing w:lineRule="auto" w:line="360"/>
              <w:ind w:left="0" w:right="0" w:firstLine="1417"/>
              <w:jc w:val="both"/>
              <w:textAlignment w:val="baseline"/>
              <w:rPr/>
            </w:pPr>
            <w:r>
              <w:rPr>
                <w:b/>
                <w:bCs/>
                <w:sz w:val="24"/>
                <w:szCs w:val="24"/>
              </w:rPr>
              <w:t>Valor Global:</w:t>
            </w:r>
            <w:r>
              <w:rPr>
                <w:sz w:val="24"/>
                <w:szCs w:val="24"/>
              </w:rPr>
              <w:t xml:space="preserve"> R$ 1.105,00 </w:t>
            </w:r>
            <w:r>
              <w:rPr>
                <w:sz w:val="24"/>
                <w:szCs w:val="24"/>
              </w:rPr>
              <w:t>(mil cento e cinco reais).</w:t>
            </w:r>
          </w:p>
          <w:p>
            <w:pPr>
              <w:pStyle w:val="Normal"/>
              <w:widowControl/>
              <w:overflowPunct w:val="false"/>
              <w:autoSpaceDE w:val="false"/>
              <w:bidi w:val="0"/>
              <w:spacing w:lineRule="auto" w:line="360"/>
              <w:ind w:left="0" w:right="0" w:firstLine="1417"/>
              <w:jc w:val="both"/>
              <w:textAlignment w:val="baseline"/>
              <w:rPr/>
            </w:pPr>
            <w:r>
              <w:rPr>
                <w:sz w:val="24"/>
                <w:szCs w:val="24"/>
              </w:rPr>
              <w:t xml:space="preserve">3. </w:t>
            </w:r>
            <w:r>
              <w:rPr>
                <w:b/>
                <w:bCs/>
                <w:sz w:val="24"/>
                <w:szCs w:val="24"/>
              </w:rPr>
              <w:t>HOMOLOGAR</w:t>
            </w:r>
            <w:r>
              <w:rPr>
                <w:sz w:val="24"/>
                <w:szCs w:val="24"/>
              </w:rPr>
              <w:t xml:space="preserve"> o presente processo administrativo de contratação direta, para que produza seus jurídicos e legais efeitos.</w:t>
            </w:r>
          </w:p>
          <w:p>
            <w:pPr>
              <w:pStyle w:val="Normal"/>
              <w:widowControl/>
              <w:overflowPunct w:val="false"/>
              <w:autoSpaceDE w:val="false"/>
              <w:bidi w:val="0"/>
              <w:spacing w:lineRule="auto" w:line="360"/>
              <w:ind w:left="0" w:right="0" w:firstLine="1417"/>
              <w:jc w:val="both"/>
              <w:textAlignment w:val="baseline"/>
              <w:rPr/>
            </w:pPr>
            <w:r>
              <w:rPr>
                <w:sz w:val="24"/>
                <w:szCs w:val="24"/>
              </w:rPr>
              <w:t xml:space="preserve">4. </w:t>
            </w:r>
            <w:r>
              <w:rPr>
                <w:b/>
                <w:bCs/>
                <w:sz w:val="24"/>
                <w:szCs w:val="24"/>
              </w:rPr>
              <w:t>AUTORIZAR</w:t>
            </w:r>
            <w:r>
              <w:rPr>
                <w:sz w:val="24"/>
                <w:szCs w:val="24"/>
              </w:rPr>
              <w:t xml:space="preserve"> a emissão da Nota de Empenho e a lavratura do competente instrumento contratual (ou equivalente), determinando ao Setor de Compras/Licitações que providencie a publicação do </w:t>
            </w:r>
            <w:r>
              <w:rPr>
                <w:rFonts w:eastAsia="Times New Roman" w:cs="Times New Roman"/>
                <w:color w:val="auto"/>
                <w:sz w:val="24"/>
                <w:szCs w:val="24"/>
                <w:lang w:val="pt-BR" w:bidi="ar-SA"/>
              </w:rPr>
              <w:t>processo</w:t>
            </w:r>
            <w:r>
              <w:rPr>
                <w:sz w:val="24"/>
                <w:szCs w:val="24"/>
              </w:rPr>
              <w:t xml:space="preserve"> no Portal Nacional de Contratações Públicas (PNCP) e no sítio eletrônico oficial desta Casa, condição indispensável para a eficácia do ato, em cumprimento ao Art. 94 da </w:t>
            </w:r>
            <w:hyperlink r:id="rId2" w:tgtFrame="_blank">
              <w:r>
                <w:rPr>
                  <w:rStyle w:val="LinkdaInternet"/>
                  <w:sz w:val="24"/>
                  <w:szCs w:val="24"/>
                </w:rPr>
                <w:t>Lei nº 14.133/2021</w:t>
              </w:r>
            </w:hyperlink>
            <w:r>
              <w:rPr>
                <w:sz w:val="24"/>
                <w:szCs w:val="24"/>
              </w:rPr>
              <w:t>.</w:t>
            </w:r>
          </w:p>
          <w:p>
            <w:pPr>
              <w:pStyle w:val="Normal"/>
              <w:widowControl/>
              <w:overflowPunct w:val="false"/>
              <w:autoSpaceDE w:val="false"/>
              <w:bidi w:val="0"/>
              <w:spacing w:lineRule="auto" w:line="360"/>
              <w:ind w:left="0" w:right="0" w:firstLine="1417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DECLARO</w:t>
            </w:r>
            <w:r>
              <w:rPr>
                <w:sz w:val="24"/>
                <w:szCs w:val="24"/>
              </w:rPr>
              <w:t>, na qualidade de responsável pela entidade supraepigrafada, sob as penas da Lei, que os documentos originais atinentes à correspondente contratação encontram-se no respectivo processo administrativo digital, à disposição do Tribunal de Contas do Estado de São Paulo (TCESP), e serão remetidos quando requisitados.</w:t>
            </w:r>
          </w:p>
          <w:p>
            <w:pPr>
              <w:pStyle w:val="Normal"/>
              <w:widowControl/>
              <w:overflowPunct w:val="false"/>
              <w:autoSpaceDE w:val="false"/>
              <w:bidi w:val="0"/>
              <w:spacing w:lineRule="auto" w:line="360"/>
              <w:ind w:left="0" w:right="0" w:firstLine="1417"/>
              <w:jc w:val="both"/>
              <w:textAlignment w:val="baseline"/>
              <w:rPr/>
            </w:pPr>
            <w:r>
              <w:rPr>
                <w:sz w:val="24"/>
                <w:szCs w:val="24"/>
              </w:rPr>
              <w:t>Palmital/</w:t>
            </w:r>
            <w:r>
              <w:rPr>
                <w:sz w:val="24"/>
                <w:szCs w:val="24"/>
              </w:rPr>
              <w:t>SP</w:t>
            </w:r>
            <w:r>
              <w:rPr>
                <w:sz w:val="24"/>
                <w:szCs w:val="24"/>
              </w:rPr>
              <w:t>, 25 de fevereiro de 2026.</w:t>
            </w:r>
          </w:p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ind w:left="0" w:right="0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auto"/>
                <w:sz w:val="20"/>
                <w:szCs w:val="20"/>
                <w:lang w:val="pt-BR" w:bidi="ar-SA"/>
              </w:rPr>
            </w:pPr>
            <w:r>
              <w:rPr>
                <w:rFonts w:eastAsia="Times New Roman" w:cs="Times New Roman"/>
                <w:b/>
                <w:bCs/>
                <w:color w:val="auto"/>
                <w:sz w:val="20"/>
                <w:szCs w:val="20"/>
                <w:lang w:val="pt-BR" w:bidi="ar-SA"/>
              </w:rPr>
            </w:r>
          </w:p>
          <w:p>
            <w:pPr>
              <w:pStyle w:val="Normal"/>
              <w:ind w:left="0" w:right="0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auto"/>
                <w:sz w:val="20"/>
                <w:szCs w:val="20"/>
                <w:lang w:val="pt-BR" w:bidi="ar-SA"/>
              </w:rPr>
            </w:pPr>
            <w:r>
              <w:rPr>
                <w:rFonts w:eastAsia="Times New Roman" w:cs="Times New Roman"/>
                <w:b/>
                <w:bCs/>
                <w:color w:val="auto"/>
                <w:sz w:val="20"/>
                <w:szCs w:val="20"/>
                <w:lang w:val="pt-BR" w:bidi="ar-SA"/>
              </w:rPr>
              <w:t>(assinado digitalmente)</w:t>
            </w:r>
          </w:p>
          <w:p>
            <w:pPr>
              <w:pStyle w:val="Normal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Miguel Gustavo Figueiredo Bueno</w:t>
            </w:r>
          </w:p>
          <w:p>
            <w:pPr>
              <w:pStyle w:val="Normal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position w:val="-6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position w:val="-6"/>
                <w:sz w:val="24"/>
                <w:szCs w:val="24"/>
                <w:u w:val="none"/>
              </w:rPr>
              <w:t>PRESIDENTE DA CÂMARA</w:t>
            </w:r>
          </w:p>
        </w:tc>
      </w:tr>
    </w:tbl>
    <w:p>
      <w:pPr>
        <w:pStyle w:val="Normal"/>
        <w:jc w:val="center"/>
        <w:rPr>
          <w:rFonts w:ascii="Times New Roman" w:hAnsi="Times New Roman"/>
          <w:b w:val="false"/>
          <w:b w:val="false"/>
          <w:bCs w:val="false"/>
          <w:position w:val="-6"/>
          <w:sz w:val="24"/>
          <w:szCs w:val="24"/>
          <w:u w:val="none"/>
        </w:rPr>
      </w:pPr>
      <w:r>
        <w:rPr>
          <w:b w:val="false"/>
          <w:bCs w:val="false"/>
          <w:position w:val="-6"/>
          <w:sz w:val="24"/>
          <w:szCs w:val="24"/>
          <w:u w:val="none"/>
        </w:rPr>
      </w:r>
    </w:p>
    <w:sectPr>
      <w:headerReference w:type="default" r:id="rId3"/>
      <w:type w:val="nextPage"/>
      <w:pgSz w:w="11906" w:h="16838"/>
      <w:pgMar w:left="1364" w:right="1024" w:header="38" w:top="1852" w:footer="0" w:bottom="1247" w:gutter="0"/>
      <w:pgNumType w:fmt="decimal"/>
      <w:formProt w:val="false"/>
      <w:textDirection w:val="lrTb"/>
      <w:docGrid w:type="default" w:linePitch="27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  <w:drawing>
        <wp:anchor behindDoc="1" distT="0" distB="0" distL="0" distR="0" simplePos="0" locked="0" layoutInCell="1" allowOverlap="1" relativeHeight="3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310" cy="10692130"/>
          <wp:effectExtent l="0" t="0" r="0" b="0"/>
          <wp:wrapNone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692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20"/>
  <w:defaultTabStop w:val="708"/>
  <w:compat>
    <w:doNotExpandShiftReturn/>
  </w:compat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false"/>
      <w:autoSpaceDE w:val="false"/>
      <w:bidi w:val="0"/>
      <w:textAlignment w:val="baseline"/>
    </w:pPr>
    <w:rPr>
      <w:rFonts w:ascii="Times New Roman" w:hAnsi="Times New Roman" w:eastAsia="Times New Roman" w:cs="Times New Roman"/>
      <w:color w:val="auto"/>
      <w:sz w:val="20"/>
      <w:szCs w:val="20"/>
      <w:lang w:val="pt-BR" w:bidi="ar-SA" w:eastAsia="zh-CN"/>
    </w:rPr>
  </w:style>
  <w:style w:type="character" w:styleId="DefaultParagraphFont">
    <w:name w:val="Default Paragraph Font"/>
    <w:qFormat/>
    <w:rPr/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875" w:leader="none"/>
        <w:tab w:val="right" w:pos="9750" w:leader="none"/>
      </w:tabs>
    </w:pPr>
    <w:rPr/>
  </w:style>
  <w:style w:type="paragraph" w:styleId="Cabealho">
    <w:name w:val="Header"/>
    <w:basedOn w:val="CabealhoeRodap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planalto.gov.br/ccivil_03/_Ato2019-2022/2021/Lei/L14133.htm" TargetMode="External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128</TotalTime>
  <Application>LibreOffice/6.4.2.2$Windows_X86_64 LibreOffice_project/4e471d8c02c9c90f512f7f9ead8875b57fcb1ec3</Application>
  <Pages>2</Pages>
  <Words>351</Words>
  <Characters>2061</Characters>
  <CharactersWithSpaces>2391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2020-07-28T11:53:00Z</dcterms:created>
  <dc:creator>a</dc:creator>
  <dc:description/>
  <cp:keywords/>
  <dc:language>pt-BR</dc:language>
  <cp:lastModifiedBy/>
  <dcterms:modified xsi:type="dcterms:W3CDTF">2026-02-25T07:33:40Z</dcterms:modified>
  <cp:revision>56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