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ind w:right="-54" w:hanging="0"/>
        <w:rPr>
          <w:rFonts w:eastAsia="ＭＳ 明朝" w:eastAsiaTheme="minorEastAsia"/>
          <w:highlight w:val="none"/>
          <w:shd w:fill="auto" w:val="clear"/>
        </w:rPr>
      </w:pPr>
      <w:r>
        <w:rPr>
          <w:rFonts w:cs="Arial" w:ascii="Arial" w:hAnsi="Arial"/>
          <w:b/>
          <w:bCs/>
          <w:sz w:val="22"/>
          <w:szCs w:val="22"/>
          <w:shd w:fill="auto" w:val="clear"/>
        </w:rPr>
        <w:t>PREFEITURA DO MUNICÍPIO DE ITATIBA</w:t>
      </w:r>
    </w:p>
    <w:p>
      <w:pPr>
        <w:pStyle w:val="Normal"/>
        <w:spacing w:lineRule="auto" w:line="360"/>
        <w:ind w:right="-54" w:hanging="0"/>
        <w:jc w:val="both"/>
        <w:rPr>
          <w:rFonts w:eastAsia="ＭＳ 明朝" w:eastAsiaTheme="minorEastAsia"/>
          <w:highlight w:val="none"/>
          <w:shd w:fill="auto" w:val="clear"/>
        </w:rPr>
      </w:pPr>
      <w:bookmarkStart w:id="0" w:name="_Hlk40864298"/>
      <w:r>
        <w:rPr>
          <w:rFonts w:cs="Arial" w:ascii="Arial" w:hAnsi="Arial"/>
          <w:b/>
          <w:bCs/>
          <w:sz w:val="22"/>
          <w:szCs w:val="22"/>
          <w:shd w:fill="auto" w:val="clear"/>
        </w:rPr>
        <w:t xml:space="preserve">SECRETARIA MUNICIPAL DE </w:t>
      </w:r>
      <w:bookmarkEnd w:id="0"/>
      <w:r>
        <w:rPr>
          <w:rFonts w:cs="Arial" w:ascii="Arial" w:hAnsi="Arial"/>
          <w:b/>
          <w:bCs/>
          <w:sz w:val="22"/>
          <w:szCs w:val="22"/>
          <w:shd w:fill="auto" w:val="clear"/>
        </w:rPr>
        <w:t>OBRAS E SERVIÇOS PÚBLICOS</w:t>
      </w:r>
    </w:p>
    <w:p>
      <w:pPr>
        <w:pStyle w:val="Normal"/>
        <w:spacing w:lineRule="auto" w:line="360"/>
        <w:ind w:right="-54" w:hanging="0"/>
        <w:rPr>
          <w:rFonts w:eastAsia="ＭＳ 明朝" w:eastAsiaTheme="minorEastAsia"/>
          <w:highlight w:val="none"/>
          <w:shd w:fill="auto" w:val="clear"/>
        </w:rPr>
      </w:pPr>
      <w:r>
        <w:rPr>
          <w:rFonts w:cs="Arial" w:ascii="Arial" w:hAnsi="Arial"/>
          <w:b/>
          <w:bCs/>
          <w:sz w:val="22"/>
          <w:szCs w:val="22"/>
          <w:shd w:fill="auto" w:val="clear"/>
        </w:rPr>
        <w:t>PROCESSO ADMINISTRATIVO Nº 4670/2024</w:t>
      </w:r>
    </w:p>
    <w:p>
      <w:pPr>
        <w:pStyle w:val="Normal"/>
        <w:spacing w:lineRule="auto" w:line="360"/>
        <w:ind w:right="-54" w:hanging="0"/>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sz w:val="22"/>
          <w:szCs w:val="22"/>
        </w:rPr>
      </w:pPr>
      <w:r>
        <w:rPr>
          <w:rFonts w:cs="Arial" w:ascii="Arial" w:hAnsi="Arial"/>
          <w:b/>
          <w:sz w:val="22"/>
          <w:szCs w:val="22"/>
        </w:rPr>
        <w:t>AVISO</w:t>
      </w:r>
      <w:r>
        <w:rPr>
          <w:rFonts w:cs="Arial" w:ascii="Arial" w:hAnsi="Arial"/>
          <w:b/>
          <w:spacing w:val="-4"/>
          <w:sz w:val="22"/>
          <w:szCs w:val="22"/>
        </w:rPr>
        <w:t xml:space="preserve"> </w:t>
      </w:r>
      <w:r>
        <w:rPr>
          <w:rFonts w:cs="Arial" w:ascii="Arial" w:hAnsi="Arial"/>
          <w:b/>
          <w:sz w:val="22"/>
          <w:szCs w:val="22"/>
        </w:rPr>
        <w:t>DE</w:t>
      </w:r>
      <w:r>
        <w:rPr>
          <w:rFonts w:cs="Arial" w:ascii="Arial" w:hAnsi="Arial"/>
          <w:b/>
          <w:spacing w:val="-3"/>
          <w:sz w:val="22"/>
          <w:szCs w:val="22"/>
        </w:rPr>
        <w:t xml:space="preserve"> </w:t>
      </w:r>
      <w:r>
        <w:rPr>
          <w:rFonts w:cs="Arial" w:ascii="Arial" w:hAnsi="Arial"/>
          <w:b/>
          <w:sz w:val="22"/>
          <w:szCs w:val="22"/>
        </w:rPr>
        <w:t>DISPENSA</w:t>
      </w:r>
      <w:r>
        <w:rPr>
          <w:rFonts w:cs="Arial" w:ascii="Arial" w:hAnsi="Arial"/>
          <w:b/>
          <w:spacing w:val="-3"/>
          <w:sz w:val="22"/>
          <w:szCs w:val="22"/>
        </w:rPr>
        <w:t xml:space="preserve"> </w:t>
      </w:r>
      <w:r>
        <w:rPr>
          <w:rFonts w:cs="Arial" w:ascii="Arial" w:hAnsi="Arial"/>
          <w:b/>
          <w:sz w:val="22"/>
          <w:szCs w:val="22"/>
        </w:rPr>
        <w:t>DE</w:t>
      </w:r>
      <w:r>
        <w:rPr>
          <w:rFonts w:cs="Arial" w:ascii="Arial" w:hAnsi="Arial"/>
          <w:b/>
          <w:spacing w:val="-3"/>
          <w:sz w:val="22"/>
          <w:szCs w:val="22"/>
        </w:rPr>
        <w:t xml:space="preserve"> </w:t>
      </w:r>
      <w:r>
        <w:rPr>
          <w:rFonts w:cs="Arial" w:ascii="Arial" w:hAnsi="Arial"/>
          <w:b/>
          <w:sz w:val="22"/>
          <w:szCs w:val="22"/>
        </w:rPr>
        <w:t>LICITAÇÃO</w:t>
      </w:r>
      <w:r>
        <w:rPr>
          <w:rFonts w:cs="Arial" w:ascii="Arial" w:hAnsi="Arial"/>
          <w:b/>
          <w:spacing w:val="-2"/>
          <w:sz w:val="22"/>
          <w:szCs w:val="22"/>
          <w:shd w:fill="auto" w:val="clear"/>
        </w:rPr>
        <w:t xml:space="preserve"> </w:t>
      </w:r>
      <w:r>
        <w:rPr>
          <w:rFonts w:cs="Arial" w:ascii="Arial" w:hAnsi="Arial"/>
          <w:b/>
          <w:sz w:val="22"/>
          <w:szCs w:val="22"/>
          <w:shd w:fill="auto" w:val="clear"/>
        </w:rPr>
        <w:t>N° 500201/2024</w:t>
      </w:r>
    </w:p>
    <w:p>
      <w:pPr>
        <w:pStyle w:val="Normal"/>
        <w:spacing w:lineRule="auto" w:line="360"/>
        <w:rPr>
          <w:rFonts w:ascii="Arial" w:hAnsi="Arial" w:cs="Arial"/>
          <w:b/>
          <w:b/>
          <w:sz w:val="22"/>
          <w:szCs w:val="22"/>
        </w:rPr>
      </w:pPr>
      <w:r>
        <w:rPr>
          <w:rFonts w:cs="Arial" w:ascii="Arial" w:hAnsi="Arial"/>
          <w:b/>
          <w:sz w:val="22"/>
          <w:szCs w:val="22"/>
        </w:rPr>
      </w:r>
    </w:p>
    <w:p>
      <w:pPr>
        <w:pStyle w:val="Normal"/>
        <w:spacing w:lineRule="auto" w:line="360"/>
        <w:jc w:val="center"/>
        <w:rPr>
          <w:rFonts w:ascii="Arial" w:hAnsi="Arial" w:cs="Arial"/>
          <w:b/>
          <w:b/>
          <w:sz w:val="22"/>
          <w:szCs w:val="22"/>
        </w:rPr>
      </w:pPr>
      <w:r>
        <w:rPr>
          <w:rFonts w:cs="Arial" w:ascii="Arial" w:hAnsi="Arial"/>
          <w:b/>
          <w:sz w:val="22"/>
          <w:szCs w:val="22"/>
        </w:rPr>
        <w:t xml:space="preserve">FUNDAMENTAÇÃO LEGAL: ART. 75, INCISO II, DA LEI FEDERAL Nº 14.133/2021; </w:t>
      </w:r>
    </w:p>
    <w:p>
      <w:pPr>
        <w:pStyle w:val="Normal"/>
        <w:spacing w:lineRule="auto" w:line="360"/>
        <w:jc w:val="center"/>
        <w:rPr>
          <w:rFonts w:ascii="Arial" w:hAnsi="Arial" w:cs="Arial"/>
          <w:b/>
          <w:b/>
          <w:sz w:val="22"/>
          <w:szCs w:val="22"/>
        </w:rPr>
      </w:pPr>
      <w:r>
        <w:rPr>
          <w:rFonts w:cs="Arial" w:ascii="Arial" w:hAnsi="Arial"/>
          <w:b/>
          <w:sz w:val="22"/>
          <w:szCs w:val="22"/>
        </w:rPr>
        <w:t>DECRETO MUNICIPAL Nº 8.025</w:t>
      </w:r>
      <w:r>
        <w:rPr>
          <w:rFonts w:cs="Arial" w:ascii="Arial" w:hAnsi="Arial"/>
          <w:b/>
          <w:sz w:val="22"/>
          <w:szCs w:val="22"/>
          <w:shd w:fill="auto" w:val="clear"/>
        </w:rPr>
        <w:t>, de 03 de abril de 2024.</w:t>
      </w:r>
    </w:p>
    <w:p>
      <w:pPr>
        <w:pStyle w:val="Normal"/>
        <w:spacing w:lineRule="auto" w:line="360"/>
        <w:jc w:val="center"/>
        <w:rPr>
          <w:rFonts w:ascii="Arial" w:hAnsi="Arial" w:cs="Arial"/>
          <w:b/>
          <w:b/>
          <w:sz w:val="22"/>
          <w:szCs w:val="22"/>
        </w:rPr>
      </w:pPr>
      <w:r>
        <w:rPr>
          <w:rFonts w:cs="Arial" w:ascii="Arial" w:hAnsi="Arial"/>
          <w:b/>
          <w:sz w:val="22"/>
          <w:szCs w:val="22"/>
        </w:rPr>
      </w:r>
    </w:p>
    <w:p>
      <w:pPr>
        <w:pStyle w:val="Normal"/>
        <w:spacing w:lineRule="auto" w:line="360"/>
        <w:jc w:val="center"/>
        <w:rPr>
          <w:rFonts w:ascii="Arial" w:hAnsi="Arial" w:cs="Arial"/>
          <w:b/>
          <w:b/>
          <w:sz w:val="22"/>
          <w:szCs w:val="22"/>
        </w:rPr>
      </w:pPr>
      <w:r>
        <w:rPr>
          <w:rFonts w:cs="Arial" w:ascii="Arial" w:hAnsi="Arial"/>
          <w:b/>
          <w:sz w:val="22"/>
          <w:szCs w:val="22"/>
        </w:rPr>
      </w:r>
    </w:p>
    <w:tbl>
      <w:tblPr>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874"/>
        <w:gridCol w:w="4753"/>
      </w:tblGrid>
      <w:tr>
        <w:trPr/>
        <w:tc>
          <w:tcPr>
            <w:tcW w:w="48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both"/>
              <w:rPr>
                <w:rFonts w:ascii="Arial" w:hAnsi="Arial" w:cs="Arial"/>
                <w:b/>
                <w:b/>
                <w:bCs/>
                <w:sz w:val="22"/>
                <w:szCs w:val="22"/>
              </w:rPr>
            </w:pPr>
            <w:r>
              <w:rPr>
                <w:rFonts w:cs="Arial" w:ascii="Arial" w:hAnsi="Arial"/>
                <w:b/>
                <w:bCs/>
                <w:sz w:val="22"/>
                <w:szCs w:val="22"/>
              </w:rPr>
              <w:t xml:space="preserve">DATA E HORA LIMITE PARA ENVIO DA PROPOSTA DE PREÇOS E DOCUMENTO DE HABILITAÇÃO NO SÍTIO </w:t>
            </w:r>
            <w:hyperlink r:id="rId2">
              <w:r>
                <w:rPr>
                  <w:rStyle w:val="LinkdaInternet"/>
                  <w:rFonts w:cs="Arial" w:ascii="Arial" w:hAnsi="Arial"/>
                  <w:b/>
                  <w:bCs/>
                  <w:sz w:val="22"/>
                  <w:szCs w:val="22"/>
                </w:rPr>
                <w:t>www.novobbmnet.com.br</w:t>
              </w:r>
            </w:hyperlink>
            <w:r>
              <w:rPr>
                <w:rFonts w:cs="Arial" w:ascii="Arial" w:hAnsi="Arial"/>
                <w:b/>
                <w:bCs/>
                <w:sz w:val="22"/>
                <w:szCs w:val="22"/>
              </w:rPr>
              <w:t xml:space="preserve"> </w:t>
            </w:r>
          </w:p>
        </w:tc>
        <w:tc>
          <w:tcPr>
            <w:tcW w:w="47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eastAsia="ＭＳ 明朝" w:eastAsiaTheme="minorEastAsia"/>
                <w:highlight w:val="none"/>
                <w:shd w:fill="auto" w:val="clear"/>
              </w:rPr>
            </w:pPr>
            <w:r>
              <w:rPr>
                <w:rFonts w:cs="Arial" w:ascii="Arial" w:hAnsi="Arial"/>
                <w:b/>
                <w:bCs/>
                <w:sz w:val="22"/>
                <w:szCs w:val="22"/>
                <w:shd w:fill="auto" w:val="clear"/>
              </w:rPr>
              <w:t>Proposta: Até dia 24 de junho de 2024, às 17h00min (horário de Brasília)</w:t>
            </w:r>
          </w:p>
          <w:p>
            <w:pPr>
              <w:pStyle w:val="Normal"/>
              <w:widowControl w:val="false"/>
              <w:spacing w:lineRule="auto" w:line="360"/>
              <w:jc w:val="center"/>
              <w:rPr>
                <w:rFonts w:eastAsia="ＭＳ 明朝" w:eastAsiaTheme="minorEastAsia"/>
                <w:highlight w:val="none"/>
                <w:shd w:fill="auto" w:val="clear"/>
              </w:rPr>
            </w:pPr>
            <w:r>
              <w:rPr>
                <w:rFonts w:cs="Arial" w:ascii="Arial" w:hAnsi="Arial"/>
                <w:b/>
                <w:bCs/>
                <w:sz w:val="22"/>
                <w:szCs w:val="22"/>
                <w:shd w:fill="auto" w:val="clear"/>
              </w:rPr>
              <w:t>Fase de lances: Dia 25 de junho de 2024, dás 8h00min (horário de Brasília) às 14h00min  (horário de Brasília)</w:t>
            </w:r>
          </w:p>
          <w:p>
            <w:pPr>
              <w:pStyle w:val="Normal"/>
              <w:widowControl w:val="false"/>
              <w:spacing w:lineRule="auto" w:line="360"/>
              <w:jc w:val="center"/>
              <w:rPr>
                <w:rFonts w:eastAsia="ＭＳ 明朝" w:eastAsiaTheme="minorEastAsia"/>
                <w:highlight w:val="none"/>
                <w:shd w:fill="auto" w:val="clear"/>
              </w:rPr>
            </w:pPr>
            <w:r>
              <w:rPr>
                <w:rFonts w:cs="Arial" w:ascii="Arial" w:hAnsi="Arial"/>
                <w:b/>
                <w:bCs/>
                <w:sz w:val="22"/>
                <w:szCs w:val="22"/>
                <w:shd w:fill="auto" w:val="clear"/>
              </w:rPr>
              <w:t>Habilitação: Duas horas após definido o vencedor na fase de lances</w:t>
            </w:r>
          </w:p>
        </w:tc>
      </w:tr>
    </w:tbl>
    <w:p>
      <w:pPr>
        <w:pStyle w:val="Normal"/>
        <w:spacing w:lineRule="auto" w:line="360"/>
        <w:ind w:right="-54" w:hanging="0"/>
        <w:rPr>
          <w:rFonts w:ascii="Arial" w:hAnsi="Arial" w:cs="Arial"/>
          <w:b/>
          <w:b/>
          <w:bCs/>
          <w:sz w:val="22"/>
          <w:szCs w:val="22"/>
        </w:rPr>
      </w:pPr>
      <w:r>
        <w:rPr>
          <w:rFonts w:cs="Arial" w:ascii="Arial" w:hAnsi="Arial"/>
          <w:b/>
          <w:bCs/>
          <w:sz w:val="22"/>
          <w:szCs w:val="22"/>
        </w:rPr>
      </w:r>
    </w:p>
    <w:p>
      <w:pPr>
        <w:pStyle w:val="Normal"/>
        <w:spacing w:lineRule="auto" w:line="360"/>
        <w:ind w:right="-54" w:hanging="0"/>
        <w:rPr>
          <w:rFonts w:ascii="Arial" w:hAnsi="Arial" w:cs="Arial"/>
          <w:b/>
          <w:b/>
          <w:bCs/>
          <w:sz w:val="22"/>
          <w:szCs w:val="22"/>
        </w:rPr>
      </w:pPr>
      <w:r>
        <w:rPr>
          <w:rFonts w:cs="Arial" w:ascii="Arial" w:hAnsi="Arial"/>
          <w:b/>
          <w:bCs/>
          <w:sz w:val="22"/>
          <w:szCs w:val="22"/>
        </w:rPr>
      </w:r>
    </w:p>
    <w:p>
      <w:pPr>
        <w:pStyle w:val="Normal"/>
        <w:spacing w:lineRule="auto" w:line="360"/>
        <w:jc w:val="both"/>
        <w:rPr>
          <w:rFonts w:ascii="Arial" w:hAnsi="Arial" w:cs="Arial"/>
          <w:sz w:val="22"/>
          <w:szCs w:val="22"/>
        </w:rPr>
      </w:pPr>
      <w:r>
        <w:rPr>
          <w:rFonts w:cs="Arial" w:ascii="Arial" w:hAnsi="Arial"/>
          <w:sz w:val="22"/>
          <w:szCs w:val="22"/>
        </w:rPr>
        <w:t xml:space="preserve">A </w:t>
      </w:r>
      <w:r>
        <w:rPr>
          <w:rFonts w:cs="Arial" w:ascii="Arial" w:hAnsi="Arial"/>
          <w:b/>
          <w:sz w:val="22"/>
          <w:szCs w:val="22"/>
        </w:rPr>
        <w:t>PREFEITURA DO MUNICÍPIO DE ITATIBA</w:t>
      </w:r>
      <w:r>
        <w:rPr>
          <w:rFonts w:cs="Arial" w:ascii="Arial" w:hAnsi="Arial"/>
          <w:sz w:val="22"/>
          <w:szCs w:val="22"/>
        </w:rPr>
        <w:t>, por meio da</w:t>
      </w:r>
      <w:r>
        <w:rPr>
          <w:rFonts w:cs="Arial" w:ascii="Arial" w:hAnsi="Arial"/>
          <w:b/>
          <w:bCs/>
          <w:sz w:val="22"/>
          <w:szCs w:val="22"/>
          <w:shd w:fill="auto" w:val="clear"/>
        </w:rPr>
        <w:t xml:space="preserve"> SECRETARIA MUNICIPAL DE OBRAS E SERVIÇOS PÚBLICOS,</w:t>
      </w:r>
      <w:r>
        <w:rPr>
          <w:rFonts w:cs="Arial" w:ascii="Arial" w:hAnsi="Arial"/>
          <w:sz w:val="22"/>
          <w:szCs w:val="22"/>
          <w:shd w:fill="auto" w:val="clear"/>
        </w:rPr>
        <w:t xml:space="preserve"> </w:t>
      </w:r>
      <w:r>
        <w:rPr>
          <w:rFonts w:cs="Arial" w:ascii="Arial" w:hAnsi="Arial"/>
          <w:sz w:val="22"/>
          <w:szCs w:val="22"/>
        </w:rPr>
        <w:t xml:space="preserve">sediada à Avenida Luciano Consoline, nº 600, Jardim de Luca, Itatiba/SP, torna pública a manifestação de interesse em obter propostas adicionais de eventuais interessados através de realização da </w:t>
      </w:r>
      <w:r>
        <w:rPr>
          <w:rFonts w:cs="Arial" w:ascii="Arial" w:hAnsi="Arial"/>
          <w:b/>
          <w:bCs/>
          <w:sz w:val="22"/>
          <w:szCs w:val="22"/>
        </w:rPr>
        <w:t>DISPENSA DE LICITAÇÃO</w:t>
      </w:r>
      <w:r>
        <w:rPr>
          <w:rFonts w:cs="Arial" w:ascii="Arial" w:hAnsi="Arial"/>
          <w:sz w:val="22"/>
          <w:szCs w:val="22"/>
        </w:rPr>
        <w:t xml:space="preserve">, com critério de julgamento </w:t>
      </w:r>
      <w:r>
        <w:rPr>
          <w:rFonts w:cs="Arial" w:ascii="Arial" w:hAnsi="Arial"/>
          <w:b/>
          <w:bCs/>
          <w:sz w:val="22"/>
          <w:szCs w:val="22"/>
        </w:rPr>
        <w:t>MENOR PREÇO</w:t>
      </w:r>
      <w:r>
        <w:rPr>
          <w:rFonts w:cs="Arial" w:ascii="Arial" w:hAnsi="Arial"/>
          <w:b/>
          <w:bCs/>
          <w:sz w:val="22"/>
          <w:szCs w:val="22"/>
          <w:shd w:fill="auto" w:val="clear"/>
        </w:rPr>
        <w:t xml:space="preserve"> POR ITEM</w:t>
      </w:r>
      <w:r>
        <w:rPr>
          <w:rFonts w:cs="Arial" w:ascii="Arial" w:hAnsi="Arial"/>
          <w:sz w:val="22"/>
          <w:szCs w:val="22"/>
        </w:rPr>
        <w:t>, nos termos do artigo 75, Inciso II da Lei 14.133/2021 e Decreto Municipal nº 8.025</w:t>
      </w:r>
      <w:r>
        <w:rPr>
          <w:rFonts w:cs="Arial" w:ascii="Arial" w:hAnsi="Arial"/>
          <w:sz w:val="22"/>
          <w:szCs w:val="22"/>
          <w:shd w:fill="auto" w:val="clear"/>
        </w:rPr>
        <w:t>, de 03 de abril de 2024.,</w:t>
      </w:r>
      <w:r>
        <w:rPr>
          <w:rFonts w:cs="Arial" w:ascii="Arial" w:hAnsi="Arial"/>
          <w:sz w:val="22"/>
          <w:szCs w:val="22"/>
        </w:rPr>
        <w:t xml:space="preserve"> e de acordo com as condições, critérios e procedimentos estabelecidos neste Aviso e seus anexos, objetivando obter a proposta mais vantajosa, observadas as datas e horários discriminados.</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eastAsia="ＭＳ 明朝" w:eastAsiaTheme="minorEastAsia"/>
          <w:highlight w:val="none"/>
          <w:shd w:fill="auto" w:val="clear"/>
        </w:rPr>
      </w:pPr>
      <w:r>
        <w:rPr>
          <w:rFonts w:cs="Arial" w:ascii="Arial" w:hAnsi="Arial"/>
          <w:b/>
          <w:bCs/>
          <w:sz w:val="22"/>
          <w:szCs w:val="22"/>
          <w:shd w:fill="auto" w:val="clear"/>
        </w:rPr>
        <w:t>I – OBJETO</w:t>
      </w:r>
      <w:bookmarkStart w:id="1" w:name="_Hlk159911049"/>
    </w:p>
    <w:p>
      <w:pPr>
        <w:pStyle w:val="Normal"/>
        <w:spacing w:lineRule="auto" w:line="360"/>
        <w:jc w:val="both"/>
        <w:rPr>
          <w:rFonts w:eastAsia="ＭＳ 明朝" w:eastAsiaTheme="minorEastAsia"/>
          <w:highlight w:val="none"/>
          <w:shd w:fill="auto" w:val="clear"/>
        </w:rPr>
      </w:pPr>
      <w:r>
        <w:rPr>
          <w:rFonts w:cs="Arial" w:ascii="Arial" w:hAnsi="Arial"/>
          <w:sz w:val="22"/>
          <w:szCs w:val="22"/>
          <w:shd w:fill="auto" w:val="clear"/>
        </w:rPr>
        <w:t xml:space="preserve">1.1 – Contratação/Aquisição de Gases e arame MIG, </w:t>
      </w:r>
      <w:bookmarkEnd w:id="1"/>
      <w:r>
        <w:rPr>
          <w:rFonts w:cs="Arial" w:ascii="Arial" w:hAnsi="Arial"/>
          <w:sz w:val="22"/>
          <w:szCs w:val="22"/>
          <w:shd w:fill="auto" w:val="clear"/>
        </w:rPr>
        <w:t>nas especificações e quantitativos descritos abaixo:</w:t>
      </w:r>
    </w:p>
    <w:p>
      <w:pPr>
        <w:pStyle w:val="Normal"/>
        <w:spacing w:lineRule="auto" w:line="360"/>
        <w:jc w:val="both"/>
        <w:rPr>
          <w:rFonts w:ascii="Arial" w:hAnsi="Arial" w:cs="Arial"/>
          <w:sz w:val="22"/>
          <w:szCs w:val="22"/>
          <w:highlight w:val="none"/>
          <w:shd w:fill="auto" w:val="clear"/>
        </w:rPr>
      </w:pPr>
      <w:r>
        <w:rPr>
          <w:rFonts w:cs="Arial" w:ascii="Arial" w:hAnsi="Arial"/>
          <w:sz w:val="22"/>
          <w:szCs w:val="22"/>
          <w:shd w:fill="auto" w:val="clear"/>
        </w:rPr>
      </w:r>
    </w:p>
    <w:p>
      <w:pPr>
        <w:pStyle w:val="Normal"/>
        <w:spacing w:lineRule="auto" w:line="360"/>
        <w:jc w:val="both"/>
        <w:rPr>
          <w:rFonts w:eastAsia="ＭＳ 明朝" w:eastAsiaTheme="minorEastAsia"/>
          <w:highlight w:val="none"/>
          <w:shd w:fill="auto" w:val="clear"/>
        </w:rPr>
      </w:pPr>
      <w:r>
        <w:rPr>
          <w:rFonts w:cs="Arial" w:ascii="Arial" w:hAnsi="Arial"/>
          <w:b/>
          <w:bCs/>
          <w:sz w:val="22"/>
          <w:szCs w:val="22"/>
          <w:shd w:fill="auto" w:val="clear"/>
        </w:rPr>
        <w:t>II- ESPECIFICAÇÃO DOS ITENS</w:t>
      </w:r>
    </w:p>
    <w:tbl>
      <w:tblPr>
        <w:tblW w:w="9585" w:type="dxa"/>
        <w:jc w:val="left"/>
        <w:tblInd w:w="-65" w:type="dxa"/>
        <w:tblLayout w:type="fixed"/>
        <w:tblCellMar>
          <w:top w:w="60" w:type="dxa"/>
          <w:left w:w="60" w:type="dxa"/>
          <w:bottom w:w="60" w:type="dxa"/>
          <w:right w:w="60" w:type="dxa"/>
        </w:tblCellMar>
        <w:tblLook w:firstRow="1" w:noVBand="1" w:lastRow="0" w:firstColumn="1" w:lastColumn="0" w:noHBand="0" w:val="04a0"/>
      </w:tblPr>
      <w:tblGrid>
        <w:gridCol w:w="803"/>
        <w:gridCol w:w="7280"/>
        <w:gridCol w:w="1502"/>
      </w:tblGrid>
      <w:tr>
        <w:trPr/>
        <w:tc>
          <w:tcPr>
            <w:tcW w:w="803"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jc w:val="right"/>
              <w:rPr>
                <w:rFonts w:eastAsia="ＭＳ 明朝" w:eastAsiaTheme="minorEastAsia"/>
                <w:highlight w:val="none"/>
                <w:shd w:fill="auto" w:val="clear"/>
              </w:rPr>
            </w:pPr>
            <w:r>
              <w:rPr>
                <w:rFonts w:cs="Arial" w:ascii="Arial" w:hAnsi="Arial"/>
                <w:b/>
                <w:bCs/>
                <w:sz w:val="20"/>
                <w:szCs w:val="20"/>
                <w:shd w:fill="auto" w:val="clear"/>
              </w:rPr>
              <w:t>Item</w:t>
            </w:r>
          </w:p>
        </w:tc>
        <w:tc>
          <w:tcPr>
            <w:tcW w:w="7280"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rPr>
                <w:rFonts w:eastAsia="ＭＳ 明朝" w:eastAsiaTheme="minorEastAsia"/>
                <w:highlight w:val="none"/>
                <w:shd w:fill="auto" w:val="clear"/>
              </w:rPr>
            </w:pPr>
            <w:r>
              <w:rPr>
                <w:rFonts w:cs="Arial" w:ascii="Arial" w:hAnsi="Arial"/>
                <w:b/>
                <w:bCs/>
                <w:sz w:val="20"/>
                <w:szCs w:val="20"/>
                <w:shd w:fill="auto" w:val="clear"/>
              </w:rPr>
              <w:t>Material</w:t>
            </w:r>
          </w:p>
        </w:tc>
        <w:tc>
          <w:tcPr>
            <w:tcW w:w="1502"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rPr>
                <w:rFonts w:eastAsia="ＭＳ 明朝" w:eastAsiaTheme="minorEastAsia"/>
                <w:highlight w:val="none"/>
                <w:shd w:fill="auto" w:val="clear"/>
              </w:rPr>
            </w:pPr>
            <w:r>
              <w:rPr>
                <w:rFonts w:cs="Arial" w:ascii="Arial" w:hAnsi="Arial"/>
                <w:b/>
                <w:bCs/>
                <w:sz w:val="20"/>
                <w:szCs w:val="20"/>
                <w:shd w:fill="auto" w:val="clear"/>
              </w:rPr>
              <w:t>Unidade</w:t>
            </w:r>
          </w:p>
        </w:tc>
      </w:tr>
      <w:tr>
        <w:trPr/>
        <w:tc>
          <w:tcPr>
            <w:tcW w:w="80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1</w:t>
            </w:r>
          </w:p>
        </w:tc>
        <w:tc>
          <w:tcPr>
            <w:tcW w:w="72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Mistura para Solda MIG (Gás carbônico + argônio)</w:t>
            </w:r>
          </w:p>
        </w:tc>
        <w:tc>
          <w:tcPr>
            <w:tcW w:w="1502"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M³</w:t>
            </w:r>
          </w:p>
        </w:tc>
      </w:tr>
      <w:tr>
        <w:trPr/>
        <w:tc>
          <w:tcPr>
            <w:tcW w:w="803" w:type="dxa"/>
            <w:tcBorders>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2</w:t>
            </w:r>
          </w:p>
        </w:tc>
        <w:tc>
          <w:tcPr>
            <w:tcW w:w="7280" w:type="dxa"/>
            <w:tcBorders>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Oxigênio Industrial em Cilindros</w:t>
            </w:r>
          </w:p>
        </w:tc>
        <w:tc>
          <w:tcPr>
            <w:tcW w:w="1502" w:type="dxa"/>
            <w:tcBorders>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M³</w:t>
            </w:r>
          </w:p>
        </w:tc>
      </w:tr>
      <w:tr>
        <w:trPr/>
        <w:tc>
          <w:tcPr>
            <w:tcW w:w="803" w:type="dxa"/>
            <w:tcBorders>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3</w:t>
            </w:r>
          </w:p>
        </w:tc>
        <w:tc>
          <w:tcPr>
            <w:tcW w:w="7280" w:type="dxa"/>
            <w:tcBorders>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Acetileno (gás) em cilindros de 9kg</w:t>
            </w:r>
          </w:p>
        </w:tc>
        <w:tc>
          <w:tcPr>
            <w:tcW w:w="1502" w:type="dxa"/>
            <w:tcBorders>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KG</w:t>
            </w:r>
          </w:p>
        </w:tc>
      </w:tr>
      <w:tr>
        <w:trPr/>
        <w:tc>
          <w:tcPr>
            <w:tcW w:w="803" w:type="dxa"/>
            <w:tcBorders>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4</w:t>
            </w:r>
          </w:p>
        </w:tc>
        <w:tc>
          <w:tcPr>
            <w:tcW w:w="7280" w:type="dxa"/>
            <w:tcBorders>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Arame MIG</w:t>
            </w:r>
          </w:p>
        </w:tc>
        <w:tc>
          <w:tcPr>
            <w:tcW w:w="1502" w:type="dxa"/>
            <w:tcBorders>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RL</w:t>
            </w:r>
          </w:p>
        </w:tc>
      </w:tr>
    </w:tbl>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III - CONDIÇÕES DE PARTICIPAÇÃO</w:t>
      </w:r>
    </w:p>
    <w:p>
      <w:pPr>
        <w:pStyle w:val="Normal"/>
        <w:spacing w:lineRule="auto" w:line="360"/>
        <w:jc w:val="both"/>
        <w:rPr>
          <w:rFonts w:ascii="Arial" w:hAnsi="Arial" w:cs="Arial"/>
          <w:sz w:val="22"/>
          <w:szCs w:val="22"/>
        </w:rPr>
      </w:pPr>
      <w:r>
        <w:rPr>
          <w:rFonts w:cs="Arial" w:ascii="Arial" w:hAnsi="Arial"/>
          <w:sz w:val="22"/>
          <w:szCs w:val="22"/>
        </w:rPr>
        <w:t>3.1- Poderão participar desta Dispensa de Licitação, pessoa jurídica, regularmente estabelecida no país que atenda às condições exigidas neste Aviso e seus anexos, devendo pertencer ao ramo da atividade pertinente e compatível com o objeto pretendido.</w:t>
      </w:r>
    </w:p>
    <w:p>
      <w:pPr>
        <w:pStyle w:val="Normal"/>
        <w:spacing w:lineRule="auto" w:line="360"/>
        <w:jc w:val="both"/>
        <w:rPr>
          <w:rFonts w:ascii="Arial" w:hAnsi="Arial" w:cs="Arial"/>
          <w:sz w:val="22"/>
          <w:szCs w:val="22"/>
        </w:rPr>
      </w:pPr>
      <w:r>
        <w:rPr>
          <w:rFonts w:cs="Arial" w:ascii="Arial" w:hAnsi="Arial"/>
          <w:sz w:val="22"/>
          <w:szCs w:val="22"/>
        </w:rPr>
        <w:t>3.2- Não poderão participar desta Dispensa de Licitação os interessados:</w:t>
      </w:r>
    </w:p>
    <w:p>
      <w:pPr>
        <w:pStyle w:val="Normal"/>
        <w:spacing w:lineRule="auto" w:line="360"/>
        <w:ind w:left="567" w:hanging="0"/>
        <w:jc w:val="both"/>
        <w:rPr>
          <w:rFonts w:ascii="Arial" w:hAnsi="Arial" w:cs="Arial"/>
          <w:sz w:val="22"/>
          <w:szCs w:val="22"/>
        </w:rPr>
      </w:pPr>
      <w:r>
        <w:rPr>
          <w:rFonts w:cs="Arial" w:ascii="Arial" w:hAnsi="Arial"/>
          <w:sz w:val="22"/>
          <w:szCs w:val="22"/>
        </w:rPr>
        <w:t>a) Proibidos de participar de licitações e celebrar contratos administrativos, na forma da legislação vigente.</w:t>
      </w:r>
    </w:p>
    <w:p>
      <w:pPr>
        <w:pStyle w:val="Normal"/>
        <w:spacing w:lineRule="auto" w:line="360"/>
        <w:ind w:left="567" w:hanging="0"/>
        <w:jc w:val="both"/>
        <w:rPr>
          <w:rFonts w:ascii="Arial" w:hAnsi="Arial" w:cs="Arial"/>
          <w:sz w:val="22"/>
          <w:szCs w:val="22"/>
        </w:rPr>
      </w:pPr>
      <w:r>
        <w:rPr>
          <w:rFonts w:cs="Arial" w:ascii="Arial" w:hAnsi="Arial"/>
          <w:sz w:val="22"/>
          <w:szCs w:val="22"/>
        </w:rPr>
        <w:t>b) Que não atendam às condições deste Aviso e Termo de Referência;</w:t>
      </w:r>
    </w:p>
    <w:p>
      <w:pPr>
        <w:pStyle w:val="Normal"/>
        <w:spacing w:lineRule="auto" w:line="360"/>
        <w:ind w:left="567" w:hanging="0"/>
        <w:jc w:val="both"/>
        <w:rPr>
          <w:rFonts w:ascii="Arial" w:hAnsi="Arial" w:cs="Arial"/>
          <w:sz w:val="22"/>
          <w:szCs w:val="22"/>
        </w:rPr>
      </w:pPr>
      <w:r>
        <w:rPr>
          <w:rFonts w:cs="Arial" w:ascii="Arial" w:hAnsi="Arial"/>
          <w:sz w:val="22"/>
          <w:szCs w:val="22"/>
        </w:rPr>
        <w:t>c) Estrangeiros que não tenham representação legal no Brasil com poderes expressos para receber citação e responder administrativa ou judicialmente;</w:t>
      </w:r>
    </w:p>
    <w:p>
      <w:pPr>
        <w:pStyle w:val="Normal"/>
        <w:spacing w:lineRule="auto" w:line="360"/>
        <w:ind w:left="567" w:hanging="0"/>
        <w:jc w:val="both"/>
        <w:rPr>
          <w:rFonts w:ascii="Arial" w:hAnsi="Arial" w:cs="Arial"/>
          <w:sz w:val="22"/>
          <w:szCs w:val="22"/>
        </w:rPr>
      </w:pPr>
      <w:r>
        <w:rPr>
          <w:rFonts w:cs="Arial" w:ascii="Arial" w:hAnsi="Arial"/>
          <w:sz w:val="22"/>
          <w:szCs w:val="22"/>
        </w:rPr>
        <w:t>d) Que se enquadrem nas vedações previstas no artigo 14, da Lei Federal n° 14.133/21;</w:t>
      </w:r>
    </w:p>
    <w:p>
      <w:pPr>
        <w:pStyle w:val="Normal"/>
        <w:spacing w:lineRule="auto" w:line="360"/>
        <w:ind w:left="567" w:hanging="0"/>
        <w:jc w:val="both"/>
        <w:rPr>
          <w:rFonts w:ascii="Arial" w:hAnsi="Arial" w:cs="Arial"/>
          <w:sz w:val="22"/>
          <w:szCs w:val="22"/>
        </w:rPr>
      </w:pPr>
      <w:r>
        <w:rPr>
          <w:rFonts w:cs="Arial" w:ascii="Arial" w:hAnsi="Arial"/>
          <w:sz w:val="22"/>
          <w:szCs w:val="22"/>
        </w:rPr>
        <w:t>e) Estejam cumprindo penalidade de suspensão temporária imposta pela Administração Pública Municipal, ou, ainda, penalidade imposta por qualquer órgão da Administração Pública, nas hipóteses previstas nos incisos III e IV do art. 156 da Lei n° 14.133/21.</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IV - ESPECIFICAÇÕES DO OBJETO, DOTAÇÃO ORÇAMENTÁRIA, PRAZOS E LOCAL DE ENTREGA.</w:t>
      </w:r>
    </w:p>
    <w:p>
      <w:pPr>
        <w:pStyle w:val="Normal"/>
        <w:spacing w:lineRule="auto" w:line="360"/>
        <w:jc w:val="both"/>
        <w:rPr>
          <w:rFonts w:ascii="Arial" w:hAnsi="Arial" w:cs="Arial"/>
          <w:sz w:val="22"/>
          <w:szCs w:val="22"/>
        </w:rPr>
      </w:pPr>
      <w:r>
        <w:rPr>
          <w:rFonts w:cs="Arial" w:ascii="Arial" w:hAnsi="Arial"/>
          <w:sz w:val="22"/>
          <w:szCs w:val="22"/>
        </w:rPr>
        <w:t>4.1- As informações relativas a especificações do objeto, dotação orçamentária, prazos e local de entrega estão elencadas no Termos de Referência.</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V - PRAZO E FORMA PARA ENVIO DA PROPOSTA DE PREÇO</w:t>
      </w:r>
    </w:p>
    <w:p>
      <w:pPr>
        <w:pStyle w:val="Normal"/>
        <w:spacing w:lineRule="auto" w:line="360"/>
        <w:jc w:val="both"/>
        <w:rPr>
          <w:rFonts w:ascii="Arial" w:hAnsi="Arial" w:cs="Arial"/>
          <w:sz w:val="22"/>
          <w:szCs w:val="22"/>
        </w:rPr>
      </w:pPr>
      <w:r>
        <w:rPr>
          <w:rFonts w:cs="Arial" w:ascii="Arial" w:hAnsi="Arial"/>
          <w:sz w:val="22"/>
          <w:szCs w:val="22"/>
        </w:rPr>
        <w:t>5.1- Para participar da proposta de preços, bem como a etapa de lances, a empresa proponente deverá se cadastrar no sítio www.novobbmnet.com.br ou pelo telefone (11) 3113-1900 ou pelo E-mail elicitacao@bbmnet.com.br.</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VI - INGRESSO NA DISPENSA ELETRÔNICA E CADASTRAMENTO DA PROPOSTA INICIAL</w:t>
      </w:r>
    </w:p>
    <w:p>
      <w:pPr>
        <w:pStyle w:val="Normal"/>
        <w:spacing w:lineRule="auto" w:line="360"/>
        <w:jc w:val="both"/>
        <w:rPr>
          <w:rFonts w:ascii="Arial" w:hAnsi="Arial" w:cs="Arial"/>
          <w:sz w:val="22"/>
          <w:szCs w:val="22"/>
        </w:rPr>
      </w:pPr>
      <w:r>
        <w:rPr>
          <w:rFonts w:cs="Arial" w:ascii="Arial" w:hAnsi="Arial"/>
          <w:sz w:val="22"/>
          <w:szCs w:val="22"/>
        </w:rPr>
        <w:t>6.1- O fornecedor interessado, após a divulgação do aviso de contratação direta, encaminhará, exclusivamente por meio do Sistema de Dispensa Eletrônica supracitado, a proposta com a descrição do objeto ofertado, a marca do produto, quando for o caso, e o preço, até a data e o horário estabelecidos para abertura do procedimento.</w:t>
      </w:r>
    </w:p>
    <w:p>
      <w:pPr>
        <w:pStyle w:val="Normal"/>
        <w:spacing w:lineRule="auto" w:line="360"/>
        <w:jc w:val="both"/>
        <w:rPr>
          <w:rFonts w:ascii="Arial" w:hAnsi="Arial" w:cs="Arial"/>
          <w:sz w:val="22"/>
          <w:szCs w:val="22"/>
        </w:rPr>
      </w:pPr>
      <w:r>
        <w:rPr>
          <w:rFonts w:cs="Arial" w:ascii="Arial" w:hAnsi="Arial"/>
          <w:sz w:val="22"/>
          <w:szCs w:val="22"/>
        </w:rPr>
        <w:t>6.2 - O ingresso do fornecedor na disputa da dispensa eletrônica se dará com o cadastramento de sua proposta inicial, na forma deste item.</w:t>
      </w:r>
    </w:p>
    <w:p>
      <w:pPr>
        <w:pStyle w:val="Normal"/>
        <w:spacing w:lineRule="auto" w:line="360"/>
        <w:jc w:val="both"/>
        <w:rPr>
          <w:rFonts w:ascii="Arial" w:hAnsi="Arial" w:cs="Arial"/>
          <w:sz w:val="22"/>
          <w:szCs w:val="22"/>
        </w:rPr>
      </w:pPr>
      <w:r>
        <w:rPr>
          <w:rFonts w:cs="Arial" w:ascii="Arial" w:hAnsi="Arial"/>
          <w:sz w:val="22"/>
          <w:szCs w:val="22"/>
        </w:rPr>
        <w:t>6.3 - O fornecedor interessado encaminhará, exclusivamente por meio do Sistema BBMNET, a proposta com a descrição do Objeto ofertado e a marca do produto, quando for o caso, e o preço, até a data e o horário estabelecido para o fim de recebimento de propostas.</w:t>
      </w:r>
    </w:p>
    <w:p>
      <w:pPr>
        <w:pStyle w:val="Normal"/>
        <w:spacing w:lineRule="auto" w:line="360"/>
        <w:jc w:val="both"/>
        <w:rPr>
          <w:rFonts w:ascii="Arial" w:hAnsi="Arial" w:cs="Arial"/>
          <w:sz w:val="22"/>
          <w:szCs w:val="22"/>
        </w:rPr>
      </w:pPr>
      <w:r>
        <w:rPr>
          <w:rFonts w:cs="Arial" w:ascii="Arial" w:hAnsi="Arial"/>
          <w:sz w:val="22"/>
          <w:szCs w:val="22"/>
        </w:rPr>
        <w:t>6.4 - Todas as especificações do objeto contidas na proposta, em especial o preço, vinculam a Contratada.</w:t>
      </w:r>
    </w:p>
    <w:p>
      <w:pPr>
        <w:pStyle w:val="Normal"/>
        <w:spacing w:lineRule="auto" w:line="360"/>
        <w:jc w:val="both"/>
        <w:rPr>
          <w:rFonts w:ascii="Arial" w:hAnsi="Arial" w:cs="Arial"/>
          <w:sz w:val="22"/>
          <w:szCs w:val="22"/>
        </w:rPr>
      </w:pPr>
      <w:r>
        <w:rPr>
          <w:rFonts w:cs="Arial" w:ascii="Arial" w:hAnsi="Arial"/>
          <w:sz w:val="22"/>
          <w:szCs w:val="22"/>
        </w:rPr>
        <w:t>6.5 - Nos valores propostos estarão inclusos todos os custos operacionais, encargos previdenciários, trabalhistas, tributários, comerciais e quaisquer outros que incidam direta ou indiretamente no objeto desta dispensa de licitação;</w:t>
      </w:r>
    </w:p>
    <w:p>
      <w:pPr>
        <w:pStyle w:val="Normal"/>
        <w:spacing w:lineRule="auto" w:line="360"/>
        <w:jc w:val="both"/>
        <w:rPr>
          <w:rFonts w:ascii="Arial" w:hAnsi="Arial" w:cs="Arial"/>
          <w:sz w:val="22"/>
          <w:szCs w:val="22"/>
        </w:rPr>
      </w:pPr>
      <w:r>
        <w:rPr>
          <w:rFonts w:cs="Arial" w:ascii="Arial" w:hAnsi="Arial"/>
          <w:sz w:val="22"/>
          <w:szCs w:val="22"/>
        </w:rPr>
        <w:t>6.6 - Os preços ofertados, tanto na proposta inicial, quanto na etapa de lances, serão de exclusiva responsabilidade do fornecedor.</w:t>
      </w:r>
    </w:p>
    <w:p>
      <w:pPr>
        <w:pStyle w:val="Normal"/>
        <w:spacing w:lineRule="auto" w:line="360"/>
        <w:jc w:val="both"/>
        <w:rPr>
          <w:rFonts w:ascii="Arial" w:hAnsi="Arial" w:cs="Arial"/>
          <w:sz w:val="22"/>
          <w:szCs w:val="22"/>
        </w:rPr>
      </w:pPr>
      <w:r>
        <w:rPr>
          <w:rFonts w:cs="Arial" w:ascii="Arial" w:hAnsi="Arial"/>
          <w:sz w:val="22"/>
          <w:szCs w:val="22"/>
        </w:rPr>
        <w:t>6.7 - No cadastramento da proposta inicial, o fornecedor deverá, assinalar em campo próprio do sistema eletrônico, que atende as seguintes declarações:</w:t>
      </w:r>
    </w:p>
    <w:p>
      <w:pPr>
        <w:pStyle w:val="ListParagraph"/>
        <w:numPr>
          <w:ilvl w:val="0"/>
          <w:numId w:val="5"/>
        </w:numPr>
        <w:tabs>
          <w:tab w:val="clear" w:pos="708"/>
          <w:tab w:val="left" w:pos="851" w:leader="none"/>
        </w:tabs>
        <w:spacing w:lineRule="auto" w:line="360" w:before="0" w:after="160"/>
        <w:ind w:left="567" w:hanging="11"/>
        <w:contextualSpacing/>
        <w:jc w:val="both"/>
        <w:rPr>
          <w:rFonts w:ascii="Arial" w:hAnsi="Arial" w:cs="Arial"/>
          <w:sz w:val="22"/>
          <w:szCs w:val="22"/>
        </w:rPr>
      </w:pPr>
      <w:r>
        <w:rPr>
          <w:rFonts w:cs="Arial" w:ascii="Arial" w:hAnsi="Arial"/>
          <w:sz w:val="22"/>
          <w:szCs w:val="22"/>
        </w:rPr>
        <w:t>Declaramos que inexiste fato impeditivo para licitar ou contratar a Administração Pública.</w:t>
      </w:r>
    </w:p>
    <w:p>
      <w:pPr>
        <w:pStyle w:val="ListParagraph"/>
        <w:numPr>
          <w:ilvl w:val="0"/>
          <w:numId w:val="5"/>
        </w:numPr>
        <w:tabs>
          <w:tab w:val="clear" w:pos="708"/>
          <w:tab w:val="left" w:pos="851" w:leader="none"/>
        </w:tabs>
        <w:spacing w:lineRule="auto" w:line="360" w:before="0" w:after="160"/>
        <w:ind w:left="567" w:hanging="11"/>
        <w:contextualSpacing/>
        <w:jc w:val="both"/>
        <w:rPr>
          <w:rFonts w:ascii="Arial" w:hAnsi="Arial" w:cs="Arial"/>
          <w:sz w:val="22"/>
          <w:szCs w:val="22"/>
        </w:rPr>
      </w:pPr>
      <w:r>
        <w:rPr>
          <w:rFonts w:cs="Arial" w:ascii="Arial" w:hAnsi="Arial"/>
          <w:sz w:val="22"/>
          <w:szCs w:val="22"/>
        </w:rPr>
        <w:t>Declaramos o enquadramento na condição de microempresa e empresa de pequeno porte, nos termos da Lei Complementar nº 123, de 2006, quando couber.</w:t>
      </w:r>
    </w:p>
    <w:p>
      <w:pPr>
        <w:pStyle w:val="ListParagraph"/>
        <w:numPr>
          <w:ilvl w:val="0"/>
          <w:numId w:val="5"/>
        </w:numPr>
        <w:tabs>
          <w:tab w:val="clear" w:pos="708"/>
          <w:tab w:val="left" w:pos="851" w:leader="none"/>
        </w:tabs>
        <w:spacing w:lineRule="auto" w:line="360" w:before="0" w:after="160"/>
        <w:ind w:left="567" w:hanging="11"/>
        <w:contextualSpacing/>
        <w:jc w:val="both"/>
        <w:rPr>
          <w:rFonts w:ascii="Arial" w:hAnsi="Arial" w:cs="Arial"/>
          <w:sz w:val="22"/>
          <w:szCs w:val="22"/>
        </w:rPr>
      </w:pPr>
      <w:r>
        <w:rPr>
          <w:rFonts w:cs="Arial" w:ascii="Arial" w:hAnsi="Arial"/>
          <w:sz w:val="22"/>
          <w:szCs w:val="22"/>
        </w:rPr>
        <w:t>Declaramos o pleno conhecimento e aceitação das regras e das condições gerais da contratação, constantes do procedimento.</w:t>
      </w:r>
    </w:p>
    <w:p>
      <w:pPr>
        <w:pStyle w:val="ListParagraph"/>
        <w:numPr>
          <w:ilvl w:val="0"/>
          <w:numId w:val="5"/>
        </w:numPr>
        <w:tabs>
          <w:tab w:val="clear" w:pos="708"/>
          <w:tab w:val="left" w:pos="851" w:leader="none"/>
        </w:tabs>
        <w:spacing w:lineRule="auto" w:line="360" w:before="0" w:after="160"/>
        <w:ind w:left="567" w:hanging="11"/>
        <w:contextualSpacing/>
        <w:jc w:val="both"/>
        <w:rPr>
          <w:rFonts w:ascii="Arial" w:hAnsi="Arial" w:cs="Arial"/>
          <w:sz w:val="22"/>
          <w:szCs w:val="22"/>
        </w:rPr>
      </w:pPr>
      <w:r>
        <w:rPr>
          <w:rFonts w:cs="Arial" w:ascii="Arial" w:hAnsi="Arial"/>
          <w:sz w:val="22"/>
          <w:szCs w:val="22"/>
        </w:rPr>
        <w:t>Declaramos nossa responsabilidade pelas transações efetuadas no sistema, assumindo como firmes e verdadeiras.</w:t>
      </w:r>
    </w:p>
    <w:p>
      <w:pPr>
        <w:pStyle w:val="Normal"/>
        <w:spacing w:lineRule="auto" w:line="360"/>
        <w:jc w:val="both"/>
        <w:rPr>
          <w:rFonts w:ascii="Arial" w:hAnsi="Arial" w:cs="Arial"/>
          <w:b/>
          <w:b/>
          <w:bCs/>
          <w:sz w:val="22"/>
          <w:szCs w:val="22"/>
        </w:rPr>
      </w:pPr>
      <w:r>
        <w:rPr>
          <w:rFonts w:cs="Arial" w:ascii="Arial" w:hAnsi="Arial"/>
          <w:b/>
          <w:bCs/>
          <w:sz w:val="22"/>
          <w:szCs w:val="22"/>
        </w:rPr>
        <w:t>VII - FASE DE LANCES</w:t>
      </w:r>
    </w:p>
    <w:p>
      <w:pPr>
        <w:pStyle w:val="Normal"/>
        <w:spacing w:lineRule="auto" w:line="360"/>
        <w:jc w:val="both"/>
        <w:rPr>
          <w:rFonts w:eastAsia="ＭＳ 明朝" w:eastAsiaTheme="minorEastAsia"/>
          <w:highlight w:val="none"/>
          <w:shd w:fill="auto" w:val="clear"/>
        </w:rPr>
      </w:pPr>
      <w:r>
        <w:rPr>
          <w:rFonts w:cs="Arial" w:ascii="Arial" w:hAnsi="Arial"/>
          <w:sz w:val="22"/>
          <w:szCs w:val="22"/>
          <w:shd w:fill="auto" w:val="clear"/>
        </w:rPr>
        <w:t>7.1- A partir das 08h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Ou sendo encerrado às 14 h00 .</w:t>
      </w:r>
    </w:p>
    <w:p>
      <w:pPr>
        <w:pStyle w:val="Normal"/>
        <w:spacing w:lineRule="auto" w:line="360"/>
        <w:jc w:val="both"/>
        <w:rPr>
          <w:rFonts w:ascii="Arial" w:hAnsi="Arial" w:cs="Arial"/>
          <w:sz w:val="22"/>
          <w:szCs w:val="22"/>
          <w:highlight w:val="none"/>
          <w:shd w:fill="auto" w:val="clear"/>
        </w:rPr>
      </w:pPr>
      <w:r>
        <w:rPr>
          <w:rFonts w:cs="Arial" w:ascii="Arial" w:hAnsi="Arial"/>
          <w:sz w:val="22"/>
          <w:szCs w:val="22"/>
          <w:shd w:fill="auto" w:val="clear"/>
        </w:rPr>
      </w:r>
    </w:p>
    <w:p>
      <w:pPr>
        <w:pStyle w:val="Normal"/>
        <w:spacing w:lineRule="auto" w:line="360"/>
        <w:jc w:val="both"/>
        <w:rPr>
          <w:rFonts w:ascii="Arial" w:hAnsi="Arial" w:cs="Arial"/>
          <w:b/>
          <w:b/>
          <w:bCs/>
          <w:sz w:val="22"/>
          <w:szCs w:val="22"/>
        </w:rPr>
      </w:pPr>
      <w:r>
        <w:rPr>
          <w:rFonts w:cs="Arial" w:ascii="Arial" w:hAnsi="Arial"/>
          <w:b/>
          <w:bCs/>
          <w:sz w:val="22"/>
          <w:szCs w:val="22"/>
        </w:rPr>
        <w:t>VIII - PROPOSTA DE PREÇO/CRITERIO DE JULGAMENTO</w:t>
      </w:r>
    </w:p>
    <w:p>
      <w:pPr>
        <w:pStyle w:val="Normal"/>
        <w:spacing w:lineRule="auto" w:line="360"/>
        <w:jc w:val="both"/>
        <w:rPr>
          <w:rFonts w:ascii="Arial" w:hAnsi="Arial" w:cs="Arial"/>
          <w:sz w:val="22"/>
          <w:szCs w:val="22"/>
        </w:rPr>
      </w:pPr>
      <w:r>
        <w:rPr>
          <w:rFonts w:cs="Arial" w:ascii="Arial" w:hAnsi="Arial"/>
          <w:sz w:val="22"/>
          <w:szCs w:val="22"/>
        </w:rPr>
        <w:t xml:space="preserve">8.1- A proposta de preço deverá ser apresentada, conforme modelo constante do </w:t>
      </w:r>
      <w:r>
        <w:rPr>
          <w:rFonts w:cs="Arial" w:ascii="Arial" w:hAnsi="Arial"/>
          <w:sz w:val="22"/>
          <w:szCs w:val="22"/>
          <w:shd w:fill="auto" w:val="clear"/>
        </w:rPr>
        <w:t>Anexo I, n</w:t>
      </w:r>
      <w:r>
        <w:rPr>
          <w:rFonts w:cs="Arial" w:ascii="Arial" w:hAnsi="Arial"/>
          <w:sz w:val="22"/>
          <w:szCs w:val="22"/>
        </w:rPr>
        <w:t>a forma, prazo e condições estipulados neste Aviso e seus anexos.</w:t>
      </w:r>
    </w:p>
    <w:p>
      <w:pPr>
        <w:pStyle w:val="Normal"/>
        <w:spacing w:lineRule="auto" w:line="360"/>
        <w:jc w:val="both"/>
        <w:rPr>
          <w:rFonts w:ascii="Arial" w:hAnsi="Arial" w:cs="Arial"/>
          <w:sz w:val="22"/>
          <w:szCs w:val="22"/>
        </w:rPr>
      </w:pPr>
      <w:r>
        <w:rPr>
          <w:rFonts w:cs="Arial" w:ascii="Arial" w:hAnsi="Arial"/>
          <w:sz w:val="22"/>
          <w:szCs w:val="22"/>
        </w:rPr>
        <w:t>8.1.2- As propostas apresentadas em consonância com as exigências do Aviso serão classificadas e será declarada vencedora a que apresentar o menor preço.</w:t>
      </w:r>
    </w:p>
    <w:p>
      <w:pPr>
        <w:pStyle w:val="Normal"/>
        <w:spacing w:lineRule="auto" w:line="360"/>
        <w:jc w:val="both"/>
        <w:rPr>
          <w:rFonts w:ascii="Arial" w:hAnsi="Arial" w:cs="Arial"/>
          <w:sz w:val="22"/>
          <w:szCs w:val="22"/>
        </w:rPr>
      </w:pPr>
      <w:r>
        <w:rPr>
          <w:rFonts w:cs="Arial" w:ascii="Arial" w:hAnsi="Arial"/>
          <w:sz w:val="22"/>
          <w:szCs w:val="22"/>
        </w:rPr>
        <w:t>8.2- Iniciada a etapa competitiva, os fornecedores deverão encaminhar lances exclusivamente por meio de sistema eletrônico, sendo imediatamente informados do seu recebimento e do valor consignado no registro.</w:t>
      </w:r>
    </w:p>
    <w:p>
      <w:pPr>
        <w:pStyle w:val="Normal"/>
        <w:spacing w:lineRule="auto" w:line="360"/>
        <w:ind w:left="567" w:hanging="0"/>
        <w:jc w:val="both"/>
        <w:rPr>
          <w:rFonts w:ascii="Arial" w:hAnsi="Arial" w:cs="Arial"/>
          <w:sz w:val="22"/>
          <w:szCs w:val="22"/>
        </w:rPr>
      </w:pPr>
      <w:r>
        <w:rPr>
          <w:rFonts w:cs="Arial" w:ascii="Arial" w:hAnsi="Arial"/>
          <w:sz w:val="22"/>
          <w:szCs w:val="22"/>
        </w:rPr>
        <w:t xml:space="preserve">8.2.1- O lance deverá ser ofertado pelo </w:t>
      </w:r>
      <w:r>
        <w:rPr>
          <w:rFonts w:cs="Arial" w:ascii="Arial" w:hAnsi="Arial"/>
          <w:sz w:val="22"/>
          <w:szCs w:val="22"/>
          <w:shd w:fill="auto" w:val="clear"/>
        </w:rPr>
        <w:t xml:space="preserve">VALOR DO ITEM (unitário). </w:t>
      </w:r>
    </w:p>
    <w:p>
      <w:pPr>
        <w:pStyle w:val="Normal"/>
        <w:spacing w:lineRule="auto" w:line="360"/>
        <w:jc w:val="both"/>
        <w:rPr>
          <w:rFonts w:ascii="Arial" w:hAnsi="Arial" w:cs="Arial"/>
          <w:sz w:val="22"/>
          <w:szCs w:val="22"/>
        </w:rPr>
      </w:pPr>
      <w:r>
        <w:rPr>
          <w:rFonts w:cs="Arial" w:ascii="Arial" w:hAnsi="Arial"/>
          <w:sz w:val="22"/>
          <w:szCs w:val="22"/>
        </w:rPr>
        <w:t>8.3- Havendo lances iguais ao menor já ofertado, prevalecerá aquele que for recebido e registrado primeiro no sistema.</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IX - JULGAMENTO DAS PROPOSTAS DE PREÇO</w:t>
      </w:r>
    </w:p>
    <w:p>
      <w:pPr>
        <w:pStyle w:val="Normal"/>
        <w:spacing w:lineRule="auto" w:line="360"/>
        <w:jc w:val="both"/>
        <w:rPr>
          <w:rFonts w:ascii="Arial" w:hAnsi="Arial" w:cs="Arial"/>
          <w:sz w:val="22"/>
          <w:szCs w:val="22"/>
        </w:rPr>
      </w:pPr>
      <w:r>
        <w:rPr>
          <w:rFonts w:cs="Arial" w:ascii="Arial" w:hAnsi="Arial"/>
          <w:sz w:val="22"/>
          <w:szCs w:val="22"/>
        </w:rPr>
        <w:t>9.1. Encerrada a fase de lances, será verificada a conformidade da proposta classificada em primeiro lugar quanto à adequação do objeto e à compatibilidade do preço em relação ao estipulado para a contratação.</w:t>
      </w:r>
    </w:p>
    <w:p>
      <w:pPr>
        <w:pStyle w:val="Normal"/>
        <w:spacing w:lineRule="auto" w:line="360"/>
        <w:jc w:val="both"/>
        <w:rPr>
          <w:rFonts w:ascii="Arial" w:hAnsi="Arial" w:cs="Arial"/>
          <w:sz w:val="22"/>
          <w:szCs w:val="22"/>
        </w:rPr>
      </w:pPr>
      <w:r>
        <w:rPr>
          <w:rFonts w:cs="Arial" w:ascii="Arial" w:hAnsi="Arial"/>
          <w:sz w:val="22"/>
          <w:szCs w:val="22"/>
        </w:rPr>
        <w:t>9.2. No caso de o preço da proposta vencedora estar acima do estimado pela Administração, poderá haver a negociação de condições mais vantajosas.</w:t>
      </w:r>
    </w:p>
    <w:p>
      <w:pPr>
        <w:pStyle w:val="Normal"/>
        <w:spacing w:lineRule="auto" w:line="360"/>
        <w:ind w:left="567" w:hanging="0"/>
        <w:jc w:val="both"/>
        <w:rPr>
          <w:rFonts w:ascii="Arial" w:hAnsi="Arial" w:cs="Arial"/>
          <w:sz w:val="22"/>
          <w:szCs w:val="22"/>
        </w:rPr>
      </w:pPr>
      <w:r>
        <w:rPr>
          <w:rFonts w:cs="Arial" w:ascii="Arial" w:hAnsi="Arial"/>
          <w:sz w:val="22"/>
          <w:szCs w:val="22"/>
        </w:rPr>
        <w:t>9.2.1. Neste caso, será encaminhada contraproposta ao fornecedor que tenha apresentado o menor preço para que seja obtida a melhor proposta com preço compatível ao estimado pela Administração.</w:t>
      </w:r>
    </w:p>
    <w:p>
      <w:pPr>
        <w:pStyle w:val="Normal"/>
        <w:spacing w:lineRule="auto" w:line="360"/>
        <w:ind w:left="567" w:hanging="0"/>
        <w:jc w:val="both"/>
        <w:rPr>
          <w:rFonts w:ascii="Arial" w:hAnsi="Arial" w:cs="Arial"/>
          <w:sz w:val="22"/>
          <w:szCs w:val="22"/>
        </w:rPr>
      </w:pPr>
      <w:r>
        <w:rPr>
          <w:rFonts w:cs="Arial" w:ascii="Arial" w:hAnsi="Arial"/>
          <w:sz w:val="22"/>
          <w:szCs w:val="22"/>
        </w:rPr>
        <w:t>9.2.2.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Normal"/>
        <w:spacing w:lineRule="auto" w:line="360"/>
        <w:ind w:left="567" w:hanging="0"/>
        <w:jc w:val="both"/>
        <w:rPr>
          <w:rFonts w:ascii="Arial" w:hAnsi="Arial" w:cs="Arial"/>
          <w:sz w:val="22"/>
          <w:szCs w:val="22"/>
        </w:rPr>
      </w:pPr>
      <w:r>
        <w:rPr>
          <w:rFonts w:cs="Arial" w:ascii="Arial" w:hAnsi="Arial"/>
          <w:sz w:val="22"/>
          <w:szCs w:val="22"/>
        </w:rPr>
        <w:t>9.2.3. Em qualquer caso, concluída a negociação, o resultado será registrado na ata do procedimento da dispensa eletrônica.</w:t>
      </w:r>
    </w:p>
    <w:p>
      <w:pPr>
        <w:pStyle w:val="Normal"/>
        <w:spacing w:lineRule="auto" w:line="360"/>
        <w:jc w:val="both"/>
        <w:rPr>
          <w:rFonts w:ascii="Arial" w:hAnsi="Arial" w:cs="Arial"/>
          <w:sz w:val="22"/>
          <w:szCs w:val="22"/>
        </w:rPr>
      </w:pPr>
      <w:r>
        <w:rPr>
          <w:rFonts w:cs="Arial" w:ascii="Arial" w:hAnsi="Arial"/>
          <w:sz w:val="22"/>
          <w:szCs w:val="22"/>
        </w:rPr>
        <w:t>9.3. Estando o preço compatível, será solicitado o envio da proposta readequada ao último lance ofertado, e se necessário, será solicitado também o envio de documentos complementares.</w:t>
      </w:r>
    </w:p>
    <w:p>
      <w:pPr>
        <w:pStyle w:val="Normal"/>
        <w:spacing w:lineRule="auto" w:line="360"/>
        <w:jc w:val="both"/>
        <w:rPr>
          <w:rFonts w:ascii="Arial" w:hAnsi="Arial" w:cs="Arial"/>
          <w:sz w:val="22"/>
          <w:szCs w:val="22"/>
        </w:rPr>
      </w:pPr>
      <w:r>
        <w:rPr>
          <w:rFonts w:cs="Arial" w:ascii="Arial" w:hAnsi="Arial"/>
          <w:sz w:val="22"/>
          <w:szCs w:val="22"/>
        </w:rPr>
        <w:t>9.4. O prazo de validade da proposta não será inferior a 60 (sessenta) dias, a contar da data de sua apresentação.</w:t>
      </w:r>
    </w:p>
    <w:p>
      <w:pPr>
        <w:pStyle w:val="Normal"/>
        <w:spacing w:lineRule="auto" w:line="360"/>
        <w:jc w:val="both"/>
        <w:rPr>
          <w:rFonts w:ascii="Arial" w:hAnsi="Arial" w:cs="Arial"/>
          <w:sz w:val="22"/>
          <w:szCs w:val="22"/>
        </w:rPr>
      </w:pPr>
      <w:r>
        <w:rPr>
          <w:rFonts w:cs="Arial" w:ascii="Arial" w:hAnsi="Arial"/>
          <w:sz w:val="22"/>
          <w:szCs w:val="22"/>
        </w:rPr>
        <w:t>9.5. Será desclassificada a proposta vencedora que:</w:t>
      </w:r>
    </w:p>
    <w:p>
      <w:pPr>
        <w:pStyle w:val="Normal"/>
        <w:spacing w:lineRule="auto" w:line="360"/>
        <w:ind w:left="567" w:hanging="0"/>
        <w:jc w:val="both"/>
        <w:rPr>
          <w:rFonts w:ascii="Arial" w:hAnsi="Arial" w:cs="Arial"/>
          <w:sz w:val="22"/>
          <w:szCs w:val="22"/>
        </w:rPr>
      </w:pPr>
      <w:r>
        <w:rPr>
          <w:rFonts w:cs="Arial" w:ascii="Arial" w:hAnsi="Arial"/>
          <w:sz w:val="22"/>
          <w:szCs w:val="22"/>
        </w:rPr>
        <w:t>9.5.1. Contiver vícios insanáveis;</w:t>
      </w:r>
    </w:p>
    <w:p>
      <w:pPr>
        <w:pStyle w:val="Normal"/>
        <w:spacing w:lineRule="auto" w:line="360"/>
        <w:ind w:left="567" w:hanging="0"/>
        <w:jc w:val="both"/>
        <w:rPr>
          <w:rFonts w:ascii="Arial" w:hAnsi="Arial" w:cs="Arial"/>
          <w:sz w:val="22"/>
          <w:szCs w:val="22"/>
        </w:rPr>
      </w:pPr>
      <w:r>
        <w:rPr>
          <w:rFonts w:cs="Arial" w:ascii="Arial" w:hAnsi="Arial"/>
          <w:sz w:val="22"/>
          <w:szCs w:val="22"/>
        </w:rPr>
        <w:t>9.5.2. Não obedecer às especificações técnicas pormenorizadas neste aviso ou em seus anexos;</w:t>
      </w:r>
    </w:p>
    <w:p>
      <w:pPr>
        <w:pStyle w:val="Normal"/>
        <w:spacing w:lineRule="auto" w:line="360"/>
        <w:ind w:left="567" w:hanging="0"/>
        <w:jc w:val="both"/>
        <w:rPr>
          <w:rFonts w:ascii="Arial" w:hAnsi="Arial" w:cs="Arial"/>
          <w:sz w:val="22"/>
          <w:szCs w:val="22"/>
        </w:rPr>
      </w:pPr>
      <w:r>
        <w:rPr>
          <w:rFonts w:cs="Arial" w:ascii="Arial" w:hAnsi="Arial"/>
          <w:sz w:val="22"/>
          <w:szCs w:val="22"/>
        </w:rPr>
        <w:t>9.5.3. Permanecerem acima do preço máximo definido para a contratação;</w:t>
      </w:r>
    </w:p>
    <w:p>
      <w:pPr>
        <w:pStyle w:val="Normal"/>
        <w:spacing w:lineRule="auto" w:line="360"/>
        <w:ind w:left="567" w:hanging="0"/>
        <w:jc w:val="both"/>
        <w:rPr>
          <w:rFonts w:ascii="Arial" w:hAnsi="Arial" w:cs="Arial"/>
          <w:sz w:val="22"/>
          <w:szCs w:val="22"/>
        </w:rPr>
      </w:pPr>
      <w:r>
        <w:rPr>
          <w:rFonts w:cs="Arial" w:ascii="Arial" w:hAnsi="Arial"/>
          <w:sz w:val="22"/>
          <w:szCs w:val="22"/>
        </w:rPr>
        <w:t>9.5.4. Não tiverem sua exequibilidade demonstrada, quando exigido pela Administração;</w:t>
      </w:r>
    </w:p>
    <w:p>
      <w:pPr>
        <w:pStyle w:val="Normal"/>
        <w:spacing w:lineRule="auto" w:line="360"/>
        <w:ind w:left="567" w:hanging="0"/>
        <w:jc w:val="both"/>
        <w:rPr>
          <w:rFonts w:ascii="Arial" w:hAnsi="Arial" w:cs="Arial"/>
          <w:sz w:val="22"/>
          <w:szCs w:val="22"/>
        </w:rPr>
      </w:pPr>
      <w:r>
        <w:rPr>
          <w:rFonts w:cs="Arial" w:ascii="Arial" w:hAnsi="Arial"/>
          <w:sz w:val="22"/>
          <w:szCs w:val="22"/>
        </w:rPr>
        <w:t>9.5.5. Apresentar desconformidade com quaisquer outras exigências deste aviso ou seus anexos, desde que insanável.</w:t>
      </w:r>
    </w:p>
    <w:p>
      <w:pPr>
        <w:pStyle w:val="Normal"/>
        <w:spacing w:lineRule="auto" w:line="360"/>
        <w:jc w:val="both"/>
        <w:rPr>
          <w:rFonts w:ascii="Arial" w:hAnsi="Arial" w:cs="Arial"/>
          <w:sz w:val="22"/>
          <w:szCs w:val="22"/>
        </w:rPr>
      </w:pPr>
      <w:r>
        <w:rPr>
          <w:rFonts w:cs="Arial" w:ascii="Arial" w:hAnsi="Arial"/>
          <w:sz w:val="22"/>
          <w:szCs w:val="22"/>
        </w:rPr>
        <w:t>9.6. Quando o fornecedor não conseguir comprovar que possui ou possuirá recursos suficientes para executar a contento o objeto, será considerada inexequível a proposta de preços ou menor lance que:</w:t>
      </w:r>
    </w:p>
    <w:p>
      <w:pPr>
        <w:pStyle w:val="Normal"/>
        <w:spacing w:lineRule="auto" w:line="360"/>
        <w:ind w:left="567" w:hanging="0"/>
        <w:jc w:val="both"/>
        <w:rPr>
          <w:rFonts w:ascii="Arial" w:hAnsi="Arial" w:cs="Arial"/>
          <w:sz w:val="22"/>
          <w:szCs w:val="22"/>
        </w:rPr>
      </w:pPr>
      <w:r>
        <w:rPr>
          <w:rFonts w:cs="Arial" w:ascii="Arial" w:hAnsi="Arial"/>
          <w:sz w:val="22"/>
          <w:szCs w:val="22"/>
        </w:rPr>
        <w:t>9.6.1.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ormal"/>
        <w:spacing w:lineRule="auto" w:line="360"/>
        <w:jc w:val="both"/>
        <w:rPr>
          <w:rFonts w:ascii="Arial" w:hAnsi="Arial" w:cs="Arial"/>
          <w:sz w:val="22"/>
          <w:szCs w:val="22"/>
        </w:rPr>
      </w:pPr>
      <w:r>
        <w:rPr>
          <w:rFonts w:cs="Arial" w:ascii="Arial" w:hAnsi="Arial"/>
          <w:sz w:val="22"/>
          <w:szCs w:val="22"/>
        </w:rPr>
        <w:t>9.7. Se houver indícios de inexequibilidade da proposta de preço, ou em caso da necessidade de esclarecimentos complementares, poderão ser efetuadas diligências, para que se comprove a exequibilidade da proposta.</w:t>
      </w:r>
    </w:p>
    <w:p>
      <w:pPr>
        <w:pStyle w:val="Normal"/>
        <w:spacing w:lineRule="auto" w:line="360"/>
        <w:jc w:val="both"/>
        <w:rPr>
          <w:rFonts w:ascii="Arial" w:hAnsi="Arial" w:cs="Arial"/>
          <w:sz w:val="22"/>
          <w:szCs w:val="22"/>
        </w:rPr>
      </w:pPr>
      <w:r>
        <w:rPr>
          <w:rFonts w:cs="Arial" w:ascii="Arial" w:hAnsi="Arial"/>
          <w:sz w:val="22"/>
          <w:szCs w:val="22"/>
        </w:rPr>
        <w:t>9.8. Para fins de análise da proposta quanto ao cumprimento das especificações do objeto, poderá ser colhida a manifestação escrita da Secretaria Requisitante do objeto ou de sua área especializada.</w:t>
      </w:r>
    </w:p>
    <w:p>
      <w:pPr>
        <w:pStyle w:val="Normal"/>
        <w:spacing w:lineRule="auto" w:line="360"/>
        <w:jc w:val="both"/>
        <w:rPr>
          <w:rFonts w:ascii="Arial" w:hAnsi="Arial" w:cs="Arial"/>
          <w:sz w:val="22"/>
          <w:szCs w:val="22"/>
        </w:rPr>
      </w:pPr>
      <w:r>
        <w:rPr>
          <w:rFonts w:cs="Arial" w:ascii="Arial" w:hAnsi="Arial"/>
          <w:sz w:val="22"/>
          <w:szCs w:val="22"/>
        </w:rPr>
        <w:t>9.9. Se a proposta ou lance vencedor for desclassificado, será examinada a proposta ou lance subsequente, e, assim sucessivamente, na ordem de classificação;</w:t>
      </w:r>
    </w:p>
    <w:p>
      <w:pPr>
        <w:pStyle w:val="Normal"/>
        <w:spacing w:lineRule="auto" w:line="360"/>
        <w:jc w:val="both"/>
        <w:rPr>
          <w:rFonts w:ascii="Arial" w:hAnsi="Arial" w:cs="Arial"/>
          <w:sz w:val="22"/>
          <w:szCs w:val="22"/>
        </w:rPr>
      </w:pPr>
      <w:r>
        <w:rPr>
          <w:rFonts w:cs="Arial" w:ascii="Arial" w:hAnsi="Arial"/>
          <w:sz w:val="22"/>
          <w:szCs w:val="22"/>
        </w:rPr>
        <w:t>9.10. Havendo necessidade, a sessão será suspensa, informando-se no “chat” a nova data e horário para a sua continuidade.</w:t>
      </w:r>
    </w:p>
    <w:p>
      <w:pPr>
        <w:pStyle w:val="Normal"/>
        <w:spacing w:lineRule="auto" w:line="360"/>
        <w:jc w:val="both"/>
        <w:rPr>
          <w:rFonts w:ascii="Arial" w:hAnsi="Arial" w:cs="Arial"/>
          <w:sz w:val="22"/>
          <w:szCs w:val="22"/>
        </w:rPr>
      </w:pPr>
      <w:r>
        <w:rPr>
          <w:rFonts w:cs="Arial" w:ascii="Arial" w:hAnsi="Arial"/>
          <w:sz w:val="22"/>
          <w:szCs w:val="22"/>
        </w:rPr>
        <w:t>9.11. Encerrada a análise quanto à aceitação da proposta, se iniciará a fase de habilitação, observado o disposto neste Aviso de Contratação Direta.</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X – HABILITAÇÃO</w:t>
      </w:r>
    </w:p>
    <w:p>
      <w:pPr>
        <w:pStyle w:val="Normal"/>
        <w:spacing w:lineRule="auto" w:line="360"/>
        <w:jc w:val="both"/>
        <w:rPr>
          <w:rFonts w:ascii="Arial" w:hAnsi="Arial" w:cs="Arial"/>
          <w:sz w:val="22"/>
          <w:szCs w:val="22"/>
        </w:rPr>
      </w:pPr>
      <w:r>
        <w:rPr>
          <w:rFonts w:cs="Arial" w:ascii="Arial" w:hAnsi="Arial"/>
          <w:sz w:val="22"/>
          <w:szCs w:val="22"/>
        </w:rPr>
        <w:t>10.1 - O vencedor será convocado, através do sistema, para envio de seus Documentos de Habilitação dentro do prazo de 2 (duas) horas, em documento digital, formato PDF, sob pena de inabilitação por não cumprimento do prazo e demais exigências previstas neste tópico.</w:t>
      </w:r>
    </w:p>
    <w:p>
      <w:pPr>
        <w:pStyle w:val="Normal"/>
        <w:spacing w:lineRule="auto" w:line="360"/>
        <w:jc w:val="both"/>
        <w:rPr>
          <w:rFonts w:ascii="Arial" w:hAnsi="Arial" w:cs="Arial"/>
          <w:b/>
          <w:b/>
          <w:bCs/>
          <w:sz w:val="22"/>
          <w:szCs w:val="22"/>
        </w:rPr>
      </w:pPr>
      <w:r>
        <w:rPr>
          <w:rFonts w:cs="Arial" w:ascii="Arial" w:hAnsi="Arial"/>
          <w:b/>
          <w:bCs/>
          <w:sz w:val="22"/>
          <w:szCs w:val="22"/>
        </w:rPr>
        <w:t>10.1.1 - Os documentos a serem exigidos para fins de habilitação:</w:t>
      </w:r>
    </w:p>
    <w:p>
      <w:pPr>
        <w:pStyle w:val="Normal"/>
        <w:spacing w:lineRule="auto" w:line="360"/>
        <w:jc w:val="both"/>
        <w:rPr>
          <w:rFonts w:ascii="Arial" w:hAnsi="Arial" w:cs="Arial"/>
          <w:sz w:val="22"/>
          <w:szCs w:val="22"/>
        </w:rPr>
      </w:pPr>
      <w:r>
        <w:rPr>
          <w:rFonts w:cs="Arial" w:ascii="Arial" w:hAnsi="Arial"/>
          <w:sz w:val="22"/>
          <w:szCs w:val="22"/>
        </w:rPr>
        <w:t>a)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pPr>
        <w:pStyle w:val="Normal"/>
        <w:spacing w:lineRule="auto" w:line="360"/>
        <w:rPr>
          <w:rFonts w:ascii="Arial" w:hAnsi="Arial" w:cs="Arial"/>
          <w:sz w:val="22"/>
          <w:szCs w:val="22"/>
        </w:rPr>
      </w:pPr>
      <w:r>
        <w:rPr>
          <w:rFonts w:eastAsia="MS Mincho" w:cs="Arial" w:ascii="Arial" w:hAnsi="Arial"/>
          <w:b/>
          <w:bCs/>
          <w:sz w:val="22"/>
          <w:szCs w:val="22"/>
        </w:rPr>
        <w:t>10.1.2 - HABILITAÇÃO FISCAL, SOCIAL e TRABALHISTA</w:t>
      </w:r>
    </w:p>
    <w:p>
      <w:pPr>
        <w:pStyle w:val="Normal"/>
        <w:spacing w:lineRule="auto" w:line="360"/>
        <w:ind w:right="-54" w:hanging="0"/>
        <w:jc w:val="both"/>
        <w:rPr>
          <w:rFonts w:ascii="Arial" w:hAnsi="Arial" w:cs="Arial"/>
          <w:sz w:val="22"/>
          <w:szCs w:val="22"/>
        </w:rPr>
      </w:pPr>
      <w:r>
        <w:rPr>
          <w:rFonts w:cs="Arial" w:ascii="Arial" w:hAnsi="Arial"/>
          <w:sz w:val="22"/>
          <w:szCs w:val="22"/>
        </w:rPr>
        <w:t xml:space="preserve">a) Prova de inscrição no Cadastro Nacional de Pessoas Jurídicas do Ministério da Fazenda </w:t>
      </w:r>
      <w:r>
        <w:rPr>
          <w:rFonts w:cs="Arial" w:ascii="Arial" w:hAnsi="Arial"/>
          <w:b/>
          <w:bCs/>
          <w:sz w:val="22"/>
          <w:szCs w:val="22"/>
        </w:rPr>
        <w:t xml:space="preserve">(CNPJ); </w:t>
      </w:r>
    </w:p>
    <w:p>
      <w:pPr>
        <w:pStyle w:val="Normal"/>
        <w:spacing w:lineRule="auto" w:line="360"/>
        <w:ind w:right="-54" w:hanging="0"/>
        <w:jc w:val="both"/>
        <w:rPr>
          <w:rFonts w:ascii="Arial" w:hAnsi="Arial" w:cs="Arial"/>
          <w:sz w:val="22"/>
          <w:szCs w:val="22"/>
        </w:rPr>
      </w:pPr>
      <w:r>
        <w:rPr>
          <w:rFonts w:cs="Arial" w:ascii="Arial" w:hAnsi="Arial"/>
          <w:sz w:val="22"/>
          <w:szCs w:val="22"/>
        </w:rPr>
        <w:t xml:space="preserve">b) Certidão Conjunta Negativa de Débitos ou Positiva com efeito de Negativa, relativa a </w:t>
      </w:r>
      <w:r>
        <w:rPr>
          <w:rFonts w:cs="Arial" w:ascii="Arial" w:hAnsi="Arial"/>
          <w:b/>
          <w:bCs/>
          <w:sz w:val="22"/>
          <w:szCs w:val="22"/>
        </w:rPr>
        <w:t>Tributos Federais</w:t>
      </w:r>
      <w:r>
        <w:rPr>
          <w:rFonts w:cs="Arial" w:ascii="Arial" w:hAnsi="Arial"/>
          <w:sz w:val="22"/>
          <w:szCs w:val="22"/>
        </w:rPr>
        <w:t xml:space="preserve"> (inclusive às contribuições sociais) e a Dívida Ativa da União.</w:t>
      </w:r>
    </w:p>
    <w:p>
      <w:pPr>
        <w:pStyle w:val="Normal"/>
        <w:spacing w:lineRule="auto" w:line="360"/>
        <w:ind w:right="-54" w:hanging="0"/>
        <w:jc w:val="both"/>
        <w:rPr>
          <w:rFonts w:ascii="Arial" w:hAnsi="Arial" w:cs="Arial"/>
          <w:sz w:val="22"/>
          <w:szCs w:val="22"/>
        </w:rPr>
      </w:pPr>
      <w:r>
        <w:rPr>
          <w:rFonts w:cs="Arial" w:ascii="Arial" w:hAnsi="Arial"/>
          <w:sz w:val="22"/>
          <w:szCs w:val="22"/>
        </w:rPr>
        <w:t xml:space="preserve">c) Certidão de </w:t>
      </w:r>
      <w:r>
        <w:rPr>
          <w:rFonts w:cs="Arial" w:ascii="Arial" w:hAnsi="Arial"/>
          <w:b/>
          <w:bCs/>
          <w:sz w:val="22"/>
          <w:szCs w:val="22"/>
        </w:rPr>
        <w:t xml:space="preserve">regularidade de débitos com </w:t>
      </w:r>
      <w:r>
        <w:rPr>
          <w:rFonts w:cs="Arial" w:ascii="Arial" w:hAnsi="Arial"/>
          <w:b/>
          <w:bCs/>
          <w:sz w:val="22"/>
          <w:szCs w:val="22"/>
          <w:shd w:fill="auto" w:val="clear"/>
        </w:rPr>
        <w:t>a Fazenda Estadual,</w:t>
      </w:r>
      <w:r>
        <w:rPr>
          <w:rFonts w:cs="Arial" w:ascii="Arial" w:hAnsi="Arial"/>
          <w:b/>
          <w:bCs/>
          <w:sz w:val="22"/>
          <w:szCs w:val="22"/>
        </w:rPr>
        <w:t xml:space="preserve"> </w:t>
      </w:r>
      <w:r>
        <w:rPr>
          <w:rFonts w:cs="Arial" w:ascii="Arial" w:hAnsi="Arial"/>
          <w:sz w:val="22"/>
          <w:szCs w:val="22"/>
        </w:rPr>
        <w:t>da sede/ domicílio do licitante, relativa aos tributos incidentes sobre o objeto desta licitação.</w:t>
      </w:r>
    </w:p>
    <w:p>
      <w:pPr>
        <w:pStyle w:val="Normal"/>
        <w:spacing w:lineRule="auto" w:line="360"/>
        <w:ind w:right="-54" w:hanging="0"/>
        <w:jc w:val="both"/>
        <w:rPr>
          <w:rFonts w:ascii="Arial" w:hAnsi="Arial" w:cs="Arial"/>
          <w:sz w:val="22"/>
          <w:szCs w:val="22"/>
        </w:rPr>
      </w:pPr>
      <w:r>
        <w:rPr>
          <w:rFonts w:cs="Arial" w:ascii="Arial" w:hAnsi="Arial"/>
          <w:sz w:val="22"/>
          <w:szCs w:val="22"/>
        </w:rPr>
        <w:t>d) Certidão de regularidade de débito para com o Fundo de Garantia por Tempo de Serviço</w:t>
      </w:r>
      <w:r>
        <w:rPr>
          <w:rFonts w:cs="Arial" w:ascii="Arial" w:hAnsi="Arial"/>
          <w:b/>
          <w:bCs/>
          <w:sz w:val="22"/>
          <w:szCs w:val="22"/>
        </w:rPr>
        <w:t xml:space="preserve"> (FGTS).</w:t>
      </w:r>
    </w:p>
    <w:p>
      <w:pPr>
        <w:pStyle w:val="Normal"/>
        <w:spacing w:lineRule="auto" w:line="360"/>
        <w:jc w:val="both"/>
        <w:rPr>
          <w:rFonts w:ascii="Arial" w:hAnsi="Arial" w:cs="Arial"/>
          <w:sz w:val="22"/>
          <w:szCs w:val="22"/>
        </w:rPr>
      </w:pPr>
      <w:r>
        <w:rPr>
          <w:rStyle w:val="Applestylespan"/>
          <w:rFonts w:cs="Arial" w:ascii="Arial" w:hAnsi="Arial"/>
          <w:sz w:val="22"/>
          <w:szCs w:val="22"/>
        </w:rPr>
        <w:t xml:space="preserve">e) Certidão Negativa de Débitos Trabalhistas - </w:t>
      </w:r>
      <w:r>
        <w:rPr>
          <w:rStyle w:val="Applestylespan"/>
          <w:rFonts w:cs="Arial" w:ascii="Arial" w:hAnsi="Arial"/>
          <w:b/>
          <w:bCs/>
          <w:sz w:val="22"/>
          <w:szCs w:val="22"/>
        </w:rPr>
        <w:t>CNDT</w:t>
      </w:r>
      <w:r>
        <w:rPr>
          <w:rStyle w:val="Applestylespan"/>
          <w:rFonts w:cs="Arial" w:ascii="Arial" w:hAnsi="Arial"/>
          <w:sz w:val="22"/>
          <w:szCs w:val="22"/>
        </w:rPr>
        <w:t xml:space="preserve"> ou </w:t>
      </w:r>
      <w:r>
        <w:rPr>
          <w:rFonts w:cs="Arial" w:ascii="Arial" w:hAnsi="Arial"/>
          <w:sz w:val="22"/>
          <w:szCs w:val="22"/>
        </w:rPr>
        <w:t>Certidão Positiva de Débitos Trabalhistas com efeitos de Negativa;</w:t>
      </w:r>
    </w:p>
    <w:p>
      <w:pPr>
        <w:pStyle w:val="Normal"/>
        <w:tabs>
          <w:tab w:val="clear" w:pos="708"/>
          <w:tab w:val="left" w:pos="9355" w:leader="none"/>
        </w:tabs>
        <w:spacing w:lineRule="auto" w:line="360"/>
        <w:ind w:right="-5" w:hanging="0"/>
        <w:jc w:val="both"/>
        <w:rPr>
          <w:rFonts w:ascii="Arial" w:hAnsi="Arial" w:cs="Arial"/>
          <w:sz w:val="22"/>
          <w:szCs w:val="22"/>
        </w:rPr>
      </w:pPr>
      <w:r>
        <w:rPr>
          <w:rFonts w:cs="Arial" w:ascii="Arial" w:hAnsi="Arial"/>
          <w:sz w:val="22"/>
          <w:szCs w:val="22"/>
        </w:rPr>
        <w:t>f) As microempresas e empresas de pequeno porte, por ocasião da participação neste certame, deverão apresentar toda a documentação exigida nas alíneas “a”, “b”, “c”, d” e “e” deste item, mesmo que os documentos exigidos em tais itens apresentem ressalvas ou restrições.</w:t>
      </w:r>
    </w:p>
    <w:p>
      <w:pPr>
        <w:pStyle w:val="Normal"/>
        <w:spacing w:lineRule="auto" w:line="360"/>
        <w:ind w:right="-54" w:hanging="0"/>
        <w:jc w:val="both"/>
        <w:rPr>
          <w:rFonts w:ascii="Arial" w:hAnsi="Arial" w:cs="Arial"/>
          <w:sz w:val="22"/>
          <w:szCs w:val="22"/>
        </w:rPr>
      </w:pPr>
      <w:r>
        <w:rPr>
          <w:rFonts w:cs="Arial" w:ascii="Arial" w:hAnsi="Arial"/>
          <w:b/>
          <w:sz w:val="22"/>
          <w:szCs w:val="22"/>
        </w:rPr>
        <w:t>10.1.3 - QUALIFICAÇÃO ECONÔMICA-FINANCEIRA</w:t>
      </w:r>
    </w:p>
    <w:p>
      <w:pPr>
        <w:pStyle w:val="Normal"/>
        <w:spacing w:lineRule="auto" w:line="360"/>
        <w:ind w:right="-54" w:hanging="0"/>
        <w:jc w:val="both"/>
        <w:rPr>
          <w:rFonts w:ascii="Arial" w:hAnsi="Arial" w:cs="Arial"/>
          <w:sz w:val="22"/>
          <w:szCs w:val="22"/>
        </w:rPr>
      </w:pPr>
      <w:r>
        <w:rPr>
          <w:rFonts w:cs="Arial" w:ascii="Arial" w:hAnsi="Arial"/>
          <w:sz w:val="22"/>
          <w:szCs w:val="22"/>
        </w:rPr>
        <w:t xml:space="preserve">a) Certidão Negativa de </w:t>
      </w:r>
      <w:r>
        <w:rPr>
          <w:rFonts w:cs="Arial" w:ascii="Arial" w:hAnsi="Arial"/>
          <w:b/>
          <w:bCs/>
          <w:sz w:val="22"/>
          <w:szCs w:val="22"/>
        </w:rPr>
        <w:t>Falência, Concordata,</w:t>
      </w:r>
      <w:r>
        <w:rPr>
          <w:rFonts w:cs="Arial" w:ascii="Arial" w:hAnsi="Arial"/>
          <w:sz w:val="22"/>
          <w:szCs w:val="22"/>
        </w:rPr>
        <w:t xml:space="preserve"> Recuperação Judicial ou Extrajudicial, expedida pelo distribuidor judicial da sede da pessoa jurídica, com data de emissão não superior a 90 (noventa) dias da data limite para a sua apresentação, salvo se contiver prazo de validade expresso. Caso a licitante apresente certidão positiva de Recuperação Judicial ou Extrajudicial, deverá apresentar o Plano de Recuperação já homologado pelo juízo competente e em vigor</w:t>
      </w:r>
    </w:p>
    <w:p>
      <w:pPr>
        <w:pStyle w:val="Normal"/>
        <w:spacing w:lineRule="auto" w:line="360"/>
        <w:ind w:right="-54" w:hanging="0"/>
        <w:jc w:val="both"/>
        <w:rPr>
          <w:color w:val="000000"/>
        </w:rPr>
      </w:pPr>
      <w:r>
        <w:rPr>
          <w:rFonts w:cs="Arial" w:ascii="Arial" w:hAnsi="Arial"/>
          <w:b/>
          <w:color w:val="000000"/>
          <w:sz w:val="22"/>
          <w:szCs w:val="22"/>
        </w:rPr>
        <w:t xml:space="preserve">10.1.4 - QUALIFICAÇÃO TÉCNICA </w:t>
      </w:r>
    </w:p>
    <w:p>
      <w:pPr>
        <w:pStyle w:val="Normal"/>
        <w:spacing w:lineRule="auto" w:line="360"/>
        <w:jc w:val="both"/>
        <w:rPr>
          <w:color w:val="000000"/>
        </w:rPr>
      </w:pPr>
      <w:r>
        <w:rPr>
          <w:rFonts w:cs="Arial" w:ascii="Arial" w:hAnsi="Arial"/>
          <w:color w:val="000000"/>
          <w:sz w:val="22"/>
          <w:szCs w:val="22"/>
        </w:rPr>
        <w:t xml:space="preserve">a) Comprovação de aptidão para desempenho de atividade pertinente com o objeto da licitação, mediante apresentação de </w:t>
      </w:r>
      <w:r>
        <w:rPr>
          <w:rFonts w:cs="Arial" w:ascii="Arial" w:hAnsi="Arial"/>
          <w:b/>
          <w:bCs/>
          <w:color w:val="000000"/>
          <w:sz w:val="22"/>
          <w:szCs w:val="22"/>
        </w:rPr>
        <w:t xml:space="preserve">atestado(s) ou certidão(ões) </w:t>
      </w:r>
      <w:r>
        <w:rPr>
          <w:rFonts w:cs="Arial" w:ascii="Arial" w:hAnsi="Arial"/>
          <w:color w:val="000000"/>
          <w:sz w:val="22"/>
          <w:szCs w:val="22"/>
        </w:rPr>
        <w:t>fornecidas por pessoa jurídica de direito público ou privado, com clara identificação de seu subscritor.</w:t>
      </w:r>
    </w:p>
    <w:p>
      <w:pPr>
        <w:pStyle w:val="Normal"/>
        <w:spacing w:lineRule="auto" w:line="360"/>
        <w:jc w:val="both"/>
        <w:rPr/>
      </w:pPr>
      <w:r>
        <w:rPr>
          <w:rFonts w:cs="Arial" w:ascii="Arial" w:hAnsi="Arial"/>
          <w:sz w:val="22"/>
          <w:szCs w:val="22"/>
        </w:rPr>
        <w:t>10.1.5 - Outros documentos poderão ser solicitados caso se julgue necessário.</w:t>
      </w:r>
    </w:p>
    <w:p>
      <w:pPr>
        <w:pStyle w:val="Normal"/>
        <w:spacing w:lineRule="auto" w:line="360"/>
        <w:jc w:val="both"/>
        <w:rPr/>
      </w:pPr>
      <w:r>
        <w:rPr>
          <w:rFonts w:cs="Arial" w:ascii="Arial" w:hAnsi="Arial"/>
          <w:sz w:val="22"/>
          <w:szCs w:val="22"/>
        </w:rPr>
        <w:t>10.1.6 - Será inabilitado o fornecedor que não comprovar sua habilitação, seja por não apresentar quaisquer dos documentos exigidos, ou apresentá-los em desacordo com o estabelecido neste Aviso de Contratação Direta.</w:t>
      </w:r>
    </w:p>
    <w:p>
      <w:pPr>
        <w:pStyle w:val="Normal"/>
        <w:spacing w:lineRule="auto" w:line="360"/>
        <w:jc w:val="both"/>
        <w:rPr>
          <w:rFonts w:ascii="Arial" w:hAnsi="Arial" w:cs="Arial"/>
          <w:sz w:val="22"/>
          <w:szCs w:val="22"/>
        </w:rPr>
      </w:pPr>
      <w:r>
        <w:rPr>
          <w:rFonts w:cs="Arial" w:ascii="Arial" w:hAnsi="Arial"/>
          <w:sz w:val="22"/>
          <w:szCs w:val="22"/>
        </w:rPr>
        <w:t>10.1.7 - Na hipótese de o fornecedor não atender às exigências para a habilitação, examinar-se-á proposta subsequente e assim sucessivamente, na ordem de classificação, até a apuração de uma proposta que atenda às especificações do objeto e as condições de habilitação.</w:t>
      </w:r>
    </w:p>
    <w:p>
      <w:pPr>
        <w:pStyle w:val="Normal"/>
        <w:spacing w:lineRule="auto" w:line="360"/>
        <w:jc w:val="both"/>
        <w:rPr>
          <w:rFonts w:ascii="Arial" w:hAnsi="Arial" w:cs="Arial"/>
          <w:sz w:val="22"/>
          <w:szCs w:val="22"/>
        </w:rPr>
      </w:pPr>
      <w:r>
        <w:rPr>
          <w:rFonts w:cs="Arial" w:ascii="Arial" w:hAnsi="Arial"/>
          <w:sz w:val="22"/>
          <w:szCs w:val="22"/>
        </w:rPr>
        <w:t>10.1.8 - Constatado o atendimento às exigências de habilitação, o fornecedor será habilitado.</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XI - CONTRATAÇÃO</w:t>
      </w:r>
    </w:p>
    <w:p>
      <w:pPr>
        <w:pStyle w:val="Nivel2"/>
        <w:numPr>
          <w:ilvl w:val="0"/>
          <w:numId w:val="0"/>
        </w:numPr>
        <w:spacing w:lineRule="auto" w:line="360" w:before="0" w:after="0"/>
        <w:ind w:left="0" w:hanging="0"/>
        <w:rPr>
          <w:color w:val="auto"/>
          <w:sz w:val="22"/>
          <w:szCs w:val="22"/>
        </w:rPr>
      </w:pPr>
      <w:r>
        <w:rPr>
          <w:sz w:val="22"/>
          <w:szCs w:val="22"/>
        </w:rPr>
        <w:t xml:space="preserve">11.1 - </w:t>
      </w:r>
      <w:r>
        <w:rPr>
          <w:color w:val="auto"/>
          <w:sz w:val="22"/>
          <w:szCs w:val="22"/>
        </w:rPr>
        <w:t>O contrato será simplificado e representado pela Autorização de Fornecimento, de acordo com as cláusulas avençadas e as normas da Lei nº 14.133, de 2021, e cada parte responderá pelas consequências de sua inexecução total ou parcial.</w:t>
      </w:r>
    </w:p>
    <w:p>
      <w:pPr>
        <w:pStyle w:val="Normal"/>
        <w:spacing w:lineRule="auto" w:line="360"/>
        <w:jc w:val="both"/>
        <w:rPr>
          <w:rFonts w:ascii="Arial" w:hAnsi="Arial" w:cs="Arial"/>
          <w:sz w:val="22"/>
          <w:szCs w:val="22"/>
        </w:rPr>
      </w:pPr>
      <w:r>
        <w:rPr>
          <w:rFonts w:cs="Arial" w:ascii="Arial" w:hAnsi="Arial"/>
          <w:sz w:val="22"/>
          <w:szCs w:val="22"/>
        </w:rPr>
        <w:t>11.2. O prazo de vigência da contratação é o estabelecido no Termo de Referência.</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XII - PENALIDADES E SANÇÕES</w:t>
      </w:r>
    </w:p>
    <w:p>
      <w:pPr>
        <w:pStyle w:val="Normal"/>
        <w:spacing w:lineRule="auto" w:line="360"/>
        <w:jc w:val="both"/>
        <w:rPr>
          <w:rFonts w:ascii="Arial" w:hAnsi="Arial" w:cs="Arial"/>
          <w:sz w:val="22"/>
          <w:szCs w:val="22"/>
        </w:rPr>
      </w:pPr>
      <w:r>
        <w:rPr>
          <w:rFonts w:cs="Arial" w:ascii="Arial" w:hAnsi="Arial"/>
          <w:sz w:val="22"/>
          <w:szCs w:val="22"/>
        </w:rPr>
        <w:t xml:space="preserve">12.1- Pelo descumprimento de qualquer das condições especificadas no Termo de Referência, fica a CONTRATADA sujeita às sanções caso não cumprido integralmente o objeto desta Contratação, a Contratada estará sujeita à sanção entre </w:t>
      </w:r>
      <w:r>
        <w:rPr>
          <w:rFonts w:cs="Arial" w:ascii="Arial" w:hAnsi="Arial"/>
          <w:color w:val="000000"/>
          <w:sz w:val="22"/>
          <w:szCs w:val="22"/>
        </w:rPr>
        <w:t xml:space="preserve">0,5% a 30% do valor do </w:t>
      </w:r>
      <w:r>
        <w:rPr>
          <w:rFonts w:cs="Arial" w:ascii="Arial" w:hAnsi="Arial"/>
          <w:sz w:val="22"/>
          <w:szCs w:val="22"/>
        </w:rPr>
        <w:t>da Contratação do objeto, nos termos do artigo 156, II, e §3º.</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XIII - DISPOSIÇÕES GERAIS</w:t>
      </w:r>
    </w:p>
    <w:p>
      <w:pPr>
        <w:pStyle w:val="Normal"/>
        <w:spacing w:lineRule="auto" w:line="360"/>
        <w:jc w:val="both"/>
        <w:rPr>
          <w:rFonts w:ascii="Arial" w:hAnsi="Arial" w:cs="Arial"/>
          <w:sz w:val="22"/>
          <w:szCs w:val="22"/>
        </w:rPr>
      </w:pPr>
      <w:r>
        <w:rPr>
          <w:rFonts w:cs="Arial" w:ascii="Arial" w:hAnsi="Arial"/>
          <w:sz w:val="22"/>
          <w:szCs w:val="22"/>
        </w:rPr>
        <w:t>13.1- O interessado não poderá alegar como justificativa para se eximir das obrigações assumidas, o desconhecimento das condições para participação desta Dispensa de Licitação.</w:t>
      </w:r>
    </w:p>
    <w:p>
      <w:pPr>
        <w:pStyle w:val="Normal"/>
        <w:spacing w:lineRule="auto" w:line="360"/>
        <w:jc w:val="both"/>
        <w:rPr>
          <w:rFonts w:ascii="Arial" w:hAnsi="Arial" w:cs="Arial"/>
          <w:sz w:val="22"/>
          <w:szCs w:val="22"/>
        </w:rPr>
      </w:pPr>
      <w:r>
        <w:rPr>
          <w:rFonts w:cs="Arial" w:ascii="Arial" w:hAnsi="Arial"/>
          <w:sz w:val="22"/>
          <w:szCs w:val="22"/>
        </w:rPr>
        <w:t>13.2- O presente Aviso poderá ser revogado, no todo em parte, por conveniência e oportunidade administrativa, decorrente de fato superveniente, devidamente justificado.</w:t>
      </w:r>
    </w:p>
    <w:p>
      <w:pPr>
        <w:pStyle w:val="Normal"/>
        <w:spacing w:lineRule="auto" w:line="360"/>
        <w:jc w:val="both"/>
        <w:rPr>
          <w:rFonts w:ascii="Arial" w:hAnsi="Arial" w:cs="Arial"/>
          <w:sz w:val="22"/>
          <w:szCs w:val="22"/>
        </w:rPr>
      </w:pPr>
      <w:r>
        <w:rPr>
          <w:rFonts w:cs="Arial" w:ascii="Arial" w:hAnsi="Arial"/>
          <w:sz w:val="22"/>
          <w:szCs w:val="22"/>
        </w:rPr>
        <w:t>13.3- O presente Aviso poderá ser anulado, no todo ou em parte, caso ocorra ilegalidade, de ofício ou por provocação. A anulação do procedimento oriundo deste Aviso, não gera direito a indenização.</w:t>
      </w:r>
    </w:p>
    <w:p>
      <w:pPr>
        <w:pStyle w:val="Normal"/>
        <w:spacing w:lineRule="auto" w:line="360"/>
        <w:jc w:val="both"/>
        <w:rPr>
          <w:rFonts w:ascii="Arial" w:hAnsi="Arial" w:cs="Arial"/>
          <w:sz w:val="22"/>
          <w:szCs w:val="22"/>
        </w:rPr>
      </w:pPr>
      <w:r>
        <w:rPr>
          <w:rFonts w:cs="Arial" w:ascii="Arial" w:hAnsi="Arial"/>
          <w:sz w:val="22"/>
          <w:szCs w:val="22"/>
        </w:rPr>
        <w:t>13.4- Após a fase de classificação da proposta, não cabe desistência dela, salvo por motivo justo decorrente de fato superveniente, e desde que aceito pela CONTRATANTE.</w:t>
      </w:r>
    </w:p>
    <w:p>
      <w:pPr>
        <w:pStyle w:val="Normal"/>
        <w:spacing w:lineRule="auto" w:line="360"/>
        <w:jc w:val="both"/>
        <w:rPr>
          <w:rFonts w:ascii="Arial" w:hAnsi="Arial" w:cs="Arial"/>
          <w:sz w:val="22"/>
          <w:szCs w:val="22"/>
        </w:rPr>
      </w:pPr>
      <w:r>
        <w:rPr>
          <w:rFonts w:cs="Arial" w:ascii="Arial" w:hAnsi="Arial"/>
          <w:sz w:val="22"/>
          <w:szCs w:val="22"/>
        </w:rPr>
        <w:t>13.5-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w:t>
      </w:r>
    </w:p>
    <w:p>
      <w:pPr>
        <w:pStyle w:val="Normal"/>
        <w:spacing w:lineRule="auto" w:line="360"/>
        <w:jc w:val="both"/>
        <w:rPr>
          <w:rFonts w:ascii="Arial" w:hAnsi="Arial" w:cs="Arial"/>
          <w:sz w:val="22"/>
          <w:szCs w:val="22"/>
        </w:rPr>
      </w:pPr>
      <w:r>
        <w:rPr>
          <w:rFonts w:cs="Arial" w:ascii="Arial" w:hAnsi="Arial"/>
          <w:sz w:val="22"/>
          <w:szCs w:val="22"/>
        </w:rPr>
        <w:t>13.6- A apresentação de proposta pressupõe o pleno conhecimento, atendimento e aceitação integral e irretratável, por parte do interessado, das exigências e condições estabelecidas neste Aviso e Termo de Referência.</w:t>
      </w:r>
    </w:p>
    <w:p>
      <w:pPr>
        <w:pStyle w:val="Normal"/>
        <w:spacing w:lineRule="auto" w:line="360"/>
        <w:jc w:val="both"/>
        <w:rPr>
          <w:rFonts w:ascii="Arial" w:hAnsi="Arial" w:cs="Arial"/>
          <w:sz w:val="22"/>
          <w:szCs w:val="22"/>
        </w:rPr>
      </w:pPr>
      <w:r>
        <w:rPr>
          <w:rFonts w:cs="Arial" w:ascii="Arial" w:hAnsi="Arial"/>
          <w:sz w:val="22"/>
          <w:szCs w:val="22"/>
        </w:rPr>
        <w:t>13.7-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w:t>
      </w:r>
    </w:p>
    <w:p>
      <w:pPr>
        <w:pStyle w:val="Normal"/>
        <w:spacing w:lineRule="auto" w:line="360"/>
        <w:jc w:val="both"/>
        <w:rPr>
          <w:rFonts w:ascii="Arial" w:hAnsi="Arial" w:cs="Arial"/>
          <w:sz w:val="22"/>
          <w:szCs w:val="22"/>
        </w:rPr>
      </w:pPr>
      <w:r>
        <w:rPr>
          <w:rFonts w:cs="Arial" w:ascii="Arial" w:hAnsi="Arial"/>
          <w:sz w:val="22"/>
          <w:szCs w:val="22"/>
        </w:rPr>
        <w:t>13.8- Na contagem dos prazos estabelecidos neste Aviso, com fulcro no Art. 183 da Lei Federal 14.133/2021, serão contados com exclusão do dia do começo e inclusão do dia do vencimento, observando-se as seguintes disposições:</w:t>
      </w:r>
    </w:p>
    <w:p>
      <w:pPr>
        <w:pStyle w:val="Normal"/>
        <w:spacing w:lineRule="auto" w:line="360"/>
        <w:jc w:val="both"/>
        <w:rPr>
          <w:rFonts w:ascii="Arial" w:hAnsi="Arial" w:cs="Arial"/>
          <w:sz w:val="22"/>
          <w:szCs w:val="22"/>
        </w:rPr>
      </w:pPr>
      <w:r>
        <w:rPr>
          <w:rFonts w:cs="Arial" w:ascii="Arial" w:hAnsi="Arial"/>
          <w:sz w:val="22"/>
          <w:szCs w:val="22"/>
        </w:rPr>
        <w:t>a) Os prazos expressos em dias corridos serão computados de modo contínuo;</w:t>
      </w:r>
    </w:p>
    <w:p>
      <w:pPr>
        <w:pStyle w:val="Normal"/>
        <w:spacing w:lineRule="auto" w:line="360"/>
        <w:jc w:val="both"/>
        <w:rPr>
          <w:rFonts w:ascii="Arial" w:hAnsi="Arial" w:cs="Arial"/>
          <w:sz w:val="22"/>
          <w:szCs w:val="22"/>
        </w:rPr>
      </w:pPr>
      <w:r>
        <w:rPr>
          <w:rFonts w:cs="Arial" w:ascii="Arial" w:hAnsi="Arial"/>
          <w:sz w:val="22"/>
          <w:szCs w:val="22"/>
        </w:rPr>
        <w:t>b) Os prazos expressos em meses ou anos serão computados de data a data;</w:t>
      </w:r>
    </w:p>
    <w:p>
      <w:pPr>
        <w:pStyle w:val="Normal"/>
        <w:spacing w:lineRule="auto" w:line="360"/>
        <w:jc w:val="both"/>
        <w:rPr>
          <w:rFonts w:ascii="Arial" w:hAnsi="Arial" w:cs="Arial"/>
          <w:sz w:val="22"/>
          <w:szCs w:val="22"/>
        </w:rPr>
      </w:pPr>
      <w:r>
        <w:rPr>
          <w:rFonts w:cs="Arial" w:ascii="Arial" w:hAnsi="Arial"/>
          <w:sz w:val="22"/>
          <w:szCs w:val="22"/>
        </w:rPr>
        <w:t>c) Nos prazos expressos em dias úteis, serão computados somente os dias em que ocorrer expediente administrativo no órgão ou entidade competente.</w:t>
      </w:r>
    </w:p>
    <w:p>
      <w:pPr>
        <w:pStyle w:val="Normal"/>
        <w:spacing w:lineRule="auto" w:line="360"/>
        <w:jc w:val="both"/>
        <w:rPr>
          <w:rFonts w:ascii="Arial" w:hAnsi="Arial" w:cs="Arial"/>
          <w:sz w:val="22"/>
          <w:szCs w:val="22"/>
        </w:rPr>
      </w:pPr>
      <w:r>
        <w:rPr>
          <w:rFonts w:cs="Arial" w:ascii="Arial" w:hAnsi="Arial"/>
          <w:sz w:val="22"/>
          <w:szCs w:val="22"/>
        </w:rPr>
        <w:t>13.8.1-</w:t>
        <w:tab/>
        <w:t>Salvo disposição em contrário, considera-se dia do começo do prazo o primeiro dia útil seguinte ao da disponibilização da informação na internet.</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rPr>
          <w:rFonts w:eastAsia="ＭＳ 明朝" w:eastAsiaTheme="minorEastAsia"/>
          <w:highlight w:val="none"/>
          <w:shd w:fill="auto" w:val="clear"/>
        </w:rPr>
      </w:pPr>
      <w:r>
        <w:rPr>
          <w:rFonts w:eastAsia="MS Mincho" w:cs="Arial" w:ascii="Arial" w:hAnsi="Arial"/>
          <w:sz w:val="22"/>
          <w:szCs w:val="22"/>
          <w:shd w:fill="auto" w:val="clear"/>
        </w:rPr>
        <w:t>Itatiba, 19 de junho de 2024.</w:t>
      </w:r>
    </w:p>
    <w:p>
      <w:pPr>
        <w:pStyle w:val="Normal"/>
        <w:spacing w:lineRule="auto" w:line="360"/>
        <w:rPr>
          <w:rFonts w:ascii="Arial" w:hAnsi="Arial" w:eastAsia="MS Mincho" w:cs="Arial"/>
          <w:sz w:val="22"/>
          <w:szCs w:val="22"/>
          <w:highlight w:val="none"/>
          <w:shd w:fill="auto" w:val="clear"/>
        </w:rPr>
      </w:pPr>
      <w:r>
        <w:rPr>
          <w:rFonts w:eastAsia="MS Mincho" w:cs="Arial" w:ascii="Arial" w:hAnsi="Arial"/>
          <w:sz w:val="22"/>
          <w:szCs w:val="22"/>
          <w:shd w:fill="auto" w:val="clear"/>
        </w:rPr>
      </w:r>
    </w:p>
    <w:p>
      <w:pPr>
        <w:pStyle w:val="Normal"/>
        <w:spacing w:lineRule="auto" w:line="360"/>
        <w:rPr>
          <w:rFonts w:ascii="Arial" w:hAnsi="Arial" w:eastAsia="MS Mincho" w:cs="Arial"/>
          <w:sz w:val="22"/>
          <w:szCs w:val="22"/>
        </w:rPr>
      </w:pPr>
      <w:r>
        <w:rPr>
          <w:rFonts w:eastAsia="MS Mincho" w:cs="Arial" w:ascii="Arial" w:hAnsi="Arial"/>
          <w:sz w:val="22"/>
          <w:szCs w:val="22"/>
        </w:rPr>
      </w:r>
    </w:p>
    <w:p>
      <w:pPr>
        <w:pStyle w:val="Normal"/>
        <w:spacing w:lineRule="auto" w:line="360"/>
        <w:rPr>
          <w:rFonts w:ascii="Arial" w:hAnsi="Arial" w:eastAsia="MS Mincho" w:cs="Arial"/>
          <w:sz w:val="22"/>
          <w:szCs w:val="22"/>
        </w:rPr>
      </w:pPr>
      <w:r>
        <w:rPr>
          <w:rFonts w:eastAsia="MS Mincho" w:cs="Arial" w:ascii="Arial" w:hAnsi="Arial"/>
          <w:sz w:val="22"/>
          <w:szCs w:val="22"/>
        </w:rPr>
      </w:r>
    </w:p>
    <w:p>
      <w:pPr>
        <w:pStyle w:val="Normal"/>
        <w:spacing w:lineRule="auto" w:line="360"/>
        <w:ind w:right="-54" w:hanging="0"/>
        <w:jc w:val="center"/>
        <w:rPr>
          <w:rFonts w:ascii="Arial" w:hAnsi="Arial" w:eastAsia="MS Mincho" w:cs="Arial"/>
          <w:b/>
          <w:b/>
          <w:bCs/>
          <w:sz w:val="22"/>
          <w:szCs w:val="22"/>
          <w:lang w:val="fr-FR"/>
        </w:rPr>
      </w:pPr>
      <w:r>
        <w:rPr>
          <w:rFonts w:eastAsia="MS Mincho" w:cs="Arial" w:ascii="Arial" w:hAnsi="Arial"/>
          <w:b/>
          <w:bCs/>
          <w:sz w:val="22"/>
          <w:szCs w:val="22"/>
          <w:lang w:val="fr-FR"/>
        </w:rPr>
      </w:r>
    </w:p>
    <w:p>
      <w:pPr>
        <w:pStyle w:val="Normal"/>
        <w:spacing w:lineRule="auto" w:line="360"/>
        <w:jc w:val="center"/>
        <w:rPr>
          <w:rFonts w:ascii="Arial" w:hAnsi="Arial" w:cs="Arial"/>
          <w:sz w:val="22"/>
          <w:szCs w:val="22"/>
        </w:rPr>
      </w:pPr>
      <w:r>
        <w:rPr>
          <w:rFonts w:cs="Arial" w:ascii="Arial" w:hAnsi="Arial"/>
          <w:b/>
          <w:bCs/>
          <w:sz w:val="22"/>
          <w:szCs w:val="22"/>
        </w:rPr>
        <w:t>_________</w:t>
      </w:r>
    </w:p>
    <w:p>
      <w:pPr>
        <w:pStyle w:val="Normal"/>
        <w:spacing w:lineRule="auto" w:line="360"/>
        <w:jc w:val="center"/>
        <w:rPr>
          <w:rFonts w:ascii="Arial" w:hAnsi="Arial" w:cs="Arial"/>
          <w:b/>
          <w:b/>
          <w:bCs/>
          <w:sz w:val="22"/>
          <w:szCs w:val="22"/>
        </w:rPr>
      </w:pPr>
      <w:r>
        <w:rPr>
          <w:rFonts w:cs="Arial" w:ascii="Arial" w:hAnsi="Arial"/>
          <w:b/>
          <w:bCs/>
          <w:sz w:val="22"/>
          <w:szCs w:val="22"/>
        </w:rPr>
        <w:t>João Marcos Pereira Stoicov</w:t>
      </w:r>
    </w:p>
    <w:p>
      <w:pPr>
        <w:pStyle w:val="Normal"/>
        <w:spacing w:lineRule="auto" w:line="360"/>
        <w:jc w:val="center"/>
        <w:rPr>
          <w:rFonts w:ascii="Arial" w:hAnsi="Arial" w:cs="Arial"/>
          <w:b/>
          <w:b/>
          <w:bCs/>
          <w:sz w:val="22"/>
          <w:szCs w:val="22"/>
        </w:rPr>
      </w:pPr>
      <w:r>
        <w:rPr>
          <w:rFonts w:cs="Arial" w:ascii="Arial" w:hAnsi="Arial"/>
          <w:b/>
          <w:bCs/>
          <w:sz w:val="22"/>
          <w:szCs w:val="22"/>
        </w:rPr>
        <w:t>Agente de Contratação</w:t>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ind w:right="-54" w:hanging="0"/>
        <w:jc w:val="both"/>
        <w:rPr>
          <w:rFonts w:ascii="Arial" w:hAnsi="Arial" w:cs="Arial"/>
          <w:sz w:val="22"/>
          <w:szCs w:val="22"/>
        </w:rPr>
      </w:pPr>
      <w:r>
        <w:rPr>
          <w:rFonts w:cs="Arial" w:ascii="Arial" w:hAnsi="Arial"/>
          <w:b/>
          <w:bCs/>
          <w:sz w:val="22"/>
          <w:szCs w:val="22"/>
        </w:rPr>
        <w:t>ANEXO I</w:t>
      </w:r>
    </w:p>
    <w:p>
      <w:pPr>
        <w:pStyle w:val="Normal"/>
        <w:spacing w:lineRule="auto" w:line="360"/>
        <w:ind w:right="-54" w:hanging="0"/>
        <w:jc w:val="both"/>
        <w:rPr>
          <w:rFonts w:ascii="Arial" w:hAnsi="Arial" w:cs="Arial"/>
          <w:b/>
          <w:b/>
          <w:bCs/>
          <w:sz w:val="22"/>
          <w:szCs w:val="22"/>
        </w:rPr>
      </w:pPr>
      <w:r>
        <w:rPr>
          <w:rFonts w:cs="Arial" w:ascii="Arial" w:hAnsi="Arial"/>
          <w:b/>
          <w:bCs/>
          <w:sz w:val="22"/>
          <w:szCs w:val="22"/>
        </w:rPr>
        <w:t>MODELO – Proposta</w:t>
      </w:r>
    </w:p>
    <w:p>
      <w:pPr>
        <w:pStyle w:val="Normal"/>
        <w:spacing w:lineRule="auto" w:line="360"/>
        <w:jc w:val="both"/>
        <w:rPr>
          <w:rFonts w:ascii="Arial" w:hAnsi="Arial" w:cs="Arial"/>
          <w:sz w:val="22"/>
          <w:szCs w:val="22"/>
        </w:rPr>
      </w:pPr>
      <w:r>
        <w:rPr>
          <w:rFonts w:cs="Arial" w:ascii="Arial" w:hAnsi="Arial"/>
          <w:sz w:val="22"/>
          <w:szCs w:val="22"/>
        </w:rPr>
        <w:t xml:space="preserve">(uso obrigatório por todas as proponentes) </w:t>
      </w:r>
    </w:p>
    <w:p>
      <w:pPr>
        <w:pStyle w:val="Normal"/>
        <w:spacing w:lineRule="auto" w:line="360"/>
        <w:jc w:val="both"/>
        <w:rPr>
          <w:rFonts w:ascii="Arial" w:hAnsi="Arial" w:cs="Arial"/>
          <w:sz w:val="22"/>
          <w:szCs w:val="22"/>
        </w:rPr>
      </w:pPr>
      <w:r>
        <w:rPr>
          <w:rFonts w:cs="Arial" w:ascii="Arial" w:hAnsi="Arial"/>
          <w:sz w:val="22"/>
          <w:szCs w:val="22"/>
        </w:rPr>
        <w:t xml:space="preserve">(papel timbrado da proponente) </w:t>
      </w:r>
    </w:p>
    <w:p>
      <w:pPr>
        <w:pStyle w:val="Normal"/>
        <w:spacing w:lineRule="auto" w:line="360"/>
        <w:ind w:right="-54" w:hanging="0"/>
        <w:jc w:val="both"/>
        <w:rPr>
          <w:rFonts w:ascii="Arial" w:hAnsi="Arial" w:cs="Arial"/>
          <w:sz w:val="22"/>
          <w:szCs w:val="22"/>
        </w:rPr>
      </w:pPr>
      <w:r>
        <w:rPr>
          <w:rFonts w:cs="Arial" w:ascii="Arial" w:hAnsi="Arial"/>
          <w:sz w:val="22"/>
          <w:szCs w:val="22"/>
        </w:rPr>
      </w:r>
    </w:p>
    <w:p>
      <w:pPr>
        <w:pStyle w:val="Normal"/>
        <w:spacing w:lineRule="auto" w:line="360"/>
        <w:ind w:right="-54" w:hanging="0"/>
        <w:jc w:val="both"/>
        <w:rPr>
          <w:rFonts w:ascii="Arial" w:hAnsi="Arial" w:cs="Arial"/>
          <w:b/>
          <w:b/>
          <w:sz w:val="22"/>
          <w:szCs w:val="22"/>
          <w:u w:val="single"/>
        </w:rPr>
      </w:pPr>
      <w:r>
        <w:rPr>
          <w:rFonts w:cs="Arial" w:ascii="Arial" w:hAnsi="Arial"/>
          <w:b/>
          <w:sz w:val="22"/>
          <w:szCs w:val="22"/>
          <w:u w:val="single"/>
        </w:rPr>
        <w:t>DISPENSA ELETRÔNICA Nº 500201/2024</w:t>
      </w:r>
    </w:p>
    <w:p>
      <w:pPr>
        <w:pStyle w:val="Normal"/>
        <w:spacing w:lineRule="auto" w:line="360"/>
        <w:ind w:right="-54" w:hanging="0"/>
        <w:jc w:val="both"/>
        <w:rPr>
          <w:rFonts w:ascii="Arial" w:hAnsi="Arial" w:cs="Arial"/>
          <w:b/>
          <w:b/>
          <w:sz w:val="22"/>
          <w:szCs w:val="22"/>
          <w:u w:val="single"/>
        </w:rPr>
      </w:pPr>
      <w:r>
        <w:rPr>
          <w:rFonts w:cs="Arial" w:ascii="Arial" w:hAnsi="Arial"/>
          <w:b/>
          <w:sz w:val="22"/>
          <w:szCs w:val="22"/>
          <w:u w:val="single"/>
        </w:rPr>
      </w:r>
    </w:p>
    <w:p>
      <w:pPr>
        <w:pStyle w:val="Normal"/>
        <w:spacing w:lineRule="auto" w:line="360"/>
        <w:ind w:right="-54" w:hanging="0"/>
        <w:jc w:val="both"/>
        <w:rPr>
          <w:rFonts w:ascii="Arial" w:hAnsi="Arial" w:cs="Arial"/>
          <w:sz w:val="22"/>
          <w:szCs w:val="22"/>
        </w:rPr>
      </w:pPr>
      <w:r>
        <w:rPr>
          <w:rFonts w:cs="Arial" w:ascii="Arial" w:hAnsi="Arial"/>
          <w:sz w:val="22"/>
          <w:szCs w:val="22"/>
        </w:rPr>
        <w:t>À</w:t>
      </w:r>
    </w:p>
    <w:p>
      <w:pPr>
        <w:pStyle w:val="Normal"/>
        <w:spacing w:lineRule="auto" w:line="360"/>
        <w:ind w:right="-54" w:hanging="0"/>
        <w:jc w:val="both"/>
        <w:rPr>
          <w:rFonts w:ascii="Arial" w:hAnsi="Arial" w:cs="Arial"/>
          <w:sz w:val="22"/>
          <w:szCs w:val="22"/>
        </w:rPr>
      </w:pPr>
      <w:r>
        <w:rPr>
          <w:rFonts w:cs="Arial" w:ascii="Arial" w:hAnsi="Arial"/>
          <w:sz w:val="22"/>
          <w:szCs w:val="22"/>
        </w:rPr>
        <w:t>PREFEITURA MUNICIPAL DE ITATIBA</w:t>
      </w:r>
    </w:p>
    <w:p>
      <w:pPr>
        <w:pStyle w:val="Normal"/>
        <w:spacing w:lineRule="auto" w:line="360"/>
        <w:ind w:right="-54" w:hanging="0"/>
        <w:jc w:val="both"/>
        <w:rPr>
          <w:rFonts w:ascii="Arial" w:hAnsi="Arial" w:cs="Arial"/>
          <w:sz w:val="22"/>
          <w:szCs w:val="22"/>
        </w:rPr>
      </w:pPr>
      <w:r>
        <w:rPr>
          <w:rFonts w:cs="Arial" w:ascii="Arial" w:hAnsi="Arial"/>
          <w:sz w:val="22"/>
          <w:szCs w:val="22"/>
        </w:rPr>
      </w:r>
    </w:p>
    <w:p>
      <w:pPr>
        <w:pStyle w:val="Normal"/>
        <w:pBdr>
          <w:top w:val="single" w:sz="4" w:space="1" w:color="000000"/>
          <w:left w:val="single" w:sz="4" w:space="4" w:color="000000"/>
          <w:bottom w:val="single" w:sz="4" w:space="1" w:color="000000"/>
          <w:right w:val="single" w:sz="4" w:space="0" w:color="000000"/>
        </w:pBdr>
        <w:spacing w:lineRule="auto" w:line="360"/>
        <w:ind w:right="-54" w:hanging="0"/>
        <w:jc w:val="both"/>
        <w:rPr>
          <w:rFonts w:ascii="Arial" w:hAnsi="Arial" w:cs="Arial"/>
          <w:sz w:val="22"/>
          <w:szCs w:val="22"/>
        </w:rPr>
      </w:pPr>
      <w:r>
        <w:rPr>
          <w:rFonts w:cs="Arial" w:ascii="Arial" w:hAnsi="Arial"/>
          <w:sz w:val="22"/>
          <w:szCs w:val="22"/>
        </w:rPr>
        <w:t xml:space="preserve">Fornecedor: ____________________________________ CNPJ nº ________________________ Endereço:__________________________________ nº________ Complemento: _____________ Bairro: ______________ Cidade: _______________ Estado: _________ CEP _______________ </w:t>
      </w:r>
    </w:p>
    <w:p>
      <w:pPr>
        <w:pStyle w:val="Normal"/>
        <w:pBdr>
          <w:top w:val="single" w:sz="4" w:space="1" w:color="000000"/>
          <w:left w:val="single" w:sz="4" w:space="4" w:color="000000"/>
          <w:bottom w:val="single" w:sz="4" w:space="1" w:color="000000"/>
          <w:right w:val="single" w:sz="4" w:space="0" w:color="000000"/>
        </w:pBdr>
        <w:spacing w:lineRule="auto" w:line="360"/>
        <w:ind w:right="-54" w:hanging="0"/>
        <w:jc w:val="both"/>
        <w:rPr>
          <w:rFonts w:ascii="Arial" w:hAnsi="Arial" w:cs="Arial"/>
          <w:sz w:val="22"/>
          <w:szCs w:val="22"/>
        </w:rPr>
      </w:pPr>
      <w:r>
        <w:rPr>
          <w:rFonts w:cs="Arial" w:ascii="Arial" w:hAnsi="Arial"/>
          <w:sz w:val="22"/>
          <w:szCs w:val="22"/>
        </w:rPr>
        <w:t>E-mail: _______________________________________________________________________</w:t>
      </w:r>
    </w:p>
    <w:p>
      <w:pPr>
        <w:pStyle w:val="Normal"/>
        <w:pBdr>
          <w:top w:val="single" w:sz="4" w:space="1" w:color="000000"/>
          <w:left w:val="single" w:sz="4" w:space="4" w:color="000000"/>
          <w:bottom w:val="single" w:sz="4" w:space="1" w:color="000000"/>
          <w:right w:val="single" w:sz="4" w:space="0" w:color="000000"/>
        </w:pBdr>
        <w:spacing w:lineRule="auto" w:line="360"/>
        <w:ind w:right="-54" w:hanging="0"/>
        <w:jc w:val="both"/>
        <w:rPr>
          <w:rFonts w:ascii="Arial" w:hAnsi="Arial" w:cs="Arial"/>
          <w:sz w:val="22"/>
          <w:szCs w:val="22"/>
        </w:rPr>
      </w:pPr>
      <w:r>
        <w:rPr>
          <w:rFonts w:cs="Arial" w:ascii="Arial" w:hAnsi="Arial"/>
          <w:sz w:val="22"/>
          <w:szCs w:val="22"/>
        </w:rPr>
        <w:t>Banco: ____ - ________________ Agência: ____ - ______ Conta:________________________</w:t>
      </w:r>
    </w:p>
    <w:p>
      <w:pPr>
        <w:pStyle w:val="Normal"/>
        <w:pBdr>
          <w:top w:val="single" w:sz="4" w:space="1" w:color="000000"/>
          <w:left w:val="single" w:sz="4" w:space="4" w:color="000000"/>
          <w:bottom w:val="single" w:sz="4" w:space="1" w:color="000000"/>
          <w:right w:val="single" w:sz="4" w:space="0" w:color="000000"/>
        </w:pBdr>
        <w:spacing w:lineRule="auto" w:line="360"/>
        <w:ind w:right="-54" w:hanging="0"/>
        <w:jc w:val="both"/>
        <w:rPr>
          <w:rFonts w:ascii="Arial" w:hAnsi="Arial" w:cs="Arial"/>
          <w:sz w:val="22"/>
          <w:szCs w:val="22"/>
        </w:rPr>
      </w:pPr>
      <w:r>
        <w:rPr>
          <w:rFonts w:cs="Arial" w:ascii="Arial" w:hAnsi="Arial"/>
          <w:sz w:val="22"/>
          <w:szCs w:val="22"/>
        </w:rPr>
        <w:t>Telefone para contato ____________________________________________________________</w:t>
      </w:r>
    </w:p>
    <w:p>
      <w:pPr>
        <w:pStyle w:val="Normal"/>
        <w:spacing w:lineRule="auto" w:line="360"/>
        <w:ind w:right="-54" w:hanging="0"/>
        <w:jc w:val="both"/>
        <w:rPr>
          <w:rFonts w:ascii="Arial" w:hAnsi="Arial" w:cs="Arial"/>
          <w:sz w:val="22"/>
          <w:szCs w:val="22"/>
        </w:rPr>
      </w:pPr>
      <w:r>
        <w:rPr>
          <w:rFonts w:cs="Arial" w:ascii="Arial" w:hAnsi="Arial"/>
          <w:sz w:val="22"/>
          <w:szCs w:val="22"/>
        </w:rPr>
      </w:r>
    </w:p>
    <w:p>
      <w:pPr>
        <w:pStyle w:val="Normal"/>
        <w:spacing w:lineRule="auto" w:line="360"/>
        <w:ind w:right="-54" w:hanging="0"/>
        <w:jc w:val="both"/>
        <w:rPr>
          <w:rFonts w:ascii="Arial" w:hAnsi="Arial" w:cs="Arial"/>
          <w:sz w:val="22"/>
          <w:szCs w:val="22"/>
        </w:rPr>
      </w:pPr>
      <w:r>
        <w:rPr>
          <w:rFonts w:cs="Arial" w:ascii="Arial" w:hAnsi="Arial"/>
          <w:sz w:val="22"/>
          <w:szCs w:val="22"/>
        </w:rPr>
        <w:t>Segue nossa proposta para fornecimento dos serviços a seguir:</w:t>
      </w:r>
    </w:p>
    <w:p>
      <w:pPr>
        <w:pStyle w:val="Normal"/>
        <w:spacing w:lineRule="auto" w:line="360"/>
        <w:ind w:right="-54" w:hanging="0"/>
        <w:rPr>
          <w:rFonts w:ascii="Arial" w:hAnsi="Arial" w:cs="Arial"/>
          <w:sz w:val="22"/>
          <w:szCs w:val="22"/>
        </w:rPr>
      </w:pPr>
      <w:r>
        <w:rPr>
          <w:rFonts w:cs="Arial" w:ascii="Arial" w:hAnsi="Arial"/>
          <w:sz w:val="22"/>
          <w:szCs w:val="22"/>
        </w:rPr>
      </w:r>
    </w:p>
    <w:tbl>
      <w:tblPr>
        <w:tblW w:w="9645" w:type="dxa"/>
        <w:jc w:val="left"/>
        <w:tblInd w:w="-65" w:type="dxa"/>
        <w:tblLayout w:type="fixed"/>
        <w:tblCellMar>
          <w:top w:w="60" w:type="dxa"/>
          <w:left w:w="60" w:type="dxa"/>
          <w:bottom w:w="60" w:type="dxa"/>
          <w:right w:w="60" w:type="dxa"/>
        </w:tblCellMar>
        <w:tblLook w:firstRow="1" w:noVBand="1" w:lastRow="0" w:firstColumn="1" w:lastColumn="0" w:noHBand="0" w:val="04a0"/>
      </w:tblPr>
      <w:tblGrid>
        <w:gridCol w:w="624"/>
        <w:gridCol w:w="4190"/>
        <w:gridCol w:w="1081"/>
        <w:gridCol w:w="1364"/>
        <w:gridCol w:w="1190"/>
        <w:gridCol w:w="1195"/>
      </w:tblGrid>
      <w:tr>
        <w:trPr/>
        <w:tc>
          <w:tcPr>
            <w:tcW w:w="624"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jc w:val="right"/>
              <w:rPr>
                <w:rFonts w:eastAsia="ＭＳ 明朝" w:eastAsiaTheme="minorEastAsia"/>
                <w:highlight w:val="none"/>
                <w:shd w:fill="auto" w:val="clear"/>
              </w:rPr>
            </w:pPr>
            <w:r>
              <w:rPr>
                <w:rFonts w:cs="Arial" w:ascii="Arial" w:hAnsi="Arial"/>
                <w:b/>
                <w:bCs/>
                <w:sz w:val="20"/>
                <w:szCs w:val="20"/>
                <w:shd w:fill="auto" w:val="clear"/>
              </w:rPr>
              <w:t>Item</w:t>
            </w:r>
          </w:p>
        </w:tc>
        <w:tc>
          <w:tcPr>
            <w:tcW w:w="4190"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rPr>
                <w:rFonts w:eastAsia="ＭＳ 明朝" w:eastAsiaTheme="minorEastAsia"/>
                <w:highlight w:val="none"/>
                <w:shd w:fill="auto" w:val="clear"/>
              </w:rPr>
            </w:pPr>
            <w:r>
              <w:rPr>
                <w:rFonts w:cs="Arial" w:ascii="Arial" w:hAnsi="Arial"/>
                <w:b/>
                <w:bCs/>
                <w:sz w:val="20"/>
                <w:szCs w:val="20"/>
                <w:shd w:fill="auto" w:val="clear"/>
              </w:rPr>
              <w:t>Material</w:t>
            </w:r>
          </w:p>
        </w:tc>
        <w:tc>
          <w:tcPr>
            <w:tcW w:w="1081"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rPr>
                <w:rFonts w:eastAsia="ＭＳ 明朝" w:eastAsiaTheme="minorEastAsia"/>
                <w:highlight w:val="none"/>
                <w:shd w:fill="auto" w:val="clear"/>
              </w:rPr>
            </w:pPr>
            <w:r>
              <w:rPr>
                <w:rFonts w:cs="Arial" w:ascii="Arial" w:hAnsi="Arial"/>
                <w:b/>
                <w:bCs/>
                <w:sz w:val="20"/>
                <w:szCs w:val="20"/>
                <w:shd w:fill="auto" w:val="clear"/>
              </w:rPr>
              <w:t>Unidade</w:t>
            </w:r>
          </w:p>
        </w:tc>
        <w:tc>
          <w:tcPr>
            <w:tcW w:w="1364" w:type="dxa"/>
            <w:tcBorders>
              <w:top w:val="single" w:sz="4" w:space="0" w:color="000000"/>
              <w:left w:val="single" w:sz="4" w:space="0" w:color="000000"/>
              <w:bottom w:val="single" w:sz="4" w:space="0" w:color="000000"/>
            </w:tcBorders>
            <w:shd w:color="auto" w:fill="B7B7B7" w:val="clear"/>
          </w:tcPr>
          <w:p>
            <w:pPr>
              <w:pStyle w:val="Normal"/>
              <w:widowControl w:val="false"/>
              <w:spacing w:lineRule="auto" w:line="360"/>
              <w:jc w:val="right"/>
              <w:rPr>
                <w:rFonts w:eastAsia="ＭＳ 明朝" w:eastAsiaTheme="minorEastAsia"/>
                <w:highlight w:val="none"/>
                <w:shd w:fill="auto" w:val="clear"/>
              </w:rPr>
            </w:pPr>
            <w:r>
              <w:rPr>
                <w:rFonts w:eastAsia="ＭＳ 明朝" w:cs="Arial" w:ascii="Arial" w:hAnsi="Arial"/>
                <w:b/>
                <w:bCs/>
                <w:sz w:val="20"/>
                <w:szCs w:val="20"/>
                <w:shd w:fill="auto" w:val="clear"/>
              </w:rPr>
              <w:t>Quantidade</w:t>
            </w:r>
          </w:p>
        </w:tc>
        <w:tc>
          <w:tcPr>
            <w:tcW w:w="1190" w:type="dxa"/>
            <w:tcBorders>
              <w:top w:val="single" w:sz="4" w:space="0" w:color="000000"/>
              <w:left w:val="single" w:sz="4" w:space="0" w:color="000000"/>
              <w:bottom w:val="single" w:sz="4" w:space="0" w:color="000000"/>
            </w:tcBorders>
            <w:shd w:color="auto" w:fill="B7B7B7" w:val="clear"/>
          </w:tcPr>
          <w:p>
            <w:pPr>
              <w:pStyle w:val="Normal"/>
              <w:widowControl w:val="false"/>
              <w:spacing w:lineRule="auto" w:line="360"/>
              <w:jc w:val="right"/>
              <w:rPr>
                <w:rFonts w:eastAsia="ＭＳ 明朝" w:eastAsiaTheme="minorEastAsia"/>
                <w:highlight w:val="none"/>
                <w:shd w:fill="auto" w:val="clear"/>
              </w:rPr>
            </w:pPr>
            <w:r>
              <w:rPr>
                <w:rFonts w:cs="Arial" w:ascii="Arial" w:hAnsi="Arial"/>
                <w:b/>
                <w:bCs/>
                <w:sz w:val="20"/>
                <w:szCs w:val="20"/>
              </w:rPr>
              <w:t>Preço Unitário</w:t>
            </w:r>
          </w:p>
        </w:tc>
        <w:tc>
          <w:tcPr>
            <w:tcW w:w="1195"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jc w:val="right"/>
              <w:rPr>
                <w:rFonts w:eastAsia="ＭＳ 明朝" w:eastAsiaTheme="minorEastAsia"/>
                <w:highlight w:val="none"/>
                <w:shd w:fill="auto" w:val="clear"/>
              </w:rPr>
            </w:pPr>
            <w:r>
              <w:rPr>
                <w:rFonts w:cs="Arial" w:ascii="Arial" w:hAnsi="Arial"/>
                <w:b/>
                <w:bCs/>
                <w:sz w:val="20"/>
                <w:szCs w:val="20"/>
              </w:rPr>
              <w:t>Preço Total</w:t>
            </w:r>
          </w:p>
        </w:tc>
      </w:tr>
      <w:tr>
        <w:trPr/>
        <w:tc>
          <w:tcPr>
            <w:tcW w:w="62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1</w:t>
            </w:r>
          </w:p>
        </w:tc>
        <w:tc>
          <w:tcPr>
            <w:tcW w:w="419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Mistura para Solda MIG (Gás carbônico + argônio)</w:t>
            </w:r>
          </w:p>
        </w:tc>
        <w:tc>
          <w:tcPr>
            <w:tcW w:w="108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M³</w:t>
            </w:r>
          </w:p>
        </w:tc>
        <w:tc>
          <w:tcPr>
            <w:tcW w:w="1364" w:type="dxa"/>
            <w:tcBorders>
              <w:top w:val="single" w:sz="8" w:space="0" w:color="000000"/>
              <w:left w:val="single" w:sz="8" w:space="0" w:color="000000"/>
              <w:bottom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100</w:t>
            </w:r>
          </w:p>
        </w:tc>
        <w:tc>
          <w:tcPr>
            <w:tcW w:w="1190" w:type="dxa"/>
            <w:tcBorders>
              <w:top w:val="single" w:sz="8" w:space="0" w:color="000000"/>
              <w:left w:val="single" w:sz="8" w:space="0" w:color="000000"/>
              <w:bottom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r>
          </w:p>
        </w:tc>
        <w:tc>
          <w:tcPr>
            <w:tcW w:w="119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r>
          </w:p>
        </w:tc>
      </w:tr>
      <w:tr>
        <w:trPr/>
        <w:tc>
          <w:tcPr>
            <w:tcW w:w="624" w:type="dxa"/>
            <w:tcBorders>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2</w:t>
            </w:r>
          </w:p>
        </w:tc>
        <w:tc>
          <w:tcPr>
            <w:tcW w:w="4190" w:type="dxa"/>
            <w:tcBorders>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Oxigênio Industrial em Cilindros</w:t>
            </w:r>
          </w:p>
        </w:tc>
        <w:tc>
          <w:tcPr>
            <w:tcW w:w="1081" w:type="dxa"/>
            <w:tcBorders>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M³</w:t>
            </w:r>
          </w:p>
        </w:tc>
        <w:tc>
          <w:tcPr>
            <w:tcW w:w="1364" w:type="dxa"/>
            <w:tcBorders>
              <w:left w:val="single" w:sz="8" w:space="0" w:color="000000"/>
              <w:bottom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70</w:t>
            </w:r>
          </w:p>
        </w:tc>
        <w:tc>
          <w:tcPr>
            <w:tcW w:w="1190" w:type="dxa"/>
            <w:tcBorders>
              <w:left w:val="single" w:sz="8" w:space="0" w:color="000000"/>
              <w:bottom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r>
          </w:p>
        </w:tc>
        <w:tc>
          <w:tcPr>
            <w:tcW w:w="1195" w:type="dxa"/>
            <w:tcBorders>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r>
          </w:p>
        </w:tc>
      </w:tr>
      <w:tr>
        <w:trPr/>
        <w:tc>
          <w:tcPr>
            <w:tcW w:w="624" w:type="dxa"/>
            <w:tcBorders>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3</w:t>
            </w:r>
          </w:p>
        </w:tc>
        <w:tc>
          <w:tcPr>
            <w:tcW w:w="4190" w:type="dxa"/>
            <w:tcBorders>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Acetileno (gás) em cilindros de 9kg</w:t>
            </w:r>
          </w:p>
        </w:tc>
        <w:tc>
          <w:tcPr>
            <w:tcW w:w="1081" w:type="dxa"/>
            <w:tcBorders>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KG</w:t>
            </w:r>
          </w:p>
        </w:tc>
        <w:tc>
          <w:tcPr>
            <w:tcW w:w="1364" w:type="dxa"/>
            <w:tcBorders>
              <w:left w:val="single" w:sz="8" w:space="0" w:color="000000"/>
              <w:bottom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45</w:t>
            </w:r>
          </w:p>
        </w:tc>
        <w:tc>
          <w:tcPr>
            <w:tcW w:w="1190" w:type="dxa"/>
            <w:tcBorders>
              <w:left w:val="single" w:sz="8" w:space="0" w:color="000000"/>
              <w:bottom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r>
          </w:p>
        </w:tc>
        <w:tc>
          <w:tcPr>
            <w:tcW w:w="1195" w:type="dxa"/>
            <w:tcBorders>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r>
          </w:p>
        </w:tc>
      </w:tr>
      <w:tr>
        <w:trPr/>
        <w:tc>
          <w:tcPr>
            <w:tcW w:w="624" w:type="dxa"/>
            <w:tcBorders>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4</w:t>
            </w:r>
          </w:p>
        </w:tc>
        <w:tc>
          <w:tcPr>
            <w:tcW w:w="4190" w:type="dxa"/>
            <w:tcBorders>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Arame MIG</w:t>
            </w:r>
          </w:p>
        </w:tc>
        <w:tc>
          <w:tcPr>
            <w:tcW w:w="1081" w:type="dxa"/>
            <w:tcBorders>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RL</w:t>
            </w:r>
          </w:p>
        </w:tc>
        <w:tc>
          <w:tcPr>
            <w:tcW w:w="1364" w:type="dxa"/>
            <w:tcBorders>
              <w:left w:val="single" w:sz="8" w:space="0" w:color="000000"/>
              <w:bottom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2</w:t>
            </w:r>
          </w:p>
        </w:tc>
        <w:tc>
          <w:tcPr>
            <w:tcW w:w="1190" w:type="dxa"/>
            <w:tcBorders>
              <w:left w:val="single" w:sz="8" w:space="0" w:color="000000"/>
              <w:bottom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r>
          </w:p>
        </w:tc>
        <w:tc>
          <w:tcPr>
            <w:tcW w:w="1195" w:type="dxa"/>
            <w:tcBorders>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r>
          </w:p>
        </w:tc>
      </w:tr>
    </w:tbl>
    <w:p>
      <w:pPr>
        <w:pStyle w:val="Normal"/>
        <w:spacing w:lineRule="auto" w:line="360"/>
        <w:ind w:right="-54" w:hanging="0"/>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 xml:space="preserve">DECLARAMOS que estamos de acordo com os termos do Edital, e acatamos suas determinações, bem como, informamos que nos preços propostos estão inclusos todos os custos diretos e indiretos, lucros e demais contribuições pertinentes de nossa responsabilidade, sem qualquer exceção, constituindo-se o referido preço unitário nas únicas contraprestações da PREFEITURA MUNICIPAL DE ITATIBA pelos efetivos fornecimentos, sob nossa conta e risco. </w:t>
      </w:r>
    </w:p>
    <w:p>
      <w:pPr>
        <w:pStyle w:val="Normal"/>
        <w:spacing w:lineRule="auto" w:line="360"/>
        <w:jc w:val="both"/>
        <w:rPr>
          <w:rFonts w:ascii="Arial" w:hAnsi="Arial" w:cs="Arial"/>
          <w:sz w:val="22"/>
          <w:szCs w:val="22"/>
        </w:rPr>
      </w:pPr>
      <w:r>
        <w:rPr>
          <w:rFonts w:cs="Arial" w:ascii="Arial" w:hAnsi="Arial"/>
          <w:sz w:val="22"/>
          <w:szCs w:val="22"/>
        </w:rPr>
        <w:t xml:space="preserve"> </w:t>
      </w:r>
    </w:p>
    <w:p>
      <w:pPr>
        <w:pStyle w:val="Normal"/>
        <w:spacing w:lineRule="auto" w:line="360"/>
        <w:jc w:val="both"/>
        <w:rPr>
          <w:rFonts w:ascii="Arial" w:hAnsi="Arial" w:cs="Arial"/>
          <w:sz w:val="22"/>
          <w:szCs w:val="22"/>
        </w:rPr>
      </w:pPr>
      <w:r>
        <w:rPr>
          <w:rFonts w:cs="Arial" w:ascii="Arial" w:hAnsi="Arial"/>
          <w:sz w:val="22"/>
          <w:szCs w:val="22"/>
        </w:rPr>
        <w:t xml:space="preserve">DECLARAMOS que nenhum direito a indenização ou a reembolso de quaisquer despesas nos será devido, caso nossa proposta não seja aceita pela PREFEITURA MUNICIPAL DE ITATIBA. </w:t>
      </w:r>
    </w:p>
    <w:p>
      <w:pPr>
        <w:pStyle w:val="Normal"/>
        <w:spacing w:lineRule="auto" w:line="360"/>
        <w:jc w:val="both"/>
        <w:rPr>
          <w:rFonts w:ascii="Arial" w:hAnsi="Arial" w:cs="Arial"/>
          <w:sz w:val="22"/>
          <w:szCs w:val="22"/>
        </w:rPr>
      </w:pPr>
      <w:r>
        <w:rPr>
          <w:rFonts w:cs="Arial" w:ascii="Arial" w:hAnsi="Arial"/>
          <w:sz w:val="22"/>
          <w:szCs w:val="22"/>
        </w:rPr>
        <w:t xml:space="preserve"> </w:t>
      </w:r>
    </w:p>
    <w:p>
      <w:pPr>
        <w:pStyle w:val="Normal"/>
        <w:spacing w:lineRule="auto" w:line="360"/>
        <w:ind w:right="-54" w:hanging="0"/>
        <w:jc w:val="both"/>
        <w:rPr>
          <w:rFonts w:ascii="Arial" w:hAnsi="Arial" w:cs="Arial"/>
          <w:sz w:val="22"/>
          <w:szCs w:val="22"/>
        </w:rPr>
      </w:pPr>
      <w:r>
        <w:rPr>
          <w:rFonts w:cs="Arial" w:ascii="Arial" w:hAnsi="Arial"/>
          <w:sz w:val="22"/>
          <w:szCs w:val="22"/>
        </w:rPr>
        <w:t>...........................   , .... de ............... de 2024.</w:t>
      </w:r>
    </w:p>
    <w:p>
      <w:pPr>
        <w:pStyle w:val="Normal"/>
        <w:spacing w:lineRule="auto" w:line="360"/>
        <w:ind w:right="-54" w:hanging="0"/>
        <w:jc w:val="both"/>
        <w:rPr>
          <w:rFonts w:ascii="Arial" w:hAnsi="Arial" w:cs="Arial"/>
          <w:sz w:val="22"/>
          <w:szCs w:val="22"/>
        </w:rPr>
      </w:pPr>
      <w:r>
        <w:rPr>
          <w:rFonts w:cs="Arial" w:ascii="Arial" w:hAnsi="Arial"/>
          <w:sz w:val="22"/>
          <w:szCs w:val="22"/>
        </w:rPr>
      </w:r>
    </w:p>
    <w:p>
      <w:pPr>
        <w:pStyle w:val="Normal"/>
        <w:spacing w:lineRule="auto" w:line="360"/>
        <w:ind w:right="-54" w:hanging="0"/>
        <w:jc w:val="center"/>
        <w:rPr>
          <w:rFonts w:ascii="Arial" w:hAnsi="Arial" w:cs="Arial"/>
          <w:sz w:val="22"/>
          <w:szCs w:val="22"/>
        </w:rPr>
      </w:pPr>
      <w:r>
        <w:rPr>
          <w:rFonts w:cs="Arial" w:ascii="Arial" w:hAnsi="Arial"/>
          <w:sz w:val="22"/>
          <w:szCs w:val="22"/>
        </w:rPr>
        <w:t>_____________________________________</w:t>
      </w:r>
    </w:p>
    <w:p>
      <w:pPr>
        <w:pStyle w:val="Normal"/>
        <w:spacing w:lineRule="auto" w:line="360"/>
        <w:ind w:right="-57" w:hanging="0"/>
        <w:jc w:val="center"/>
        <w:rPr>
          <w:rFonts w:ascii="Arial" w:hAnsi="Arial" w:cs="Arial"/>
          <w:sz w:val="22"/>
          <w:szCs w:val="22"/>
        </w:rPr>
      </w:pPr>
      <w:r>
        <w:rPr>
          <w:rFonts w:cs="Arial" w:ascii="Arial" w:hAnsi="Arial"/>
          <w:sz w:val="22"/>
          <w:szCs w:val="22"/>
        </w:rPr>
        <w:t>Assinatura do representante legal</w:t>
      </w:r>
    </w:p>
    <w:p>
      <w:pPr>
        <w:pStyle w:val="Normal"/>
        <w:spacing w:lineRule="auto" w:line="360"/>
        <w:ind w:right="-57" w:hanging="0"/>
        <w:jc w:val="center"/>
        <w:rPr>
          <w:rFonts w:ascii="Arial" w:hAnsi="Arial" w:cs="Arial"/>
          <w:sz w:val="22"/>
          <w:szCs w:val="22"/>
        </w:rPr>
      </w:pPr>
      <w:r>
        <w:rPr>
          <w:rFonts w:cs="Arial" w:ascii="Arial" w:hAnsi="Arial"/>
          <w:sz w:val="22"/>
          <w:szCs w:val="22"/>
        </w:rPr>
        <w:t>Nome</w:t>
      </w:r>
    </w:p>
    <w:p>
      <w:pPr>
        <w:pStyle w:val="Normal"/>
        <w:spacing w:lineRule="auto" w:line="360"/>
        <w:ind w:right="-57" w:hanging="0"/>
        <w:jc w:val="center"/>
        <w:rPr>
          <w:rFonts w:ascii="Arial" w:hAnsi="Arial" w:cs="Arial"/>
          <w:sz w:val="22"/>
          <w:szCs w:val="22"/>
        </w:rPr>
      </w:pPr>
      <w:r>
        <w:rPr>
          <w:rFonts w:cs="Arial" w:ascii="Arial" w:hAnsi="Arial"/>
          <w:sz w:val="22"/>
          <w:szCs w:val="22"/>
        </w:rPr>
        <w:t>RG nº...................................</w:t>
      </w:r>
    </w:p>
    <w:p>
      <w:pPr>
        <w:pStyle w:val="Normal"/>
        <w:spacing w:lineRule="auto" w:line="360"/>
        <w:ind w:right="-54" w:hanging="0"/>
        <w:jc w:val="center"/>
        <w:rPr>
          <w:rFonts w:ascii="Arial" w:hAnsi="Arial" w:cs="Arial"/>
          <w:sz w:val="22"/>
          <w:szCs w:val="22"/>
        </w:rPr>
      </w:pPr>
      <w:r>
        <w:rPr>
          <w:rFonts w:cs="Arial" w:ascii="Arial" w:hAnsi="Arial"/>
          <w:sz w:val="22"/>
          <w:szCs w:val="22"/>
        </w:rPr>
      </w:r>
    </w:p>
    <w:p>
      <w:pPr>
        <w:pStyle w:val="Normal"/>
        <w:spacing w:lineRule="auto" w:line="360"/>
        <w:jc w:val="center"/>
        <w:rPr>
          <w:rFonts w:ascii="Arial" w:hAnsi="Arial" w:cs="Arial"/>
          <w:sz w:val="22"/>
          <w:szCs w:val="22"/>
        </w:rPr>
      </w:pPr>
      <w:r>
        <w:rPr>
          <w:rFonts w:cs="Arial" w:ascii="Arial" w:hAnsi="Arial"/>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t>ANEXO II</w:t>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jc w:val="center"/>
        <w:rPr/>
      </w:pPr>
      <w:r>
        <w:rPr>
          <w:rStyle w:val="Strong"/>
          <w:rFonts w:cs="Times New Roman" w:ascii="Times New Roman" w:hAnsi="Times New Roman"/>
          <w:bCs w:val="false"/>
          <w:sz w:val="32"/>
          <w:szCs w:val="32"/>
        </w:rPr>
        <w:t>TERMO DE REFERÊNCIA</w:t>
      </w:r>
    </w:p>
    <w:p>
      <w:pPr>
        <w:pStyle w:val="Normal"/>
        <w:jc w:val="both"/>
        <w:rPr/>
      </w:pPr>
      <w:r>
        <w:rPr>
          <w:rStyle w:val="Strong"/>
          <w:rFonts w:cs="Times New Roman" w:ascii="Arial" w:hAnsi="Arial"/>
          <w:sz w:val="20"/>
          <w:szCs w:val="20"/>
        </w:rPr>
        <w:t>1-MODALIDADE PRETENDIDA</w:t>
      </w:r>
    </w:p>
    <w:p>
      <w:pPr>
        <w:pStyle w:val="Normal"/>
        <w:jc w:val="both"/>
        <w:rPr>
          <w:rFonts w:ascii="Arial" w:hAnsi="Arial"/>
          <w:sz w:val="20"/>
          <w:szCs w:val="20"/>
        </w:rPr>
      </w:pPr>
      <w:r>
        <w:rPr>
          <w:rFonts w:ascii="Arial" w:hAnsi="Arial"/>
          <w:b w:val="false"/>
          <w:bCs w:val="false"/>
          <w:sz w:val="20"/>
          <w:szCs w:val="20"/>
        </w:rPr>
        <w:t xml:space="preserve"> </w:t>
      </w:r>
      <w:r>
        <w:rPr>
          <w:rFonts w:ascii="Arial" w:hAnsi="Arial"/>
          <w:b w:val="false"/>
          <w:bCs w:val="false"/>
          <w:sz w:val="20"/>
          <w:szCs w:val="20"/>
        </w:rPr>
        <w:t>Contratação direta por Dispensa de Licitação (dispensa eletrônica), conforme o artigo 75, inciso II da Lei 14.133/2021.</w:t>
      </w:r>
    </w:p>
    <w:p>
      <w:pPr>
        <w:pStyle w:val="ListParagraph"/>
        <w:numPr>
          <w:ilvl w:val="0"/>
          <w:numId w:val="0"/>
        </w:numPr>
        <w:suppressAutoHyphens w:val="false"/>
        <w:spacing w:lineRule="auto" w:line="360"/>
        <w:ind w:left="0" w:hanging="0"/>
        <w:jc w:val="both"/>
        <w:rPr>
          <w:rFonts w:ascii="Arial" w:hAnsi="Arial"/>
          <w:sz w:val="20"/>
          <w:szCs w:val="20"/>
        </w:rPr>
      </w:pPr>
      <w:r>
        <w:rPr>
          <w:rFonts w:cs="Times New Roman" w:ascii="Arial" w:hAnsi="Arial"/>
          <w:b/>
          <w:bCs/>
          <w:color w:val="000000" w:themeColor="text1"/>
          <w:sz w:val="20"/>
          <w:szCs w:val="20"/>
        </w:rPr>
        <w:t>2-OBJETO</w:t>
      </w:r>
    </w:p>
    <w:p>
      <w:pPr>
        <w:pStyle w:val="Normal"/>
        <w:spacing w:lineRule="auto" w:line="360"/>
        <w:ind w:left="0" w:right="0" w:hanging="0"/>
        <w:jc w:val="both"/>
        <w:rPr>
          <w:rFonts w:ascii="Arial" w:hAnsi="Arial"/>
          <w:sz w:val="20"/>
          <w:szCs w:val="20"/>
        </w:rPr>
      </w:pPr>
      <w:r>
        <w:rPr>
          <w:rFonts w:cs="Times New Roman" w:ascii="Arial" w:hAnsi="Arial"/>
          <w:color w:val="000000"/>
          <w:sz w:val="20"/>
          <w:szCs w:val="20"/>
        </w:rPr>
        <w:t xml:space="preserve"> </w:t>
      </w:r>
      <w:r>
        <w:rPr>
          <w:rFonts w:cs="Times New Roman" w:ascii="Arial" w:hAnsi="Arial"/>
          <w:color w:val="000000"/>
          <w:sz w:val="20"/>
          <w:szCs w:val="20"/>
        </w:rPr>
        <w:t>O presente Termo de Referência tem como objetivo através da compra direta, a aquisição de gases industriais engarrafados (material de consumo) - Oxigênio, Acetileno e Mistura 75% Argônio + 25 % CO2 – para manutenção de prédios públicos. Os gases serão utilizados no corte de materiais metálicos através da combustão Oxigênio/Acetileno e nos serviços de solda através do processo de solda MIG (Metal Inerte Gás) com a Mistura 75% Argônio + 25 % CO2.</w:t>
      </w:r>
    </w:p>
    <w:p>
      <w:pPr>
        <w:pStyle w:val="Normal"/>
        <w:spacing w:lineRule="auto" w:line="360"/>
        <w:ind w:hanging="0"/>
        <w:jc w:val="both"/>
        <w:rPr>
          <w:rFonts w:ascii="Arial" w:hAnsi="Arial"/>
          <w:sz w:val="20"/>
          <w:szCs w:val="20"/>
        </w:rPr>
      </w:pPr>
      <w:r>
        <w:rPr>
          <w:rFonts w:cs="Times New Roman" w:ascii="Arial" w:hAnsi="Arial"/>
          <w:color w:val="000000" w:themeColor="text1"/>
          <w:sz w:val="20"/>
          <w:szCs w:val="20"/>
        </w:rPr>
        <w:t xml:space="preserve"> </w:t>
      </w:r>
      <w:r>
        <w:rPr>
          <w:rFonts w:cs="Times New Roman" w:ascii="Arial" w:hAnsi="Arial"/>
          <w:b/>
          <w:bCs/>
          <w:color w:val="000000" w:themeColor="text1"/>
          <w:sz w:val="20"/>
          <w:szCs w:val="20"/>
        </w:rPr>
        <w:t>3-JUSTIFICATIVA DA CONTRATAÇÃO</w:t>
      </w:r>
    </w:p>
    <w:p>
      <w:pPr>
        <w:pStyle w:val="Normal"/>
        <w:spacing w:lineRule="auto" w:line="360"/>
        <w:ind w:firstLine="708"/>
        <w:jc w:val="both"/>
        <w:rPr>
          <w:rFonts w:ascii="Arial" w:hAnsi="Arial"/>
          <w:sz w:val="20"/>
          <w:szCs w:val="20"/>
        </w:rPr>
      </w:pPr>
      <w:r>
        <w:rPr>
          <w:rFonts w:cs="Times New Roman" w:ascii="Arial" w:hAnsi="Arial"/>
          <w:b w:val="false"/>
          <w:i w:val="false"/>
          <w:caps w:val="false"/>
          <w:smallCaps w:val="false"/>
          <w:color w:val="000000" w:themeColor="text1"/>
          <w:spacing w:val="0"/>
          <w:sz w:val="20"/>
          <w:szCs w:val="20"/>
        </w:rPr>
        <w:t xml:space="preserve">A utilização dos gases é diária, conforme da demanda de serviços executados junto a serralheria da Secretaria de Obras e principalmente nos serviços externos tais como: remoção de gradis de proteção, remoção de grelhas em praça pública, consertos de para-choques, chassis e caçamba de máquinas. Também são utilizados em reparos nas repartições públicas tais como: creches, escolas, (com remoção de grades de proteção de vitroux, portas em chapa de aço, remoção de portões e outros serviços cuja necessidade há de ser feito com os gases supra-informado. Ou seja, a compra justifica-se em razão da necessidade em atender os serviços essenciais e imprescindíveis de recuperação. </w:t>
      </w:r>
    </w:p>
    <w:p>
      <w:pPr>
        <w:pStyle w:val="ListParagraph"/>
        <w:suppressAutoHyphens w:val="false"/>
        <w:spacing w:lineRule="auto" w:line="360"/>
        <w:ind w:left="720" w:hanging="0"/>
        <w:jc w:val="both"/>
        <w:rPr>
          <w:rFonts w:ascii="Arial" w:hAnsi="Arial"/>
          <w:sz w:val="20"/>
          <w:szCs w:val="20"/>
        </w:rPr>
      </w:pPr>
      <w:r>
        <w:rPr>
          <w:rFonts w:cs="Times New Roman" w:ascii="Arial" w:hAnsi="Arial"/>
          <w:b/>
          <w:bCs/>
          <w:color w:val="000000" w:themeColor="text1"/>
          <w:sz w:val="20"/>
          <w:szCs w:val="20"/>
        </w:rPr>
        <w:t>4-ALINHAMENTO ENTRE A CONTRATAÇÃO E O PLANEJAMENTO</w:t>
      </w:r>
    </w:p>
    <w:p>
      <w:pPr>
        <w:pStyle w:val="ListParagraph"/>
        <w:suppressAutoHyphens w:val="false"/>
        <w:spacing w:lineRule="auto" w:line="360"/>
        <w:ind w:left="720" w:hanging="0"/>
        <w:jc w:val="both"/>
        <w:rPr>
          <w:rFonts w:ascii="Arial" w:hAnsi="Arial"/>
          <w:sz w:val="20"/>
          <w:szCs w:val="20"/>
        </w:rPr>
      </w:pPr>
      <w:r>
        <w:rPr>
          <w:rFonts w:ascii="Arial" w:hAnsi="Arial"/>
          <w:b w:val="false"/>
          <w:i w:val="false"/>
          <w:caps w:val="false"/>
          <w:smallCaps w:val="false"/>
          <w:spacing w:val="0"/>
          <w:sz w:val="20"/>
          <w:szCs w:val="20"/>
        </w:rPr>
        <w:t xml:space="preserve"> </w:t>
      </w:r>
      <w:r>
        <w:rPr>
          <w:rFonts w:ascii="Arial" w:hAnsi="Arial"/>
          <w:b w:val="false"/>
          <w:i w:val="false"/>
          <w:caps w:val="false"/>
          <w:smallCaps w:val="false"/>
          <w:spacing w:val="0"/>
          <w:sz w:val="20"/>
          <w:szCs w:val="20"/>
        </w:rPr>
        <w:t>A contratação está prevista no Plano Anual de Compras da Secretaria de Obras e Serviços Públicos.</w:t>
      </w:r>
    </w:p>
    <w:p>
      <w:pPr>
        <w:pStyle w:val="Normal"/>
        <w:spacing w:lineRule="auto" w:line="360"/>
        <w:ind w:hanging="0"/>
        <w:jc w:val="both"/>
        <w:rPr>
          <w:rFonts w:ascii="Arial" w:hAnsi="Arial"/>
          <w:sz w:val="20"/>
          <w:szCs w:val="20"/>
        </w:rPr>
      </w:pPr>
      <w:r>
        <w:rPr>
          <w:rFonts w:cs="Times New Roman" w:ascii="Arial" w:hAnsi="Arial"/>
          <w:b/>
          <w:bCs/>
          <w:color w:val="000000" w:themeColor="text1"/>
          <w:sz w:val="20"/>
          <w:szCs w:val="20"/>
        </w:rPr>
        <w:t>5. DESCRIÇÃO DETALHADA DO OBJETO</w:t>
      </w:r>
    </w:p>
    <w:tbl>
      <w:tblPr>
        <w:tblW w:w="8363" w:type="dxa"/>
        <w:jc w:val="left"/>
        <w:tblInd w:w="624" w:type="dxa"/>
        <w:tblLayout w:type="fixed"/>
        <w:tblCellMar>
          <w:top w:w="60" w:type="dxa"/>
          <w:left w:w="60" w:type="dxa"/>
          <w:bottom w:w="60" w:type="dxa"/>
          <w:right w:w="60" w:type="dxa"/>
        </w:tblCellMar>
      </w:tblPr>
      <w:tblGrid>
        <w:gridCol w:w="550"/>
        <w:gridCol w:w="2852"/>
        <w:gridCol w:w="1134"/>
        <w:gridCol w:w="1276"/>
        <w:gridCol w:w="1274"/>
        <w:gridCol w:w="1276"/>
      </w:tblGrid>
      <w:tr>
        <w:trPr>
          <w:trHeight w:val="108" w:hRule="atLeast"/>
          <w:cantSplit w:val="true"/>
        </w:trPr>
        <w:tc>
          <w:tcPr>
            <w:tcW w:w="550" w:type="dxa"/>
            <w:tcBorders>
              <w:top w:val="single" w:sz="2" w:space="0" w:color="000000"/>
              <w:left w:val="single" w:sz="4" w:space="0" w:color="000000"/>
              <w:bottom w:val="single" w:sz="2" w:space="0" w:color="000000"/>
            </w:tcBorders>
            <w:vAlign w:val="center"/>
          </w:tcPr>
          <w:p>
            <w:pPr>
              <w:pStyle w:val="LONormal0"/>
              <w:widowControl w:val="false"/>
              <w:spacing w:lineRule="auto" w:line="276"/>
              <w:jc w:val="center"/>
              <w:rPr/>
            </w:pPr>
            <w:r>
              <w:rPr>
                <w:rStyle w:val="Fontepargpadro"/>
                <w:rFonts w:ascii="Arial" w:hAnsi="Arial"/>
                <w:b/>
                <w:bCs/>
                <w:color w:val="000000"/>
                <w:sz w:val="20"/>
                <w:szCs w:val="20"/>
                <w:u w:val="single"/>
                <w:shd w:fill="FFFFFF" w:val="clear"/>
              </w:rPr>
              <w:t>Nº</w:t>
            </w:r>
          </w:p>
        </w:tc>
        <w:tc>
          <w:tcPr>
            <w:tcW w:w="2852" w:type="dxa"/>
            <w:tcBorders>
              <w:top w:val="single" w:sz="2" w:space="0" w:color="000000"/>
              <w:left w:val="single" w:sz="2" w:space="0" w:color="000000"/>
              <w:bottom w:val="single" w:sz="2" w:space="0" w:color="000000"/>
            </w:tcBorders>
            <w:vAlign w:val="center"/>
          </w:tcPr>
          <w:p>
            <w:pPr>
              <w:pStyle w:val="LONormal0"/>
              <w:widowControl w:val="false"/>
              <w:spacing w:lineRule="auto" w:line="276"/>
              <w:jc w:val="center"/>
              <w:rPr/>
            </w:pPr>
            <w:r>
              <w:rPr>
                <w:rStyle w:val="Fontepargpadro"/>
                <w:rFonts w:ascii="Arial" w:hAnsi="Arial"/>
                <w:b/>
                <w:bCs/>
                <w:sz w:val="20"/>
                <w:szCs w:val="20"/>
                <w:u w:val="single"/>
                <w:shd w:fill="FFFFFF" w:val="clear"/>
              </w:rPr>
              <w:t>Descrição</w:t>
            </w:r>
          </w:p>
        </w:tc>
        <w:tc>
          <w:tcPr>
            <w:tcW w:w="1134" w:type="dxa"/>
            <w:tcBorders>
              <w:top w:val="single" w:sz="2" w:space="0" w:color="000000"/>
              <w:left w:val="single" w:sz="2" w:space="0" w:color="000000"/>
              <w:bottom w:val="single" w:sz="2" w:space="0" w:color="000000"/>
            </w:tcBorders>
            <w:vAlign w:val="center"/>
          </w:tcPr>
          <w:p>
            <w:pPr>
              <w:pStyle w:val="LONormal0"/>
              <w:widowControl w:val="false"/>
              <w:spacing w:lineRule="auto" w:line="276"/>
              <w:jc w:val="center"/>
              <w:rPr/>
            </w:pPr>
            <w:r>
              <w:rPr>
                <w:rStyle w:val="Fontepargpadro"/>
                <w:rFonts w:ascii="Arial" w:hAnsi="Arial"/>
                <w:b/>
                <w:bCs/>
                <w:color w:val="000000"/>
                <w:sz w:val="20"/>
                <w:szCs w:val="20"/>
                <w:u w:val="single"/>
                <w:shd w:fill="FFFFFF" w:val="clear"/>
              </w:rPr>
              <w:t>Unidade de Medida</w:t>
            </w:r>
          </w:p>
        </w:tc>
        <w:tc>
          <w:tcPr>
            <w:tcW w:w="1276" w:type="dxa"/>
            <w:tcBorders>
              <w:top w:val="single" w:sz="2" w:space="0" w:color="000000"/>
              <w:left w:val="single" w:sz="2" w:space="0" w:color="000000"/>
              <w:bottom w:val="single" w:sz="2" w:space="0" w:color="000000"/>
            </w:tcBorders>
            <w:vAlign w:val="center"/>
          </w:tcPr>
          <w:p>
            <w:pPr>
              <w:pStyle w:val="LONormal0"/>
              <w:widowControl w:val="false"/>
              <w:spacing w:lineRule="auto" w:line="276"/>
              <w:jc w:val="center"/>
              <w:rPr/>
            </w:pPr>
            <w:r>
              <w:rPr>
                <w:rStyle w:val="Fontepargpadro"/>
                <w:rFonts w:ascii="Arial" w:hAnsi="Arial"/>
                <w:b/>
                <w:bCs/>
                <w:color w:val="000000"/>
                <w:sz w:val="20"/>
                <w:szCs w:val="20"/>
                <w:u w:val="single"/>
                <w:shd w:fill="FFFFFF" w:val="clear"/>
              </w:rPr>
              <w:t>Quantidade</w:t>
            </w:r>
          </w:p>
        </w:tc>
        <w:tc>
          <w:tcPr>
            <w:tcW w:w="1274" w:type="dxa"/>
            <w:tcBorders>
              <w:top w:val="single" w:sz="2" w:space="0" w:color="000000"/>
              <w:left w:val="single" w:sz="2" w:space="0" w:color="000000"/>
              <w:bottom w:val="single" w:sz="2" w:space="0" w:color="000000"/>
            </w:tcBorders>
            <w:vAlign w:val="center"/>
          </w:tcPr>
          <w:p>
            <w:pPr>
              <w:pStyle w:val="LONormal0"/>
              <w:widowControl w:val="false"/>
              <w:snapToGrid w:val="false"/>
              <w:spacing w:lineRule="auto" w:line="276"/>
              <w:jc w:val="center"/>
              <w:rPr/>
            </w:pPr>
            <w:r>
              <w:rPr>
                <w:rStyle w:val="Fontepargpadro"/>
                <w:rFonts w:ascii="Arial" w:hAnsi="Arial"/>
                <w:b/>
                <w:bCs/>
                <w:color w:val="000000"/>
                <w:sz w:val="20"/>
                <w:szCs w:val="20"/>
                <w:u w:val="single"/>
                <w:shd w:fill="FFFFFF" w:val="clear"/>
              </w:rPr>
              <w:t>Preço Unitário</w:t>
            </w:r>
          </w:p>
        </w:tc>
        <w:tc>
          <w:tcPr>
            <w:tcW w:w="1276" w:type="dxa"/>
            <w:tcBorders>
              <w:top w:val="single" w:sz="2" w:space="0" w:color="000000"/>
              <w:left w:val="single" w:sz="2" w:space="0" w:color="000000"/>
              <w:bottom w:val="single" w:sz="2" w:space="0" w:color="000000"/>
              <w:right w:val="single" w:sz="8" w:space="0" w:color="000000"/>
            </w:tcBorders>
            <w:vAlign w:val="center"/>
          </w:tcPr>
          <w:p>
            <w:pPr>
              <w:pStyle w:val="LONormal0"/>
              <w:widowControl w:val="false"/>
              <w:snapToGrid w:val="false"/>
              <w:spacing w:lineRule="auto" w:line="276"/>
              <w:jc w:val="center"/>
              <w:rPr/>
            </w:pPr>
            <w:r>
              <w:rPr>
                <w:rStyle w:val="Fontepargpadro"/>
                <w:rFonts w:ascii="Arial" w:hAnsi="Arial"/>
                <w:b/>
                <w:bCs/>
                <w:color w:val="000000"/>
                <w:sz w:val="20"/>
                <w:szCs w:val="20"/>
                <w:u w:val="single"/>
                <w:shd w:fill="FFFFFF" w:val="clear"/>
              </w:rPr>
              <w:t>Preço</w:t>
            </w:r>
          </w:p>
          <w:p>
            <w:pPr>
              <w:pStyle w:val="LONormal0"/>
              <w:widowControl w:val="false"/>
              <w:snapToGrid w:val="false"/>
              <w:spacing w:lineRule="auto" w:line="276"/>
              <w:jc w:val="center"/>
              <w:rPr/>
            </w:pPr>
            <w:r>
              <w:rPr>
                <w:rStyle w:val="Fontepargpadro"/>
                <w:rFonts w:ascii="Arial" w:hAnsi="Arial"/>
                <w:b/>
                <w:bCs/>
                <w:color w:val="000000"/>
                <w:sz w:val="20"/>
                <w:szCs w:val="20"/>
                <w:u w:val="single"/>
                <w:shd w:fill="FFFFFF" w:val="clear"/>
              </w:rPr>
              <w:t>Total</w:t>
            </w:r>
          </w:p>
        </w:tc>
      </w:tr>
      <w:tr>
        <w:trPr>
          <w:trHeight w:val="108" w:hRule="atLeast"/>
          <w:cantSplit w:val="true"/>
        </w:trPr>
        <w:tc>
          <w:tcPr>
            <w:tcW w:w="550" w:type="dxa"/>
            <w:tcBorders>
              <w:left w:val="single" w:sz="4" w:space="0" w:color="000000"/>
              <w:bottom w:val="single" w:sz="2" w:space="0" w:color="000000"/>
            </w:tcBorders>
            <w:vAlign w:val="center"/>
          </w:tcPr>
          <w:p>
            <w:pPr>
              <w:pStyle w:val="LONormal0"/>
              <w:widowControl w:val="false"/>
              <w:spacing w:lineRule="auto" w:line="276"/>
              <w:jc w:val="center"/>
              <w:rPr/>
            </w:pPr>
            <w:r>
              <w:rPr>
                <w:rStyle w:val="Fontepargpadro"/>
                <w:rFonts w:ascii="Arial" w:hAnsi="Arial"/>
                <w:b/>
                <w:bCs/>
                <w:sz w:val="20"/>
                <w:szCs w:val="20"/>
              </w:rPr>
              <w:t>1</w:t>
            </w:r>
          </w:p>
        </w:tc>
        <w:tc>
          <w:tcPr>
            <w:tcW w:w="2852" w:type="dxa"/>
            <w:tcBorders>
              <w:left w:val="single" w:sz="2" w:space="0" w:color="000000"/>
              <w:bottom w:val="single" w:sz="2" w:space="0" w:color="000000"/>
            </w:tcBorders>
            <w:vAlign w:val="center"/>
          </w:tcPr>
          <w:p>
            <w:pPr>
              <w:pStyle w:val="LONormal0"/>
              <w:widowControl w:val="false"/>
              <w:spacing w:lineRule="auto" w:line="276"/>
              <w:jc w:val="center"/>
              <w:rPr>
                <w:rFonts w:ascii="Arial" w:hAnsi="Arial" w:cs="Liberation Serif"/>
                <w:b/>
                <w:b/>
                <w:bCs/>
                <w:sz w:val="20"/>
                <w:szCs w:val="20"/>
              </w:rPr>
            </w:pPr>
            <w:r>
              <w:rPr>
                <w:rFonts w:cs="Liberation Serif" w:ascii="Arial" w:hAnsi="Arial"/>
                <w:b/>
                <w:bCs/>
                <w:sz w:val="20"/>
                <w:szCs w:val="20"/>
              </w:rPr>
              <w:t>Mistura para solda mig (Gás carbônico + argônio)</w:t>
            </w:r>
          </w:p>
        </w:tc>
        <w:tc>
          <w:tcPr>
            <w:tcW w:w="1134" w:type="dxa"/>
            <w:tcBorders>
              <w:left w:val="single" w:sz="2" w:space="0" w:color="000000"/>
              <w:bottom w:val="single" w:sz="2" w:space="0" w:color="000000"/>
            </w:tcBorders>
            <w:vAlign w:val="center"/>
          </w:tcPr>
          <w:p>
            <w:pPr>
              <w:pStyle w:val="LONormal0"/>
              <w:widowControl w:val="false"/>
              <w:spacing w:lineRule="auto" w:line="276"/>
              <w:jc w:val="center"/>
              <w:rPr/>
            </w:pPr>
            <w:r>
              <w:rPr>
                <w:rStyle w:val="Fontepargpadro"/>
                <w:rFonts w:ascii="Arial" w:hAnsi="Arial"/>
                <w:b/>
                <w:bCs/>
                <w:sz w:val="20"/>
                <w:szCs w:val="20"/>
              </w:rPr>
              <w:t>M³</w:t>
            </w:r>
          </w:p>
        </w:tc>
        <w:tc>
          <w:tcPr>
            <w:tcW w:w="1276" w:type="dxa"/>
            <w:tcBorders>
              <w:left w:val="single" w:sz="2" w:space="0" w:color="000000"/>
              <w:bottom w:val="single" w:sz="2" w:space="0" w:color="000000"/>
            </w:tcBorders>
            <w:vAlign w:val="center"/>
          </w:tcPr>
          <w:p>
            <w:pPr>
              <w:pStyle w:val="LONormal0"/>
              <w:widowControl w:val="false"/>
              <w:spacing w:lineRule="auto" w:line="276"/>
              <w:jc w:val="center"/>
              <w:rPr/>
            </w:pPr>
            <w:r>
              <w:rPr>
                <w:rStyle w:val="Fontepargpadro"/>
                <w:rFonts w:ascii="Arial" w:hAnsi="Arial"/>
                <w:b/>
                <w:bCs/>
                <w:sz w:val="20"/>
                <w:szCs w:val="20"/>
              </w:rPr>
              <w:t>100</w:t>
            </w:r>
          </w:p>
        </w:tc>
        <w:tc>
          <w:tcPr>
            <w:tcW w:w="1274" w:type="dxa"/>
            <w:tcBorders>
              <w:left w:val="single" w:sz="2" w:space="0" w:color="000000"/>
              <w:bottom w:val="single" w:sz="2" w:space="0" w:color="000000"/>
            </w:tcBorders>
            <w:vAlign w:val="center"/>
          </w:tcPr>
          <w:p>
            <w:pPr>
              <w:pStyle w:val="LONormal0"/>
              <w:widowControl w:val="false"/>
              <w:snapToGrid w:val="false"/>
              <w:spacing w:lineRule="auto" w:line="276"/>
              <w:jc w:val="center"/>
              <w:rPr/>
            </w:pPr>
            <w:r>
              <w:rPr>
                <w:rStyle w:val="Fontepargpadro"/>
                <w:rFonts w:ascii="Arial" w:hAnsi="Arial"/>
                <w:b/>
                <w:bCs/>
                <w:sz w:val="20"/>
                <w:szCs w:val="20"/>
              </w:rPr>
              <w:t>R$ 30,00</w:t>
            </w:r>
          </w:p>
        </w:tc>
        <w:tc>
          <w:tcPr>
            <w:tcW w:w="1276" w:type="dxa"/>
            <w:tcBorders>
              <w:left w:val="single" w:sz="2" w:space="0" w:color="000000"/>
              <w:bottom w:val="single" w:sz="2" w:space="0" w:color="000000"/>
              <w:right w:val="single" w:sz="8" w:space="0" w:color="000000"/>
            </w:tcBorders>
            <w:vAlign w:val="center"/>
          </w:tcPr>
          <w:p>
            <w:pPr>
              <w:pStyle w:val="LONormal0"/>
              <w:widowControl w:val="false"/>
              <w:snapToGrid w:val="false"/>
              <w:spacing w:lineRule="auto" w:line="276"/>
              <w:jc w:val="center"/>
              <w:rPr/>
            </w:pPr>
            <w:r>
              <w:rPr>
                <w:rStyle w:val="Fontepargpadro"/>
                <w:rFonts w:ascii="Arial" w:hAnsi="Arial"/>
                <w:b/>
                <w:bCs/>
                <w:sz w:val="20"/>
                <w:szCs w:val="20"/>
              </w:rPr>
              <w:t>R$ 3.000,00</w:t>
            </w:r>
          </w:p>
        </w:tc>
      </w:tr>
      <w:tr>
        <w:trPr>
          <w:trHeight w:val="108" w:hRule="atLeast"/>
          <w:cantSplit w:val="true"/>
        </w:trPr>
        <w:tc>
          <w:tcPr>
            <w:tcW w:w="550" w:type="dxa"/>
            <w:tcBorders>
              <w:left w:val="single" w:sz="4" w:space="0" w:color="000000"/>
              <w:bottom w:val="single" w:sz="2" w:space="0" w:color="000000"/>
            </w:tcBorders>
            <w:vAlign w:val="center"/>
          </w:tcPr>
          <w:p>
            <w:pPr>
              <w:pStyle w:val="LONormal0"/>
              <w:widowControl w:val="false"/>
              <w:spacing w:lineRule="auto" w:line="276"/>
              <w:jc w:val="center"/>
              <w:rPr>
                <w:rFonts w:ascii="Arial" w:hAnsi="Arial"/>
                <w:b/>
                <w:b/>
                <w:bCs/>
                <w:sz w:val="20"/>
                <w:szCs w:val="20"/>
              </w:rPr>
            </w:pPr>
            <w:r>
              <w:rPr>
                <w:rFonts w:ascii="Arial" w:hAnsi="Arial"/>
                <w:b/>
                <w:bCs/>
                <w:sz w:val="20"/>
                <w:szCs w:val="20"/>
              </w:rPr>
              <w:t>2</w:t>
            </w:r>
          </w:p>
        </w:tc>
        <w:tc>
          <w:tcPr>
            <w:tcW w:w="2852" w:type="dxa"/>
            <w:tcBorders>
              <w:left w:val="single" w:sz="2" w:space="0" w:color="000000"/>
              <w:bottom w:val="single" w:sz="2" w:space="0" w:color="000000"/>
            </w:tcBorders>
            <w:vAlign w:val="center"/>
          </w:tcPr>
          <w:p>
            <w:pPr>
              <w:pStyle w:val="LONormal0"/>
              <w:widowControl w:val="false"/>
              <w:spacing w:lineRule="auto" w:line="276"/>
              <w:jc w:val="center"/>
              <w:rPr>
                <w:rFonts w:ascii="Arial" w:hAnsi="Arial" w:cs="Liberation Serif"/>
                <w:b/>
                <w:b/>
                <w:bCs/>
                <w:sz w:val="20"/>
                <w:szCs w:val="20"/>
              </w:rPr>
            </w:pPr>
            <w:r>
              <w:rPr>
                <w:rFonts w:cs="Liberation Serif" w:ascii="Arial" w:hAnsi="Arial"/>
                <w:b/>
                <w:bCs/>
                <w:sz w:val="20"/>
                <w:szCs w:val="20"/>
              </w:rPr>
              <w:t>Oxigênio Industrial em cilindros</w:t>
            </w:r>
          </w:p>
        </w:tc>
        <w:tc>
          <w:tcPr>
            <w:tcW w:w="1134" w:type="dxa"/>
            <w:tcBorders>
              <w:left w:val="single" w:sz="2" w:space="0" w:color="000000"/>
              <w:bottom w:val="single" w:sz="2" w:space="0" w:color="000000"/>
            </w:tcBorders>
            <w:vAlign w:val="center"/>
          </w:tcPr>
          <w:p>
            <w:pPr>
              <w:pStyle w:val="LONormal0"/>
              <w:widowControl w:val="false"/>
              <w:spacing w:lineRule="auto" w:line="276"/>
              <w:jc w:val="center"/>
              <w:rPr>
                <w:rFonts w:ascii="Arial" w:hAnsi="Arial"/>
                <w:b/>
                <w:b/>
                <w:bCs/>
                <w:sz w:val="20"/>
                <w:szCs w:val="20"/>
              </w:rPr>
            </w:pPr>
            <w:r>
              <w:rPr>
                <w:rFonts w:ascii="Arial" w:hAnsi="Arial"/>
                <w:b/>
                <w:bCs/>
                <w:sz w:val="20"/>
                <w:szCs w:val="20"/>
              </w:rPr>
              <w:t>M³</w:t>
            </w:r>
          </w:p>
        </w:tc>
        <w:tc>
          <w:tcPr>
            <w:tcW w:w="1276" w:type="dxa"/>
            <w:tcBorders>
              <w:left w:val="single" w:sz="2" w:space="0" w:color="000000"/>
              <w:bottom w:val="single" w:sz="2" w:space="0" w:color="000000"/>
            </w:tcBorders>
            <w:vAlign w:val="center"/>
          </w:tcPr>
          <w:p>
            <w:pPr>
              <w:pStyle w:val="LONormal0"/>
              <w:widowControl w:val="false"/>
              <w:spacing w:lineRule="auto" w:line="276"/>
              <w:jc w:val="center"/>
              <w:rPr>
                <w:rFonts w:ascii="Arial" w:hAnsi="Arial"/>
                <w:b/>
                <w:b/>
                <w:bCs/>
                <w:sz w:val="20"/>
                <w:szCs w:val="20"/>
              </w:rPr>
            </w:pPr>
            <w:r>
              <w:rPr>
                <w:rFonts w:ascii="Arial" w:hAnsi="Arial"/>
                <w:b/>
                <w:bCs/>
                <w:sz w:val="20"/>
                <w:szCs w:val="20"/>
              </w:rPr>
              <w:t>70</w:t>
            </w:r>
          </w:p>
        </w:tc>
        <w:tc>
          <w:tcPr>
            <w:tcW w:w="1274" w:type="dxa"/>
            <w:tcBorders>
              <w:left w:val="single" w:sz="2" w:space="0" w:color="000000"/>
              <w:bottom w:val="single" w:sz="2" w:space="0" w:color="000000"/>
            </w:tcBorders>
            <w:vAlign w:val="center"/>
          </w:tcPr>
          <w:p>
            <w:pPr>
              <w:pStyle w:val="LONormal0"/>
              <w:widowControl w:val="false"/>
              <w:snapToGrid w:val="false"/>
              <w:spacing w:lineRule="auto" w:line="276"/>
              <w:jc w:val="center"/>
              <w:rPr>
                <w:rFonts w:ascii="Arial" w:hAnsi="Arial"/>
                <w:b/>
                <w:b/>
                <w:bCs/>
                <w:sz w:val="20"/>
                <w:szCs w:val="20"/>
              </w:rPr>
            </w:pPr>
            <w:r>
              <w:rPr>
                <w:rFonts w:ascii="Arial" w:hAnsi="Arial"/>
                <w:b/>
                <w:bCs/>
                <w:sz w:val="20"/>
                <w:szCs w:val="20"/>
              </w:rPr>
              <w:t>R$ 14,00</w:t>
            </w:r>
          </w:p>
        </w:tc>
        <w:tc>
          <w:tcPr>
            <w:tcW w:w="1276" w:type="dxa"/>
            <w:tcBorders>
              <w:left w:val="single" w:sz="2" w:space="0" w:color="000000"/>
              <w:bottom w:val="single" w:sz="2" w:space="0" w:color="000000"/>
              <w:right w:val="single" w:sz="8" w:space="0" w:color="000000"/>
            </w:tcBorders>
            <w:vAlign w:val="center"/>
          </w:tcPr>
          <w:p>
            <w:pPr>
              <w:pStyle w:val="LONormal0"/>
              <w:widowControl w:val="false"/>
              <w:snapToGrid w:val="false"/>
              <w:spacing w:lineRule="auto" w:line="276"/>
              <w:jc w:val="center"/>
              <w:rPr>
                <w:rFonts w:ascii="Arial" w:hAnsi="Arial"/>
                <w:b/>
                <w:b/>
                <w:bCs/>
                <w:sz w:val="20"/>
                <w:szCs w:val="20"/>
              </w:rPr>
            </w:pPr>
            <w:r>
              <w:rPr>
                <w:rFonts w:ascii="Arial" w:hAnsi="Arial"/>
                <w:b/>
                <w:bCs/>
                <w:sz w:val="20"/>
                <w:szCs w:val="20"/>
              </w:rPr>
              <w:t>R$ 980,00</w:t>
            </w:r>
          </w:p>
        </w:tc>
      </w:tr>
      <w:tr>
        <w:trPr>
          <w:trHeight w:val="108" w:hRule="atLeast"/>
          <w:cantSplit w:val="true"/>
        </w:trPr>
        <w:tc>
          <w:tcPr>
            <w:tcW w:w="550" w:type="dxa"/>
            <w:tcBorders>
              <w:left w:val="single" w:sz="4" w:space="0" w:color="000000"/>
              <w:bottom w:val="single" w:sz="2" w:space="0" w:color="000000"/>
            </w:tcBorders>
            <w:vAlign w:val="center"/>
          </w:tcPr>
          <w:p>
            <w:pPr>
              <w:pStyle w:val="LONormal0"/>
              <w:widowControl w:val="false"/>
              <w:spacing w:lineRule="auto" w:line="276"/>
              <w:jc w:val="center"/>
              <w:rPr>
                <w:rFonts w:ascii="Arial" w:hAnsi="Arial"/>
                <w:b/>
                <w:b/>
                <w:bCs/>
                <w:sz w:val="20"/>
                <w:szCs w:val="20"/>
              </w:rPr>
            </w:pPr>
            <w:r>
              <w:rPr>
                <w:rFonts w:ascii="Arial" w:hAnsi="Arial"/>
                <w:b/>
                <w:bCs/>
                <w:sz w:val="20"/>
                <w:szCs w:val="20"/>
              </w:rPr>
              <w:t>3</w:t>
            </w:r>
          </w:p>
        </w:tc>
        <w:tc>
          <w:tcPr>
            <w:tcW w:w="2852" w:type="dxa"/>
            <w:tcBorders>
              <w:left w:val="single" w:sz="2" w:space="0" w:color="000000"/>
              <w:bottom w:val="single" w:sz="2" w:space="0" w:color="000000"/>
            </w:tcBorders>
            <w:vAlign w:val="center"/>
          </w:tcPr>
          <w:p>
            <w:pPr>
              <w:pStyle w:val="LONormal0"/>
              <w:widowControl w:val="false"/>
              <w:spacing w:lineRule="auto" w:line="276"/>
              <w:jc w:val="center"/>
              <w:rPr>
                <w:rFonts w:ascii="Arial" w:hAnsi="Arial" w:cs="Liberation Serif"/>
                <w:b/>
                <w:b/>
                <w:bCs/>
                <w:sz w:val="20"/>
                <w:szCs w:val="20"/>
              </w:rPr>
            </w:pPr>
            <w:r>
              <w:rPr>
                <w:rFonts w:cs="Liberation Serif" w:ascii="Arial" w:hAnsi="Arial"/>
                <w:b/>
                <w:bCs/>
                <w:sz w:val="20"/>
                <w:szCs w:val="20"/>
              </w:rPr>
              <w:t>Acetileno (gás) cilindro de 9 kg</w:t>
            </w:r>
          </w:p>
        </w:tc>
        <w:tc>
          <w:tcPr>
            <w:tcW w:w="1134" w:type="dxa"/>
            <w:tcBorders>
              <w:left w:val="single" w:sz="2" w:space="0" w:color="000000"/>
              <w:bottom w:val="single" w:sz="2" w:space="0" w:color="000000"/>
            </w:tcBorders>
            <w:vAlign w:val="center"/>
          </w:tcPr>
          <w:p>
            <w:pPr>
              <w:pStyle w:val="LONormal0"/>
              <w:widowControl w:val="false"/>
              <w:spacing w:lineRule="auto" w:line="276"/>
              <w:jc w:val="center"/>
              <w:rPr>
                <w:rFonts w:ascii="Arial" w:hAnsi="Arial"/>
                <w:b/>
                <w:b/>
                <w:bCs/>
                <w:sz w:val="20"/>
                <w:szCs w:val="20"/>
              </w:rPr>
            </w:pPr>
            <w:r>
              <w:rPr>
                <w:rFonts w:ascii="Arial" w:hAnsi="Arial"/>
                <w:b/>
                <w:bCs/>
                <w:sz w:val="20"/>
                <w:szCs w:val="20"/>
              </w:rPr>
              <w:t>kg</w:t>
            </w:r>
          </w:p>
        </w:tc>
        <w:tc>
          <w:tcPr>
            <w:tcW w:w="1276" w:type="dxa"/>
            <w:tcBorders>
              <w:left w:val="single" w:sz="2" w:space="0" w:color="000000"/>
              <w:bottom w:val="single" w:sz="2" w:space="0" w:color="000000"/>
            </w:tcBorders>
            <w:vAlign w:val="center"/>
          </w:tcPr>
          <w:p>
            <w:pPr>
              <w:pStyle w:val="LONormal0"/>
              <w:widowControl w:val="false"/>
              <w:spacing w:lineRule="auto" w:line="276"/>
              <w:jc w:val="center"/>
              <w:rPr>
                <w:rFonts w:ascii="Arial" w:hAnsi="Arial"/>
                <w:b/>
                <w:b/>
                <w:bCs/>
                <w:sz w:val="20"/>
                <w:szCs w:val="20"/>
              </w:rPr>
            </w:pPr>
            <w:r>
              <w:rPr>
                <w:rFonts w:ascii="Arial" w:hAnsi="Arial"/>
                <w:b/>
                <w:bCs/>
                <w:sz w:val="20"/>
                <w:szCs w:val="20"/>
              </w:rPr>
              <w:t>45</w:t>
            </w:r>
          </w:p>
        </w:tc>
        <w:tc>
          <w:tcPr>
            <w:tcW w:w="1274" w:type="dxa"/>
            <w:tcBorders>
              <w:left w:val="single" w:sz="2" w:space="0" w:color="000000"/>
              <w:bottom w:val="single" w:sz="2" w:space="0" w:color="000000"/>
            </w:tcBorders>
            <w:vAlign w:val="center"/>
          </w:tcPr>
          <w:p>
            <w:pPr>
              <w:pStyle w:val="LONormal0"/>
              <w:widowControl w:val="false"/>
              <w:snapToGrid w:val="false"/>
              <w:spacing w:lineRule="auto" w:line="276"/>
              <w:jc w:val="center"/>
              <w:rPr>
                <w:rFonts w:ascii="Arial" w:hAnsi="Arial"/>
                <w:b/>
                <w:b/>
                <w:bCs/>
                <w:sz w:val="20"/>
                <w:szCs w:val="20"/>
              </w:rPr>
            </w:pPr>
            <w:r>
              <w:rPr>
                <w:rFonts w:ascii="Arial" w:hAnsi="Arial"/>
                <w:b/>
                <w:bCs/>
                <w:sz w:val="20"/>
                <w:szCs w:val="20"/>
              </w:rPr>
              <w:t>R$ 85,00</w:t>
            </w:r>
          </w:p>
        </w:tc>
        <w:tc>
          <w:tcPr>
            <w:tcW w:w="1276" w:type="dxa"/>
            <w:tcBorders>
              <w:left w:val="single" w:sz="2" w:space="0" w:color="000000"/>
              <w:bottom w:val="single" w:sz="2" w:space="0" w:color="000000"/>
              <w:right w:val="single" w:sz="8" w:space="0" w:color="000000"/>
            </w:tcBorders>
            <w:vAlign w:val="center"/>
          </w:tcPr>
          <w:p>
            <w:pPr>
              <w:pStyle w:val="LONormal0"/>
              <w:widowControl w:val="false"/>
              <w:snapToGrid w:val="false"/>
              <w:spacing w:lineRule="auto" w:line="276"/>
              <w:jc w:val="center"/>
              <w:rPr>
                <w:rFonts w:ascii="Arial" w:hAnsi="Arial"/>
                <w:b/>
                <w:b/>
                <w:bCs/>
                <w:sz w:val="20"/>
                <w:szCs w:val="20"/>
              </w:rPr>
            </w:pPr>
            <w:r>
              <w:rPr>
                <w:rFonts w:ascii="Arial" w:hAnsi="Arial"/>
                <w:b/>
                <w:bCs/>
                <w:sz w:val="20"/>
                <w:szCs w:val="20"/>
              </w:rPr>
              <w:t>R$ 3.825,00</w:t>
            </w:r>
          </w:p>
        </w:tc>
      </w:tr>
      <w:tr>
        <w:trPr>
          <w:trHeight w:val="108" w:hRule="atLeast"/>
          <w:cantSplit w:val="true"/>
        </w:trPr>
        <w:tc>
          <w:tcPr>
            <w:tcW w:w="550" w:type="dxa"/>
            <w:tcBorders>
              <w:left w:val="single" w:sz="4" w:space="0" w:color="000000"/>
              <w:bottom w:val="single" w:sz="2" w:space="0" w:color="000000"/>
            </w:tcBorders>
            <w:vAlign w:val="center"/>
          </w:tcPr>
          <w:p>
            <w:pPr>
              <w:pStyle w:val="LONormal0"/>
              <w:widowControl w:val="false"/>
              <w:spacing w:lineRule="auto" w:line="276"/>
              <w:jc w:val="center"/>
              <w:rPr>
                <w:rFonts w:ascii="Arial" w:hAnsi="Arial"/>
                <w:b/>
                <w:b/>
                <w:bCs/>
                <w:sz w:val="20"/>
                <w:szCs w:val="20"/>
              </w:rPr>
            </w:pPr>
            <w:r>
              <w:rPr>
                <w:rFonts w:ascii="Arial" w:hAnsi="Arial"/>
                <w:b/>
                <w:bCs/>
                <w:sz w:val="20"/>
                <w:szCs w:val="20"/>
              </w:rPr>
              <w:t>4</w:t>
            </w:r>
          </w:p>
        </w:tc>
        <w:tc>
          <w:tcPr>
            <w:tcW w:w="2852" w:type="dxa"/>
            <w:tcBorders>
              <w:left w:val="single" w:sz="2" w:space="0" w:color="000000"/>
              <w:bottom w:val="single" w:sz="2" w:space="0" w:color="000000"/>
            </w:tcBorders>
            <w:vAlign w:val="center"/>
          </w:tcPr>
          <w:p>
            <w:pPr>
              <w:pStyle w:val="LONormal0"/>
              <w:widowControl w:val="false"/>
              <w:spacing w:lineRule="auto" w:line="276"/>
              <w:jc w:val="center"/>
              <w:rPr>
                <w:rFonts w:ascii="Arial" w:hAnsi="Arial" w:cs="Liberation Serif"/>
                <w:b/>
                <w:b/>
                <w:bCs/>
                <w:sz w:val="20"/>
                <w:szCs w:val="20"/>
              </w:rPr>
            </w:pPr>
            <w:r>
              <w:rPr>
                <w:rFonts w:cs="Liberation Serif" w:ascii="Arial" w:hAnsi="Arial"/>
                <w:b/>
                <w:bCs/>
                <w:sz w:val="20"/>
                <w:szCs w:val="20"/>
              </w:rPr>
              <w:t>Arame Mig</w:t>
            </w:r>
          </w:p>
        </w:tc>
        <w:tc>
          <w:tcPr>
            <w:tcW w:w="1134" w:type="dxa"/>
            <w:tcBorders>
              <w:left w:val="single" w:sz="2" w:space="0" w:color="000000"/>
              <w:bottom w:val="single" w:sz="2" w:space="0" w:color="000000"/>
            </w:tcBorders>
            <w:vAlign w:val="center"/>
          </w:tcPr>
          <w:p>
            <w:pPr>
              <w:pStyle w:val="LONormal0"/>
              <w:widowControl w:val="false"/>
              <w:spacing w:lineRule="auto" w:line="276"/>
              <w:jc w:val="center"/>
              <w:rPr>
                <w:rFonts w:ascii="Arial" w:hAnsi="Arial"/>
                <w:b/>
                <w:b/>
                <w:bCs/>
                <w:sz w:val="20"/>
                <w:szCs w:val="20"/>
              </w:rPr>
            </w:pPr>
            <w:r>
              <w:rPr>
                <w:rFonts w:ascii="Arial" w:hAnsi="Arial"/>
                <w:b/>
                <w:bCs/>
                <w:sz w:val="20"/>
                <w:szCs w:val="20"/>
              </w:rPr>
              <w:t>RL</w:t>
            </w:r>
          </w:p>
        </w:tc>
        <w:tc>
          <w:tcPr>
            <w:tcW w:w="1276" w:type="dxa"/>
            <w:tcBorders>
              <w:left w:val="single" w:sz="2" w:space="0" w:color="000000"/>
              <w:bottom w:val="single" w:sz="2" w:space="0" w:color="000000"/>
            </w:tcBorders>
            <w:vAlign w:val="center"/>
          </w:tcPr>
          <w:p>
            <w:pPr>
              <w:pStyle w:val="LONormal0"/>
              <w:widowControl w:val="false"/>
              <w:spacing w:lineRule="auto" w:line="276"/>
              <w:jc w:val="center"/>
              <w:rPr>
                <w:rFonts w:ascii="Arial" w:hAnsi="Arial"/>
                <w:b/>
                <w:b/>
                <w:bCs/>
                <w:sz w:val="20"/>
                <w:szCs w:val="20"/>
              </w:rPr>
            </w:pPr>
            <w:r>
              <w:rPr>
                <w:rFonts w:ascii="Arial" w:hAnsi="Arial"/>
                <w:b/>
                <w:bCs/>
                <w:sz w:val="20"/>
                <w:szCs w:val="20"/>
              </w:rPr>
              <w:t>2</w:t>
            </w:r>
          </w:p>
        </w:tc>
        <w:tc>
          <w:tcPr>
            <w:tcW w:w="1274" w:type="dxa"/>
            <w:tcBorders>
              <w:left w:val="single" w:sz="2" w:space="0" w:color="000000"/>
              <w:bottom w:val="single" w:sz="2" w:space="0" w:color="000000"/>
            </w:tcBorders>
            <w:vAlign w:val="center"/>
          </w:tcPr>
          <w:p>
            <w:pPr>
              <w:pStyle w:val="LONormal0"/>
              <w:widowControl w:val="false"/>
              <w:snapToGrid w:val="false"/>
              <w:spacing w:lineRule="auto" w:line="276"/>
              <w:jc w:val="center"/>
              <w:rPr>
                <w:rFonts w:ascii="Arial" w:hAnsi="Arial"/>
                <w:b/>
                <w:b/>
                <w:bCs/>
                <w:sz w:val="20"/>
                <w:szCs w:val="20"/>
              </w:rPr>
            </w:pPr>
            <w:r>
              <w:rPr>
                <w:rFonts w:ascii="Arial" w:hAnsi="Arial"/>
                <w:b/>
                <w:bCs/>
                <w:sz w:val="20"/>
                <w:szCs w:val="20"/>
              </w:rPr>
              <w:t>R$ 239,00</w:t>
            </w:r>
          </w:p>
        </w:tc>
        <w:tc>
          <w:tcPr>
            <w:tcW w:w="1276" w:type="dxa"/>
            <w:tcBorders>
              <w:left w:val="single" w:sz="2" w:space="0" w:color="000000"/>
              <w:bottom w:val="single" w:sz="2" w:space="0" w:color="000000"/>
              <w:right w:val="single" w:sz="8" w:space="0" w:color="000000"/>
            </w:tcBorders>
            <w:vAlign w:val="center"/>
          </w:tcPr>
          <w:p>
            <w:pPr>
              <w:pStyle w:val="LONormal0"/>
              <w:widowControl w:val="false"/>
              <w:snapToGrid w:val="false"/>
              <w:spacing w:lineRule="auto" w:line="276"/>
              <w:jc w:val="center"/>
              <w:rPr>
                <w:rFonts w:ascii="Arial" w:hAnsi="Arial"/>
                <w:b/>
                <w:b/>
                <w:bCs/>
                <w:sz w:val="20"/>
                <w:szCs w:val="20"/>
              </w:rPr>
            </w:pPr>
            <w:r>
              <w:rPr>
                <w:rFonts w:ascii="Arial" w:hAnsi="Arial"/>
                <w:b/>
                <w:bCs/>
                <w:sz w:val="20"/>
                <w:szCs w:val="20"/>
              </w:rPr>
              <w:t>R$ 478,00</w:t>
            </w:r>
          </w:p>
        </w:tc>
      </w:tr>
      <w:tr>
        <w:trPr>
          <w:trHeight w:val="108" w:hRule="atLeast"/>
          <w:cantSplit w:val="true"/>
        </w:trPr>
        <w:tc>
          <w:tcPr>
            <w:tcW w:w="8362" w:type="dxa"/>
            <w:gridSpan w:val="6"/>
            <w:tcBorders>
              <w:left w:val="single" w:sz="4" w:space="0" w:color="000000"/>
              <w:bottom w:val="single" w:sz="2" w:space="0" w:color="000000"/>
              <w:right w:val="single" w:sz="8" w:space="0" w:color="000000"/>
            </w:tcBorders>
            <w:vAlign w:val="center"/>
          </w:tcPr>
          <w:p>
            <w:pPr>
              <w:pStyle w:val="LONormal0"/>
              <w:widowControl w:val="false"/>
              <w:spacing w:lineRule="auto" w:line="276"/>
              <w:jc w:val="center"/>
              <w:rPr>
                <w:rFonts w:ascii="Arial" w:hAnsi="Arial"/>
                <w:b/>
                <w:b/>
                <w:bCs/>
                <w:sz w:val="20"/>
                <w:szCs w:val="20"/>
              </w:rPr>
            </w:pPr>
            <w:r>
              <w:rPr>
                <w:rFonts w:ascii="Arial" w:hAnsi="Arial"/>
                <w:b/>
                <w:bCs/>
                <w:sz w:val="20"/>
                <w:szCs w:val="20"/>
              </w:rPr>
              <w:t>TOTAL: R$8.283,00</w:t>
            </w:r>
          </w:p>
        </w:tc>
      </w:tr>
    </w:tbl>
    <w:p>
      <w:pPr>
        <w:pStyle w:val="ListParagraph"/>
        <w:numPr>
          <w:ilvl w:val="0"/>
          <w:numId w:val="0"/>
        </w:numPr>
        <w:suppressAutoHyphens w:val="false"/>
        <w:spacing w:lineRule="auto" w:line="360"/>
        <w:ind w:left="0" w:hanging="0"/>
        <w:jc w:val="both"/>
        <w:rPr>
          <w:rFonts w:cs="Times New Roman"/>
          <w:b/>
          <w:b/>
          <w:bCs/>
          <w:color w:val="000000" w:themeColor="text1"/>
        </w:rPr>
      </w:pPr>
      <w:r>
        <w:rPr>
          <w:rFonts w:cs="Times New Roman"/>
          <w:b/>
          <w:bCs/>
          <w:color w:val="000000" w:themeColor="text1"/>
        </w:rPr>
      </w:r>
    </w:p>
    <w:p>
      <w:pPr>
        <w:pStyle w:val="ListParagraph"/>
        <w:numPr>
          <w:ilvl w:val="0"/>
          <w:numId w:val="0"/>
        </w:numPr>
        <w:suppressAutoHyphens w:val="false"/>
        <w:spacing w:lineRule="auto" w:line="360"/>
        <w:ind w:left="0" w:hanging="0"/>
        <w:jc w:val="both"/>
        <w:rPr>
          <w:rFonts w:cs="Times New Roman"/>
          <w:b/>
          <w:b/>
          <w:bCs/>
          <w:color w:val="000000" w:themeColor="text1"/>
        </w:rPr>
      </w:pPr>
      <w:r>
        <w:rPr>
          <w:rFonts w:cs="Times New Roman"/>
          <w:b/>
          <w:bCs/>
          <w:color w:val="000000" w:themeColor="text1"/>
        </w:rPr>
      </w:r>
    </w:p>
    <w:p>
      <w:pPr>
        <w:pStyle w:val="ListParagraph"/>
        <w:numPr>
          <w:ilvl w:val="0"/>
          <w:numId w:val="0"/>
        </w:numPr>
        <w:suppressAutoHyphens w:val="false"/>
        <w:spacing w:lineRule="auto" w:line="360"/>
        <w:ind w:left="0" w:hanging="0"/>
        <w:jc w:val="both"/>
        <w:rPr>
          <w:rFonts w:cs="Times New Roman"/>
          <w:b/>
          <w:b/>
          <w:bCs/>
          <w:color w:val="000000" w:themeColor="text1"/>
        </w:rPr>
      </w:pPr>
      <w:r>
        <w:rPr>
          <w:rFonts w:cs="Times New Roman"/>
          <w:b/>
          <w:bCs/>
          <w:color w:val="000000" w:themeColor="text1"/>
        </w:rPr>
      </w:r>
    </w:p>
    <w:p>
      <w:pPr>
        <w:pStyle w:val="ListParagraph"/>
        <w:numPr>
          <w:ilvl w:val="0"/>
          <w:numId w:val="0"/>
        </w:numPr>
        <w:suppressAutoHyphens w:val="false"/>
        <w:spacing w:lineRule="auto" w:line="360"/>
        <w:ind w:left="0" w:hanging="0"/>
        <w:jc w:val="both"/>
        <w:rPr>
          <w:rFonts w:ascii="Arial" w:hAnsi="Arial"/>
          <w:sz w:val="20"/>
          <w:szCs w:val="20"/>
        </w:rPr>
      </w:pPr>
      <w:r>
        <w:rPr>
          <w:rFonts w:cs="Times New Roman" w:ascii="Arial" w:hAnsi="Arial"/>
          <w:b/>
          <w:bCs/>
          <w:color w:val="000000" w:themeColor="text1"/>
          <w:sz w:val="20"/>
          <w:szCs w:val="20"/>
        </w:rPr>
        <w:t>6-ENQUADRAMENTO:</w:t>
      </w:r>
    </w:p>
    <w:p>
      <w:pPr>
        <w:pStyle w:val="Normal"/>
        <w:spacing w:lineRule="auto" w:line="360"/>
        <w:ind w:firstLine="360"/>
        <w:jc w:val="both"/>
        <w:rPr>
          <w:rFonts w:ascii="Arial" w:hAnsi="Arial"/>
          <w:sz w:val="20"/>
          <w:szCs w:val="20"/>
        </w:rPr>
      </w:pPr>
      <w:r>
        <w:rPr>
          <w:rFonts w:cs="Times New Roman" w:ascii="Arial" w:hAnsi="Arial"/>
          <w:color w:val="000000" w:themeColor="text1"/>
          <w:sz w:val="20"/>
          <w:szCs w:val="20"/>
        </w:rPr>
        <w:t>Inciso II do artigo 75 da Lei nº 14.133/2021.</w:t>
      </w:r>
    </w:p>
    <w:p>
      <w:pPr>
        <w:pStyle w:val="ListParagraph"/>
        <w:numPr>
          <w:ilvl w:val="0"/>
          <w:numId w:val="0"/>
        </w:numPr>
        <w:suppressAutoHyphens w:val="false"/>
        <w:spacing w:lineRule="auto" w:line="360"/>
        <w:ind w:left="0" w:hanging="0"/>
        <w:jc w:val="both"/>
        <w:rPr>
          <w:rFonts w:ascii="Arial" w:hAnsi="Arial"/>
          <w:sz w:val="20"/>
          <w:szCs w:val="20"/>
        </w:rPr>
      </w:pPr>
      <w:r>
        <w:rPr>
          <w:rFonts w:cs="Times New Roman" w:ascii="Arial" w:hAnsi="Arial"/>
          <w:b/>
          <w:bCs/>
          <w:color w:val="000000" w:themeColor="text1"/>
          <w:sz w:val="20"/>
          <w:szCs w:val="20"/>
        </w:rPr>
        <w:t>7-JUSTIFICATIVA DA DISPENSA:</w:t>
      </w:r>
    </w:p>
    <w:p>
      <w:pPr>
        <w:pStyle w:val="Normal"/>
        <w:spacing w:lineRule="auto" w:line="360"/>
        <w:ind w:firstLine="709"/>
        <w:jc w:val="both"/>
        <w:rPr>
          <w:rFonts w:ascii="Arial" w:hAnsi="Arial"/>
          <w:sz w:val="20"/>
          <w:szCs w:val="20"/>
        </w:rPr>
      </w:pPr>
      <w:r>
        <w:rPr>
          <w:rFonts w:ascii="Arial" w:hAnsi="Arial"/>
          <w:sz w:val="20"/>
          <w:szCs w:val="20"/>
        </w:rPr>
        <w:t>No caso em questão, em razão do valor da compra, verifica-se a incidência da Dispensa de Licitação com base jurídica no inciso II do art. 75 da Lei nº 14.133/21.</w:t>
      </w:r>
    </w:p>
    <w:p>
      <w:pPr>
        <w:pStyle w:val="Normal"/>
        <w:spacing w:lineRule="auto" w:line="360"/>
        <w:jc w:val="both"/>
        <w:rPr>
          <w:rFonts w:ascii="Arial" w:hAnsi="Arial"/>
          <w:sz w:val="20"/>
          <w:szCs w:val="20"/>
        </w:rPr>
      </w:pPr>
      <w:r>
        <w:rPr>
          <w:rFonts w:cs="Times New Roman" w:ascii="Arial" w:hAnsi="Arial"/>
          <w:b/>
          <w:bCs/>
          <w:color w:val="000000" w:themeColor="text1"/>
          <w:sz w:val="20"/>
          <w:szCs w:val="20"/>
        </w:rPr>
        <w:t>8-FONTES DE RECURSOS</w:t>
      </w:r>
    </w:p>
    <w:p>
      <w:pPr>
        <w:pStyle w:val="Normal"/>
        <w:spacing w:lineRule="auto" w:line="360"/>
        <w:ind w:firstLine="708"/>
        <w:jc w:val="both"/>
        <w:rPr>
          <w:rFonts w:ascii="Arial" w:hAnsi="Arial"/>
          <w:sz w:val="20"/>
          <w:szCs w:val="20"/>
        </w:rPr>
      </w:pPr>
      <w:r>
        <w:rPr>
          <w:rFonts w:cs="Times New Roman" w:ascii="Arial" w:hAnsi="Arial"/>
          <w:color w:val="000000" w:themeColor="text1"/>
          <w:sz w:val="20"/>
          <w:szCs w:val="20"/>
        </w:rPr>
        <w:t xml:space="preserve"> </w:t>
      </w:r>
      <w:r>
        <w:rPr>
          <w:rFonts w:cs="Times New Roman" w:ascii="Arial" w:hAnsi="Arial"/>
          <w:color w:val="000000" w:themeColor="text1"/>
          <w:sz w:val="20"/>
          <w:szCs w:val="20"/>
        </w:rPr>
        <w:t>Recursos próprios, natureza da despesa – 3.3.90.30.00, dotação-809.</w:t>
      </w:r>
    </w:p>
    <w:p>
      <w:pPr>
        <w:pStyle w:val="Normal"/>
        <w:spacing w:lineRule="auto" w:line="360"/>
        <w:jc w:val="both"/>
        <w:rPr>
          <w:rFonts w:ascii="Arial" w:hAnsi="Arial"/>
          <w:sz w:val="20"/>
          <w:szCs w:val="20"/>
        </w:rPr>
      </w:pPr>
      <w:r>
        <w:rPr>
          <w:rFonts w:cs="Times New Roman" w:ascii="Arial" w:hAnsi="Arial"/>
          <w:b/>
          <w:bCs/>
          <w:color w:val="000000" w:themeColor="text1"/>
          <w:sz w:val="20"/>
          <w:szCs w:val="20"/>
        </w:rPr>
        <w:t xml:space="preserve"> </w:t>
      </w:r>
      <w:r>
        <w:rPr>
          <w:rFonts w:cs="Times New Roman" w:ascii="Arial" w:hAnsi="Arial"/>
          <w:b/>
          <w:bCs/>
          <w:color w:val="000000" w:themeColor="text1"/>
          <w:sz w:val="20"/>
          <w:szCs w:val="20"/>
        </w:rPr>
        <w:t>9-PRAZO E LOCAL DE ENTREGA</w:t>
      </w:r>
    </w:p>
    <w:p>
      <w:pPr>
        <w:pStyle w:val="Normal"/>
        <w:spacing w:lineRule="auto" w:line="360"/>
        <w:ind w:firstLine="708"/>
        <w:jc w:val="both"/>
        <w:rPr>
          <w:rFonts w:ascii="Arial" w:hAnsi="Arial"/>
          <w:sz w:val="20"/>
          <w:szCs w:val="20"/>
        </w:rPr>
      </w:pPr>
      <w:r>
        <w:rPr>
          <w:rFonts w:cs="Times New Roman" w:ascii="Arial" w:hAnsi="Arial"/>
          <w:b w:val="false"/>
          <w:bCs w:val="false"/>
          <w:color w:val="000000" w:themeColor="text1"/>
          <w:sz w:val="20"/>
          <w:szCs w:val="20"/>
        </w:rPr>
        <w:t>Os pedidos da municipalidade deverão ser entregues pelo fornecedor no prazo de até 5 (</w:t>
      </w:r>
      <w:r>
        <w:rPr>
          <w:rFonts w:eastAsia="Times New Roman" w:cs="Times New Roman" w:ascii="Arial" w:hAnsi="Arial"/>
          <w:b w:val="false"/>
          <w:bCs w:val="false"/>
          <w:color w:val="auto"/>
          <w:sz w:val="20"/>
          <w:szCs w:val="20"/>
          <w:lang w:val="pt-BR" w:eastAsia="zh-CN" w:bidi="ar-SA"/>
        </w:rPr>
        <w:t>dias</w:t>
      </w:r>
      <w:r>
        <w:rPr>
          <w:rFonts w:cs="Times New Roman" w:ascii="Arial" w:hAnsi="Arial"/>
          <w:b w:val="false"/>
          <w:bCs w:val="false"/>
          <w:color w:val="000000" w:themeColor="text1"/>
          <w:sz w:val="20"/>
          <w:szCs w:val="20"/>
        </w:rPr>
        <w:t>) dias após a emissão da autorização de fornecimento.</w:t>
      </w:r>
    </w:p>
    <w:p>
      <w:pPr>
        <w:pStyle w:val="Corpodetexto32"/>
        <w:spacing w:lineRule="auto" w:line="360"/>
        <w:jc w:val="both"/>
        <w:rPr>
          <w:rFonts w:ascii="Arial" w:hAnsi="Arial"/>
          <w:sz w:val="20"/>
          <w:szCs w:val="20"/>
        </w:rPr>
      </w:pPr>
      <w:r>
        <w:rPr>
          <w:rFonts w:cs="Times New Roman" w:ascii="Arial" w:hAnsi="Arial"/>
          <w:color w:val="000000" w:themeColor="text1"/>
          <w:sz w:val="20"/>
          <w:szCs w:val="20"/>
        </w:rPr>
        <w:t>A entrega deverá ser efetuada na Bomba Velha, situada a Rua Alexandre Barbosa, 485 – Jardim São Luís – Itatiba – SP.</w:t>
      </w:r>
    </w:p>
    <w:p>
      <w:pPr>
        <w:pStyle w:val="Normal"/>
        <w:spacing w:lineRule="auto" w:line="360"/>
        <w:jc w:val="both"/>
        <w:rPr>
          <w:rFonts w:ascii="Arial" w:hAnsi="Arial"/>
          <w:sz w:val="20"/>
          <w:szCs w:val="20"/>
        </w:rPr>
      </w:pPr>
      <w:r>
        <w:rPr>
          <w:rFonts w:cs="Times New Roman" w:ascii="Arial" w:hAnsi="Arial"/>
          <w:b/>
          <w:bCs/>
          <w:color w:val="000000" w:themeColor="text1"/>
          <w:sz w:val="20"/>
          <w:szCs w:val="20"/>
        </w:rPr>
        <w:t>10-SANÇÕES ADMINISTRATIVAS</w:t>
      </w:r>
    </w:p>
    <w:p>
      <w:pPr>
        <w:pStyle w:val="Normal"/>
        <w:spacing w:lineRule="auto" w:line="360"/>
        <w:ind w:firstLine="708"/>
        <w:jc w:val="both"/>
        <w:rPr>
          <w:rFonts w:ascii="Arial" w:hAnsi="Arial"/>
          <w:sz w:val="20"/>
          <w:szCs w:val="20"/>
        </w:rPr>
      </w:pPr>
      <w:r>
        <w:rPr>
          <w:rFonts w:cs="Times New Roman" w:ascii="Arial" w:hAnsi="Arial"/>
          <w:color w:val="000000" w:themeColor="text1"/>
          <w:sz w:val="20"/>
          <w:szCs w:val="20"/>
        </w:rPr>
        <w:t>Nos casos de atrasos injustificados ou inexecução total ou parcial dos compromissos assumidos com a Administração aplicar-se-ão as sanções administrativas previstas nas Lei Federal nº 14.133/2021.</w:t>
      </w:r>
    </w:p>
    <w:p>
      <w:pPr>
        <w:pStyle w:val="ListParagraph"/>
        <w:numPr>
          <w:ilvl w:val="0"/>
          <w:numId w:val="0"/>
        </w:numPr>
        <w:suppressAutoHyphens w:val="false"/>
        <w:spacing w:lineRule="auto" w:line="360"/>
        <w:ind w:left="0" w:hanging="0"/>
        <w:jc w:val="both"/>
        <w:rPr>
          <w:rFonts w:ascii="Arial" w:hAnsi="Arial"/>
          <w:sz w:val="20"/>
          <w:szCs w:val="20"/>
        </w:rPr>
      </w:pPr>
      <w:r>
        <w:rPr>
          <w:rFonts w:cs="Times New Roman" w:ascii="Arial" w:hAnsi="Arial"/>
          <w:b/>
          <w:bCs/>
          <w:color w:val="000000" w:themeColor="text1"/>
          <w:sz w:val="20"/>
          <w:szCs w:val="20"/>
        </w:rPr>
        <w:t>11-FORMA DE PAGAMENTO</w:t>
      </w:r>
    </w:p>
    <w:p>
      <w:pPr>
        <w:pStyle w:val="Normal"/>
        <w:spacing w:lineRule="auto" w:line="360"/>
        <w:ind w:firstLine="360"/>
        <w:jc w:val="both"/>
        <w:rPr>
          <w:rFonts w:ascii="Arial" w:hAnsi="Arial"/>
          <w:sz w:val="20"/>
          <w:szCs w:val="20"/>
        </w:rPr>
      </w:pPr>
      <w:r>
        <w:rPr>
          <w:rFonts w:cs="Times New Roman" w:ascii="Arial" w:hAnsi="Arial"/>
          <w:color w:val="000000" w:themeColor="text1"/>
          <w:sz w:val="20"/>
          <w:szCs w:val="20"/>
        </w:rPr>
        <w:t>O pagamento será efetuado em até 20 (vinte) dias, contados a partir da data de apresentação da Nota Fiscal devidamente atestada e do aceite da Administração, de acordo com as normas de execução orçamentária e financeira.</w:t>
      </w:r>
    </w:p>
    <w:p>
      <w:pPr>
        <w:pStyle w:val="ListParagraph"/>
        <w:numPr>
          <w:ilvl w:val="0"/>
          <w:numId w:val="0"/>
        </w:numPr>
        <w:suppressAutoHyphens w:val="false"/>
        <w:spacing w:lineRule="auto" w:line="360"/>
        <w:ind w:left="0" w:hanging="0"/>
        <w:jc w:val="both"/>
        <w:rPr>
          <w:rFonts w:ascii="Arial" w:hAnsi="Arial"/>
          <w:sz w:val="20"/>
          <w:szCs w:val="20"/>
        </w:rPr>
      </w:pPr>
      <w:r>
        <w:rPr>
          <w:rFonts w:cs="Times New Roman" w:ascii="Arial" w:hAnsi="Arial"/>
          <w:b/>
          <w:bCs/>
          <w:color w:val="000000" w:themeColor="text1"/>
          <w:sz w:val="20"/>
          <w:szCs w:val="20"/>
        </w:rPr>
        <w:t>12-VALOR ESTIMADO</w:t>
      </w:r>
    </w:p>
    <w:p>
      <w:pPr>
        <w:pStyle w:val="Normal"/>
        <w:spacing w:lineRule="auto" w:line="360"/>
        <w:ind w:firstLine="360"/>
        <w:jc w:val="both"/>
        <w:rPr>
          <w:rFonts w:ascii="Arial" w:hAnsi="Arial"/>
          <w:sz w:val="20"/>
          <w:szCs w:val="20"/>
        </w:rPr>
      </w:pPr>
      <w:r>
        <w:rPr>
          <w:rFonts w:cs="Times New Roman" w:ascii="Arial" w:hAnsi="Arial"/>
          <w:color w:val="000000" w:themeColor="text1"/>
          <w:sz w:val="20"/>
          <w:szCs w:val="20"/>
        </w:rPr>
        <w:t>A estimativa de preços será conforme cotações em anexo.</w:t>
      </w:r>
    </w:p>
    <w:p>
      <w:pPr>
        <w:pStyle w:val="ListParagraph"/>
        <w:numPr>
          <w:ilvl w:val="0"/>
          <w:numId w:val="0"/>
        </w:numPr>
        <w:suppressAutoHyphens w:val="false"/>
        <w:spacing w:lineRule="auto" w:line="360"/>
        <w:ind w:left="0" w:hanging="0"/>
        <w:jc w:val="both"/>
        <w:rPr>
          <w:rFonts w:ascii="Arial" w:hAnsi="Arial"/>
          <w:sz w:val="20"/>
          <w:szCs w:val="20"/>
        </w:rPr>
      </w:pPr>
      <w:r>
        <w:rPr>
          <w:rFonts w:cs="Times New Roman" w:ascii="Arial" w:hAnsi="Arial"/>
          <w:b/>
          <w:bCs/>
          <w:color w:val="000000" w:themeColor="text1"/>
          <w:sz w:val="20"/>
          <w:szCs w:val="20"/>
        </w:rPr>
        <w:t>13-PREVISÃO ORÇAMENTÁRIA</w:t>
      </w:r>
    </w:p>
    <w:p>
      <w:pPr>
        <w:pStyle w:val="Normal"/>
        <w:spacing w:lineRule="auto" w:line="360" w:before="0" w:after="200"/>
        <w:ind w:firstLine="360"/>
        <w:jc w:val="both"/>
        <w:rPr>
          <w:rFonts w:ascii="Arial" w:hAnsi="Arial"/>
          <w:sz w:val="20"/>
          <w:szCs w:val="20"/>
        </w:rPr>
      </w:pPr>
      <w:r>
        <w:rPr>
          <w:rFonts w:cs="Times New Roman" w:ascii="Arial" w:hAnsi="Arial"/>
          <w:sz w:val="20"/>
          <w:szCs w:val="20"/>
        </w:rPr>
        <w:t>As despesas para atender a esta contratação estão programadas no PAC, oriundas de recursos próprios.</w:t>
      </w:r>
    </w:p>
    <w:p>
      <w:pPr>
        <w:pStyle w:val="Normal"/>
        <w:spacing w:lineRule="auto" w:line="360" w:before="0" w:after="200"/>
        <w:ind w:hanging="0"/>
        <w:jc w:val="both"/>
        <w:rPr>
          <w:rFonts w:ascii="Arial" w:hAnsi="Arial"/>
          <w:sz w:val="20"/>
          <w:szCs w:val="20"/>
        </w:rPr>
      </w:pPr>
      <w:r>
        <w:rPr>
          <w:rFonts w:cs="Times New Roman" w:ascii="Arial" w:hAnsi="Arial"/>
          <w:b/>
          <w:bCs/>
          <w:sz w:val="20"/>
          <w:szCs w:val="20"/>
        </w:rPr>
        <w:t>14-Responsáveis:</w:t>
      </w:r>
    </w:p>
    <w:p>
      <w:pPr>
        <w:pStyle w:val="Normal"/>
        <w:spacing w:lineRule="auto" w:line="360" w:before="0" w:after="200"/>
        <w:ind w:firstLine="360"/>
        <w:jc w:val="both"/>
        <w:rPr/>
      </w:pPr>
      <w:r>
        <w:rPr>
          <w:rStyle w:val="Strong"/>
          <w:rFonts w:cs="Arial" w:ascii="Arial" w:hAnsi="Arial"/>
          <w:b w:val="false"/>
          <w:sz w:val="20"/>
          <w:szCs w:val="20"/>
        </w:rPr>
        <w:t>Responsáveis pela elaboração: Sandro Sebastião Ferreira</w:t>
      </w:r>
    </w:p>
    <w:p>
      <w:pPr>
        <w:pStyle w:val="Normal"/>
        <w:spacing w:lineRule="auto" w:line="360" w:before="0" w:after="200"/>
        <w:ind w:firstLine="360"/>
        <w:jc w:val="both"/>
        <w:rPr/>
      </w:pPr>
      <w:r>
        <w:rPr>
          <w:rStyle w:val="Strong"/>
          <w:rFonts w:cs="Arial" w:ascii="Arial" w:hAnsi="Arial"/>
          <w:b w:val="false"/>
          <w:sz w:val="20"/>
          <w:szCs w:val="20"/>
        </w:rPr>
        <w:t>Supervisão: Adílson Franco Penteado– Secretário de Obras e Serviços Públicos</w:t>
      </w:r>
    </w:p>
    <w:p>
      <w:pPr>
        <w:pStyle w:val="Normal"/>
        <w:spacing w:lineRule="auto" w:line="360" w:before="0" w:after="200"/>
        <w:ind w:firstLine="360"/>
        <w:jc w:val="both"/>
        <w:rPr/>
      </w:pPr>
      <w:r>
        <w:rPr>
          <w:rStyle w:val="Strong"/>
          <w:rFonts w:cs="Arial" w:ascii="Arial" w:hAnsi="Arial"/>
          <w:b w:val="false"/>
          <w:sz w:val="20"/>
          <w:szCs w:val="20"/>
        </w:rPr>
        <w:t xml:space="preserve">Secretaria de Obras e Serviços Públicos, 21 de maio de 2024. </w:t>
      </w:r>
    </w:p>
    <w:p>
      <w:pPr>
        <w:pStyle w:val="Normal"/>
        <w:spacing w:lineRule="auto" w:line="360" w:before="0" w:after="200"/>
        <w:ind w:firstLine="360"/>
        <w:jc w:val="both"/>
        <w:rPr>
          <w:rFonts w:ascii="Arial" w:hAnsi="Arial" w:cs="Times New Roman"/>
          <w:sz w:val="20"/>
          <w:szCs w:val="20"/>
        </w:rPr>
      </w:pPr>
      <w:r>
        <w:rPr>
          <w:rFonts w:cs="Times New Roman" w:ascii="Arial" w:hAnsi="Arial"/>
          <w:sz w:val="20"/>
          <w:szCs w:val="20"/>
        </w:rPr>
      </w:r>
    </w:p>
    <w:p>
      <w:pPr>
        <w:pStyle w:val="Normal"/>
        <w:spacing w:lineRule="auto" w:line="360" w:before="0" w:after="200"/>
        <w:ind w:firstLine="360"/>
        <w:jc w:val="both"/>
        <w:rPr>
          <w:rFonts w:ascii="Arial" w:hAnsi="Arial" w:cs="Times New Roman"/>
          <w:sz w:val="20"/>
          <w:szCs w:val="20"/>
        </w:rPr>
      </w:pPr>
      <w:r>
        <w:rPr>
          <w:rFonts w:cs="Times New Roman" w:ascii="Arial" w:hAnsi="Arial"/>
          <w:sz w:val="20"/>
          <w:szCs w:val="20"/>
        </w:rPr>
      </w:r>
    </w:p>
    <w:p>
      <w:pPr>
        <w:pStyle w:val="Normal"/>
        <w:spacing w:lineRule="auto" w:line="360" w:before="0" w:after="200"/>
        <w:ind w:firstLine="360"/>
        <w:jc w:val="center"/>
        <w:rPr/>
      </w:pPr>
      <w:r>
        <w:rPr>
          <w:rStyle w:val="Strong"/>
          <w:rFonts w:cs="Arial" w:ascii="Arial" w:hAnsi="Arial"/>
          <w:b w:val="false"/>
          <w:sz w:val="21"/>
          <w:szCs w:val="21"/>
        </w:rPr>
        <w:t>Sandro Sebastião Ferreira</w:t>
      </w:r>
    </w:p>
    <w:p>
      <w:pPr>
        <w:pStyle w:val="Normal"/>
        <w:spacing w:lineRule="auto" w:line="360" w:before="0" w:after="200"/>
        <w:ind w:firstLine="360"/>
        <w:jc w:val="center"/>
        <w:rPr/>
      </w:pPr>
      <w:r>
        <w:rPr>
          <w:rStyle w:val="Strong"/>
          <w:rFonts w:cs="Arial" w:ascii="Arial" w:hAnsi="Arial"/>
          <w:b w:val="false"/>
          <w:sz w:val="21"/>
          <w:szCs w:val="21"/>
        </w:rPr>
        <w:t>Engenheiro Civil-CREA 5061157677</w:t>
      </w:r>
    </w:p>
    <w:p>
      <w:pPr>
        <w:pStyle w:val="Normal"/>
        <w:spacing w:lineRule="auto" w:line="360" w:before="0" w:after="200"/>
        <w:ind w:firstLine="360"/>
        <w:jc w:val="center"/>
        <w:rPr/>
      </w:pPr>
      <w:r>
        <w:rPr>
          <w:rStyle w:val="Strong"/>
          <w:rFonts w:cs="Arial" w:ascii="Arial" w:hAnsi="Arial"/>
          <w:b w:val="false"/>
          <w:sz w:val="21"/>
          <w:szCs w:val="21"/>
        </w:rPr>
        <w:t>Secretaria de Obras e Serviços Públicos</w:t>
      </w:r>
    </w:p>
    <w:p>
      <w:pPr>
        <w:pStyle w:val="Normal"/>
        <w:spacing w:lineRule="auto" w:line="360" w:before="0" w:after="200"/>
        <w:ind w:firstLine="360"/>
        <w:jc w:val="center"/>
        <w:rPr>
          <w:b w:val="false"/>
          <w:b w:val="false"/>
        </w:rPr>
      </w:pPr>
      <w:r>
        <w:rPr>
          <w:b w:val="false"/>
        </w:rPr>
      </w:r>
    </w:p>
    <w:p>
      <w:pPr>
        <w:pStyle w:val="Normal"/>
        <w:spacing w:lineRule="auto" w:line="360" w:before="0" w:after="200"/>
        <w:ind w:firstLine="360"/>
        <w:jc w:val="center"/>
        <w:rPr>
          <w:b w:val="false"/>
          <w:b w:val="false"/>
        </w:rPr>
      </w:pPr>
      <w:r>
        <w:rPr>
          <w:b w:val="false"/>
        </w:rPr>
      </w:r>
    </w:p>
    <w:p>
      <w:pPr>
        <w:pStyle w:val="Normal"/>
        <w:spacing w:lineRule="auto" w:line="360" w:before="0" w:after="0"/>
        <w:ind w:left="0" w:right="0" w:hanging="0"/>
        <w:jc w:val="center"/>
        <w:rPr/>
      </w:pPr>
      <w:r>
        <w:rPr>
          <w:rFonts w:cs="Arial" w:ascii="Arial" w:hAnsi="Arial"/>
          <w:b/>
          <w:bCs/>
          <w:i w:val="false"/>
          <w:iCs w:val="false"/>
          <w:sz w:val="21"/>
          <w:szCs w:val="21"/>
        </w:rPr>
        <w:t>Dr. Adilson Franco Penteado</w:t>
      </w:r>
    </w:p>
    <w:p>
      <w:pPr>
        <w:pStyle w:val="Normal"/>
        <w:spacing w:lineRule="auto" w:line="360" w:before="0" w:after="0"/>
        <w:jc w:val="center"/>
        <w:rPr/>
      </w:pPr>
      <w:r>
        <w:rPr>
          <w:rFonts w:cs="Arial" w:ascii="Arial" w:hAnsi="Arial"/>
          <w:b/>
          <w:bCs/>
          <w:i w:val="false"/>
          <w:iCs w:val="false"/>
          <w:sz w:val="21"/>
          <w:szCs w:val="21"/>
        </w:rPr>
        <w:t>Eng. Civil – CREA/SP 060.055.351-3</w:t>
      </w:r>
    </w:p>
    <w:p>
      <w:pPr>
        <w:pStyle w:val="LONormal"/>
        <w:tabs>
          <w:tab w:val="clear" w:pos="708"/>
          <w:tab w:val="left" w:pos="7309" w:leader="none"/>
        </w:tabs>
        <w:spacing w:lineRule="auto" w:line="360"/>
        <w:jc w:val="center"/>
        <w:rPr/>
      </w:pPr>
      <w:r>
        <w:rPr>
          <w:rStyle w:val="Strong"/>
          <w:rFonts w:eastAsia="Times New Roman" w:ascii="Arial" w:hAnsi="Arial"/>
          <w:b/>
          <w:bCs/>
          <w:i w:val="false"/>
          <w:iCs w:val="false"/>
          <w:color w:val="auto"/>
          <w:sz w:val="21"/>
          <w:szCs w:val="21"/>
          <w:lang w:val="pt-BR" w:eastAsia="zh-CN" w:bidi="ar-SA"/>
        </w:rPr>
        <w:t>Secretário de Obras e Serviços Públicos</w:t>
      </w:r>
    </w:p>
    <w:p>
      <w:pPr>
        <w:pStyle w:val="Normal"/>
        <w:jc w:val="center"/>
        <w:rPr>
          <w:b w:val="false"/>
          <w:b w:val="false"/>
          <w:bCs w:val="false"/>
        </w:rPr>
      </w:pPr>
      <w:r>
        <w:rPr/>
      </w:r>
    </w:p>
    <w:sectPr>
      <w:headerReference w:type="default" r:id="rId3"/>
      <w:footerReference w:type="default" r:id="rId4"/>
      <w:type w:val="nextPage"/>
      <w:pgSz w:w="11906" w:h="16838"/>
      <w:pgMar w:left="1134" w:right="1134" w:gutter="0" w:header="709" w:top="1418"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43650860"/>
    </w:sdtPr>
    <w:sdtContent>
      <w:p>
        <w:pPr>
          <w:pStyle w:val="Rodap"/>
          <w:jc w:val="center"/>
          <w:rPr/>
        </w:pPr>
        <w:r>
          <w:rPr/>
          <w:fldChar w:fldCharType="begin"/>
        </w:r>
        <w:r>
          <w:rPr/>
          <w:instrText xml:space="preserve"> PAGE </w:instrText>
        </w:r>
        <w:r>
          <w:rPr/>
          <w:fldChar w:fldCharType="separate"/>
        </w:r>
        <w:r>
          <w:rPr/>
          <w:t>14</w:t>
        </w:r>
        <w:r>
          <w:rPr/>
          <w:fldChar w:fldCharType="end"/>
        </w:r>
      </w:p>
      <w:p>
        <w:pPr>
          <w:pStyle w:val="Rodap"/>
          <w:jc w:val="center"/>
          <w:rPr/>
        </w:pPr>
        <w:r>
          <w:rPr/>
        </w:r>
      </w:p>
      <w:p>
        <w:pPr>
          <w:pStyle w:val="Rodap"/>
          <w:jc w:val="center"/>
          <w:rPr/>
        </w:pPr>
        <w:bookmarkStart w:id="2" w:name="_Hlk158990892"/>
        <w:r>
          <w:rPr/>
          <w:drawing>
            <wp:inline distT="0" distB="0" distL="0" distR="0">
              <wp:extent cx="5547995" cy="788670"/>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
                      <a:srcRect l="-18" t="-127" r="-18" b="-127"/>
                      <a:stretch>
                        <a:fillRect/>
                      </a:stretch>
                    </pic:blipFill>
                    <pic:spPr bwMode="auto">
                      <a:xfrm>
                        <a:off x="0" y="0"/>
                        <a:ext cx="5547995" cy="788670"/>
                      </a:xfrm>
                      <a:prstGeom prst="rect">
                        <a:avLst/>
                      </a:prstGeom>
                    </pic:spPr>
                  </pic:pic>
                </a:graphicData>
              </a:graphic>
            </wp:inline>
          </w:drawing>
        </w:r>
        <w:bookmarkEnd w:id="2"/>
      </w:p>
    </w:sdtContent>
  </w:sdt>
  <w:p>
    <w:pPr>
      <w:pStyle w:val="Rodap"/>
      <w:rPr/>
    </w:pPr>
    <w:r>
      <w:rPr/>
    </w:r>
  </w:p>
  <w:p>
    <w:pPr>
      <w:pStyle w:val="Rodap"/>
      <w:rPr/>
    </w:pPr>
    <w:r>
      <w:rPr/>
    </w:r>
  </w:p>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right"/>
      <w:rPr/>
    </w:pPr>
    <w:r>
      <w:rPr/>
    </w:r>
  </w:p>
  <w:p>
    <w:pPr>
      <w:pStyle w:val="Cabealho"/>
      <w:jc w:val="right"/>
      <w:rPr/>
    </w:pPr>
    <w:r>
      <w:rPr/>
    </w:r>
  </w:p>
  <w:p>
    <w:pPr>
      <w:pStyle w:val="Cabealho"/>
      <w:jc w:val="right"/>
      <w:rPr/>
    </w:pPr>
    <w:r>
      <w:rPr/>
      <w:drawing>
        <wp:anchor behindDoc="1" distT="0" distB="0" distL="114300" distR="114300" simplePos="0" locked="0" layoutInCell="0" allowOverlap="1" relativeHeight="29">
          <wp:simplePos x="0" y="0"/>
          <wp:positionH relativeFrom="margin">
            <wp:posOffset>1767205</wp:posOffset>
          </wp:positionH>
          <wp:positionV relativeFrom="paragraph">
            <wp:posOffset>-184785</wp:posOffset>
          </wp:positionV>
          <wp:extent cx="3139440" cy="629920"/>
          <wp:effectExtent l="0" t="0" r="0" b="0"/>
          <wp:wrapSquare wrapText="bothSides"/>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3139440" cy="629920"/>
                  </a:xfrm>
                  <a:prstGeom prst="rect">
                    <a:avLst/>
                  </a:prstGeom>
                </pic:spPr>
              </pic:pic>
            </a:graphicData>
          </a:graphic>
        </wp:anchor>
      </w:drawing>
    </w:r>
  </w:p>
  <w:p>
    <w:pPr>
      <w:pStyle w:val="Cabealho"/>
      <w:jc w:val="right"/>
      <w:rPr/>
    </w:pPr>
    <w:r>
      <w:rPr/>
    </w:r>
  </w:p>
  <w:p>
    <w:pPr>
      <w:pStyle w:val="Cabealho"/>
      <w:jc w:val="right"/>
      <w:rPr/>
    </w:pPr>
    <w:r>
      <w:rPr/>
    </w:r>
  </w:p>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mirrorMargins/>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uiPriority="1"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bidi w:val="0"/>
      <w:spacing w:before="0" w:after="0"/>
      <w:jc w:val="left"/>
    </w:pPr>
    <w:rPr>
      <w:rFonts w:ascii="Ecofont_Spranq_eco_Sans" w:hAnsi="Ecofont_Spranq_eco_Sans" w:eastAsia="ＭＳ 明朝" w:cs="Tahoma" w:eastAsiaTheme="minorEastAsia"/>
      <w:color w:val="auto"/>
      <w:kern w:val="0"/>
      <w:sz w:val="24"/>
      <w:szCs w:val="24"/>
      <w:lang w:val="pt-BR" w:eastAsia="pt-BR" w:bidi="ar-SA"/>
    </w:rPr>
  </w:style>
  <w:style w:type="paragraph" w:styleId="Ttulo1">
    <w:name w:val="Heading 1"/>
    <w:basedOn w:val="Normal"/>
    <w:next w:val="Normal"/>
    <w:link w:val="Ttulo1Char"/>
    <w:uiPriority w:val="9"/>
    <w:qFormat/>
    <w:rsid w:val="007f77ad"/>
    <w:pPr>
      <w:keepNext w:val="true"/>
      <w:keepLines/>
      <w:spacing w:before="480" w:after="0"/>
      <w:outlineLvl w:val="0"/>
    </w:pPr>
    <w:rPr>
      <w:rFonts w:ascii="Calibri" w:hAnsi="Calibri" w:eastAsia="ＭＳ ゴシック" w:cs="Times New Roman"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har"/>
    <w:qFormat/>
    <w:rsid w:val="004b460a"/>
    <w:pPr>
      <w:keepNext w:val="true"/>
      <w:tabs>
        <w:tab w:val="clear" w:pos="708"/>
        <w:tab w:val="left" w:pos="1701" w:leader="none"/>
      </w:tabs>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ＭＳ ゴシック" w:cs="Times New Roman" w:asciiTheme="majorHAnsi" w:cstheme="majorBidi" w:eastAsiaTheme="majorEastAsia" w:hAnsiTheme="majorHAnsi"/>
      <w:color w:val="243F60" w:themeColor="accent1" w:themeShade="7f"/>
      <w:lang w:eastAsia="en-US"/>
    </w:rPr>
  </w:style>
  <w:style w:type="paragraph" w:styleId="Ttulo4">
    <w:name w:val="Heading 4"/>
    <w:basedOn w:val="Normal"/>
    <w:next w:val="Normal"/>
    <w:link w:val="Ttulo4Char"/>
    <w:semiHidden/>
    <w:unhideWhenUsed/>
    <w:qFormat/>
    <w:rsid w:val="00a45a85"/>
    <w:pPr>
      <w:keepNext w:val="true"/>
      <w:keepLines/>
      <w:spacing w:before="40" w:after="0"/>
      <w:outlineLvl w:val="3"/>
    </w:pPr>
    <w:rPr>
      <w:rFonts w:ascii="Calibri" w:hAnsi="Calibri" w:eastAsia="ＭＳ ゴシック" w:cs="Times New Roman" w:asciiTheme="majorHAnsi" w:cstheme="majorBidi" w:eastAsiaTheme="majorEastAsia" w:hAnsiTheme="majorHAnsi"/>
      <w:i/>
      <w:iCs/>
      <w:color w:val="365F91" w:themeColor="accent1" w:themeShade="bf"/>
    </w:rPr>
  </w:style>
  <w:style w:type="paragraph" w:styleId="Ttulo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ＭＳ ゴシック" w:cs="Times New Roman" w:asciiTheme="majorHAnsi" w:cstheme="majorBidi" w:eastAsiaTheme="majorEastAsia" w:hAnsiTheme="majorHAnsi"/>
      <w:color w:val="243F60" w:themeColor="accent1" w:themeShade="7f"/>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LinkdaInternet" w:customStyle="1">
    <w:name w:val="Hyperlink"/>
    <w:basedOn w:val="DefaultParagraphFont"/>
    <w:uiPriority w:val="99"/>
    <w:unhideWhenUsed/>
    <w:rsid w:val="00dc41dd"/>
    <w:rPr>
      <w:color w:val="0000FF" w:themeColor="hyperlink"/>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link w:val="Annotationtex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ＭＳ ゴシック" w:cs="Times New Roman" w:asciiTheme="majorHAnsi" w:cstheme="majorBidi" w:eastAsiaTheme="majorEastAsia" w:hAnsiTheme="majorHAnsi"/>
      <w:i/>
      <w:iCs/>
      <w:color w:val="365F91" w:themeColor="accent1" w:themeShade="bf"/>
      <w:sz w:val="24"/>
      <w:szCs w:val="24"/>
      <w:lang w:eastAsia="pt-BR"/>
    </w:rPr>
  </w:style>
  <w:style w:type="character" w:styleId="TtuloChar" w:customStyle="1">
    <w:name w:val="Título Char"/>
    <w:basedOn w:val="DefaultParagraphFont"/>
    <w:qFormat/>
    <w:rsid w:val="007f77ad"/>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lang w:eastAsia="pt-BR"/>
    </w:rPr>
  </w:style>
  <w:style w:type="character" w:styleId="Nivel01Char" w:customStyle="1">
    <w:name w:val="Nivel 01 Char"/>
    <w:basedOn w:val="TtuloChar"/>
    <w:link w:val="Nivel01"/>
    <w:qFormat/>
    <w:rsid w:val="00881f44"/>
    <w:rPr>
      <w:rFonts w:ascii="Arial" w:hAnsi="Arial" w:eastAsia="ＭＳ ゴシック" w:cs="Arial" w:eastAsiaTheme="majorEastAsia"/>
      <w:b/>
      <w:bCs/>
      <w:color w:val="17365D" w:themeColor="text2" w:themeShade="bf"/>
      <w:spacing w:val="5"/>
      <w:kern w:val="2"/>
      <w:sz w:val="52"/>
      <w:szCs w:val="52"/>
      <w:lang w:eastAsia="pt-BR"/>
    </w:rPr>
  </w:style>
  <w:style w:type="character" w:styleId="Ttulo1Char" w:customStyle="1">
    <w:name w:val="Título 1 Char"/>
    <w:basedOn w:val="DefaultParagraphFont"/>
    <w:uiPriority w:val="9"/>
    <w:qFormat/>
    <w:rsid w:val="007f77ad"/>
    <w:rPr>
      <w:rFonts w:ascii="Calibri" w:hAnsi="Calibri" w:eastAsia="ＭＳ ゴシック" w:cs="Times New Roman" w:asciiTheme="majorHAnsi" w:cstheme="majorBidi" w:eastAsiaTheme="majorEastAsia" w:hAnsiTheme="majorHAnsi"/>
      <w:b/>
      <w:bCs/>
      <w:color w:val="365F91" w:themeColor="accent1" w:themeShade="bf"/>
      <w:sz w:val="28"/>
      <w:szCs w:val="28"/>
      <w:lang w:eastAsia="pt-BR"/>
    </w:rPr>
  </w:style>
  <w:style w:type="character" w:styleId="Nivel01TituloChar" w:customStyle="1">
    <w:name w:val="Nivel_01_Titulo Char"/>
    <w:basedOn w:val="Nivel01Char"/>
    <w:link w:val="Nivel01Titulo"/>
    <w:qFormat/>
    <w:rsid w:val="00e967ea"/>
    <w:rPr>
      <w:rFonts w:ascii="Arial" w:hAnsi="Arial" w:eastAsia="ＭＳ ゴシック" w:cs="Times New Roman" w:cstheme="majorBidi" w:eastAsiaTheme="majorEastAsia"/>
      <w:b/>
      <w:bCs/>
      <w:color w:val="000000" w:themeColor="text1"/>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link w:val="Textbody1"/>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ＭＳ ゴシック" w:cs="Arial" w:eastAsiaTheme="majorEastAsia"/>
      <w:b/>
      <w:bCs w:val="false"/>
      <w:color w:val="000000"/>
      <w:sz w:val="28"/>
      <w:szCs w:val="28"/>
      <w:lang w:eastAsia="pt-BR"/>
    </w:rPr>
  </w:style>
  <w:style w:type="character" w:styleId="Nivel4Char" w:customStyle="1">
    <w:name w:val="Nivel 4 Char"/>
    <w:basedOn w:val="DefaultParagraphFont"/>
    <w:link w:val="Nivel4"/>
    <w:qFormat/>
    <w:rsid w:val="00da3ef1"/>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Nfase">
    <w:name w:val="Emphasis"/>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Linkdainternetvisitado">
    <w:name w:val="FollowedHyperlink"/>
    <w:basedOn w:val="DefaultParagraphFont"/>
    <w:uiPriority w:val="99"/>
    <w:semiHidden/>
    <w:unhideWhenUsed/>
    <w:rsid w:val="00d30a43"/>
    <w:rPr>
      <w:color w:val="800080" w:themeColor="followedHyperlink"/>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84242c"/>
    <w:rPr>
      <w:rFonts w:ascii="Arial" w:hAnsi="Arial" w:eastAsia="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4"/>
      <w:szCs w:val="24"/>
    </w:rPr>
  </w:style>
  <w:style w:type="character" w:styleId="Ttulo6Char" w:customStyle="1">
    <w:name w:val="Título 6 Char"/>
    <w:basedOn w:val="DefaultParagraphFont"/>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f93d80"/>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da3ef1"/>
    <w:rPr>
      <w:rFonts w:ascii="Arial" w:hAnsi="Arial" w:eastAsia="Arial" w:cs="Arial"/>
      <w:i/>
      <w:iCs/>
      <w:color w:val="FF0000"/>
      <w:lang w:eastAsia="pt-BR"/>
    </w:rPr>
  </w:style>
  <w:style w:type="character" w:styleId="Nivel3Char" w:customStyle="1">
    <w:name w:val="Nivel 3 Char"/>
    <w:basedOn w:val="DefaultParagraphFont"/>
    <w:link w:val="Nivel3"/>
    <w:qFormat/>
    <w:rsid w:val="005d30b6"/>
    <w:rPr>
      <w:rFonts w:ascii="Arial" w:hAnsi="Arial" w:cs="Arial"/>
      <w:color w:val="000000"/>
      <w:lang w:eastAsia="pt-BR"/>
    </w:rPr>
  </w:style>
  <w:style w:type="character" w:styleId="Nvel3RChar" w:customStyle="1">
    <w:name w:val="Nível 3-R Char"/>
    <w:basedOn w:val="Nivel3Char"/>
    <w:link w:val="Nvel3R"/>
    <w:qFormat/>
    <w:rsid w:val="00ad6848"/>
    <w:rPr>
      <w:rFonts w:ascii="Arial" w:hAnsi="Arial" w:cs="Arial"/>
      <w:i/>
      <w:iCs/>
      <w:color w:val="FF0000"/>
      <w:lang w:eastAsia="pt-BR"/>
    </w:rPr>
  </w:style>
  <w:style w:type="character" w:styleId="Nvel4RChar" w:customStyle="1">
    <w:name w:val="Nível 4-R Char"/>
    <w:basedOn w:val="Nivel4Char"/>
    <w:link w:val="Nvel4R"/>
    <w:qFormat/>
    <w:rsid w:val="00da3ef1"/>
    <w:rPr>
      <w:rFonts w:ascii="Arial" w:hAnsi="Arial" w:cs="Arial"/>
      <w:i/>
      <w:iCs/>
      <w:color w:val="FF0000"/>
      <w:lang w:eastAsia="pt-BR"/>
    </w:rPr>
  </w:style>
  <w:style w:type="character" w:styleId="Nvel1SemNumChar" w:customStyle="1">
    <w:name w:val="Nível 1-Sem Num Char"/>
    <w:basedOn w:val="Nivel01Char"/>
    <w:link w:val="Nvel1SemNum"/>
    <w:qFormat/>
    <w:rsid w:val="00881f44"/>
    <w:rPr>
      <w:rFonts w:ascii="Arial" w:hAnsi="Arial" w:eastAsia="ＭＳ ゴシック" w:cs="Arial" w:eastAsiaTheme="majorEastAsia"/>
      <w:b/>
      <w:bCs/>
      <w:color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tionnonrsolue1" w:customStyle="1">
    <w:name w:val="Mention non résolue1"/>
    <w:basedOn w:val="DefaultParagraphFont"/>
    <w:uiPriority w:val="99"/>
    <w:semiHidden/>
    <w:unhideWhenUsed/>
    <w:qFormat/>
    <w:rsid w:val="008d252d"/>
    <w:rPr>
      <w:color w:val="605E5C"/>
      <w:shd w:fill="E1DFDD" w:val="clear"/>
    </w:rPr>
  </w:style>
  <w:style w:type="character" w:styleId="Findhit" w:customStyle="1">
    <w:name w:val="findhit"/>
    <w:basedOn w:val="DefaultParagraphFont"/>
    <w:qFormat/>
    <w:rsid w:val="00e66cc3"/>
    <w:rPr/>
  </w:style>
  <w:style w:type="character" w:styleId="Nivel3erroChar" w:customStyle="1">
    <w:name w:val="Nivel 3-erro Char"/>
    <w:basedOn w:val="DefaultParagraphFont"/>
    <w:link w:val="Nivel3erro"/>
    <w:qFormat/>
    <w:rsid w:val="005b0afb"/>
    <w:rPr>
      <w:rFonts w:ascii="Arial" w:hAnsi="Arial" w:cs="Tahoma"/>
      <w:szCs w:val="24"/>
      <w:lang w:eastAsia="pt-BR"/>
    </w:rPr>
  </w:style>
  <w:style w:type="character" w:styleId="AlteraesChar" w:customStyle="1">
    <w:name w:val="Alterações Char"/>
    <w:basedOn w:val="DefaultParagraphFont"/>
    <w:link w:val="Alteraes"/>
    <w:uiPriority w:val="1"/>
    <w:qFormat/>
    <w:rsid w:val="1414b7f7"/>
    <w:rPr>
      <w:rFonts w:ascii="Arial" w:hAnsi="Arial" w:cs="Arial"/>
      <w:i/>
      <w:iCs/>
      <w:color w:val="0000FF"/>
      <w:lang w:eastAsia="pt-BR"/>
    </w:rPr>
  </w:style>
  <w:style w:type="character" w:styleId="Meno1" w:customStyle="1">
    <w:name w:val="Menção1"/>
    <w:basedOn w:val="DefaultParagraphFont"/>
    <w:uiPriority w:val="99"/>
    <w:unhideWhenUsed/>
    <w:qFormat/>
    <w:rsid w:val="002804a7"/>
    <w:rPr>
      <w:color w:val="2B579A"/>
      <w:shd w:fill="E6E6E6" w:val="clear"/>
    </w:rPr>
  </w:style>
  <w:style w:type="character" w:styleId="MenoPendente5" w:customStyle="1">
    <w:name w:val="Menção Pendente5"/>
    <w:basedOn w:val="DefaultParagraphFont"/>
    <w:uiPriority w:val="99"/>
    <w:semiHidden/>
    <w:unhideWhenUsed/>
    <w:qFormat/>
    <w:rsid w:val="00921a92"/>
    <w:rPr>
      <w:color w:val="605E5C"/>
      <w:shd w:fill="E1DFDD" w:val="clear"/>
    </w:rPr>
  </w:style>
  <w:style w:type="character" w:styleId="Nvel1SemNumPretoChar" w:customStyle="1">
    <w:name w:val="Nível 1-Sem Num Preto Char"/>
    <w:basedOn w:val="Nvel1SemNumChar"/>
    <w:link w:val="Nvel1SemNumPreto"/>
    <w:qFormat/>
    <w:rsid w:val="00036ad7"/>
    <w:rPr>
      <w:rFonts w:ascii="Arial" w:hAnsi="Arial" w:eastAsia="ＭＳ ゴシック" w:cs="Arial" w:eastAsiaTheme="majorEastAsia"/>
      <w:b/>
      <w:bCs/>
      <w:color w:val="FF0000"/>
      <w:spacing w:val="5"/>
      <w:kern w:val="2"/>
      <w:sz w:val="52"/>
      <w:szCs w:val="52"/>
      <w:lang w:eastAsia="zh-CN" w:bidi="hi-IN"/>
    </w:rPr>
  </w:style>
  <w:style w:type="character" w:styleId="Fontepargpadro">
    <w:name w:val="Fonte parág. padrão"/>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link w:val="PargrafodaListaChar"/>
    <w:uiPriority w:val="34"/>
    <w:qFormat/>
    <w:rsid w:val="004773fc"/>
    <w:pPr>
      <w:spacing w:before="0" w:after="0"/>
      <w:ind w:left="720" w:hanging="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numPr>
        <w:ilvl w:val="0"/>
        <w:numId w:val="3"/>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
    <w:name w:val="Cabeçalho e Rodapé"/>
    <w:basedOn w:val="Normal"/>
    <w:qFormat/>
    <w:pPr/>
    <w:rPr/>
  </w:style>
  <w:style w:type="paragraph" w:styleId="Cabealho">
    <w:name w:val="Header"/>
    <w:basedOn w:val="Normal"/>
    <w:link w:val="CabealhoChar"/>
    <w:uiPriority w:val="99"/>
    <w:rsid w:val="00ca24fb"/>
    <w:pPr>
      <w:tabs>
        <w:tab w:val="clear" w:pos="708"/>
        <w:tab w:val="center" w:pos="4252" w:leader="none"/>
        <w:tab w:val="right" w:pos="8504" w:leader="none"/>
      </w:tabs>
    </w:pPr>
    <w:rPr/>
  </w:style>
  <w:style w:type="paragraph" w:styleId="Rodap">
    <w:name w:val="Footer"/>
    <w:basedOn w:val="Normal"/>
    <w:link w:val="RodapChar"/>
    <w:uiPriority w:val="99"/>
    <w:rsid w:val="00ca24fb"/>
    <w:pPr>
      <w:tabs>
        <w:tab w:val="clear" w:pos="708"/>
        <w:tab w:val="center" w:pos="4252" w:leader="none"/>
        <w:tab w:val="right" w:pos="8504" w:leader="none"/>
      </w:tabs>
    </w:pPr>
    <w:rPr/>
  </w:style>
  <w:style w:type="paragraph" w:styleId="Annotationtext">
    <w:name w:val="annotation text"/>
    <w:basedOn w:val="Normal"/>
    <w:link w:val="TextodecomentrioChar"/>
    <w:uiPriority w:val="99"/>
    <w:unhideWhenUsed/>
    <w:qFormat/>
    <w:rsid w:val="00d30a43"/>
    <w:pPr/>
    <w:rPr>
      <w:sz w:val="20"/>
      <w:szCs w:val="20"/>
    </w:rPr>
  </w:style>
  <w:style w:type="paragraph" w:styleId="Annotationsubject">
    <w:name w:val="annotation subject"/>
    <w:basedOn w:val="Annotationtext"/>
    <w:next w:val="Annotationtext"/>
    <w:link w:val="AssuntodocomentrioChar"/>
    <w:uiPriority w:val="99"/>
    <w:semiHidden/>
    <w:unhideWhenUsed/>
    <w:qFormat/>
    <w:rsid w:val="00430fdb"/>
    <w:pPr/>
    <w:rPr>
      <w:b/>
      <w:bCs/>
    </w:rPr>
  </w:style>
  <w:style w:type="paragraph" w:styleId="Nivel01" w:customStyle="1">
    <w:name w:val="Nivel 01"/>
    <w:basedOn w:val="Ttulo1"/>
    <w:next w:val="Normal"/>
    <w:link w:val="Nivel01Char"/>
    <w:autoRedefine/>
    <w:qFormat/>
    <w:rsid w:val="00881f44"/>
    <w:pPr>
      <w:numPr>
        <w:ilvl w:val="0"/>
        <w:numId w:val="4"/>
      </w:numPr>
      <w:tabs>
        <w:tab w:val="clear" w:pos="708"/>
        <w:tab w:val="left" w:pos="567" w:leader="none"/>
      </w:tabs>
      <w:spacing w:lineRule="auto" w:line="276" w:before="240" w:after="120"/>
      <w:ind w:left="0" w:hanging="0"/>
      <w:jc w:val="both"/>
    </w:pPr>
    <w:rPr>
      <w:rFonts w:ascii="Arial" w:hAnsi="Arial" w:cs="Arial"/>
      <w:color w:val="auto"/>
      <w:sz w:val="20"/>
      <w:szCs w:val="20"/>
    </w:rPr>
  </w:style>
  <w:style w:type="paragraph" w:styleId="Nivel01Titulo" w:customStyle="1">
    <w:name w:val="Nivel_01_Titulo"/>
    <w:basedOn w:val="Nivel01"/>
    <w:link w:val="Nivel01TituloChar"/>
    <w:qFormat/>
    <w:rsid w:val="00e967ea"/>
    <w:pPr>
      <w:jc w:val="left"/>
    </w:pPr>
    <w:rPr>
      <w:rFonts w:cs="Times New Roman" w:cstheme="majorBidi"/>
      <w:color w:val="000000" w:themeColor="text1"/>
      <w:spacing w:val="5"/>
      <w:kern w:val="2"/>
      <w:sz w:val="52"/>
      <w:szCs w:val="52"/>
    </w:rPr>
  </w:style>
  <w:style w:type="paragraph" w:styleId="Ttulododocumento">
    <w:name w:val="Title"/>
    <w:basedOn w:val="Normal"/>
    <w:next w:val="Normal"/>
    <w:link w:val="TtuloChar"/>
    <w:qFormat/>
    <w:rsid w:val="007f77ad"/>
    <w:pPr>
      <w:pBdr>
        <w:bottom w:val="single" w:sz="8" w:space="4" w:color="4F81BD"/>
      </w:pBdr>
      <w:spacing w:before="0" w:after="300"/>
      <w:contextualSpacing/>
    </w:pPr>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Ttulo1"/>
    <w:link w:val="Nivel1Char"/>
    <w:qFormat/>
    <w:rsid w:val="00d30a43"/>
    <w:pPr>
      <w:spacing w:lineRule="auto" w:line="276"/>
      <w:ind w:left="357" w:hanging="357"/>
      <w:jc w:val="both"/>
    </w:pPr>
    <w:rPr>
      <w:rFonts w:ascii="Arial" w:hAnsi="Arial" w:cs="Arial"/>
      <w:bCs w:val="false"/>
      <w:color w:val="000000"/>
    </w:rPr>
  </w:style>
  <w:style w:type="paragraph" w:styleId="PargrafodaLista1" w:customStyle="1">
    <w:name w:val="Parágrafo da Lista1"/>
    <w:basedOn w:val="Normal"/>
    <w:qFormat/>
    <w:rsid w:val="00d30a43"/>
    <w:pPr>
      <w:ind w:left="720" w:hanging="0"/>
    </w:pPr>
    <w:rPr>
      <w:rFonts w:eastAsia="Times New Roman" w:cs="Ecofont_Spranq_eco_Sans"/>
    </w:rPr>
  </w:style>
  <w:style w:type="paragraph" w:styleId="Nivel2" w:customStyle="1">
    <w:name w:val="Nivel 2"/>
    <w:basedOn w:val="Normal"/>
    <w:link w:val="Nivel2Char"/>
    <w:autoRedefine/>
    <w:qFormat/>
    <w:rsid w:val="0084242c"/>
    <w:pPr>
      <w:numPr>
        <w:ilvl w:val="1"/>
        <w:numId w:val="2"/>
      </w:numPr>
      <w:spacing w:lineRule="auto" w:line="276" w:before="120" w:after="120"/>
      <w:ind w:left="0" w:hanging="0"/>
      <w:jc w:val="both"/>
    </w:pPr>
    <w:rPr>
      <w:rFonts w:ascii="Arial" w:hAnsi="Arial" w:eastAsia="Arial" w:cs="Arial"/>
      <w:color w:val="000000"/>
      <w:sz w:val="20"/>
      <w:szCs w:val="20"/>
    </w:rPr>
  </w:style>
  <w:style w:type="paragraph" w:styleId="Nivel11" w:customStyle="1">
    <w:name w:val="Nivel 1"/>
    <w:basedOn w:val="Nivel2"/>
    <w:next w:val="Nivel2"/>
    <w:qFormat/>
    <w:rsid w:val="003629e4"/>
    <w:pPr>
      <w:numPr>
        <w:ilvl w:val="0"/>
        <w:numId w:val="0"/>
      </w:numPr>
      <w:ind w:left="360" w:hanging="360"/>
    </w:pPr>
    <w:rPr>
      <w:b/>
    </w:rPr>
  </w:style>
  <w:style w:type="paragraph" w:styleId="Nivel3" w:customStyle="1">
    <w:name w:val="Nivel 3"/>
    <w:basedOn w:val="Normal"/>
    <w:link w:val="Nivel3Char"/>
    <w:autoRedefine/>
    <w:qFormat/>
    <w:rsid w:val="005d30b6"/>
    <w:pPr>
      <w:numPr>
        <w:ilvl w:val="2"/>
        <w:numId w:val="2"/>
      </w:numPr>
      <w:spacing w:lineRule="auto" w:line="276" w:before="120" w:after="120"/>
      <w:ind w:left="284" w:hanging="0"/>
      <w:jc w:val="both"/>
    </w:pPr>
    <w:rPr>
      <w:rFonts w:ascii="Arial" w:hAnsi="Arial" w:cs="Arial"/>
      <w:color w:val="000000"/>
      <w:sz w:val="20"/>
      <w:szCs w:val="20"/>
    </w:rPr>
  </w:style>
  <w:style w:type="paragraph" w:styleId="Nivel4" w:customStyle="1">
    <w:name w:val="Nivel 4"/>
    <w:basedOn w:val="Nivel3"/>
    <w:link w:val="Nivel4Char"/>
    <w:autoRedefine/>
    <w:qFormat/>
    <w:rsid w:val="00da3ef1"/>
    <w:pPr>
      <w:ind w:left="567" w:hanging="0"/>
    </w:pPr>
    <w:rPr>
      <w:color w:val="auto"/>
    </w:rPr>
  </w:style>
  <w:style w:type="paragraph" w:styleId="Nivel5" w:customStyle="1">
    <w:name w:val="Nivel 5"/>
    <w:basedOn w:val="Nivel4"/>
    <w:autoRedefine/>
    <w:qFormat/>
    <w:rsid w:val="00da3ef1"/>
    <w:pPr>
      <w:ind w:left="851" w:hanging="0"/>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hanging="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left="432" w:hanging="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left="1072" w:hanging="504"/>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f93d80"/>
    <w:pPr>
      <w:spacing w:lineRule="auto" w:line="259" w:before="60" w:after="60"/>
      <w:ind w:left="0" w:hanging="0"/>
      <w:contextualSpacing w:val="false"/>
      <w:jc w:val="center"/>
    </w:pPr>
    <w:rPr>
      <w:rFonts w:ascii="Arial" w:hAnsi="Arial" w:eastAsia="Cambria" w:cs="Arial" w:eastAsiaTheme="minorHAnsi"/>
      <w:b/>
      <w:bCs/>
      <w:i/>
      <w:iCs/>
      <w:color w:val="FF0000"/>
      <w:sz w:val="2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da3ef1"/>
    <w:pPr/>
    <w:rPr>
      <w:i/>
      <w:iCs/>
      <w:color w:val="FF0000"/>
    </w:rPr>
  </w:style>
  <w:style w:type="paragraph" w:styleId="Nvel3R" w:customStyle="1">
    <w:name w:val="Nível 3-R"/>
    <w:basedOn w:val="Nivel3"/>
    <w:link w:val="Nvel3RChar"/>
    <w:autoRedefine/>
    <w:qFormat/>
    <w:rsid w:val="00ad6848"/>
    <w:pPr/>
    <w:rPr>
      <w:i/>
      <w:iCs/>
      <w:color w:val="FF0000"/>
      <w:lang w:eastAsia="en-US"/>
    </w:rPr>
  </w:style>
  <w:style w:type="paragraph" w:styleId="Nvel4R" w:customStyle="1">
    <w:name w:val="Nível 4-R"/>
    <w:basedOn w:val="Nivel4"/>
    <w:link w:val="Nvel4RChar"/>
    <w:autoRedefine/>
    <w:qFormat/>
    <w:rsid w:val="00da3ef1"/>
    <w:pPr/>
    <w:rPr>
      <w:i/>
      <w:iCs/>
      <w:color w:val="FF0000"/>
    </w:rPr>
  </w:style>
  <w:style w:type="paragraph" w:styleId="Nvel1SemNum" w:customStyle="1">
    <w:name w:val="Nível 1-Sem Num"/>
    <w:basedOn w:val="Nivel01"/>
    <w:link w:val="Nvel1SemNumChar"/>
    <w:autoRedefine/>
    <w:qFormat/>
    <w:rsid w:val="00881f44"/>
    <w:pPr>
      <w:numPr>
        <w:ilvl w:val="0"/>
        <w:numId w:val="0"/>
      </w:numPr>
      <w:ind w:left="0" w:hanging="0"/>
      <w:outlineLvl w:val="1"/>
    </w:pPr>
    <w:rPr>
      <w:color w:val="FF0000"/>
    </w:rPr>
  </w:style>
  <w:style w:type="paragraph" w:styleId="Citao2" w:customStyle="1">
    <w:name w:val="citação 2"/>
    <w:basedOn w:val="Quote"/>
    <w:qFormat/>
    <w:rsid w:val="00dc41dd"/>
    <w:pPr>
      <w:overflowPunct w:val="true"/>
    </w:pPr>
    <w:rPr>
      <w:szCs w:val="20"/>
    </w:rPr>
  </w:style>
  <w:style w:type="paragraph" w:styleId="Prembulo" w:customStyle="1">
    <w:name w:val="Preâmbulo"/>
    <w:basedOn w:val="Normal"/>
    <w:link w:val="PrembuloChar"/>
    <w:qFormat/>
    <w:rsid w:val="00bb19e4"/>
    <w:pPr>
      <w:spacing w:lineRule="auto" w:line="360" w:before="480" w:after="120"/>
      <w:ind w:left="4253" w:right="-17" w:hanging="0"/>
      <w:jc w:val="both"/>
    </w:pPr>
    <w:rPr>
      <w:rFonts w:ascii="Arial" w:hAnsi="Arial" w:eastAsia="Arial" w:cs="Arial"/>
      <w:bCs/>
      <w:sz w:val="20"/>
      <w:szCs w:val="20"/>
    </w:rPr>
  </w:style>
  <w:style w:type="paragraph" w:styleId="Nivel3erro" w:customStyle="1">
    <w:name w:val="Nivel 3-erro"/>
    <w:basedOn w:val="Nivel3"/>
    <w:link w:val="Nivel3erroChar"/>
    <w:qFormat/>
    <w:rsid w:val="005b0afb"/>
    <w:pPr>
      <w:numPr>
        <w:ilvl w:val="2"/>
        <w:numId w:val="1"/>
      </w:numPr>
      <w:spacing w:lineRule="auto" w:line="240"/>
      <w:ind w:left="425" w:hanging="0"/>
    </w:pPr>
    <w:rPr>
      <w:rFonts w:cs="Tahoma"/>
      <w:color w:val="auto"/>
      <w:szCs w:val="24"/>
    </w:rPr>
  </w:style>
  <w:style w:type="paragraph" w:styleId="Alteraes" w:customStyle="1">
    <w:name w:val="Alterações"/>
    <w:basedOn w:val="Normal"/>
    <w:link w:val="AlteraesChar"/>
    <w:uiPriority w:val="1"/>
    <w:qFormat/>
    <w:rsid w:val="1414b7f7"/>
    <w:pPr>
      <w:spacing w:lineRule="auto" w:line="276" w:before="120" w:after="120"/>
      <w:jc w:val="both"/>
      <w:outlineLvl w:val="1"/>
    </w:pPr>
    <w:rPr>
      <w:rFonts w:ascii="Arial" w:hAnsi="Arial" w:cs="Arial"/>
      <w:i/>
      <w:iCs/>
      <w:color w:val="0000FF"/>
      <w:sz w:val="20"/>
      <w:szCs w:val="20"/>
    </w:rPr>
  </w:style>
  <w:style w:type="paragraph" w:styleId="Nvel1SemNumPreto" w:customStyle="1">
    <w:name w:val="Nível 1-Sem Num Preto"/>
    <w:basedOn w:val="Nvel1SemNum"/>
    <w:link w:val="Nvel1SemNumPretoChar"/>
    <w:qFormat/>
    <w:rsid w:val="00036ad7"/>
    <w:pPr/>
    <w:rPr>
      <w:color w:val="auto"/>
      <w:lang w:eastAsia="zh-CN" w:bidi="hi-IN"/>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LONormal0">
    <w:name w:val="LO-Normal0"/>
    <w:qFormat/>
    <w:pPr>
      <w:widowControl/>
      <w:suppressAutoHyphens w:val="true"/>
      <w:bidi w:val="0"/>
      <w:spacing w:before="0" w:after="0"/>
      <w:jc w:val="left"/>
    </w:pPr>
    <w:rPr>
      <w:rFonts w:ascii="Cambria" w:hAnsi="Cambria" w:eastAsia="Cambria" w:cs="Arial" w:asciiTheme="minorHAnsi" w:cstheme="minorBidi" w:eastAsiaTheme="minorHAnsi" w:hAnsiTheme="minorHAnsi"/>
      <w:color w:val="auto"/>
      <w:kern w:val="0"/>
      <w:sz w:val="22"/>
      <w:szCs w:val="22"/>
      <w:lang w:val="pt-BR" w:eastAsia="en-US" w:bidi="ar-SA"/>
    </w:rPr>
  </w:style>
  <w:style w:type="paragraph" w:styleId="Corpodetexto32">
    <w:name w:val="Corpo de texto 32"/>
    <w:basedOn w:val="Normal"/>
    <w:qFormat/>
    <w:pPr>
      <w:spacing w:lineRule="atLeast" w:line="240" w:before="0" w:after="0"/>
      <w:jc w:val="both"/>
    </w:pPr>
    <w:rPr>
      <w:rFonts w:ascii="Times New Roman" w:hAnsi="Times New Roman" w:eastAsia="Times New Roman" w:cs="Times New Roman"/>
      <w:sz w:val="24"/>
      <w:szCs w:val="20"/>
      <w:lang w:eastAsia="zh-CN"/>
    </w:rPr>
  </w:style>
  <w:style w:type="paragraph" w:styleId="LONormal">
    <w:name w:val="LO-Normal"/>
    <w:qFormat/>
    <w:pPr>
      <w:widowControl/>
      <w:suppressAutoHyphens w:val="true"/>
      <w:bidi w:val="0"/>
      <w:spacing w:before="0" w:after="0"/>
      <w:jc w:val="left"/>
    </w:pPr>
    <w:rPr>
      <w:rFonts w:ascii="Cambria" w:hAnsi="Cambria" w:eastAsia="Cambria" w:cs="Arial" w:asciiTheme="minorHAnsi" w:cstheme="minorBidi" w:eastAsiaTheme="minorHAnsi" w:hAnsiTheme="minorHAnsi"/>
      <w:color w:val="auto"/>
      <w:kern w:val="0"/>
      <w:sz w:val="22"/>
      <w:szCs w:val="22"/>
      <w:lang w:val="pt-BR" w:eastAsia="en-US" w:bidi="ar-SA"/>
    </w:rPr>
  </w:style>
  <w:style w:type="numbering" w:styleId="NoList" w:default="1">
    <w:name w:val="No List"/>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novobbmnet.com.br/"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Relationship Id="rId10" Type="http://schemas.openxmlformats.org/officeDocument/2006/relationships/customXml" Target="../customXml/item2.xml"/><Relationship Id="rId11" Type="http://schemas.openxmlformats.org/officeDocument/2006/relationships/customXml" Target="../customXml/item3.xml"/><Relationship Id="rId12"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770E97-A9EC-45EB-8CB9-45E57FCA1012}">
  <ds:schemaRefs>
    <ds:schemaRef ds:uri="http://schemas.openxmlformats.org/officeDocument/2006/bibliography"/>
  </ds:schemaRefs>
</ds:datastoreItem>
</file>

<file path=customXml/itemProps2.xml><?xml version="1.0" encoding="utf-8"?>
<ds:datastoreItem xmlns:ds="http://schemas.openxmlformats.org/officeDocument/2006/customXml" ds:itemID="{B460B4EA-29C1-4B17-9782-58617EF9A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 ds:uri="5099eeed-182b-4607-ad39-2b3e131c9b2e"/>
  </ds:schemaRefs>
</ds:datastoreItem>
</file>

<file path=customXml/itemProps4.xml><?xml version="1.0" encoding="utf-8"?>
<ds:datastoreItem xmlns:ds="http://schemas.openxmlformats.org/officeDocument/2006/customXml" ds:itemID="{58D91C4F-6E30-4B53-AA1B-A13F843D46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465</TotalTime>
  <Application>LibreOffice/7.4.6.2$Windows_X86_64 LibreOffice_project/5b1f5509c2decdade7fda905e3e1429a67acd63d</Application>
  <AppVersion>15.0000</AppVersion>
  <Pages>14</Pages>
  <Words>3092</Words>
  <Characters>17681</Characters>
  <CharactersWithSpaces>20561</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2024-03-21T18:42:00Z</dcterms:created>
  <dc:creator/>
  <dc:description/>
  <dc:language>pt-BR</dc:language>
  <cp:lastModifiedBy/>
  <cp:lastPrinted>2024-06-19T07:23:05Z</cp:lastPrinted>
  <dcterms:modified xsi:type="dcterms:W3CDTF">2024-06-19T07:23:19Z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