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rFonts w:cs="Arial" w:ascii="Arial" w:hAnsi="Arial"/>
          <w:b/>
          <w:bCs/>
          <w:color w:val="000000"/>
          <w:spacing w:val="60"/>
          <w:sz w:val="26"/>
          <w:szCs w:val="28"/>
          <w:shd w:fill="FFFFFF" w:val="clear"/>
        </w:rPr>
        <w:t>ANEXO II</w:t>
      </w:r>
    </w:p>
    <w:p>
      <w:pPr>
        <w:pStyle w:val="Normal"/>
        <w:jc w:val="center"/>
        <w:rPr/>
      </w:pPr>
      <w:r>
        <w:rPr>
          <w:rFonts w:cs="Arial" w:ascii="Arial" w:hAnsi="Arial"/>
          <w:b/>
          <w:bCs/>
          <w:color w:val="000000"/>
          <w:sz w:val="26"/>
          <w:szCs w:val="24"/>
          <w:shd w:fill="FFFFFF" w:val="clear"/>
        </w:rPr>
        <w:t>AVISO</w:t>
      </w:r>
      <w:r>
        <w:rPr>
          <w:rFonts w:cs="Arial" w:ascii="Arial" w:hAnsi="Arial"/>
          <w:b/>
          <w:bCs/>
          <w:color w:val="000000"/>
          <w:spacing w:val="0"/>
          <w:sz w:val="26"/>
          <w:szCs w:val="24"/>
          <w:shd w:fill="FFFFFF" w:val="clear"/>
        </w:rPr>
        <w:t xml:space="preserve"> </w:t>
      </w:r>
      <w:r>
        <w:rPr>
          <w:rFonts w:cs="Arial" w:ascii="Arial" w:hAnsi="Arial"/>
          <w:b/>
          <w:bCs/>
          <w:color w:val="000000"/>
          <w:sz w:val="26"/>
          <w:szCs w:val="24"/>
          <w:shd w:fill="FFFFFF" w:val="clear"/>
        </w:rPr>
        <w:t>DE</w:t>
      </w:r>
      <w:r>
        <w:rPr>
          <w:rFonts w:cs="Arial" w:ascii="Arial" w:hAnsi="Arial"/>
          <w:b/>
          <w:bCs/>
          <w:color w:val="000000"/>
          <w:spacing w:val="0"/>
          <w:sz w:val="26"/>
          <w:szCs w:val="24"/>
          <w:shd w:fill="FFFFFF" w:val="clear"/>
        </w:rPr>
        <w:t xml:space="preserve"> </w:t>
      </w:r>
      <w:r>
        <w:rPr>
          <w:rFonts w:cs="Arial" w:ascii="Arial" w:hAnsi="Arial"/>
          <w:b/>
          <w:bCs/>
          <w:color w:val="000000"/>
          <w:sz w:val="26"/>
          <w:szCs w:val="24"/>
          <w:shd w:fill="FFFFFF" w:val="clear"/>
        </w:rPr>
        <w:t>CONTRATAÇÃO</w:t>
      </w:r>
      <w:r>
        <w:rPr>
          <w:rFonts w:cs="Arial" w:ascii="Arial" w:hAnsi="Arial"/>
          <w:b/>
          <w:bCs/>
          <w:color w:val="000000"/>
          <w:spacing w:val="0"/>
          <w:sz w:val="26"/>
          <w:szCs w:val="24"/>
          <w:shd w:fill="FFFFFF" w:val="clear"/>
        </w:rPr>
        <w:t xml:space="preserve"> </w:t>
      </w:r>
      <w:r>
        <w:rPr>
          <w:rFonts w:cs="Arial" w:ascii="Arial" w:hAnsi="Arial"/>
          <w:b/>
          <w:bCs/>
          <w:color w:val="000000"/>
          <w:sz w:val="26"/>
          <w:szCs w:val="24"/>
          <w:shd w:fill="FFFFFF" w:val="clear"/>
        </w:rPr>
        <w:t>DIRETA</w:t>
      </w:r>
      <w:r>
        <w:rPr>
          <w:rFonts w:cs="Arial" w:ascii="Arial" w:hAnsi="Arial"/>
          <w:b/>
          <w:bCs/>
          <w:color w:val="000000"/>
          <w:spacing w:val="0"/>
          <w:sz w:val="26"/>
          <w:szCs w:val="24"/>
          <w:shd w:fill="FFFFFF" w:val="clear"/>
        </w:rPr>
        <w:t xml:space="preserve"> </w:t>
      </w:r>
      <w:r>
        <w:rPr>
          <w:rFonts w:cs="Arial" w:ascii="Arial" w:hAnsi="Arial"/>
          <w:b/>
          <w:bCs/>
          <w:color w:val="000000"/>
          <w:sz w:val="26"/>
          <w:szCs w:val="24"/>
          <w:shd w:fill="FFFFFF" w:val="clear"/>
        </w:rPr>
        <w:t>Nº</w:t>
      </w:r>
      <w:r>
        <w:rPr>
          <w:rFonts w:cs="Arial" w:ascii="Arial" w:hAnsi="Arial"/>
          <w:b/>
          <w:bCs/>
          <w:color w:val="000000"/>
          <w:spacing w:val="0"/>
          <w:sz w:val="26"/>
          <w:szCs w:val="24"/>
          <w:shd w:fill="FFFFFF" w:val="clear"/>
        </w:rPr>
        <w:t xml:space="preserve">  0</w:t>
      </w:r>
      <w:r>
        <w:rPr>
          <w:rFonts w:eastAsia="Arial MT" w:cs="Arial" w:ascii="Arial" w:hAnsi="Arial"/>
          <w:b/>
          <w:bCs/>
          <w:color w:val="000000"/>
          <w:spacing w:val="0"/>
          <w:sz w:val="26"/>
          <w:szCs w:val="24"/>
          <w:shd w:fill="FFFFFF" w:val="clear"/>
          <w:lang w:val="pt-PT" w:eastAsia="en-US" w:bidi="ar-SA"/>
        </w:rPr>
        <w:t>28</w:t>
      </w:r>
      <w:r>
        <w:rPr>
          <w:rFonts w:cs="Arial" w:ascii="Arial" w:hAnsi="Arial"/>
          <w:b/>
          <w:bCs/>
          <w:color w:val="000000"/>
          <w:spacing w:val="0"/>
          <w:sz w:val="26"/>
          <w:szCs w:val="24"/>
          <w:shd w:fill="FFFFFF" w:val="clear"/>
        </w:rPr>
        <w:t>/2025</w:t>
      </w:r>
      <w:r>
        <w:rPr>
          <w:rFonts w:cs="Arial" w:ascii="Arial" w:hAnsi="Arial"/>
          <w:b/>
          <w:bCs/>
          <w:color w:val="000000"/>
          <w:sz w:val="26"/>
          <w:szCs w:val="24"/>
          <w:shd w:fill="FFFFFF" w:val="clear"/>
        </w:rPr>
        <w:br/>
      </w:r>
    </w:p>
    <w:p>
      <w:pPr>
        <w:pStyle w:val="Normal"/>
        <w:jc w:val="center"/>
        <w:rPr>
          <w:rFonts w:ascii="Arial" w:hAnsi="Arial" w:cs="Arial"/>
          <w:b/>
          <w:color w:val="00000A"/>
          <w:sz w:val="26"/>
          <w:szCs w:val="24"/>
          <w:shd w:fill="FFFFFF" w:val="clear"/>
        </w:rPr>
      </w:pPr>
      <w:r>
        <w:rPr>
          <w:rFonts w:cs="Arial" w:ascii="Arial" w:hAnsi="Arial"/>
          <w:b/>
          <w:color w:val="000000"/>
          <w:sz w:val="26"/>
          <w:szCs w:val="24"/>
          <w:shd w:fill="FFFFFF" w:val="clear"/>
        </w:rPr>
        <w:t>MODELO DE PROPOSTA</w:t>
      </w:r>
    </w:p>
    <w:tbl>
      <w:tblPr>
        <w:tblW w:w="9835" w:type="dxa"/>
        <w:jc w:val="left"/>
        <w:tblInd w:w="-485" w:type="dxa"/>
        <w:tblLayout w:type="fixed"/>
        <w:tblCellMar>
          <w:top w:w="55" w:type="dxa"/>
          <w:left w:w="55" w:type="dxa"/>
          <w:bottom w:w="55" w:type="dxa"/>
          <w:right w:w="55" w:type="dxa"/>
        </w:tblCellMar>
      </w:tblPr>
      <w:tblGrid>
        <w:gridCol w:w="1365"/>
        <w:gridCol w:w="3013"/>
        <w:gridCol w:w="510"/>
        <w:gridCol w:w="1380"/>
        <w:gridCol w:w="407"/>
        <w:gridCol w:w="733"/>
        <w:gridCol w:w="2426"/>
      </w:tblGrid>
      <w:tr>
        <w:trPr/>
        <w:tc>
          <w:tcPr>
            <w:tcW w:w="1365" w:type="dxa"/>
            <w:tcBorders>
              <w:top w:val="single" w:sz="4" w:space="0" w:color="000001"/>
              <w:bottom w:val="single" w:sz="4" w:space="0" w:color="000001"/>
            </w:tcBorders>
            <w:shd w:fill="EEEEEE" w:val="clear"/>
          </w:tcPr>
          <w:p>
            <w:pPr>
              <w:pStyle w:val="Contedodatabela"/>
              <w:widowControl w:val="false"/>
              <w:jc w:val="righ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0"/>
                <w:sz w:val="18"/>
                <w:szCs w:val="18"/>
                <w:u w:val="none"/>
                <w:shd w:fill="FFFFFF" w:val="clear"/>
              </w:rPr>
              <w:t>Razão Social:</w:t>
            </w:r>
          </w:p>
        </w:tc>
        <w:tc>
          <w:tcPr>
            <w:tcW w:w="8469" w:type="dxa"/>
            <w:gridSpan w:val="6"/>
            <w:tcBorders>
              <w:top w:val="single" w:sz="4" w:space="0" w:color="000001"/>
              <w:bottom w:val="single" w:sz="4" w:space="0" w:color="000001"/>
            </w:tcBorders>
            <w:shd w:fill="auto" w:val="clear"/>
          </w:tcPr>
          <w:p>
            <w:pPr>
              <w:pStyle w:val="Contedodatabela"/>
              <w:widowControl w:val="false"/>
              <w:snapToGrid w:val="false"/>
              <w:jc w:val="lef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A"/>
                <w:sz w:val="18"/>
                <w:szCs w:val="18"/>
                <w:u w:val="none"/>
                <w:shd w:fill="FFFFFF" w:val="clear"/>
              </w:rPr>
            </w:r>
          </w:p>
        </w:tc>
      </w:tr>
      <w:tr>
        <w:trPr/>
        <w:tc>
          <w:tcPr>
            <w:tcW w:w="1365" w:type="dxa"/>
            <w:tcBorders>
              <w:top w:val="single" w:sz="4" w:space="0" w:color="000001"/>
              <w:bottom w:val="single" w:sz="4" w:space="0" w:color="000001"/>
            </w:tcBorders>
            <w:shd w:fill="EEEEEE" w:val="clear"/>
          </w:tcPr>
          <w:p>
            <w:pPr>
              <w:pStyle w:val="Contedodatabela"/>
              <w:widowControl w:val="false"/>
              <w:jc w:val="righ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0"/>
                <w:sz w:val="18"/>
                <w:szCs w:val="18"/>
                <w:u w:val="none"/>
                <w:shd w:fill="FFFFFF" w:val="clear"/>
              </w:rPr>
              <w:t>CNPJ:</w:t>
            </w:r>
          </w:p>
        </w:tc>
        <w:tc>
          <w:tcPr>
            <w:tcW w:w="3523" w:type="dxa"/>
            <w:gridSpan w:val="2"/>
            <w:tcBorders>
              <w:top w:val="single" w:sz="4" w:space="0" w:color="000001"/>
              <w:bottom w:val="single" w:sz="4" w:space="0" w:color="000001"/>
            </w:tcBorders>
            <w:shd w:fill="auto" w:val="clear"/>
          </w:tcPr>
          <w:p>
            <w:pPr>
              <w:pStyle w:val="Contedodatabela"/>
              <w:widowControl w:val="false"/>
              <w:snapToGrid w:val="false"/>
              <w:jc w:val="lef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A"/>
                <w:sz w:val="18"/>
                <w:szCs w:val="18"/>
                <w:u w:val="none"/>
                <w:shd w:fill="FFFFFF" w:val="clear"/>
              </w:rPr>
            </w:r>
          </w:p>
        </w:tc>
        <w:tc>
          <w:tcPr>
            <w:tcW w:w="1787" w:type="dxa"/>
            <w:gridSpan w:val="2"/>
            <w:tcBorders>
              <w:top w:val="single" w:sz="4" w:space="0" w:color="000001"/>
              <w:bottom w:val="single" w:sz="4" w:space="0" w:color="000001"/>
            </w:tcBorders>
            <w:shd w:fill="EEEEEE" w:val="clear"/>
          </w:tcPr>
          <w:p>
            <w:pPr>
              <w:pStyle w:val="Contedodatabela"/>
              <w:widowControl w:val="false"/>
              <w:jc w:val="righ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0"/>
                <w:sz w:val="18"/>
                <w:szCs w:val="18"/>
                <w:u w:val="none"/>
                <w:shd w:fill="FFFFFF" w:val="clear"/>
              </w:rPr>
              <w:t>Inscrição Estadual:</w:t>
            </w:r>
          </w:p>
        </w:tc>
        <w:tc>
          <w:tcPr>
            <w:tcW w:w="3159" w:type="dxa"/>
            <w:gridSpan w:val="2"/>
            <w:tcBorders>
              <w:top w:val="single" w:sz="4" w:space="0" w:color="2A6099"/>
              <w:bottom w:val="single" w:sz="4" w:space="0" w:color="2A6099"/>
            </w:tcBorders>
            <w:shd w:fill="auto" w:val="clear"/>
          </w:tcPr>
          <w:p>
            <w:pPr>
              <w:pStyle w:val="Contedodatabela"/>
              <w:widowControl w:val="false"/>
              <w:snapToGrid w:val="false"/>
              <w:jc w:val="lef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A"/>
                <w:sz w:val="18"/>
                <w:szCs w:val="18"/>
                <w:u w:val="none"/>
                <w:shd w:fill="FFFFFF" w:val="clear"/>
              </w:rPr>
            </w:r>
          </w:p>
        </w:tc>
      </w:tr>
      <w:tr>
        <w:trPr/>
        <w:tc>
          <w:tcPr>
            <w:tcW w:w="1365" w:type="dxa"/>
            <w:tcBorders>
              <w:top w:val="single" w:sz="4" w:space="0" w:color="000001"/>
              <w:bottom w:val="single" w:sz="4" w:space="0" w:color="000001"/>
            </w:tcBorders>
            <w:shd w:fill="EEEEEE" w:val="clear"/>
          </w:tcPr>
          <w:p>
            <w:pPr>
              <w:pStyle w:val="Contedodatabela"/>
              <w:widowControl w:val="false"/>
              <w:jc w:val="righ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0"/>
                <w:sz w:val="18"/>
                <w:szCs w:val="18"/>
                <w:u w:val="none"/>
                <w:shd w:fill="FFFFFF" w:val="clear"/>
              </w:rPr>
              <w:t>Endereço:</w:t>
            </w:r>
          </w:p>
        </w:tc>
        <w:tc>
          <w:tcPr>
            <w:tcW w:w="3013" w:type="dxa"/>
            <w:tcBorders>
              <w:top w:val="single" w:sz="4" w:space="0" w:color="000001"/>
              <w:bottom w:val="single" w:sz="4" w:space="0" w:color="000001"/>
            </w:tcBorders>
            <w:shd w:fill="auto" w:val="clear"/>
          </w:tcPr>
          <w:p>
            <w:pPr>
              <w:pStyle w:val="Contedodatabela"/>
              <w:widowControl w:val="false"/>
              <w:snapToGrid w:val="false"/>
              <w:jc w:val="lef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A"/>
                <w:sz w:val="18"/>
                <w:szCs w:val="18"/>
                <w:u w:val="none"/>
                <w:shd w:fill="FFFFFF" w:val="clear"/>
              </w:rPr>
            </w:r>
          </w:p>
        </w:tc>
        <w:tc>
          <w:tcPr>
            <w:tcW w:w="510" w:type="dxa"/>
            <w:tcBorders>
              <w:top w:val="single" w:sz="4" w:space="0" w:color="000001"/>
              <w:bottom w:val="single" w:sz="4" w:space="0" w:color="000001"/>
            </w:tcBorders>
            <w:shd w:fill="EEEEEE" w:val="clear"/>
          </w:tcPr>
          <w:p>
            <w:pPr>
              <w:pStyle w:val="Contedodatabela"/>
              <w:widowControl w:val="false"/>
              <w:jc w:val="righ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0"/>
                <w:sz w:val="18"/>
                <w:szCs w:val="18"/>
                <w:u w:val="none"/>
                <w:shd w:fill="FFFFFF" w:val="clear"/>
              </w:rPr>
              <w:t>Nº:</w:t>
            </w:r>
          </w:p>
        </w:tc>
        <w:tc>
          <w:tcPr>
            <w:tcW w:w="1787" w:type="dxa"/>
            <w:gridSpan w:val="2"/>
            <w:tcBorders>
              <w:top w:val="single" w:sz="4" w:space="0" w:color="000001"/>
              <w:bottom w:val="single" w:sz="4" w:space="0" w:color="000001"/>
            </w:tcBorders>
            <w:shd w:fill="auto" w:val="clear"/>
          </w:tcPr>
          <w:p>
            <w:pPr>
              <w:pStyle w:val="Contedodatabela"/>
              <w:widowControl w:val="false"/>
              <w:snapToGrid w:val="false"/>
              <w:jc w:val="lef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A"/>
                <w:sz w:val="18"/>
                <w:szCs w:val="18"/>
                <w:u w:val="none"/>
                <w:shd w:fill="FFFFFF" w:val="clear"/>
              </w:rPr>
            </w:r>
          </w:p>
        </w:tc>
        <w:tc>
          <w:tcPr>
            <w:tcW w:w="733" w:type="dxa"/>
            <w:tcBorders>
              <w:top w:val="single" w:sz="4" w:space="0" w:color="000001"/>
              <w:bottom w:val="single" w:sz="4" w:space="0" w:color="000001"/>
            </w:tcBorders>
            <w:shd w:fill="EEEEEE" w:val="clear"/>
          </w:tcPr>
          <w:p>
            <w:pPr>
              <w:pStyle w:val="Contedodatabela"/>
              <w:widowControl w:val="false"/>
              <w:jc w:val="righ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0"/>
                <w:sz w:val="18"/>
                <w:szCs w:val="18"/>
                <w:u w:val="none"/>
                <w:shd w:fill="FFFFFF" w:val="clear"/>
              </w:rPr>
              <w:t>Bairro:</w:t>
            </w:r>
          </w:p>
        </w:tc>
        <w:tc>
          <w:tcPr>
            <w:tcW w:w="2426" w:type="dxa"/>
            <w:tcBorders>
              <w:top w:val="single" w:sz="4" w:space="0" w:color="000001"/>
              <w:bottom w:val="single" w:sz="4" w:space="0" w:color="000001"/>
            </w:tcBorders>
            <w:shd w:fill="auto" w:val="clear"/>
          </w:tcPr>
          <w:p>
            <w:pPr>
              <w:pStyle w:val="Contedodatabela"/>
              <w:widowControl w:val="false"/>
              <w:snapToGrid w:val="false"/>
              <w:jc w:val="lef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A"/>
                <w:sz w:val="18"/>
                <w:szCs w:val="18"/>
                <w:u w:val="none"/>
                <w:shd w:fill="FFFFFF" w:val="clear"/>
              </w:rPr>
            </w:r>
          </w:p>
        </w:tc>
      </w:tr>
      <w:tr>
        <w:trPr/>
        <w:tc>
          <w:tcPr>
            <w:tcW w:w="1365" w:type="dxa"/>
            <w:tcBorders>
              <w:top w:val="single" w:sz="4" w:space="0" w:color="000001"/>
              <w:bottom w:val="single" w:sz="4" w:space="0" w:color="000001"/>
            </w:tcBorders>
            <w:shd w:fill="EEEEEE" w:val="clear"/>
          </w:tcPr>
          <w:p>
            <w:pPr>
              <w:pStyle w:val="Contedodatabela"/>
              <w:widowControl w:val="false"/>
              <w:jc w:val="righ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0"/>
                <w:sz w:val="18"/>
                <w:szCs w:val="18"/>
                <w:u w:val="none"/>
                <w:shd w:fill="FFFFFF" w:val="clear"/>
              </w:rPr>
              <w:t>CEP:</w:t>
            </w:r>
          </w:p>
        </w:tc>
        <w:tc>
          <w:tcPr>
            <w:tcW w:w="4903" w:type="dxa"/>
            <w:gridSpan w:val="3"/>
            <w:tcBorders>
              <w:top w:val="single" w:sz="4" w:space="0" w:color="000001"/>
              <w:bottom w:val="single" w:sz="4" w:space="0" w:color="000001"/>
            </w:tcBorders>
            <w:shd w:fill="auto" w:val="clear"/>
          </w:tcPr>
          <w:p>
            <w:pPr>
              <w:pStyle w:val="Contedodatabela"/>
              <w:widowControl w:val="false"/>
              <w:snapToGrid w:val="false"/>
              <w:jc w:val="lef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A"/>
                <w:sz w:val="18"/>
                <w:szCs w:val="18"/>
                <w:u w:val="none"/>
                <w:shd w:fill="FFFFFF" w:val="clear"/>
              </w:rPr>
            </w:r>
          </w:p>
        </w:tc>
        <w:tc>
          <w:tcPr>
            <w:tcW w:w="1140" w:type="dxa"/>
            <w:gridSpan w:val="2"/>
            <w:tcBorders>
              <w:top w:val="single" w:sz="4" w:space="0" w:color="000001"/>
              <w:bottom w:val="single" w:sz="4" w:space="0" w:color="000001"/>
            </w:tcBorders>
            <w:shd w:fill="EEEEEE" w:val="clear"/>
          </w:tcPr>
          <w:p>
            <w:pPr>
              <w:pStyle w:val="Contedodatabela"/>
              <w:widowControl w:val="false"/>
              <w:jc w:val="righ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0"/>
                <w:sz w:val="18"/>
                <w:szCs w:val="18"/>
                <w:u w:val="none"/>
                <w:shd w:fill="FFFFFF" w:val="clear"/>
              </w:rPr>
              <w:t>Cidade/UF:</w:t>
            </w:r>
          </w:p>
        </w:tc>
        <w:tc>
          <w:tcPr>
            <w:tcW w:w="2426" w:type="dxa"/>
            <w:tcBorders>
              <w:top w:val="single" w:sz="4" w:space="0" w:color="000001"/>
              <w:bottom w:val="single" w:sz="4" w:space="0" w:color="000001"/>
            </w:tcBorders>
            <w:shd w:fill="auto" w:val="clear"/>
          </w:tcPr>
          <w:p>
            <w:pPr>
              <w:pStyle w:val="Contedodatabela"/>
              <w:widowControl w:val="false"/>
              <w:snapToGrid w:val="false"/>
              <w:jc w:val="lef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A"/>
                <w:sz w:val="18"/>
                <w:szCs w:val="18"/>
                <w:u w:val="none"/>
                <w:shd w:fill="FFFFFF" w:val="clear"/>
              </w:rPr>
            </w:r>
          </w:p>
        </w:tc>
      </w:tr>
      <w:tr>
        <w:trPr/>
        <w:tc>
          <w:tcPr>
            <w:tcW w:w="1365" w:type="dxa"/>
            <w:tcBorders>
              <w:top w:val="single" w:sz="4" w:space="0" w:color="000001"/>
              <w:bottom w:val="single" w:sz="4" w:space="0" w:color="000001"/>
            </w:tcBorders>
            <w:shd w:fill="EEEEEE" w:val="clear"/>
          </w:tcPr>
          <w:p>
            <w:pPr>
              <w:pStyle w:val="Contedodatabela"/>
              <w:widowControl w:val="false"/>
              <w:jc w:val="righ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0"/>
                <w:sz w:val="18"/>
                <w:szCs w:val="18"/>
                <w:u w:val="none"/>
                <w:shd w:fill="FFFFFF" w:val="clear"/>
              </w:rPr>
              <w:t>Fone:</w:t>
            </w:r>
          </w:p>
        </w:tc>
        <w:tc>
          <w:tcPr>
            <w:tcW w:w="5310" w:type="dxa"/>
            <w:gridSpan w:val="4"/>
            <w:tcBorders>
              <w:top w:val="single" w:sz="4" w:space="0" w:color="000001"/>
              <w:bottom w:val="single" w:sz="4" w:space="0" w:color="000001"/>
            </w:tcBorders>
            <w:shd w:fill="auto" w:val="clear"/>
          </w:tcPr>
          <w:p>
            <w:pPr>
              <w:pStyle w:val="Contedodatabela"/>
              <w:widowControl w:val="false"/>
              <w:snapToGrid w:val="false"/>
              <w:jc w:val="lef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A"/>
                <w:sz w:val="18"/>
                <w:szCs w:val="18"/>
                <w:u w:val="none"/>
                <w:shd w:fill="FFFFFF" w:val="clear"/>
              </w:rPr>
            </w:r>
          </w:p>
        </w:tc>
        <w:tc>
          <w:tcPr>
            <w:tcW w:w="733" w:type="dxa"/>
            <w:tcBorders>
              <w:top w:val="single" w:sz="4" w:space="0" w:color="000001"/>
              <w:bottom w:val="single" w:sz="4" w:space="0" w:color="000001"/>
            </w:tcBorders>
            <w:shd w:fill="EEEEEE" w:val="clear"/>
          </w:tcPr>
          <w:p>
            <w:pPr>
              <w:pStyle w:val="Contedodatabela"/>
              <w:widowControl w:val="false"/>
              <w:jc w:val="righ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0"/>
                <w:sz w:val="18"/>
                <w:szCs w:val="18"/>
                <w:u w:val="none"/>
                <w:shd w:fill="FFFFFF" w:val="clear"/>
              </w:rPr>
              <w:t>E-mail:</w:t>
            </w:r>
          </w:p>
        </w:tc>
        <w:tc>
          <w:tcPr>
            <w:tcW w:w="2426" w:type="dxa"/>
            <w:tcBorders>
              <w:top w:val="single" w:sz="4" w:space="0" w:color="000001"/>
              <w:bottom w:val="single" w:sz="4" w:space="0" w:color="000001"/>
            </w:tcBorders>
            <w:shd w:fill="auto" w:val="clear"/>
          </w:tcPr>
          <w:p>
            <w:pPr>
              <w:pStyle w:val="Contedodatabela"/>
              <w:widowControl w:val="false"/>
              <w:snapToGrid w:val="false"/>
              <w:jc w:val="left"/>
              <w:rPr>
                <w:rFonts w:ascii="Arial" w:hAnsi="Arial" w:cs="Liberation Serif;Times New Roman"/>
                <w:b/>
                <w:bCs/>
                <w:i w:val="false"/>
                <w:i w:val="false"/>
                <w:iCs w:val="false"/>
                <w:strike w:val="false"/>
                <w:dstrike w:val="false"/>
                <w:outline w:val="false"/>
                <w:shadow w:val="false"/>
                <w:color w:val="00000A"/>
                <w:sz w:val="18"/>
                <w:szCs w:val="18"/>
                <w:u w:val="none"/>
                <w:shd w:fill="FFFFFF" w:val="clear"/>
              </w:rPr>
            </w:pPr>
            <w:r>
              <w:rPr>
                <w:rFonts w:cs="Liberation Serif;Times New Roman" w:ascii="Arial" w:hAnsi="Arial"/>
                <w:b/>
                <w:bCs/>
                <w:i w:val="false"/>
                <w:iCs w:val="false"/>
                <w:strike w:val="false"/>
                <w:dstrike w:val="false"/>
                <w:outline w:val="false"/>
                <w:shadow w:val="false"/>
                <w:color w:val="00000A"/>
                <w:sz w:val="18"/>
                <w:szCs w:val="18"/>
                <w:u w:val="none"/>
                <w:shd w:fill="FFFFFF" w:val="clear"/>
              </w:rPr>
            </w:r>
          </w:p>
        </w:tc>
      </w:tr>
    </w:tbl>
    <w:p>
      <w:pPr>
        <w:pStyle w:val="WW-Corpodetexto2"/>
        <w:rPr>
          <w:color w:val="00000A"/>
          <w:shd w:fill="FFFFFF" w:val="clear"/>
        </w:rPr>
      </w:pPr>
      <w:r>
        <w:rPr>
          <w:color w:val="00000A"/>
          <w:shd w:fill="FFFFFF" w:val="clear"/>
        </w:rPr>
      </w:r>
    </w:p>
    <w:p>
      <w:pPr>
        <w:pStyle w:val="BodyText"/>
        <w:jc w:val="both"/>
        <w:rPr>
          <w:rFonts w:ascii="Arial" w:hAnsi="Arial" w:eastAsia="Times New Roman" w:cs="Arial"/>
          <w:color w:val="00000A"/>
          <w:sz w:val="22"/>
          <w:szCs w:val="22"/>
          <w:shd w:fill="FFFFFF" w:val="clear"/>
          <w:lang w:val="pt-BR" w:eastAsia="zh-CN" w:bidi="ar-SA"/>
        </w:rPr>
      </w:pPr>
      <w:r>
        <w:rPr>
          <w:rFonts w:eastAsia="Times New Roman" w:cs="Arial" w:ascii="Arial" w:hAnsi="Arial"/>
          <w:color w:val="00000A"/>
          <w:sz w:val="22"/>
          <w:szCs w:val="22"/>
          <w:shd w:fill="FFFFFF" w:val="clear"/>
          <w:lang w:val="pt-BR" w:eastAsia="zh-CN" w:bidi="ar-SA"/>
        </w:rPr>
      </w:r>
    </w:p>
    <w:tbl>
      <w:tblPr>
        <w:tblW w:w="9810" w:type="dxa"/>
        <w:jc w:val="left"/>
        <w:tblInd w:w="-480" w:type="dxa"/>
        <w:tblLayout w:type="fixed"/>
        <w:tblCellMar>
          <w:top w:w="55" w:type="dxa"/>
          <w:left w:w="55" w:type="dxa"/>
          <w:bottom w:w="55" w:type="dxa"/>
          <w:right w:w="55" w:type="dxa"/>
        </w:tblCellMar>
      </w:tblPr>
      <w:tblGrid>
        <w:gridCol w:w="630"/>
        <w:gridCol w:w="570"/>
        <w:gridCol w:w="555"/>
        <w:gridCol w:w="2835"/>
        <w:gridCol w:w="1485"/>
        <w:gridCol w:w="1860"/>
        <w:gridCol w:w="1874"/>
      </w:tblGrid>
      <w:tr>
        <w:trPr>
          <w:tblHeader w:val="true"/>
        </w:trPr>
        <w:tc>
          <w:tcPr>
            <w:tcW w:w="9809" w:type="dxa"/>
            <w:gridSpan w:val="7"/>
            <w:tcBorders>
              <w:top w:val="single" w:sz="4" w:space="0" w:color="000000"/>
              <w:left w:val="single" w:sz="4" w:space="0" w:color="000000"/>
              <w:bottom w:val="single" w:sz="4" w:space="0" w:color="000000"/>
              <w:right w:val="single" w:sz="4" w:space="0" w:color="000000"/>
            </w:tcBorders>
            <w:shd w:fill="DDDDDD" w:val="clear"/>
          </w:tcPr>
          <w:p>
            <w:pPr>
              <w:pStyle w:val="Contedodatabela"/>
              <w:jc w:val="center"/>
              <w:rPr>
                <w:sz w:val="18"/>
                <w:szCs w:val="18"/>
              </w:rPr>
            </w:pPr>
            <w:r>
              <w:rPr>
                <w:rFonts w:ascii="Arial" w:hAnsi="Arial"/>
                <w:b/>
                <w:bCs/>
                <w:sz w:val="18"/>
                <w:szCs w:val="18"/>
              </w:rPr>
              <w:t>LOTE 1 – GÊNEROS ALIMENTÍCIOS HORTIFRUTIGRANJEIROS</w:t>
            </w:r>
          </w:p>
        </w:tc>
      </w:tr>
      <w:tr>
        <w:trPr/>
        <w:tc>
          <w:tcPr>
            <w:tcW w:w="630" w:type="dxa"/>
            <w:tcBorders>
              <w:left w:val="single" w:sz="4" w:space="0" w:color="000000"/>
              <w:bottom w:val="single" w:sz="4" w:space="0" w:color="000000"/>
            </w:tcBorders>
            <w:shd w:fill="DDDDDD" w:val="clear"/>
          </w:tcPr>
          <w:p>
            <w:pPr>
              <w:pStyle w:val="Contedodatabela"/>
              <w:spacing w:lineRule="auto" w:line="240"/>
              <w:jc w:val="center"/>
              <w:rPr>
                <w:sz w:val="18"/>
                <w:szCs w:val="18"/>
              </w:rPr>
            </w:pPr>
            <w:r>
              <w:rPr>
                <w:rFonts w:ascii="Arial" w:hAnsi="Arial"/>
                <w:b/>
                <w:bCs/>
                <w:i w:val="false"/>
                <w:iCs w:val="false"/>
                <w:strike w:val="false"/>
                <w:dstrike w:val="false"/>
                <w:outline w:val="false"/>
                <w:shadow w:val="false"/>
                <w:color w:val="000000"/>
                <w:sz w:val="18"/>
                <w:szCs w:val="18"/>
                <w:u w:val="none"/>
              </w:rPr>
              <w:t>ITEM</w:t>
            </w:r>
          </w:p>
        </w:tc>
        <w:tc>
          <w:tcPr>
            <w:tcW w:w="570" w:type="dxa"/>
            <w:tcBorders>
              <w:left w:val="single" w:sz="4" w:space="0" w:color="000000"/>
              <w:bottom w:val="single" w:sz="4" w:space="0" w:color="000000"/>
            </w:tcBorders>
            <w:shd w:fill="DDDDDD" w:val="clear"/>
          </w:tcPr>
          <w:p>
            <w:pPr>
              <w:pStyle w:val="Contedodatabela"/>
              <w:spacing w:lineRule="auto" w:line="240"/>
              <w:jc w:val="center"/>
              <w:rPr>
                <w:sz w:val="18"/>
                <w:szCs w:val="18"/>
              </w:rPr>
            </w:pPr>
            <w:r>
              <w:rPr>
                <w:rFonts w:ascii="Arial" w:hAnsi="Arial"/>
                <w:b/>
                <w:bCs/>
                <w:i w:val="false"/>
                <w:iCs w:val="false"/>
                <w:strike w:val="false"/>
                <w:dstrike w:val="false"/>
                <w:outline w:val="false"/>
                <w:shadow w:val="false"/>
                <w:color w:val="000000"/>
                <w:sz w:val="18"/>
                <w:szCs w:val="18"/>
                <w:u w:val="none"/>
              </w:rPr>
              <w:t>QTD</w:t>
            </w:r>
          </w:p>
        </w:tc>
        <w:tc>
          <w:tcPr>
            <w:tcW w:w="555" w:type="dxa"/>
            <w:tcBorders>
              <w:left w:val="single" w:sz="4" w:space="0" w:color="000000"/>
              <w:bottom w:val="single" w:sz="4" w:space="0" w:color="000000"/>
            </w:tcBorders>
            <w:shd w:fill="DDDDDD" w:val="clear"/>
          </w:tcPr>
          <w:p>
            <w:pPr>
              <w:pStyle w:val="Contedodatabela"/>
              <w:spacing w:lineRule="auto" w:line="240"/>
              <w:jc w:val="center"/>
              <w:rPr>
                <w:sz w:val="18"/>
                <w:szCs w:val="18"/>
              </w:rPr>
            </w:pPr>
            <w:r>
              <w:rPr>
                <w:rFonts w:ascii="Arial" w:hAnsi="Arial"/>
                <w:b/>
                <w:bCs/>
                <w:i w:val="false"/>
                <w:iCs w:val="false"/>
                <w:strike w:val="false"/>
                <w:dstrike w:val="false"/>
                <w:outline w:val="false"/>
                <w:shadow w:val="false"/>
                <w:color w:val="000000"/>
                <w:sz w:val="18"/>
                <w:szCs w:val="18"/>
                <w:u w:val="none"/>
              </w:rPr>
              <w:t>UN</w:t>
            </w:r>
          </w:p>
        </w:tc>
        <w:tc>
          <w:tcPr>
            <w:tcW w:w="2835" w:type="dxa"/>
            <w:tcBorders>
              <w:left w:val="single" w:sz="4" w:space="0" w:color="000000"/>
              <w:bottom w:val="single" w:sz="4" w:space="0" w:color="000000"/>
            </w:tcBorders>
            <w:shd w:fill="DDDDDD" w:val="clear"/>
          </w:tcPr>
          <w:p>
            <w:pPr>
              <w:pStyle w:val="Contedodatabela"/>
              <w:spacing w:lineRule="auto" w:line="240"/>
              <w:jc w:val="center"/>
              <w:rPr>
                <w:sz w:val="18"/>
                <w:szCs w:val="18"/>
              </w:rPr>
            </w:pPr>
            <w:r>
              <w:rPr>
                <w:rFonts w:ascii="Arial" w:hAnsi="Arial"/>
                <w:b/>
                <w:bCs/>
                <w:i w:val="false"/>
                <w:iCs w:val="false"/>
                <w:strike w:val="false"/>
                <w:dstrike w:val="false"/>
                <w:outline w:val="false"/>
                <w:shadow w:val="false"/>
                <w:color w:val="000000"/>
                <w:sz w:val="18"/>
                <w:szCs w:val="18"/>
                <w:u w:val="none"/>
              </w:rPr>
              <w:t>DESCRIÇÃO</w:t>
            </w:r>
          </w:p>
        </w:tc>
        <w:tc>
          <w:tcPr>
            <w:tcW w:w="1485" w:type="dxa"/>
            <w:tcBorders>
              <w:left w:val="single" w:sz="4" w:space="0" w:color="000000"/>
              <w:bottom w:val="single" w:sz="4" w:space="0" w:color="000000"/>
            </w:tcBorders>
            <w:shd w:fill="DDDDDD" w:val="clear"/>
          </w:tcPr>
          <w:p>
            <w:pPr>
              <w:pStyle w:val="Contedodatabela"/>
              <w:spacing w:lineRule="auto" w:line="240"/>
              <w:jc w:val="center"/>
              <w:rPr>
                <w:rFonts w:ascii="Arial" w:hAnsi="Arial" w:eastAsia="Arial MT" w:cs="Arial MT"/>
                <w:b/>
                <w:bCs/>
                <w:i w:val="false"/>
                <w:i w:val="false"/>
                <w:iCs w:val="false"/>
                <w:strike w:val="false"/>
                <w:dstrike w:val="false"/>
                <w:outline w:val="false"/>
                <w:shadow w:val="false"/>
                <w:color w:val="000000"/>
                <w:kern w:val="0"/>
                <w:sz w:val="18"/>
                <w:szCs w:val="18"/>
                <w:u w:val="none"/>
                <w:lang w:val="pt-PT" w:eastAsia="en-US" w:bidi="ar-SA"/>
              </w:rPr>
            </w:pP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MARCA</w:t>
            </w:r>
          </w:p>
        </w:tc>
        <w:tc>
          <w:tcPr>
            <w:tcW w:w="1860" w:type="dxa"/>
            <w:tcBorders>
              <w:left w:val="single" w:sz="4" w:space="0" w:color="000000"/>
              <w:bottom w:val="single" w:sz="4" w:space="0" w:color="000000"/>
            </w:tcBorders>
            <w:shd w:fill="DDDDDD" w:val="clear"/>
          </w:tcPr>
          <w:p>
            <w:pPr>
              <w:pStyle w:val="Contedodatabela"/>
              <w:spacing w:lineRule="auto" w:line="240"/>
              <w:jc w:val="center"/>
              <w:rPr>
                <w:rFonts w:ascii="Arial" w:hAnsi="Arial" w:eastAsia="Arial MT" w:cs="Arial MT"/>
                <w:b/>
                <w:bCs/>
                <w:i w:val="false"/>
                <w:i w:val="false"/>
                <w:iCs w:val="false"/>
                <w:strike w:val="false"/>
                <w:dstrike w:val="false"/>
                <w:outline w:val="false"/>
                <w:shadow w:val="false"/>
                <w:color w:val="000000"/>
                <w:kern w:val="0"/>
                <w:sz w:val="18"/>
                <w:szCs w:val="18"/>
                <w:u w:val="none"/>
                <w:lang w:val="pt-PT" w:eastAsia="en-US" w:bidi="ar-SA"/>
              </w:rPr>
            </w:pP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VALOR UNITÁRIO (R$)</w:t>
            </w:r>
          </w:p>
        </w:tc>
        <w:tc>
          <w:tcPr>
            <w:tcW w:w="1874" w:type="dxa"/>
            <w:tcBorders>
              <w:left w:val="single" w:sz="4" w:space="0" w:color="000000"/>
              <w:bottom w:val="single" w:sz="4" w:space="0" w:color="000000"/>
              <w:right w:val="single" w:sz="4" w:space="0" w:color="000000"/>
            </w:tcBorders>
            <w:shd w:fill="DDDDDD" w:val="clear"/>
          </w:tcPr>
          <w:p>
            <w:pPr>
              <w:pStyle w:val="Contedodatabela"/>
              <w:spacing w:lineRule="auto" w:line="240"/>
              <w:jc w:val="center"/>
              <w:rPr>
                <w:rFonts w:ascii="Arial" w:hAnsi="Arial" w:eastAsia="Arial MT" w:cs="Arial MT"/>
                <w:b/>
                <w:bCs/>
                <w:i w:val="false"/>
                <w:i w:val="false"/>
                <w:iCs w:val="false"/>
                <w:strike w:val="false"/>
                <w:dstrike w:val="false"/>
                <w:outline w:val="false"/>
                <w:shadow w:val="false"/>
                <w:color w:val="000000"/>
                <w:kern w:val="0"/>
                <w:sz w:val="18"/>
                <w:szCs w:val="18"/>
                <w:u w:val="none"/>
                <w:lang w:val="pt-PT" w:eastAsia="en-US" w:bidi="ar-SA"/>
              </w:rPr>
            </w:pP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 xml:space="preserve">VALOR </w:t>
            </w: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T</w:t>
            </w: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O</w:t>
            </w: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T</w:t>
            </w: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AL (R$)</w:t>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1</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55"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KG</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Tomate salada</w:t>
            </w:r>
            <w:r>
              <w:rPr>
                <w:rFonts w:ascii="Arial" w:hAnsi="Arial"/>
                <w:b w:val="false"/>
                <w:bCs w:val="false"/>
                <w:i w:val="false"/>
                <w:iCs w:val="false"/>
                <w:strike w:val="false"/>
                <w:dstrike w:val="false"/>
                <w:outline w:val="false"/>
                <w:shadow w:val="false"/>
                <w:color w:val="000000"/>
                <w:sz w:val="18"/>
                <w:szCs w:val="18"/>
                <w:u w:val="none"/>
              </w:rPr>
              <w:t>, fresco, in natura, de boa qualidade e sem rachaduras ou defeitos visíveis, com coloração vermelha uniforme e consistência firme.</w:t>
            </w:r>
          </w:p>
        </w:tc>
        <w:tc>
          <w:tcPr>
            <w:tcW w:w="148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86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874"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2</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55"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KG</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Cenoura fresca,</w:t>
            </w:r>
            <w:r>
              <w:rPr>
                <w:rFonts w:ascii="Arial" w:hAnsi="Arial"/>
                <w:b w:val="false"/>
                <w:bCs w:val="false"/>
                <w:i w:val="false"/>
                <w:iCs w:val="false"/>
                <w:strike w:val="false"/>
                <w:dstrike w:val="false"/>
                <w:outline w:val="false"/>
                <w:shadow w:val="false"/>
                <w:color w:val="000000"/>
                <w:sz w:val="18"/>
                <w:szCs w:val="18"/>
                <w:u w:val="none"/>
              </w:rPr>
              <w:t xml:space="preserve"> in natura, de boa qualidade e sem imperfeições visíveis, com coloração alaranjada característica da variedade.</w:t>
            </w:r>
          </w:p>
        </w:tc>
        <w:tc>
          <w:tcPr>
            <w:tcW w:w="148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86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874"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3</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55"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KG</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Batata inglesa fresca</w:t>
            </w:r>
            <w:r>
              <w:rPr>
                <w:rFonts w:ascii="Arial" w:hAnsi="Arial"/>
                <w:b w:val="false"/>
                <w:bCs w:val="false"/>
                <w:i w:val="false"/>
                <w:iCs w:val="false"/>
                <w:strike w:val="false"/>
                <w:dstrike w:val="false"/>
                <w:outline w:val="false"/>
                <w:shadow w:val="false"/>
                <w:color w:val="000000"/>
                <w:sz w:val="18"/>
                <w:szCs w:val="18"/>
                <w:u w:val="none"/>
              </w:rPr>
              <w:t>, in natura, de boa qualidade e tamanho médio, sem brotos ou defeitos.</w:t>
            </w:r>
          </w:p>
        </w:tc>
        <w:tc>
          <w:tcPr>
            <w:tcW w:w="148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86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874"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4</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60</w:t>
            </w:r>
          </w:p>
        </w:tc>
        <w:tc>
          <w:tcPr>
            <w:tcW w:w="555"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KG</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Cebola fresca,</w:t>
            </w:r>
            <w:r>
              <w:rPr>
                <w:rFonts w:ascii="Arial" w:hAnsi="Arial"/>
                <w:b w:val="false"/>
                <w:bCs w:val="false"/>
                <w:i w:val="false"/>
                <w:iCs w:val="false"/>
                <w:strike w:val="false"/>
                <w:dstrike w:val="false"/>
                <w:outline w:val="false"/>
                <w:shadow w:val="false"/>
                <w:color w:val="000000"/>
                <w:sz w:val="18"/>
                <w:szCs w:val="18"/>
                <w:u w:val="none"/>
              </w:rPr>
              <w:t xml:space="preserve"> in natura, de boa qualidade, com casca firme, sem brotos ou manchas, e com coloração característica da variedade (amarela).</w:t>
            </w:r>
          </w:p>
        </w:tc>
        <w:tc>
          <w:tcPr>
            <w:tcW w:w="148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86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874"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5</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55"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KG</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Abóbora Cabotiá fresca</w:t>
            </w:r>
            <w:r>
              <w:rPr>
                <w:rFonts w:ascii="Arial" w:hAnsi="Arial"/>
                <w:b w:val="false"/>
                <w:bCs w:val="false"/>
                <w:i w:val="false"/>
                <w:iCs w:val="false"/>
                <w:strike w:val="false"/>
                <w:dstrike w:val="false"/>
                <w:outline w:val="false"/>
                <w:shadow w:val="false"/>
                <w:color w:val="000000"/>
                <w:sz w:val="18"/>
                <w:szCs w:val="18"/>
                <w:u w:val="none"/>
              </w:rPr>
              <w:t>, in natura, de boa qualidade, com casca dura e sem manchas ou rachaduras, de coloração verde escura e formato característico da variedade.</w:t>
            </w:r>
          </w:p>
        </w:tc>
        <w:tc>
          <w:tcPr>
            <w:tcW w:w="148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86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874"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6</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55"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KG</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Repolho verde fresco</w:t>
            </w:r>
            <w:r>
              <w:rPr>
                <w:rFonts w:ascii="Arial" w:hAnsi="Arial"/>
                <w:b w:val="false"/>
                <w:bCs w:val="false"/>
                <w:i w:val="false"/>
                <w:iCs w:val="false"/>
                <w:strike w:val="false"/>
                <w:dstrike w:val="false"/>
                <w:outline w:val="false"/>
                <w:shadow w:val="false"/>
                <w:color w:val="000000"/>
                <w:sz w:val="18"/>
                <w:szCs w:val="18"/>
                <w:u w:val="none"/>
              </w:rPr>
              <w:t>, in natura, de boa qualidade, com folhas firmes e de cor verde vibrante, sem sinais de murchamento ou deterioração.</w:t>
            </w:r>
          </w:p>
        </w:tc>
        <w:tc>
          <w:tcPr>
            <w:tcW w:w="148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86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874"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075" w:type="dxa"/>
            <w:gridSpan w:val="5"/>
            <w:tcBorders>
              <w:left w:val="single" w:sz="4" w:space="0" w:color="000000"/>
              <w:bottom w:val="single" w:sz="4" w:space="0" w:color="000000"/>
            </w:tcBorders>
            <w:vAlign w:val="center"/>
          </w:tcPr>
          <w:p>
            <w:pPr>
              <w:pStyle w:val="Contedodatabela"/>
              <w:jc w:val="center"/>
              <w:rPr>
                <w:sz w:val="18"/>
                <w:szCs w:val="18"/>
              </w:rPr>
            </w:pPr>
            <w:r>
              <w:rPr>
                <w:rFonts w:ascii="Arial" w:hAnsi="Arial"/>
                <w:b/>
                <w:bCs/>
                <w:sz w:val="18"/>
                <w:szCs w:val="18"/>
              </w:rPr>
              <w:t>VALOR TOTAL DO LOTE 1 (R$)</w:t>
            </w:r>
          </w:p>
        </w:tc>
        <w:tc>
          <w:tcPr>
            <w:tcW w:w="1860" w:type="dxa"/>
            <w:tcBorders>
              <w:left w:val="single" w:sz="4" w:space="0" w:color="000000"/>
              <w:bottom w:val="single" w:sz="4" w:space="0" w:color="000000"/>
            </w:tcBorders>
          </w:tcPr>
          <w:p>
            <w:pPr>
              <w:pStyle w:val="Contedodatabela"/>
              <w:jc w:val="both"/>
              <w:rPr>
                <w:rFonts w:ascii="Arial" w:hAnsi="Arial"/>
                <w:b/>
                <w:bCs/>
                <w:sz w:val="18"/>
                <w:szCs w:val="18"/>
              </w:rPr>
            </w:pPr>
            <w:r>
              <w:rPr>
                <w:rFonts w:ascii="Arial" w:hAnsi="Arial"/>
                <w:b/>
                <w:bCs/>
                <w:sz w:val="18"/>
                <w:szCs w:val="18"/>
              </w:rPr>
            </w:r>
          </w:p>
        </w:tc>
        <w:tc>
          <w:tcPr>
            <w:tcW w:w="1874" w:type="dxa"/>
            <w:tcBorders>
              <w:left w:val="single" w:sz="4" w:space="0" w:color="000000"/>
              <w:bottom w:val="single" w:sz="4" w:space="0" w:color="000000"/>
              <w:right w:val="single" w:sz="4" w:space="0" w:color="000000"/>
            </w:tcBorders>
          </w:tcPr>
          <w:p>
            <w:pPr>
              <w:pStyle w:val="Contedodatabela"/>
              <w:jc w:val="both"/>
              <w:rPr>
                <w:rFonts w:ascii="Arial" w:hAnsi="Arial"/>
                <w:b/>
                <w:bCs/>
                <w:sz w:val="18"/>
                <w:szCs w:val="18"/>
              </w:rPr>
            </w:pPr>
            <w:r>
              <w:rPr>
                <w:rFonts w:ascii="Arial" w:hAnsi="Arial"/>
                <w:b/>
                <w:bCs/>
                <w:sz w:val="18"/>
                <w:szCs w:val="18"/>
              </w:rPr>
            </w:r>
          </w:p>
        </w:tc>
      </w:tr>
    </w:tbl>
    <w:p>
      <w:pPr>
        <w:pStyle w:val="Normal"/>
        <w:jc w:val="both"/>
        <w:rPr>
          <w:rFonts w:ascii="Arial" w:hAnsi="Arial" w:eastAsia="Times New Roman" w:cs="Arial"/>
          <w:color w:val="00000A"/>
          <w:sz w:val="22"/>
          <w:szCs w:val="22"/>
          <w:shd w:fill="FFFFFF" w:val="clear"/>
          <w:lang w:val="pt-BR" w:eastAsia="zh-CN" w:bidi="ar-SA"/>
        </w:rPr>
      </w:pPr>
      <w:r>
        <w:rPr>
          <w:rFonts w:eastAsia="Times New Roman" w:cs="Arial" w:ascii="Arial" w:hAnsi="Arial"/>
          <w:color w:val="00000A"/>
          <w:sz w:val="22"/>
          <w:szCs w:val="22"/>
          <w:shd w:fill="FFFFFF" w:val="clear"/>
          <w:lang w:val="pt-BR" w:eastAsia="zh-CN" w:bidi="ar-SA"/>
        </w:rPr>
      </w:r>
    </w:p>
    <w:p>
      <w:pPr>
        <w:pStyle w:val="Normal"/>
        <w:jc w:val="both"/>
        <w:rPr>
          <w:rFonts w:ascii="Arial" w:hAnsi="Arial" w:eastAsia="Times New Roman" w:cs="Arial"/>
          <w:color w:val="00000A"/>
          <w:sz w:val="22"/>
          <w:szCs w:val="22"/>
          <w:shd w:fill="FFFFFF" w:val="clear"/>
          <w:lang w:val="pt-BR" w:eastAsia="zh-CN" w:bidi="ar-SA"/>
        </w:rPr>
      </w:pPr>
      <w:r>
        <w:rPr>
          <w:rFonts w:eastAsia="Times New Roman" w:cs="Arial" w:ascii="Arial" w:hAnsi="Arial"/>
          <w:color w:val="00000A"/>
          <w:sz w:val="22"/>
          <w:szCs w:val="22"/>
          <w:shd w:fill="FFFFFF" w:val="clear"/>
          <w:lang w:val="pt-BR" w:eastAsia="zh-CN" w:bidi="ar-SA"/>
        </w:rPr>
      </w:r>
    </w:p>
    <w:tbl>
      <w:tblPr>
        <w:tblW w:w="9790" w:type="dxa"/>
        <w:jc w:val="left"/>
        <w:tblInd w:w="-495" w:type="dxa"/>
        <w:tblLayout w:type="fixed"/>
        <w:tblCellMar>
          <w:top w:w="55" w:type="dxa"/>
          <w:left w:w="55" w:type="dxa"/>
          <w:bottom w:w="55" w:type="dxa"/>
          <w:right w:w="55" w:type="dxa"/>
        </w:tblCellMar>
      </w:tblPr>
      <w:tblGrid>
        <w:gridCol w:w="630"/>
        <w:gridCol w:w="570"/>
        <w:gridCol w:w="555"/>
        <w:gridCol w:w="2835"/>
        <w:gridCol w:w="1530"/>
        <w:gridCol w:w="1815"/>
        <w:gridCol w:w="1854"/>
      </w:tblGrid>
      <w:tr>
        <w:trPr>
          <w:tblHeader w:val="true"/>
        </w:trPr>
        <w:tc>
          <w:tcPr>
            <w:tcW w:w="9789" w:type="dxa"/>
            <w:gridSpan w:val="7"/>
            <w:tcBorders>
              <w:top w:val="single" w:sz="4" w:space="0" w:color="000000"/>
              <w:left w:val="single" w:sz="4" w:space="0" w:color="000000"/>
              <w:bottom w:val="single" w:sz="4" w:space="0" w:color="000000"/>
              <w:right w:val="single" w:sz="4" w:space="0" w:color="000000"/>
            </w:tcBorders>
            <w:shd w:fill="DDDDDD" w:val="clear"/>
            <w:vAlign w:val="center"/>
          </w:tcPr>
          <w:p>
            <w:pPr>
              <w:pStyle w:val="Contedodatabela"/>
              <w:jc w:val="center"/>
              <w:rPr>
                <w:sz w:val="18"/>
                <w:szCs w:val="18"/>
              </w:rPr>
            </w:pPr>
            <w:r>
              <w:rPr>
                <w:rFonts w:ascii="Arial" w:hAnsi="Arial"/>
                <w:b/>
                <w:bCs/>
                <w:sz w:val="18"/>
                <w:szCs w:val="18"/>
              </w:rPr>
              <w:t>LOTE 2 - OVOS</w:t>
            </w:r>
          </w:p>
        </w:tc>
      </w:tr>
      <w:tr>
        <w:trPr>
          <w:tblHeader w:val="true"/>
        </w:trPr>
        <w:tc>
          <w:tcPr>
            <w:tcW w:w="630" w:type="dxa"/>
            <w:tcBorders>
              <w:top w:val="single" w:sz="4" w:space="0" w:color="000000"/>
              <w:left w:val="single" w:sz="4" w:space="0" w:color="000000"/>
              <w:bottom w:val="single" w:sz="4" w:space="0" w:color="000000"/>
            </w:tcBorders>
            <w:shd w:fill="DDDDDD" w:val="clear"/>
            <w:vAlign w:val="center"/>
          </w:tcPr>
          <w:p>
            <w:pPr>
              <w:pStyle w:val="Contedodatabela"/>
              <w:spacing w:lineRule="auto" w:line="240"/>
              <w:jc w:val="center"/>
              <w:rPr>
                <w:sz w:val="18"/>
                <w:szCs w:val="18"/>
              </w:rPr>
            </w:pPr>
            <w:r>
              <w:rPr>
                <w:rFonts w:ascii="Arial" w:hAnsi="Arial"/>
                <w:b/>
                <w:bCs/>
                <w:i w:val="false"/>
                <w:iCs w:val="false"/>
                <w:strike w:val="false"/>
                <w:dstrike w:val="false"/>
                <w:outline w:val="false"/>
                <w:shadow w:val="false"/>
                <w:color w:val="000000"/>
                <w:sz w:val="18"/>
                <w:szCs w:val="18"/>
                <w:u w:val="none"/>
              </w:rPr>
              <w:t>ITEM</w:t>
            </w:r>
          </w:p>
        </w:tc>
        <w:tc>
          <w:tcPr>
            <w:tcW w:w="570" w:type="dxa"/>
            <w:tcBorders>
              <w:top w:val="single" w:sz="4" w:space="0" w:color="000000"/>
              <w:left w:val="single" w:sz="4" w:space="0" w:color="000000"/>
              <w:bottom w:val="single" w:sz="4" w:space="0" w:color="000000"/>
            </w:tcBorders>
            <w:shd w:fill="DDDDDD" w:val="clear"/>
            <w:vAlign w:val="center"/>
          </w:tcPr>
          <w:p>
            <w:pPr>
              <w:pStyle w:val="Contedodatabela"/>
              <w:spacing w:lineRule="auto" w:line="240"/>
              <w:jc w:val="center"/>
              <w:rPr>
                <w:sz w:val="18"/>
                <w:szCs w:val="18"/>
              </w:rPr>
            </w:pPr>
            <w:r>
              <w:rPr>
                <w:rFonts w:ascii="Arial" w:hAnsi="Arial"/>
                <w:b/>
                <w:bCs/>
                <w:i w:val="false"/>
                <w:iCs w:val="false"/>
                <w:strike w:val="false"/>
                <w:dstrike w:val="false"/>
                <w:outline w:val="false"/>
                <w:shadow w:val="false"/>
                <w:color w:val="000000"/>
                <w:sz w:val="18"/>
                <w:szCs w:val="18"/>
                <w:u w:val="none"/>
              </w:rPr>
              <w:t>QTD</w:t>
            </w:r>
          </w:p>
        </w:tc>
        <w:tc>
          <w:tcPr>
            <w:tcW w:w="555" w:type="dxa"/>
            <w:tcBorders>
              <w:top w:val="single" w:sz="4" w:space="0" w:color="000000"/>
              <w:left w:val="single" w:sz="4" w:space="0" w:color="000000"/>
              <w:bottom w:val="single" w:sz="4" w:space="0" w:color="000000"/>
            </w:tcBorders>
            <w:shd w:fill="DDDDDD" w:val="clear"/>
            <w:vAlign w:val="center"/>
          </w:tcPr>
          <w:p>
            <w:pPr>
              <w:pStyle w:val="Contedodatabela"/>
              <w:spacing w:lineRule="auto" w:line="240"/>
              <w:jc w:val="center"/>
              <w:rPr>
                <w:sz w:val="18"/>
                <w:szCs w:val="18"/>
              </w:rPr>
            </w:pPr>
            <w:r>
              <w:rPr>
                <w:rFonts w:ascii="Arial" w:hAnsi="Arial"/>
                <w:b/>
                <w:bCs/>
                <w:i w:val="false"/>
                <w:iCs w:val="false"/>
                <w:strike w:val="false"/>
                <w:dstrike w:val="false"/>
                <w:outline w:val="false"/>
                <w:shadow w:val="false"/>
                <w:color w:val="000000"/>
                <w:sz w:val="18"/>
                <w:szCs w:val="18"/>
                <w:u w:val="none"/>
              </w:rPr>
              <w:t>UN</w:t>
            </w:r>
          </w:p>
        </w:tc>
        <w:tc>
          <w:tcPr>
            <w:tcW w:w="2835" w:type="dxa"/>
            <w:tcBorders>
              <w:top w:val="single" w:sz="4" w:space="0" w:color="000000"/>
              <w:left w:val="single" w:sz="4" w:space="0" w:color="000000"/>
              <w:bottom w:val="single" w:sz="4" w:space="0" w:color="000000"/>
            </w:tcBorders>
            <w:shd w:fill="DDDDDD" w:val="clear"/>
          </w:tcPr>
          <w:p>
            <w:pPr>
              <w:pStyle w:val="Contedodatabela"/>
              <w:spacing w:lineRule="auto" w:line="240"/>
              <w:jc w:val="center"/>
              <w:rPr>
                <w:sz w:val="18"/>
                <w:szCs w:val="18"/>
              </w:rPr>
            </w:pPr>
            <w:r>
              <w:rPr>
                <w:rFonts w:ascii="Arial" w:hAnsi="Arial"/>
                <w:b/>
                <w:bCs/>
                <w:i w:val="false"/>
                <w:iCs w:val="false"/>
                <w:strike w:val="false"/>
                <w:dstrike w:val="false"/>
                <w:outline w:val="false"/>
                <w:shadow w:val="false"/>
                <w:color w:val="000000"/>
                <w:sz w:val="18"/>
                <w:szCs w:val="18"/>
                <w:u w:val="none"/>
              </w:rPr>
              <w:t>DESCRIÇÃO</w:t>
            </w:r>
          </w:p>
        </w:tc>
        <w:tc>
          <w:tcPr>
            <w:tcW w:w="1530" w:type="dxa"/>
            <w:tcBorders>
              <w:top w:val="single" w:sz="4" w:space="0" w:color="000000"/>
              <w:left w:val="single" w:sz="4" w:space="0" w:color="000000"/>
              <w:bottom w:val="single" w:sz="4" w:space="0" w:color="000000"/>
            </w:tcBorders>
            <w:shd w:fill="DDDDDD" w:val="clear"/>
          </w:tcPr>
          <w:p>
            <w:pPr>
              <w:pStyle w:val="Contedodatabela"/>
              <w:spacing w:lineRule="auto" w:line="240"/>
              <w:jc w:val="center"/>
              <w:rPr>
                <w:rFonts w:ascii="Arial" w:hAnsi="Arial" w:eastAsia="Arial MT" w:cs="Arial MT"/>
                <w:b/>
                <w:bCs/>
                <w:i w:val="false"/>
                <w:i w:val="false"/>
                <w:iCs w:val="false"/>
                <w:strike w:val="false"/>
                <w:dstrike w:val="false"/>
                <w:outline w:val="false"/>
                <w:shadow w:val="false"/>
                <w:color w:val="000000"/>
                <w:kern w:val="0"/>
                <w:sz w:val="18"/>
                <w:szCs w:val="18"/>
                <w:u w:val="none"/>
                <w:lang w:val="pt-PT" w:eastAsia="en-US" w:bidi="ar-SA"/>
              </w:rPr>
            </w:pP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MARCA</w:t>
            </w:r>
          </w:p>
        </w:tc>
        <w:tc>
          <w:tcPr>
            <w:tcW w:w="1815" w:type="dxa"/>
            <w:tcBorders>
              <w:top w:val="single" w:sz="4" w:space="0" w:color="000000"/>
              <w:left w:val="single" w:sz="4" w:space="0" w:color="000000"/>
              <w:bottom w:val="single" w:sz="4" w:space="0" w:color="000000"/>
            </w:tcBorders>
            <w:shd w:fill="DDDDDD" w:val="clear"/>
          </w:tcPr>
          <w:p>
            <w:pPr>
              <w:pStyle w:val="Contedodatabela"/>
              <w:spacing w:lineRule="auto" w:line="240"/>
              <w:jc w:val="center"/>
              <w:rPr>
                <w:rFonts w:ascii="Arial" w:hAnsi="Arial" w:eastAsia="Arial MT" w:cs="Arial MT"/>
                <w:b/>
                <w:bCs/>
                <w:i w:val="false"/>
                <w:i w:val="false"/>
                <w:iCs w:val="false"/>
                <w:strike w:val="false"/>
                <w:dstrike w:val="false"/>
                <w:outline w:val="false"/>
                <w:shadow w:val="false"/>
                <w:color w:val="000000"/>
                <w:kern w:val="0"/>
                <w:sz w:val="18"/>
                <w:szCs w:val="18"/>
                <w:u w:val="none"/>
                <w:lang w:val="pt-PT" w:eastAsia="en-US" w:bidi="ar-SA"/>
              </w:rPr>
            </w:pP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VALOR UNITÁRIO (R$)</w:t>
            </w:r>
          </w:p>
        </w:tc>
        <w:tc>
          <w:tcPr>
            <w:tcW w:w="1854" w:type="dxa"/>
            <w:tcBorders>
              <w:top w:val="single" w:sz="4" w:space="0" w:color="000000"/>
              <w:left w:val="single" w:sz="4" w:space="0" w:color="000000"/>
              <w:bottom w:val="single" w:sz="4" w:space="0" w:color="000000"/>
              <w:right w:val="single" w:sz="4" w:space="0" w:color="000000"/>
            </w:tcBorders>
            <w:shd w:fill="DDDDDD" w:val="clear"/>
          </w:tcPr>
          <w:p>
            <w:pPr>
              <w:pStyle w:val="Contedodatabela"/>
              <w:spacing w:lineRule="auto" w:line="240"/>
              <w:jc w:val="center"/>
              <w:rPr>
                <w:rFonts w:ascii="Arial" w:hAnsi="Arial" w:eastAsia="Arial MT" w:cs="Arial MT"/>
                <w:b/>
                <w:bCs/>
                <w:i w:val="false"/>
                <w:i w:val="false"/>
                <w:iCs w:val="false"/>
                <w:strike w:val="false"/>
                <w:dstrike w:val="false"/>
                <w:outline w:val="false"/>
                <w:shadow w:val="false"/>
                <w:color w:val="000000"/>
                <w:kern w:val="0"/>
                <w:sz w:val="18"/>
                <w:szCs w:val="18"/>
                <w:u w:val="none"/>
                <w:lang w:val="pt-PT" w:eastAsia="en-US" w:bidi="ar-SA"/>
              </w:rPr>
            </w:pP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 xml:space="preserve">VALOR </w:t>
            </w: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TOT</w:t>
            </w: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AL (R$)</w:t>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1</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60</w:t>
            </w:r>
          </w:p>
        </w:tc>
        <w:tc>
          <w:tcPr>
            <w:tcW w:w="555"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D</w:t>
            </w:r>
            <w:r>
              <w:rPr>
                <w:rFonts w:ascii="Arial" w:hAnsi="Arial"/>
                <w:b w:val="false"/>
                <w:bCs w:val="false"/>
                <w:i w:val="false"/>
                <w:iCs w:val="false"/>
                <w:strike w:val="false"/>
                <w:dstrike w:val="false"/>
                <w:outline w:val="false"/>
                <w:shadow w:val="false"/>
                <w:color w:val="000000"/>
                <w:sz w:val="18"/>
                <w:szCs w:val="18"/>
                <w:u w:val="none"/>
              </w:rPr>
              <w:t>Z</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Ovos brancos extra</w:t>
            </w:r>
            <w:r>
              <w:rPr>
                <w:rFonts w:ascii="Arial" w:hAnsi="Arial"/>
                <w:b w:val="false"/>
                <w:bCs w:val="false"/>
                <w:i w:val="false"/>
                <w:iCs w:val="false"/>
                <w:strike w:val="false"/>
                <w:dstrike w:val="false"/>
                <w:outline w:val="false"/>
                <w:shadow w:val="false"/>
                <w:color w:val="000000"/>
                <w:sz w:val="18"/>
                <w:szCs w:val="18"/>
                <w:u w:val="none"/>
              </w:rPr>
              <w:t xml:space="preserve">. Ovos com peso unitário mínimo de 58 gramas, manipulados em boas condições higiênicas e provenientes de animais sadios, estando isentos de sujidades, trincos e quebraduras na casca, não devendo exalar odores incompatíveis com o produto. Embalados primariamente em embalagem atóxica própria para o alimento (tampa e base em papelão ou isopor) na </w:t>
            </w:r>
            <w:r>
              <w:rPr>
                <w:rFonts w:ascii="Arial" w:hAnsi="Arial"/>
                <w:b/>
                <w:bCs/>
                <w:i w:val="false"/>
                <w:iCs w:val="false"/>
                <w:strike w:val="false"/>
                <w:dstrike w:val="false"/>
                <w:outline w:val="false"/>
                <w:shadow w:val="false"/>
                <w:color w:val="000000"/>
                <w:sz w:val="18"/>
                <w:szCs w:val="18"/>
                <w:u w:val="none"/>
              </w:rPr>
              <w:t>quantidade de 1 dúzia</w:t>
            </w:r>
            <w:r>
              <w:rPr>
                <w:rFonts w:ascii="Arial" w:hAnsi="Arial"/>
                <w:b w:val="false"/>
                <w:bCs w:val="false"/>
                <w:i w:val="false"/>
                <w:iCs w:val="false"/>
                <w:strike w:val="false"/>
                <w:dstrike w:val="false"/>
                <w:outline w:val="false"/>
                <w:shadow w:val="false"/>
                <w:color w:val="000000"/>
                <w:sz w:val="18"/>
                <w:szCs w:val="18"/>
                <w:u w:val="none"/>
              </w:rPr>
              <w:t>. Conter etiqueta de identificação, procedência e prazo máximo de consumo (validade), além da obrigatoriedade do selo de inspeção (SIF ou SISP ou SIM) e data de validade do produto.</w:t>
            </w:r>
          </w:p>
        </w:tc>
        <w:tc>
          <w:tcPr>
            <w:tcW w:w="153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81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854"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120" w:type="dxa"/>
            <w:gridSpan w:val="5"/>
            <w:tcBorders>
              <w:left w:val="single" w:sz="4" w:space="0" w:color="000000"/>
              <w:bottom w:val="single" w:sz="4" w:space="0" w:color="000000"/>
            </w:tcBorders>
            <w:vAlign w:val="center"/>
          </w:tcPr>
          <w:p>
            <w:pPr>
              <w:pStyle w:val="Contedodatabela"/>
              <w:jc w:val="center"/>
              <w:rPr>
                <w:sz w:val="18"/>
                <w:szCs w:val="18"/>
              </w:rPr>
            </w:pPr>
            <w:r>
              <w:rPr>
                <w:rFonts w:ascii="Arial" w:hAnsi="Arial"/>
                <w:b/>
                <w:bCs/>
                <w:sz w:val="18"/>
                <w:szCs w:val="18"/>
              </w:rPr>
              <w:t>VALOR TOTAL DO LOTE 2 (R$)</w:t>
            </w:r>
          </w:p>
        </w:tc>
        <w:tc>
          <w:tcPr>
            <w:tcW w:w="181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854"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bl>
    <w:p>
      <w:pPr>
        <w:pStyle w:val="Normal"/>
        <w:jc w:val="both"/>
        <w:rPr>
          <w:rFonts w:ascii="Arial" w:hAnsi="Arial" w:eastAsia="Times New Roman" w:cs="Arial"/>
          <w:color w:val="00000A"/>
          <w:sz w:val="22"/>
          <w:szCs w:val="22"/>
          <w:shd w:fill="FFFFFF" w:val="clear"/>
          <w:lang w:val="pt-BR" w:eastAsia="zh-CN" w:bidi="ar-SA"/>
        </w:rPr>
      </w:pPr>
      <w:r>
        <w:rPr>
          <w:rFonts w:eastAsia="Times New Roman" w:cs="Arial" w:ascii="Arial" w:hAnsi="Arial"/>
          <w:color w:val="00000A"/>
          <w:sz w:val="22"/>
          <w:szCs w:val="22"/>
          <w:shd w:fill="FFFFFF" w:val="clear"/>
          <w:lang w:val="pt-BR" w:eastAsia="zh-CN" w:bidi="ar-SA"/>
        </w:rPr>
      </w:r>
    </w:p>
    <w:p>
      <w:pPr>
        <w:pStyle w:val="Normal"/>
        <w:jc w:val="both"/>
        <w:rPr>
          <w:rFonts w:ascii="Arial" w:hAnsi="Arial" w:eastAsia="Times New Roman" w:cs="Arial"/>
          <w:color w:val="00000A"/>
          <w:sz w:val="22"/>
          <w:szCs w:val="22"/>
          <w:shd w:fill="FFFFFF" w:val="clear"/>
          <w:lang w:val="pt-BR" w:eastAsia="zh-CN" w:bidi="ar-SA"/>
        </w:rPr>
      </w:pPr>
      <w:r>
        <w:rPr>
          <w:rFonts w:eastAsia="Times New Roman" w:cs="Arial" w:ascii="Arial" w:hAnsi="Arial"/>
          <w:color w:val="00000A"/>
          <w:sz w:val="22"/>
          <w:szCs w:val="22"/>
          <w:shd w:fill="FFFFFF" w:val="clear"/>
          <w:lang w:val="pt-BR" w:eastAsia="zh-CN" w:bidi="ar-SA"/>
        </w:rPr>
      </w:r>
    </w:p>
    <w:tbl>
      <w:tblPr>
        <w:tblW w:w="9810" w:type="dxa"/>
        <w:jc w:val="left"/>
        <w:tblInd w:w="-465" w:type="dxa"/>
        <w:tblLayout w:type="fixed"/>
        <w:tblCellMar>
          <w:top w:w="55" w:type="dxa"/>
          <w:left w:w="55" w:type="dxa"/>
          <w:bottom w:w="55" w:type="dxa"/>
          <w:right w:w="55" w:type="dxa"/>
        </w:tblCellMar>
      </w:tblPr>
      <w:tblGrid>
        <w:gridCol w:w="630"/>
        <w:gridCol w:w="570"/>
        <w:gridCol w:w="510"/>
        <w:gridCol w:w="2835"/>
        <w:gridCol w:w="1575"/>
        <w:gridCol w:w="1770"/>
        <w:gridCol w:w="1919"/>
      </w:tblGrid>
      <w:tr>
        <w:trPr>
          <w:tblHeader w:val="true"/>
        </w:trPr>
        <w:tc>
          <w:tcPr>
            <w:tcW w:w="9809" w:type="dxa"/>
            <w:gridSpan w:val="7"/>
            <w:tcBorders>
              <w:top w:val="single" w:sz="4" w:space="0" w:color="000000"/>
              <w:left w:val="single" w:sz="4" w:space="0" w:color="000000"/>
              <w:bottom w:val="single" w:sz="4" w:space="0" w:color="000000"/>
              <w:right w:val="single" w:sz="4" w:space="0" w:color="000000"/>
            </w:tcBorders>
            <w:shd w:fill="DDDDDD" w:val="clear"/>
            <w:vAlign w:val="center"/>
          </w:tcPr>
          <w:p>
            <w:pPr>
              <w:pStyle w:val="Contedodatabela"/>
              <w:jc w:val="center"/>
              <w:rPr>
                <w:sz w:val="18"/>
                <w:szCs w:val="18"/>
              </w:rPr>
            </w:pPr>
            <w:r>
              <w:rPr>
                <w:rFonts w:ascii="Arial" w:hAnsi="Arial"/>
                <w:b/>
                <w:bCs/>
                <w:color w:val="000000"/>
                <w:sz w:val="18"/>
                <w:szCs w:val="18"/>
              </w:rPr>
              <w:t>LOTE 3 – GÊNEROS ALIMENTÍCIOS</w:t>
            </w:r>
          </w:p>
        </w:tc>
      </w:tr>
      <w:tr>
        <w:trPr>
          <w:tblHeader w:val="true"/>
        </w:trPr>
        <w:tc>
          <w:tcPr>
            <w:tcW w:w="630" w:type="dxa"/>
            <w:tcBorders>
              <w:top w:val="single" w:sz="4" w:space="0" w:color="000000"/>
              <w:left w:val="single" w:sz="4" w:space="0" w:color="000000"/>
              <w:bottom w:val="single" w:sz="4" w:space="0" w:color="000000"/>
            </w:tcBorders>
            <w:shd w:fill="DDDDDD" w:val="clear"/>
            <w:vAlign w:val="center"/>
          </w:tcPr>
          <w:p>
            <w:pPr>
              <w:pStyle w:val="Contedodatabela"/>
              <w:spacing w:lineRule="auto" w:line="240"/>
              <w:jc w:val="center"/>
              <w:rPr>
                <w:sz w:val="18"/>
                <w:szCs w:val="18"/>
              </w:rPr>
            </w:pPr>
            <w:r>
              <w:rPr>
                <w:rFonts w:ascii="Arial" w:hAnsi="Arial"/>
                <w:b/>
                <w:bCs/>
                <w:i w:val="false"/>
                <w:iCs w:val="false"/>
                <w:strike w:val="false"/>
                <w:dstrike w:val="false"/>
                <w:outline w:val="false"/>
                <w:shadow w:val="false"/>
                <w:color w:val="000000"/>
                <w:sz w:val="18"/>
                <w:szCs w:val="18"/>
                <w:u w:val="none"/>
              </w:rPr>
              <w:t>ITEM</w:t>
            </w:r>
          </w:p>
        </w:tc>
        <w:tc>
          <w:tcPr>
            <w:tcW w:w="570" w:type="dxa"/>
            <w:tcBorders>
              <w:top w:val="single" w:sz="4" w:space="0" w:color="000000"/>
              <w:left w:val="single" w:sz="4" w:space="0" w:color="000000"/>
              <w:bottom w:val="single" w:sz="4" w:space="0" w:color="000000"/>
            </w:tcBorders>
            <w:shd w:fill="DDDDDD" w:val="clear"/>
            <w:vAlign w:val="center"/>
          </w:tcPr>
          <w:p>
            <w:pPr>
              <w:pStyle w:val="Contedodatabela"/>
              <w:spacing w:lineRule="auto" w:line="240"/>
              <w:jc w:val="center"/>
              <w:rPr>
                <w:sz w:val="18"/>
                <w:szCs w:val="18"/>
              </w:rPr>
            </w:pPr>
            <w:r>
              <w:rPr>
                <w:rFonts w:ascii="Arial" w:hAnsi="Arial"/>
                <w:b/>
                <w:bCs/>
                <w:i w:val="false"/>
                <w:iCs w:val="false"/>
                <w:strike w:val="false"/>
                <w:dstrike w:val="false"/>
                <w:outline w:val="false"/>
                <w:shadow w:val="false"/>
                <w:color w:val="000000"/>
                <w:sz w:val="18"/>
                <w:szCs w:val="18"/>
                <w:u w:val="none"/>
              </w:rPr>
              <w:t>QTD</w:t>
            </w:r>
          </w:p>
        </w:tc>
        <w:tc>
          <w:tcPr>
            <w:tcW w:w="510" w:type="dxa"/>
            <w:tcBorders>
              <w:top w:val="single" w:sz="4" w:space="0" w:color="000000"/>
              <w:left w:val="single" w:sz="4" w:space="0" w:color="000000"/>
              <w:bottom w:val="single" w:sz="4" w:space="0" w:color="000000"/>
            </w:tcBorders>
            <w:shd w:fill="DDDDDD" w:val="clear"/>
            <w:vAlign w:val="center"/>
          </w:tcPr>
          <w:p>
            <w:pPr>
              <w:pStyle w:val="Contedodatabela"/>
              <w:spacing w:lineRule="auto" w:line="240"/>
              <w:jc w:val="center"/>
              <w:rPr>
                <w:sz w:val="18"/>
                <w:szCs w:val="18"/>
              </w:rPr>
            </w:pPr>
            <w:r>
              <w:rPr>
                <w:rFonts w:ascii="Arial" w:hAnsi="Arial"/>
                <w:b/>
                <w:bCs/>
                <w:i w:val="false"/>
                <w:iCs w:val="false"/>
                <w:strike w:val="false"/>
                <w:dstrike w:val="false"/>
                <w:outline w:val="false"/>
                <w:shadow w:val="false"/>
                <w:color w:val="000000"/>
                <w:sz w:val="18"/>
                <w:szCs w:val="18"/>
                <w:u w:val="none"/>
              </w:rPr>
              <w:t>UN</w:t>
            </w:r>
          </w:p>
        </w:tc>
        <w:tc>
          <w:tcPr>
            <w:tcW w:w="2835" w:type="dxa"/>
            <w:tcBorders>
              <w:top w:val="single" w:sz="4" w:space="0" w:color="000000"/>
              <w:left w:val="single" w:sz="4" w:space="0" w:color="000000"/>
              <w:bottom w:val="single" w:sz="4" w:space="0" w:color="000000"/>
            </w:tcBorders>
            <w:shd w:fill="DDDDDD" w:val="clear"/>
          </w:tcPr>
          <w:p>
            <w:pPr>
              <w:pStyle w:val="Contedodatabela"/>
              <w:spacing w:lineRule="auto" w:line="240"/>
              <w:jc w:val="center"/>
              <w:rPr>
                <w:sz w:val="18"/>
                <w:szCs w:val="18"/>
              </w:rPr>
            </w:pPr>
            <w:r>
              <w:rPr>
                <w:rFonts w:ascii="Arial" w:hAnsi="Arial"/>
                <w:b/>
                <w:bCs/>
                <w:i w:val="false"/>
                <w:iCs w:val="false"/>
                <w:strike w:val="false"/>
                <w:dstrike w:val="false"/>
                <w:outline w:val="false"/>
                <w:shadow w:val="false"/>
                <w:color w:val="000000"/>
                <w:sz w:val="18"/>
                <w:szCs w:val="18"/>
                <w:u w:val="none"/>
              </w:rPr>
              <w:t>DESCRIÇÃO</w:t>
            </w:r>
          </w:p>
        </w:tc>
        <w:tc>
          <w:tcPr>
            <w:tcW w:w="1575" w:type="dxa"/>
            <w:tcBorders>
              <w:top w:val="single" w:sz="4" w:space="0" w:color="000000"/>
              <w:left w:val="single" w:sz="4" w:space="0" w:color="000000"/>
              <w:bottom w:val="single" w:sz="4" w:space="0" w:color="000000"/>
            </w:tcBorders>
            <w:shd w:fill="DDDDDD" w:val="clear"/>
          </w:tcPr>
          <w:p>
            <w:pPr>
              <w:pStyle w:val="Contedodatabela"/>
              <w:spacing w:lineRule="auto" w:line="240"/>
              <w:jc w:val="center"/>
              <w:rPr>
                <w:rFonts w:ascii="Arial" w:hAnsi="Arial" w:eastAsia="Arial MT" w:cs="Arial MT"/>
                <w:b/>
                <w:bCs/>
                <w:i w:val="false"/>
                <w:i w:val="false"/>
                <w:iCs w:val="false"/>
                <w:strike w:val="false"/>
                <w:dstrike w:val="false"/>
                <w:outline w:val="false"/>
                <w:shadow w:val="false"/>
                <w:color w:val="000000"/>
                <w:kern w:val="0"/>
                <w:sz w:val="18"/>
                <w:szCs w:val="18"/>
                <w:u w:val="none"/>
                <w:lang w:val="pt-PT" w:eastAsia="en-US" w:bidi="ar-SA"/>
              </w:rPr>
            </w:pP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MARCA</w:t>
            </w:r>
          </w:p>
        </w:tc>
        <w:tc>
          <w:tcPr>
            <w:tcW w:w="1770" w:type="dxa"/>
            <w:tcBorders>
              <w:top w:val="single" w:sz="4" w:space="0" w:color="000000"/>
              <w:left w:val="single" w:sz="4" w:space="0" w:color="000000"/>
              <w:bottom w:val="single" w:sz="4" w:space="0" w:color="000000"/>
            </w:tcBorders>
            <w:shd w:fill="DDDDDD" w:val="clear"/>
          </w:tcPr>
          <w:p>
            <w:pPr>
              <w:pStyle w:val="Contedodatabela"/>
              <w:spacing w:lineRule="auto" w:line="240"/>
              <w:jc w:val="center"/>
              <w:rPr>
                <w:rFonts w:ascii="Arial" w:hAnsi="Arial" w:eastAsia="Arial MT" w:cs="Arial MT"/>
                <w:b/>
                <w:bCs/>
                <w:i w:val="false"/>
                <w:i w:val="false"/>
                <w:iCs w:val="false"/>
                <w:strike w:val="false"/>
                <w:dstrike w:val="false"/>
                <w:outline w:val="false"/>
                <w:shadow w:val="false"/>
                <w:color w:val="000000"/>
                <w:kern w:val="0"/>
                <w:sz w:val="18"/>
                <w:szCs w:val="18"/>
                <w:u w:val="none"/>
                <w:lang w:val="pt-PT" w:eastAsia="en-US" w:bidi="ar-SA"/>
              </w:rPr>
            </w:pP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VALOR UNITÁRIO (R$)</w:t>
            </w:r>
          </w:p>
        </w:tc>
        <w:tc>
          <w:tcPr>
            <w:tcW w:w="1919" w:type="dxa"/>
            <w:tcBorders>
              <w:top w:val="single" w:sz="4" w:space="0" w:color="000000"/>
              <w:left w:val="single" w:sz="4" w:space="0" w:color="000000"/>
              <w:bottom w:val="single" w:sz="4" w:space="0" w:color="000000"/>
              <w:right w:val="single" w:sz="4" w:space="0" w:color="000000"/>
            </w:tcBorders>
            <w:shd w:fill="DDDDDD" w:val="clear"/>
          </w:tcPr>
          <w:p>
            <w:pPr>
              <w:pStyle w:val="Contedodatabela"/>
              <w:spacing w:lineRule="auto" w:line="240"/>
              <w:jc w:val="center"/>
              <w:rPr>
                <w:rFonts w:ascii="Arial" w:hAnsi="Arial" w:eastAsia="Arial MT" w:cs="Arial MT"/>
                <w:b/>
                <w:bCs/>
                <w:i w:val="false"/>
                <w:i w:val="false"/>
                <w:iCs w:val="false"/>
                <w:strike w:val="false"/>
                <w:dstrike w:val="false"/>
                <w:outline w:val="false"/>
                <w:shadow w:val="false"/>
                <w:color w:val="000000"/>
                <w:kern w:val="0"/>
                <w:sz w:val="18"/>
                <w:szCs w:val="18"/>
                <w:u w:val="none"/>
                <w:lang w:val="pt-PT" w:eastAsia="en-US" w:bidi="ar-SA"/>
              </w:rPr>
            </w:pP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 xml:space="preserve">VALOR </w:t>
            </w: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TOT</w:t>
            </w: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AL (R$)</w:t>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1</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30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P</w:t>
            </w:r>
            <w:r>
              <w:rPr>
                <w:rFonts w:ascii="Arial" w:hAnsi="Arial"/>
                <w:b w:val="false"/>
                <w:bCs w:val="false"/>
                <w:i w:val="false"/>
                <w:iCs w:val="false"/>
                <w:strike w:val="false"/>
                <w:dstrike w:val="false"/>
                <w:outline w:val="false"/>
                <w:shadow w:val="false"/>
                <w:color w:val="000000"/>
                <w:sz w:val="18"/>
                <w:szCs w:val="18"/>
                <w:u w:val="none"/>
              </w:rPr>
              <w:t>T</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Queijo parmesão ralado</w:t>
            </w:r>
            <w:r>
              <w:rPr>
                <w:rFonts w:ascii="Arial" w:hAnsi="Arial"/>
                <w:b w:val="false"/>
                <w:bCs w:val="false"/>
                <w:i w:val="false"/>
                <w:iCs w:val="false"/>
                <w:strike w:val="false"/>
                <w:dstrike w:val="false"/>
                <w:outline w:val="false"/>
                <w:shadow w:val="false"/>
                <w:color w:val="000000"/>
                <w:sz w:val="18"/>
                <w:szCs w:val="18"/>
                <w:u w:val="none"/>
              </w:rPr>
              <w:t>, curado e de sabor forte e característico. Embalagem com no mínimo 50g. Produto de boa qualidade, com aroma e sabor intensos, ideal para finalização de massas, risotos e saladas.</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2</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20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P</w:t>
            </w:r>
            <w:r>
              <w:rPr>
                <w:rFonts w:ascii="Arial" w:hAnsi="Arial"/>
                <w:b w:val="false"/>
                <w:bCs w:val="false"/>
                <w:i w:val="false"/>
                <w:iCs w:val="false"/>
                <w:strike w:val="false"/>
                <w:dstrike w:val="false"/>
                <w:outline w:val="false"/>
                <w:shadow w:val="false"/>
                <w:color w:val="000000"/>
                <w:sz w:val="18"/>
                <w:szCs w:val="18"/>
                <w:u w:val="none"/>
              </w:rPr>
              <w:t>T</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Bolacha recheada nos sabores chocolate ou morango.</w:t>
            </w:r>
            <w:r>
              <w:rPr>
                <w:rFonts w:ascii="Arial" w:hAnsi="Arial"/>
                <w:b w:val="false"/>
                <w:bCs w:val="false"/>
                <w:i w:val="false"/>
                <w:iCs w:val="false"/>
                <w:strike w:val="false"/>
                <w:dstrike w:val="false"/>
                <w:outline w:val="false"/>
                <w:shadow w:val="false"/>
                <w:color w:val="000000"/>
                <w:sz w:val="18"/>
                <w:szCs w:val="18"/>
                <w:u w:val="none"/>
              </w:rPr>
              <w:t xml:space="preserve"> Embalagem contendo no mínimo 120g.</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3</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P</w:t>
            </w:r>
            <w:r>
              <w:rPr>
                <w:rFonts w:ascii="Arial" w:hAnsi="Arial"/>
                <w:b w:val="false"/>
                <w:bCs w:val="false"/>
                <w:i w:val="false"/>
                <w:iCs w:val="false"/>
                <w:strike w:val="false"/>
                <w:dstrike w:val="false"/>
                <w:outline w:val="false"/>
                <w:shadow w:val="false"/>
                <w:color w:val="000000"/>
                <w:sz w:val="18"/>
                <w:szCs w:val="18"/>
                <w:u w:val="none"/>
              </w:rPr>
              <w:t>T</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Farinha de trigo</w:t>
            </w:r>
            <w:r>
              <w:rPr>
                <w:rFonts w:ascii="Arial" w:hAnsi="Arial"/>
                <w:b w:val="false"/>
                <w:bCs w:val="false"/>
                <w:i w:val="false"/>
                <w:iCs w:val="false"/>
                <w:strike w:val="false"/>
                <w:dstrike w:val="false"/>
                <w:outline w:val="false"/>
                <w:shadow w:val="false"/>
                <w:color w:val="000000"/>
                <w:sz w:val="18"/>
                <w:szCs w:val="18"/>
                <w:u w:val="none"/>
              </w:rPr>
              <w:t xml:space="preserve">, especial, de 1ª qualidade. Embalagem contendo </w:t>
            </w:r>
            <w:r>
              <w:rPr>
                <w:rFonts w:ascii="Arial" w:hAnsi="Arial"/>
                <w:b/>
                <w:bCs/>
                <w:i w:val="false"/>
                <w:iCs w:val="false"/>
                <w:strike w:val="false"/>
                <w:dstrike w:val="false"/>
                <w:outline w:val="false"/>
                <w:shadow w:val="false"/>
                <w:color w:val="000000"/>
                <w:sz w:val="18"/>
                <w:szCs w:val="18"/>
                <w:u w:val="none"/>
              </w:rPr>
              <w:t>1kg</w:t>
            </w:r>
            <w:r>
              <w:rPr>
                <w:rFonts w:ascii="Arial" w:hAnsi="Arial"/>
                <w:b w:val="false"/>
                <w:bCs w:val="false"/>
                <w:i w:val="false"/>
                <w:iCs w:val="false"/>
                <w:strike w:val="false"/>
                <w:dstrike w:val="false"/>
                <w:outline w:val="false"/>
                <w:shadow w:val="false"/>
                <w:color w:val="000000"/>
                <w:sz w:val="18"/>
                <w:szCs w:val="18"/>
                <w:u w:val="none"/>
              </w:rPr>
              <w:t>. Embalagem íntegra. O produto deverá apresentar validade mínima de 6 meses da entrega.</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4</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60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P</w:t>
            </w:r>
            <w:r>
              <w:rPr>
                <w:rFonts w:ascii="Arial" w:hAnsi="Arial"/>
                <w:b w:val="false"/>
                <w:bCs w:val="false"/>
                <w:i w:val="false"/>
                <w:iCs w:val="false"/>
                <w:strike w:val="false"/>
                <w:dstrike w:val="false"/>
                <w:outline w:val="false"/>
                <w:shadow w:val="false"/>
                <w:color w:val="000000"/>
                <w:sz w:val="18"/>
                <w:szCs w:val="18"/>
                <w:u w:val="none"/>
              </w:rPr>
              <w:t>T</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Arroz</w:t>
            </w:r>
            <w:r>
              <w:rPr>
                <w:rFonts w:ascii="Arial" w:hAnsi="Arial"/>
                <w:b w:val="false"/>
                <w:bCs w:val="false"/>
                <w:i w:val="false"/>
                <w:iCs w:val="false"/>
                <w:strike w:val="false"/>
                <w:dstrike w:val="false"/>
                <w:outline w:val="false"/>
                <w:shadow w:val="false"/>
                <w:color w:val="000000"/>
                <w:sz w:val="18"/>
                <w:szCs w:val="18"/>
                <w:u w:val="none"/>
              </w:rPr>
              <w:t>. Beneficiado Tipo: Agulhinha/Branco, Subgrupo: Polido, Classe: Longo Fino, Qualidade: Tipo 1. Embalagem em pacote de polietileno atóxico, resistente, contendo peso líquido de 5kg. O produto deverá apresentar validade mínima de 06 meses.</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5</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20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P</w:t>
            </w:r>
            <w:r>
              <w:rPr>
                <w:rFonts w:ascii="Arial" w:hAnsi="Arial"/>
                <w:b w:val="false"/>
                <w:bCs w:val="false"/>
                <w:i w:val="false"/>
                <w:iCs w:val="false"/>
                <w:strike w:val="false"/>
                <w:dstrike w:val="false"/>
                <w:outline w:val="false"/>
                <w:shadow w:val="false"/>
                <w:color w:val="000000"/>
                <w:sz w:val="18"/>
                <w:szCs w:val="18"/>
                <w:u w:val="none"/>
              </w:rPr>
              <w:t>T</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Biscoito tipo “Rosquinha”, sabor leite</w:t>
            </w:r>
            <w:r>
              <w:rPr>
                <w:rFonts w:ascii="Arial" w:hAnsi="Arial"/>
                <w:b w:val="false"/>
                <w:bCs w:val="false"/>
                <w:i w:val="false"/>
                <w:iCs w:val="false"/>
                <w:strike w:val="false"/>
                <w:dstrike w:val="false"/>
                <w:outline w:val="false"/>
                <w:shadow w:val="false"/>
                <w:color w:val="000000"/>
                <w:sz w:val="18"/>
                <w:szCs w:val="18"/>
                <w:u w:val="none"/>
              </w:rPr>
              <w:t>. Pacote contendo 350g.</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6</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P</w:t>
            </w:r>
            <w:r>
              <w:rPr>
                <w:rFonts w:ascii="Arial" w:hAnsi="Arial"/>
                <w:b w:val="false"/>
                <w:bCs w:val="false"/>
                <w:i w:val="false"/>
                <w:iCs w:val="false"/>
                <w:strike w:val="false"/>
                <w:dstrike w:val="false"/>
                <w:outline w:val="false"/>
                <w:shadow w:val="false"/>
                <w:color w:val="000000"/>
                <w:sz w:val="18"/>
                <w:szCs w:val="18"/>
                <w:u w:val="none"/>
              </w:rPr>
              <w:t>T</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Coco ralado</w:t>
            </w:r>
            <w:r>
              <w:rPr>
                <w:rFonts w:ascii="Arial" w:hAnsi="Arial"/>
                <w:b w:val="false"/>
                <w:bCs w:val="false"/>
                <w:i w:val="false"/>
                <w:iCs w:val="false"/>
                <w:strike w:val="false"/>
                <w:dstrike w:val="false"/>
                <w:outline w:val="false"/>
                <w:shadow w:val="false"/>
                <w:color w:val="000000"/>
                <w:sz w:val="18"/>
                <w:szCs w:val="18"/>
                <w:u w:val="none"/>
              </w:rPr>
              <w:t>, embalado em embalagem plástica com peso líquido de 100g. Produto pronto para uso culinário, com textura fina e sem resíduos.</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7</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P</w:t>
            </w:r>
            <w:r>
              <w:rPr>
                <w:rFonts w:ascii="Arial" w:hAnsi="Arial"/>
                <w:b w:val="false"/>
                <w:bCs w:val="false"/>
                <w:i w:val="false"/>
                <w:iCs w:val="false"/>
                <w:strike w:val="false"/>
                <w:dstrike w:val="false"/>
                <w:outline w:val="false"/>
                <w:shadow w:val="false"/>
                <w:color w:val="000000"/>
                <w:sz w:val="18"/>
                <w:szCs w:val="18"/>
                <w:u w:val="none"/>
              </w:rPr>
              <w:t>T</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Fubá mimoso 500g</w:t>
            </w:r>
            <w:r>
              <w:rPr>
                <w:rFonts w:ascii="Arial" w:hAnsi="Arial"/>
                <w:b w:val="false"/>
                <w:bCs w:val="false"/>
                <w:i w:val="false"/>
                <w:iCs w:val="false"/>
                <w:strike w:val="false"/>
                <w:dstrike w:val="false"/>
                <w:outline w:val="false"/>
                <w:shadow w:val="false"/>
                <w:color w:val="000000"/>
                <w:sz w:val="18"/>
                <w:szCs w:val="18"/>
                <w:u w:val="none"/>
              </w:rPr>
              <w:t>, fino e refinado, produzido a partir de milho de alta qualidade, sem adição de conservantes ou corantes artificiais. Embalagem plástica, adequado para preparo de polenta, bolos, mingaus e outras receitas culinárias.</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8</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30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U</w:t>
            </w:r>
            <w:r>
              <w:rPr>
                <w:rFonts w:ascii="Arial" w:hAnsi="Arial"/>
                <w:b w:val="false"/>
                <w:bCs w:val="false"/>
                <w:i w:val="false"/>
                <w:iCs w:val="false"/>
                <w:strike w:val="false"/>
                <w:dstrike w:val="false"/>
                <w:outline w:val="false"/>
                <w:shadow w:val="false"/>
                <w:color w:val="000000"/>
                <w:sz w:val="18"/>
                <w:szCs w:val="18"/>
                <w:u w:val="none"/>
              </w:rPr>
              <w:t>N</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Creme de leite tradicional.</w:t>
            </w:r>
            <w:r>
              <w:rPr>
                <w:rFonts w:ascii="Arial" w:hAnsi="Arial"/>
                <w:b w:val="false"/>
                <w:bCs w:val="false"/>
                <w:i w:val="false"/>
                <w:iCs w:val="false"/>
                <w:strike w:val="false"/>
                <w:dstrike w:val="false"/>
                <w:outline w:val="false"/>
                <w:shadow w:val="false"/>
                <w:color w:val="000000"/>
                <w:sz w:val="18"/>
                <w:szCs w:val="18"/>
                <w:u w:val="none"/>
              </w:rPr>
              <w:t xml:space="preserve"> Embalagem de lata contendo 300g.</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9</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PT</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Milho de pipoca tradicional</w:t>
            </w:r>
            <w:r>
              <w:rPr>
                <w:rFonts w:ascii="Arial" w:hAnsi="Arial"/>
                <w:b w:val="false"/>
                <w:bCs w:val="false"/>
                <w:i w:val="false"/>
                <w:iCs w:val="false"/>
                <w:strike w:val="false"/>
                <w:dstrike w:val="false"/>
                <w:outline w:val="false"/>
                <w:shadow w:val="false"/>
                <w:color w:val="000000"/>
                <w:sz w:val="18"/>
                <w:szCs w:val="18"/>
                <w:u w:val="none"/>
              </w:rPr>
              <w:t>. Pacote contendo 500g</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10</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30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U</w:t>
            </w:r>
            <w:r>
              <w:rPr>
                <w:rFonts w:ascii="Arial" w:hAnsi="Arial"/>
                <w:b w:val="false"/>
                <w:bCs w:val="false"/>
                <w:i w:val="false"/>
                <w:iCs w:val="false"/>
                <w:strike w:val="false"/>
                <w:dstrike w:val="false"/>
                <w:outline w:val="false"/>
                <w:shadow w:val="false"/>
                <w:color w:val="000000"/>
                <w:sz w:val="18"/>
                <w:szCs w:val="18"/>
                <w:u w:val="none"/>
              </w:rPr>
              <w:t>N</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Ervilha em conserva</w:t>
            </w:r>
            <w:r>
              <w:rPr>
                <w:rFonts w:ascii="Arial" w:hAnsi="Arial"/>
                <w:b w:val="false"/>
                <w:bCs w:val="false"/>
                <w:i w:val="false"/>
                <w:iCs w:val="false"/>
                <w:strike w:val="false"/>
                <w:dstrike w:val="false"/>
                <w:outline w:val="false"/>
                <w:shadow w:val="false"/>
                <w:color w:val="000000"/>
                <w:sz w:val="18"/>
                <w:szCs w:val="18"/>
                <w:u w:val="none"/>
              </w:rPr>
              <w:t>, embalada em sachê, lata ou vidro, com peso drenado 170g. Contém ervilhas selecionadas, imersas em líquido conservante, prontas para consumo, sem adição de corantes artificiais.</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11</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P</w:t>
            </w:r>
            <w:r>
              <w:rPr>
                <w:rFonts w:ascii="Arial" w:hAnsi="Arial"/>
                <w:b w:val="false"/>
                <w:bCs w:val="false"/>
                <w:i w:val="false"/>
                <w:iCs w:val="false"/>
                <w:strike w:val="false"/>
                <w:dstrike w:val="false"/>
                <w:outline w:val="false"/>
                <w:shadow w:val="false"/>
                <w:color w:val="000000"/>
                <w:sz w:val="18"/>
                <w:szCs w:val="18"/>
                <w:u w:val="none"/>
              </w:rPr>
              <w:t>T</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Macarrão tipo espaguete</w:t>
            </w:r>
            <w:r>
              <w:rPr>
                <w:rFonts w:ascii="Arial" w:hAnsi="Arial"/>
                <w:b w:val="false"/>
                <w:bCs w:val="false"/>
                <w:i w:val="false"/>
                <w:iCs w:val="false"/>
                <w:strike w:val="false"/>
                <w:dstrike w:val="false"/>
                <w:outline w:val="false"/>
                <w:shadow w:val="false"/>
                <w:color w:val="000000"/>
                <w:sz w:val="18"/>
                <w:szCs w:val="18"/>
                <w:u w:val="none"/>
              </w:rPr>
              <w:t>, produzido com sêmola, de alta qualidade, com espessura fina e formato tradicional. Embalagem contendo 500g. Produto ideal para preparo de massas italianas, como espaguete à bolonhesa ou com molhos diversos.</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12</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U</w:t>
            </w:r>
            <w:r>
              <w:rPr>
                <w:rFonts w:ascii="Arial" w:hAnsi="Arial"/>
                <w:b w:val="false"/>
                <w:bCs w:val="false"/>
                <w:i w:val="false"/>
                <w:iCs w:val="false"/>
                <w:strike w:val="false"/>
                <w:dstrike w:val="false"/>
                <w:outline w:val="false"/>
                <w:shadow w:val="false"/>
                <w:color w:val="000000"/>
                <w:sz w:val="18"/>
                <w:szCs w:val="18"/>
                <w:u w:val="none"/>
              </w:rPr>
              <w:t>N</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Massa pronta para bolo sabor chocolate</w:t>
            </w:r>
            <w:r>
              <w:rPr>
                <w:rFonts w:ascii="Arial" w:hAnsi="Arial"/>
                <w:b w:val="false"/>
                <w:bCs w:val="false"/>
                <w:i w:val="false"/>
                <w:iCs w:val="false"/>
                <w:strike w:val="false"/>
                <w:dstrike w:val="false"/>
                <w:outline w:val="false"/>
                <w:shadow w:val="false"/>
                <w:color w:val="000000"/>
                <w:sz w:val="18"/>
                <w:szCs w:val="18"/>
                <w:u w:val="none"/>
              </w:rPr>
              <w:t>. Embalagem contendo 450g, prazo de validade mínimo de 6 meses a partir da data da entrega.</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13</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P</w:t>
            </w:r>
            <w:r>
              <w:rPr>
                <w:rFonts w:ascii="Arial" w:hAnsi="Arial"/>
                <w:b w:val="false"/>
                <w:bCs w:val="false"/>
                <w:i w:val="false"/>
                <w:iCs w:val="false"/>
                <w:strike w:val="false"/>
                <w:dstrike w:val="false"/>
                <w:outline w:val="false"/>
                <w:shadow w:val="false"/>
                <w:color w:val="000000"/>
                <w:sz w:val="18"/>
                <w:szCs w:val="18"/>
                <w:u w:val="none"/>
              </w:rPr>
              <w:t>T</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Café torrado e moído</w:t>
            </w:r>
            <w:r>
              <w:rPr>
                <w:rFonts w:ascii="Arial" w:hAnsi="Arial"/>
                <w:b w:val="false"/>
                <w:bCs w:val="false"/>
                <w:i w:val="false"/>
                <w:iCs w:val="false"/>
                <w:strike w:val="false"/>
                <w:dstrike w:val="false"/>
                <w:outline w:val="false"/>
                <w:shadow w:val="false"/>
                <w:color w:val="000000"/>
                <w:sz w:val="18"/>
                <w:szCs w:val="18"/>
                <w:u w:val="none"/>
              </w:rPr>
              <w:t xml:space="preserve">. Intensidade 8, com selo de pureza ABIC, em embalagem aluminizada ou metalizada de </w:t>
            </w:r>
            <w:r>
              <w:rPr>
                <w:rFonts w:ascii="Arial" w:hAnsi="Arial"/>
                <w:b/>
                <w:bCs/>
                <w:i w:val="false"/>
                <w:iCs w:val="false"/>
                <w:strike w:val="false"/>
                <w:dstrike w:val="false"/>
                <w:outline w:val="false"/>
                <w:shadow w:val="false"/>
                <w:color w:val="000000"/>
                <w:sz w:val="18"/>
                <w:szCs w:val="18"/>
                <w:u w:val="none"/>
              </w:rPr>
              <w:t>500g</w:t>
            </w:r>
            <w:r>
              <w:rPr>
                <w:rFonts w:ascii="Arial" w:hAnsi="Arial"/>
                <w:b w:val="false"/>
                <w:bCs w:val="false"/>
                <w:i w:val="false"/>
                <w:iCs w:val="false"/>
                <w:strike w:val="false"/>
                <w:dstrike w:val="false"/>
                <w:outline w:val="false"/>
                <w:shadow w:val="false"/>
                <w:color w:val="000000"/>
                <w:sz w:val="18"/>
                <w:szCs w:val="18"/>
                <w:u w:val="none"/>
              </w:rPr>
              <w:t>, a vácuo, contendo validade e identificação do lote.</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14</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P</w:t>
            </w:r>
            <w:r>
              <w:rPr>
                <w:rFonts w:ascii="Arial" w:hAnsi="Arial"/>
                <w:b w:val="false"/>
                <w:bCs w:val="false"/>
                <w:i w:val="false"/>
                <w:iCs w:val="false"/>
                <w:strike w:val="false"/>
                <w:dstrike w:val="false"/>
                <w:outline w:val="false"/>
                <w:shadow w:val="false"/>
                <w:color w:val="000000"/>
                <w:sz w:val="18"/>
                <w:szCs w:val="18"/>
                <w:u w:val="none"/>
              </w:rPr>
              <w:t>T</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Feijão tipo carioca</w:t>
            </w:r>
            <w:r>
              <w:rPr>
                <w:rFonts w:ascii="Arial" w:hAnsi="Arial"/>
                <w:b w:val="false"/>
                <w:bCs w:val="false"/>
                <w:i w:val="false"/>
                <w:iCs w:val="false"/>
                <w:strike w:val="false"/>
                <w:dstrike w:val="false"/>
                <w:outline w:val="false"/>
                <w:shadow w:val="false"/>
                <w:color w:val="000000"/>
                <w:sz w:val="18"/>
                <w:szCs w:val="18"/>
                <w:u w:val="none"/>
              </w:rPr>
              <w:t xml:space="preserve">, fresco, de boa qualidade, com grãos inteiros, sem impurezas ou defeitos visíveis. Embalagem com </w:t>
            </w:r>
            <w:r>
              <w:rPr>
                <w:rFonts w:ascii="Arial" w:hAnsi="Arial"/>
                <w:b/>
                <w:bCs/>
                <w:i w:val="false"/>
                <w:iCs w:val="false"/>
                <w:strike w:val="false"/>
                <w:dstrike w:val="false"/>
                <w:outline w:val="false"/>
                <w:shadow w:val="false"/>
                <w:color w:val="000000"/>
                <w:sz w:val="18"/>
                <w:szCs w:val="18"/>
                <w:u w:val="none"/>
              </w:rPr>
              <w:t>1kg</w:t>
            </w:r>
            <w:r>
              <w:rPr>
                <w:rFonts w:ascii="Arial" w:hAnsi="Arial"/>
                <w:b w:val="false"/>
                <w:bCs w:val="false"/>
                <w:i w:val="false"/>
                <w:iCs w:val="false"/>
                <w:strike w:val="false"/>
                <w:dstrike w:val="false"/>
                <w:outline w:val="false"/>
                <w:shadow w:val="false"/>
                <w:color w:val="000000"/>
                <w:sz w:val="18"/>
                <w:szCs w:val="18"/>
                <w:u w:val="none"/>
              </w:rPr>
              <w:t>. Produto pronto para consumo, após o devido preparo culinário. Ideal para preparo de feijão tradicional, sopas e feijoadas</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15</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30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P</w:t>
            </w:r>
            <w:r>
              <w:rPr>
                <w:rFonts w:ascii="Arial" w:hAnsi="Arial"/>
                <w:b w:val="false"/>
                <w:bCs w:val="false"/>
                <w:i w:val="false"/>
                <w:iCs w:val="false"/>
                <w:strike w:val="false"/>
                <w:dstrike w:val="false"/>
                <w:outline w:val="false"/>
                <w:shadow w:val="false"/>
                <w:color w:val="000000"/>
                <w:sz w:val="18"/>
                <w:szCs w:val="18"/>
                <w:u w:val="none"/>
              </w:rPr>
              <w:t>T</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Fermento Químico, em pó.</w:t>
            </w:r>
            <w:r>
              <w:rPr>
                <w:rFonts w:ascii="Arial" w:hAnsi="Arial"/>
                <w:b w:val="false"/>
                <w:bCs w:val="false"/>
                <w:i w:val="false"/>
                <w:iCs w:val="false"/>
                <w:strike w:val="false"/>
                <w:dstrike w:val="false"/>
                <w:outline w:val="false"/>
                <w:shadow w:val="false"/>
                <w:color w:val="000000"/>
                <w:sz w:val="18"/>
                <w:szCs w:val="18"/>
                <w:u w:val="none"/>
              </w:rPr>
              <w:t xml:space="preserve"> Embalagem contendo 100g. Embalagem íntegra. O produto deverá apresentar validade mínima de 4 meses da entrega.</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16</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100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U</w:t>
            </w:r>
            <w:r>
              <w:rPr>
                <w:rFonts w:ascii="Arial" w:hAnsi="Arial"/>
                <w:b w:val="false"/>
                <w:bCs w:val="false"/>
                <w:i w:val="false"/>
                <w:iCs w:val="false"/>
                <w:strike w:val="false"/>
                <w:dstrike w:val="false"/>
                <w:outline w:val="false"/>
                <w:shadow w:val="false"/>
                <w:color w:val="000000"/>
                <w:sz w:val="18"/>
                <w:szCs w:val="18"/>
                <w:u w:val="none"/>
              </w:rPr>
              <w:t>N</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Gelatina em pó.</w:t>
            </w:r>
            <w:r>
              <w:rPr>
                <w:rFonts w:ascii="Arial" w:hAnsi="Arial"/>
                <w:b w:val="false"/>
                <w:bCs w:val="false"/>
                <w:i w:val="false"/>
                <w:iCs w:val="false"/>
                <w:strike w:val="false"/>
                <w:dstrike w:val="false"/>
                <w:outline w:val="false"/>
                <w:shadow w:val="false"/>
                <w:color w:val="000000"/>
                <w:sz w:val="18"/>
                <w:szCs w:val="18"/>
                <w:u w:val="none"/>
              </w:rPr>
              <w:t xml:space="preserve"> Embalagem plástica ou caixa, contendo 20g. Sabor morango.</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17</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15</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P</w:t>
            </w:r>
            <w:r>
              <w:rPr>
                <w:rFonts w:ascii="Arial" w:hAnsi="Arial"/>
                <w:b w:val="false"/>
                <w:bCs w:val="false"/>
                <w:i w:val="false"/>
                <w:iCs w:val="false"/>
                <w:strike w:val="false"/>
                <w:dstrike w:val="false"/>
                <w:outline w:val="false"/>
                <w:shadow w:val="false"/>
                <w:color w:val="000000"/>
                <w:sz w:val="18"/>
                <w:szCs w:val="18"/>
                <w:u w:val="none"/>
              </w:rPr>
              <w:t>T</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Açúcar Cristal</w:t>
            </w:r>
            <w:r>
              <w:rPr>
                <w:rFonts w:ascii="Arial" w:hAnsi="Arial"/>
                <w:b w:val="false"/>
                <w:bCs w:val="false"/>
                <w:i w:val="false"/>
                <w:iCs w:val="false"/>
                <w:strike w:val="false"/>
                <w:dstrike w:val="false"/>
                <w:outline w:val="false"/>
                <w:shadow w:val="false"/>
                <w:color w:val="000000"/>
                <w:sz w:val="18"/>
                <w:szCs w:val="18"/>
                <w:u w:val="none"/>
              </w:rPr>
              <w:t xml:space="preserve">, especial ou superior ou peneirado, livre de fermentação e umidade, isento de matéria terrosa, parasitas e detritos de animais e vegetais, em embalagem plástica transparente de </w:t>
            </w:r>
            <w:r>
              <w:rPr>
                <w:rFonts w:ascii="Arial" w:hAnsi="Arial"/>
                <w:b/>
                <w:bCs/>
                <w:i w:val="false"/>
                <w:iCs w:val="false"/>
                <w:strike w:val="false"/>
                <w:dstrike w:val="false"/>
                <w:outline w:val="false"/>
                <w:shadow w:val="false"/>
                <w:color w:val="000000"/>
                <w:sz w:val="18"/>
                <w:szCs w:val="18"/>
                <w:u w:val="none"/>
              </w:rPr>
              <w:t>5kg</w:t>
            </w:r>
            <w:r>
              <w:rPr>
                <w:rFonts w:ascii="Arial" w:hAnsi="Arial"/>
                <w:b w:val="false"/>
                <w:bCs w:val="false"/>
                <w:i w:val="false"/>
                <w:iCs w:val="false"/>
                <w:strike w:val="false"/>
                <w:dstrike w:val="false"/>
                <w:outline w:val="false"/>
                <w:shadow w:val="false"/>
                <w:color w:val="000000"/>
                <w:sz w:val="18"/>
                <w:szCs w:val="18"/>
                <w:u w:val="none"/>
              </w:rPr>
              <w:t xml:space="preserve"> com origem vegetal (sacarose de cana-de-açúcar), e validade e identificação do lote. Características organolépticas: sabor doce. Aspectos de cor e cheiro: próprios.</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18</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P</w:t>
            </w:r>
            <w:r>
              <w:rPr>
                <w:rFonts w:ascii="Arial" w:hAnsi="Arial"/>
                <w:b w:val="false"/>
                <w:bCs w:val="false"/>
                <w:i w:val="false"/>
                <w:iCs w:val="false"/>
                <w:strike w:val="false"/>
                <w:dstrike w:val="false"/>
                <w:outline w:val="false"/>
                <w:shadow w:val="false"/>
                <w:color w:val="000000"/>
                <w:sz w:val="18"/>
                <w:szCs w:val="18"/>
                <w:u w:val="none"/>
              </w:rPr>
              <w:t>T</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Biscoito salgado, tipo “Cream Cracker”</w:t>
            </w:r>
            <w:r>
              <w:rPr>
                <w:rFonts w:ascii="Arial" w:hAnsi="Arial"/>
                <w:b w:val="false"/>
                <w:bCs w:val="false"/>
                <w:i w:val="false"/>
                <w:iCs w:val="false"/>
                <w:strike w:val="false"/>
                <w:dstrike w:val="false"/>
                <w:outline w:val="false"/>
                <w:shadow w:val="false"/>
                <w:color w:val="000000"/>
                <w:sz w:val="18"/>
                <w:szCs w:val="18"/>
                <w:u w:val="none"/>
              </w:rPr>
              <w:t xml:space="preserve"> tradicional. Pacote contendo 350g.</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19</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U</w:t>
            </w:r>
            <w:r>
              <w:rPr>
                <w:rFonts w:ascii="Arial" w:hAnsi="Arial"/>
                <w:b w:val="false"/>
                <w:bCs w:val="false"/>
                <w:i w:val="false"/>
                <w:iCs w:val="false"/>
                <w:strike w:val="false"/>
                <w:dstrike w:val="false"/>
                <w:outline w:val="false"/>
                <w:shadow w:val="false"/>
                <w:color w:val="000000"/>
                <w:sz w:val="18"/>
                <w:szCs w:val="18"/>
                <w:u w:val="none"/>
              </w:rPr>
              <w:t>N</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Milho Verde em conserva</w:t>
            </w:r>
            <w:r>
              <w:rPr>
                <w:rFonts w:ascii="Arial" w:hAnsi="Arial"/>
                <w:b w:val="false"/>
                <w:bCs w:val="false"/>
                <w:i w:val="false"/>
                <w:iCs w:val="false"/>
                <w:strike w:val="false"/>
                <w:dstrike w:val="false"/>
                <w:outline w:val="false"/>
                <w:shadow w:val="false"/>
                <w:color w:val="000000"/>
                <w:sz w:val="18"/>
                <w:szCs w:val="18"/>
                <w:u w:val="none"/>
              </w:rPr>
              <w:t>, embalado em sachê, lata ou vidro, com peso drenado 170g. Produto em conserva com adição de sal, pronto para consumo. Contém milho de boa qualidade, com grãos tenros e sabor fresco, ideal para saladas e pratos diversos.</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20</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U</w:t>
            </w:r>
            <w:r>
              <w:rPr>
                <w:rFonts w:ascii="Arial" w:hAnsi="Arial"/>
                <w:b w:val="false"/>
                <w:bCs w:val="false"/>
                <w:i w:val="false"/>
                <w:iCs w:val="false"/>
                <w:strike w:val="false"/>
                <w:dstrike w:val="false"/>
                <w:outline w:val="false"/>
                <w:shadow w:val="false"/>
                <w:color w:val="000000"/>
                <w:sz w:val="18"/>
                <w:szCs w:val="18"/>
                <w:u w:val="none"/>
              </w:rPr>
              <w:t>N</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Óleo de soja, 900 ml</w:t>
            </w:r>
            <w:r>
              <w:rPr>
                <w:rFonts w:ascii="Arial" w:hAnsi="Arial"/>
                <w:b w:val="false"/>
                <w:bCs w:val="false"/>
                <w:i w:val="false"/>
                <w:iCs w:val="false"/>
                <w:strike w:val="false"/>
                <w:dstrike w:val="false"/>
                <w:outline w:val="false"/>
                <w:shadow w:val="false"/>
                <w:color w:val="000000"/>
                <w:sz w:val="18"/>
                <w:szCs w:val="18"/>
                <w:u w:val="none"/>
              </w:rPr>
              <w:t>. Alimentício, refinado tipo 1, com marca, prazo de validade, obtido de matéria prima vegetal em bom estado sanitário. Apresentar-se isento de substâncias estranhas à sua composição e de componentes indicativos de alteração, apresentação, aspecto, cheiro, sabor e cor peculiares aos mesmos, isentos de ranço e de outras características indesejáveis. Ingredientes: óleo refinado de soja e demais permitidos por legislação. Informação nutricional para porção de 13 ml: Valor energético máximo de 108 Kcal, Gorduras totais máximos de 12g, Gorduras polinsaturadas máximo de 7g e vitamina E. Embalagem PET de volume 900 ml.</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21</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10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U</w:t>
            </w:r>
            <w:r>
              <w:rPr>
                <w:rFonts w:ascii="Arial" w:hAnsi="Arial"/>
                <w:b w:val="false"/>
                <w:bCs w:val="false"/>
                <w:i w:val="false"/>
                <w:iCs w:val="false"/>
                <w:strike w:val="false"/>
                <w:dstrike w:val="false"/>
                <w:outline w:val="false"/>
                <w:shadow w:val="false"/>
                <w:color w:val="000000"/>
                <w:sz w:val="18"/>
                <w:szCs w:val="18"/>
                <w:u w:val="none"/>
              </w:rPr>
              <w:t>N</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Sal refinado</w:t>
            </w:r>
            <w:r>
              <w:rPr>
                <w:rFonts w:ascii="Arial" w:hAnsi="Arial"/>
                <w:b w:val="false"/>
                <w:bCs w:val="false"/>
                <w:i w:val="false"/>
                <w:iCs w:val="false"/>
                <w:strike w:val="false"/>
                <w:dstrike w:val="false"/>
                <w:outline w:val="false"/>
                <w:shadow w:val="false"/>
                <w:color w:val="000000"/>
                <w:sz w:val="18"/>
                <w:szCs w:val="18"/>
                <w:u w:val="none"/>
              </w:rPr>
              <w:t>, refinado extra, iodado, apresentando características sensoriais próprias e sem umidade, em embalagens plásticas de 1kg, validade e identificação do lote.</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22</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20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P</w:t>
            </w:r>
            <w:r>
              <w:rPr>
                <w:rFonts w:ascii="Arial" w:hAnsi="Arial"/>
                <w:b w:val="false"/>
                <w:bCs w:val="false"/>
                <w:i w:val="false"/>
                <w:iCs w:val="false"/>
                <w:strike w:val="false"/>
                <w:dstrike w:val="false"/>
                <w:outline w:val="false"/>
                <w:shadow w:val="false"/>
                <w:color w:val="000000"/>
                <w:sz w:val="18"/>
                <w:szCs w:val="18"/>
                <w:u w:val="none"/>
              </w:rPr>
              <w:t>T</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Orégano desidratado.</w:t>
            </w:r>
            <w:r>
              <w:rPr>
                <w:rFonts w:ascii="Arial" w:hAnsi="Arial"/>
                <w:b w:val="false"/>
                <w:bCs w:val="false"/>
                <w:i w:val="false"/>
                <w:iCs w:val="false"/>
                <w:strike w:val="false"/>
                <w:dstrike w:val="false"/>
                <w:outline w:val="false"/>
                <w:shadow w:val="false"/>
                <w:color w:val="000000"/>
                <w:sz w:val="18"/>
                <w:szCs w:val="18"/>
                <w:u w:val="none"/>
              </w:rPr>
              <w:t xml:space="preserve"> Embalagem contendo 100g. Pacote de polietileno atóxico, com data de embalagem e validade, de no mínimo 06 meses contados a partir da data de entrega.</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23</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30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U</w:t>
            </w:r>
            <w:r>
              <w:rPr>
                <w:rFonts w:ascii="Arial" w:hAnsi="Arial"/>
                <w:b w:val="false"/>
                <w:bCs w:val="false"/>
                <w:i w:val="false"/>
                <w:iCs w:val="false"/>
                <w:strike w:val="false"/>
                <w:dstrike w:val="false"/>
                <w:outline w:val="false"/>
                <w:shadow w:val="false"/>
                <w:color w:val="000000"/>
                <w:sz w:val="18"/>
                <w:szCs w:val="18"/>
                <w:u w:val="none"/>
              </w:rPr>
              <w:t>N</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Vinagre Branco de Álcool</w:t>
            </w:r>
            <w:r>
              <w:rPr>
                <w:rFonts w:ascii="Arial" w:hAnsi="Arial"/>
                <w:b w:val="false"/>
                <w:bCs w:val="false"/>
                <w:i w:val="false"/>
                <w:iCs w:val="false"/>
                <w:strike w:val="false"/>
                <w:dstrike w:val="false"/>
                <w:outline w:val="false"/>
                <w:shadow w:val="false"/>
                <w:color w:val="000000"/>
                <w:sz w:val="18"/>
                <w:szCs w:val="18"/>
                <w:u w:val="none"/>
              </w:rPr>
              <w:t>. Embalagem contendo no mínimo 700mL. Embalagem íntegra. O produto deverá apresentar validade mínima de 6 meses da entrega.</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24</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30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U</w:t>
            </w:r>
            <w:r>
              <w:rPr>
                <w:rFonts w:ascii="Arial" w:hAnsi="Arial"/>
                <w:b w:val="false"/>
                <w:bCs w:val="false"/>
                <w:i w:val="false"/>
                <w:iCs w:val="false"/>
                <w:strike w:val="false"/>
                <w:dstrike w:val="false"/>
                <w:outline w:val="false"/>
                <w:shadow w:val="false"/>
                <w:color w:val="000000"/>
                <w:sz w:val="18"/>
                <w:szCs w:val="18"/>
                <w:u w:val="none"/>
              </w:rPr>
              <w:t>N</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Sardinhas com óleo</w:t>
            </w:r>
            <w:r>
              <w:rPr>
                <w:rFonts w:ascii="Arial" w:hAnsi="Arial"/>
                <w:b w:val="false"/>
                <w:bCs w:val="false"/>
                <w:i w:val="false"/>
                <w:iCs w:val="false"/>
                <w:strike w:val="false"/>
                <w:dstrike w:val="false"/>
                <w:outline w:val="false"/>
                <w:shadow w:val="false"/>
                <w:color w:val="000000"/>
                <w:sz w:val="18"/>
                <w:szCs w:val="18"/>
                <w:u w:val="none"/>
              </w:rPr>
              <w:t>. Embalagem em lata com recurso do tipo “abre fácil”, em conserva no óleo comestível. Embalagem contendo 125g.</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25</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30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U</w:t>
            </w:r>
            <w:r>
              <w:rPr>
                <w:rFonts w:ascii="Arial" w:hAnsi="Arial"/>
                <w:b w:val="false"/>
                <w:bCs w:val="false"/>
                <w:i w:val="false"/>
                <w:iCs w:val="false"/>
                <w:strike w:val="false"/>
                <w:dstrike w:val="false"/>
                <w:outline w:val="false"/>
                <w:shadow w:val="false"/>
                <w:color w:val="000000"/>
                <w:sz w:val="18"/>
                <w:szCs w:val="18"/>
                <w:u w:val="none"/>
              </w:rPr>
              <w:t>N</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Molho de tomate</w:t>
            </w:r>
            <w:r>
              <w:rPr>
                <w:rFonts w:ascii="Arial" w:hAnsi="Arial"/>
                <w:b w:val="false"/>
                <w:bCs w:val="false"/>
                <w:i w:val="false"/>
                <w:iCs w:val="false"/>
                <w:strike w:val="false"/>
                <w:dstrike w:val="false"/>
                <w:outline w:val="false"/>
                <w:shadow w:val="false"/>
                <w:color w:val="000000"/>
                <w:sz w:val="18"/>
                <w:szCs w:val="18"/>
                <w:u w:val="none"/>
              </w:rPr>
              <w:t>, em embalagem tipo sachê/pouch com peso mínimo de 300g e máximo de 340g. Composto basicamente por tomate e/ou polpa de tomate, temperos e especiarias ou similares que garantam qualidade sensorial aceitável do produto. Acondicionado em embalagem resistente, devidamente fechada, isentas de danos, estufamento ou qualquer outro sinal que seja característico de alteração do produto, além de conter as informações: marca do produto, origem da produção e data de validade.</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26</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30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P</w:t>
            </w:r>
            <w:r>
              <w:rPr>
                <w:rFonts w:ascii="Arial" w:hAnsi="Arial"/>
                <w:b w:val="false"/>
                <w:bCs w:val="false"/>
                <w:i w:val="false"/>
                <w:iCs w:val="false"/>
                <w:strike w:val="false"/>
                <w:dstrike w:val="false"/>
                <w:outline w:val="false"/>
                <w:shadow w:val="false"/>
                <w:color w:val="000000"/>
                <w:sz w:val="18"/>
                <w:szCs w:val="18"/>
                <w:u w:val="none"/>
              </w:rPr>
              <w:t>T</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Amido de milho, em pó, embalagem com 500g,</w:t>
            </w:r>
            <w:r>
              <w:rPr>
                <w:rFonts w:ascii="Arial" w:hAnsi="Arial"/>
                <w:b w:val="false"/>
                <w:bCs w:val="false"/>
                <w:i w:val="false"/>
                <w:iCs w:val="false"/>
                <w:strike w:val="false"/>
                <w:dstrike w:val="false"/>
                <w:outline w:val="false"/>
                <w:shadow w:val="false"/>
                <w:color w:val="000000"/>
                <w:sz w:val="18"/>
                <w:szCs w:val="18"/>
                <w:u w:val="none"/>
              </w:rPr>
              <w:t xml:space="preserve"> de alta qualidade e livre de impurezas. Ideal para uso culinário.</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27</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10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U</w:t>
            </w:r>
            <w:r>
              <w:rPr>
                <w:rFonts w:ascii="Arial" w:hAnsi="Arial"/>
                <w:b w:val="false"/>
                <w:bCs w:val="false"/>
                <w:i w:val="false"/>
                <w:iCs w:val="false"/>
                <w:strike w:val="false"/>
                <w:dstrike w:val="false"/>
                <w:outline w:val="false"/>
                <w:shadow w:val="false"/>
                <w:color w:val="000000"/>
                <w:sz w:val="18"/>
                <w:szCs w:val="18"/>
                <w:u w:val="none"/>
              </w:rPr>
              <w:t>N</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Alho em pasta,</w:t>
            </w:r>
            <w:r>
              <w:rPr>
                <w:rFonts w:ascii="Arial" w:hAnsi="Arial"/>
                <w:b w:val="false"/>
                <w:bCs w:val="false"/>
                <w:i w:val="false"/>
                <w:iCs w:val="false"/>
                <w:strike w:val="false"/>
                <w:dstrike w:val="false"/>
                <w:outline w:val="false"/>
                <w:shadow w:val="false"/>
                <w:color w:val="000000"/>
                <w:sz w:val="18"/>
                <w:szCs w:val="18"/>
                <w:u w:val="none"/>
              </w:rPr>
              <w:t xml:space="preserve"> produzido a partir de alho fresco triturado, com sabor forte e característico. Embalagem plástica contendo </w:t>
            </w:r>
            <w:r>
              <w:rPr>
                <w:rFonts w:ascii="Arial" w:hAnsi="Arial"/>
                <w:b/>
                <w:bCs/>
                <w:i w:val="false"/>
                <w:iCs w:val="false"/>
                <w:strike w:val="false"/>
                <w:dstrike w:val="false"/>
                <w:outline w:val="false"/>
                <w:shadow w:val="false"/>
                <w:color w:val="000000"/>
                <w:sz w:val="18"/>
                <w:szCs w:val="18"/>
                <w:u w:val="none"/>
              </w:rPr>
              <w:t>1kg</w:t>
            </w:r>
            <w:r>
              <w:rPr>
                <w:rFonts w:ascii="Arial" w:hAnsi="Arial"/>
                <w:b w:val="false"/>
                <w:bCs w:val="false"/>
                <w:i w:val="false"/>
                <w:iCs w:val="false"/>
                <w:strike w:val="false"/>
                <w:dstrike w:val="false"/>
                <w:outline w:val="false"/>
                <w:shadow w:val="false"/>
                <w:color w:val="000000"/>
                <w:sz w:val="18"/>
                <w:szCs w:val="18"/>
                <w:u w:val="none"/>
              </w:rPr>
              <w:t>, pronto para uso, ideal para temperar carnes, molhos e outros pratos. Produto livre de conservantes, com validade prolongada devido ao processo de conservação.</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28</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15</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U</w:t>
            </w:r>
            <w:r>
              <w:rPr>
                <w:rFonts w:ascii="Arial" w:hAnsi="Arial"/>
                <w:b w:val="false"/>
                <w:bCs w:val="false"/>
                <w:i w:val="false"/>
                <w:iCs w:val="false"/>
                <w:strike w:val="false"/>
                <w:dstrike w:val="false"/>
                <w:outline w:val="false"/>
                <w:shadow w:val="false"/>
                <w:color w:val="000000"/>
                <w:sz w:val="18"/>
                <w:szCs w:val="18"/>
                <w:u w:val="none"/>
              </w:rPr>
              <w:t>N</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Chá de infusão tostado a granel.</w:t>
            </w:r>
            <w:r>
              <w:rPr>
                <w:rFonts w:ascii="Arial" w:hAnsi="Arial"/>
                <w:b w:val="false"/>
                <w:bCs w:val="false"/>
                <w:i w:val="false"/>
                <w:iCs w:val="false"/>
                <w:strike w:val="false"/>
                <w:dstrike w:val="false"/>
                <w:outline w:val="false"/>
                <w:shadow w:val="false"/>
                <w:color w:val="000000"/>
                <w:sz w:val="18"/>
                <w:szCs w:val="18"/>
                <w:u w:val="none"/>
              </w:rPr>
              <w:t xml:space="preserve"> Embalado em caixa. Sabor: Chá Matte. Contendo 250g.</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29</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10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U</w:t>
            </w:r>
            <w:r>
              <w:rPr>
                <w:rFonts w:ascii="Arial" w:hAnsi="Arial"/>
                <w:b w:val="false"/>
                <w:bCs w:val="false"/>
                <w:i w:val="false"/>
                <w:iCs w:val="false"/>
                <w:strike w:val="false"/>
                <w:dstrike w:val="false"/>
                <w:outline w:val="false"/>
                <w:shadow w:val="false"/>
                <w:color w:val="000000"/>
                <w:sz w:val="18"/>
                <w:szCs w:val="18"/>
                <w:u w:val="none"/>
              </w:rPr>
              <w:t>N</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Achocolatado em pó 400 gramas</w:t>
            </w:r>
            <w:r>
              <w:rPr>
                <w:rFonts w:ascii="Arial" w:hAnsi="Arial"/>
                <w:b w:val="false"/>
                <w:bCs w:val="false"/>
                <w:i w:val="false"/>
                <w:iCs w:val="false"/>
                <w:strike w:val="false"/>
                <w:dstrike w:val="false"/>
                <w:outline w:val="false"/>
                <w:shadow w:val="false"/>
                <w:color w:val="000000"/>
                <w:sz w:val="18"/>
                <w:szCs w:val="18"/>
                <w:u w:val="none"/>
              </w:rPr>
              <w:t>. Contendo basicamente: açúcar, cacau, maltodextrina e/ou extrato de malte. Composição Nutricional mínima em porção de 20 gramas: Valor Energético mínimo de: 73 Kcal, Carboidrato: 17 gramas, Vitamina B2 (Riboflavina): 0,19mcG, Vitamina B3 (Niacina): 0,94mg e Vitamina B6 (Piridoxina): 0,1mcG.</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30</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U</w:t>
            </w:r>
            <w:r>
              <w:rPr>
                <w:rFonts w:ascii="Arial" w:hAnsi="Arial"/>
                <w:b w:val="false"/>
                <w:bCs w:val="false"/>
                <w:i w:val="false"/>
                <w:iCs w:val="false"/>
                <w:strike w:val="false"/>
                <w:dstrike w:val="false"/>
                <w:outline w:val="false"/>
                <w:shadow w:val="false"/>
                <w:color w:val="000000"/>
                <w:sz w:val="18"/>
                <w:szCs w:val="18"/>
                <w:u w:val="none"/>
              </w:rPr>
              <w:t>N</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Refrigerante sabor Guaraná.</w:t>
            </w:r>
            <w:r>
              <w:rPr>
                <w:rFonts w:ascii="Arial" w:hAnsi="Arial"/>
                <w:b w:val="false"/>
                <w:bCs w:val="false"/>
                <w:i w:val="false"/>
                <w:iCs w:val="false"/>
                <w:strike w:val="false"/>
                <w:dstrike w:val="false"/>
                <w:outline w:val="false"/>
                <w:shadow w:val="false"/>
                <w:color w:val="000000"/>
                <w:sz w:val="18"/>
                <w:szCs w:val="18"/>
                <w:u w:val="none"/>
              </w:rPr>
              <w:t xml:space="preserve"> Embalagem garrafa PET plástica, </w:t>
            </w:r>
            <w:r>
              <w:rPr>
                <w:rFonts w:ascii="Arial" w:hAnsi="Arial"/>
                <w:b/>
                <w:bCs/>
                <w:i w:val="false"/>
                <w:iCs w:val="false"/>
                <w:strike w:val="false"/>
                <w:dstrike w:val="false"/>
                <w:outline w:val="false"/>
                <w:shadow w:val="false"/>
                <w:color w:val="000000"/>
                <w:sz w:val="18"/>
                <w:szCs w:val="18"/>
                <w:u w:val="none"/>
              </w:rPr>
              <w:t>contendo 2 litros</w:t>
            </w:r>
            <w:r>
              <w:rPr>
                <w:rFonts w:ascii="Arial" w:hAnsi="Arial"/>
                <w:b w:val="false"/>
                <w:bCs w:val="false"/>
                <w:i w:val="false"/>
                <w:iCs w:val="false"/>
                <w:strike w:val="false"/>
                <w:dstrike w:val="false"/>
                <w:outline w:val="false"/>
                <w:shadow w:val="false"/>
                <w:color w:val="000000"/>
                <w:sz w:val="18"/>
                <w:szCs w:val="18"/>
                <w:u w:val="none"/>
              </w:rPr>
              <w:t>. Com validade mínima de 6 meses a partir da data de entrega.</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31</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3</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C</w:t>
            </w:r>
            <w:r>
              <w:rPr>
                <w:rFonts w:ascii="Arial" w:hAnsi="Arial"/>
                <w:b w:val="false"/>
                <w:bCs w:val="false"/>
                <w:i w:val="false"/>
                <w:iCs w:val="false"/>
                <w:strike w:val="false"/>
                <w:dstrike w:val="false"/>
                <w:outline w:val="false"/>
                <w:shadow w:val="false"/>
                <w:color w:val="000000"/>
                <w:sz w:val="18"/>
                <w:szCs w:val="18"/>
                <w:u w:val="none"/>
              </w:rPr>
              <w:t>X</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Refresco em pó,</w:t>
            </w:r>
            <w:r>
              <w:rPr>
                <w:rFonts w:ascii="Arial" w:hAnsi="Arial"/>
                <w:b w:val="false"/>
                <w:bCs w:val="false"/>
                <w:i w:val="false"/>
                <w:iCs w:val="false"/>
                <w:strike w:val="false"/>
                <w:dstrike w:val="false"/>
                <w:outline w:val="false"/>
                <w:shadow w:val="false"/>
                <w:color w:val="000000"/>
                <w:sz w:val="18"/>
                <w:szCs w:val="18"/>
                <w:u w:val="none"/>
              </w:rPr>
              <w:t xml:space="preserve"> sachê com no mínimo 18g. Caixa com 15 Uns. Sabores variados.</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32</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P</w:t>
            </w:r>
            <w:r>
              <w:rPr>
                <w:rFonts w:ascii="Arial" w:hAnsi="Arial"/>
                <w:b w:val="false"/>
                <w:bCs w:val="false"/>
                <w:i w:val="false"/>
                <w:iCs w:val="false"/>
                <w:strike w:val="false"/>
                <w:dstrike w:val="false"/>
                <w:outline w:val="false"/>
                <w:shadow w:val="false"/>
                <w:color w:val="000000"/>
                <w:sz w:val="18"/>
                <w:szCs w:val="18"/>
                <w:u w:val="none"/>
              </w:rPr>
              <w:t>T</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Biscoito tipo “Maisena”</w:t>
            </w:r>
            <w:r>
              <w:rPr>
                <w:rFonts w:ascii="Arial" w:hAnsi="Arial"/>
                <w:b w:val="false"/>
                <w:bCs w:val="false"/>
                <w:i w:val="false"/>
                <w:iCs w:val="false"/>
                <w:strike w:val="false"/>
                <w:dstrike w:val="false"/>
                <w:outline w:val="false"/>
                <w:shadow w:val="false"/>
                <w:color w:val="000000"/>
                <w:sz w:val="18"/>
                <w:szCs w:val="18"/>
                <w:u w:val="none"/>
              </w:rPr>
              <w:t>. Pacote contendo 350g.</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33</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50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U</w:t>
            </w:r>
            <w:r>
              <w:rPr>
                <w:rFonts w:ascii="Arial" w:hAnsi="Arial"/>
                <w:b w:val="false"/>
                <w:bCs w:val="false"/>
                <w:i w:val="false"/>
                <w:iCs w:val="false"/>
                <w:strike w:val="false"/>
                <w:dstrike w:val="false"/>
                <w:outline w:val="false"/>
                <w:shadow w:val="false"/>
                <w:color w:val="000000"/>
                <w:sz w:val="18"/>
                <w:szCs w:val="18"/>
                <w:u w:val="none"/>
              </w:rPr>
              <w:t>N</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Margarina cremosa com sal, em pote de 500 gramas</w:t>
            </w:r>
            <w:r>
              <w:rPr>
                <w:rFonts w:ascii="Arial" w:hAnsi="Arial"/>
                <w:b w:val="false"/>
                <w:bCs w:val="false"/>
                <w:i w:val="false"/>
                <w:iCs w:val="false"/>
                <w:strike w:val="false"/>
                <w:dstrike w:val="false"/>
                <w:outline w:val="false"/>
                <w:shadow w:val="false"/>
                <w:color w:val="000000"/>
                <w:sz w:val="18"/>
                <w:szCs w:val="18"/>
                <w:u w:val="none"/>
              </w:rPr>
              <w:t>, contendo, em geral: leite desnatado reconstituído e/ou estabilizantes, aroma e corante e 0g de Gorduras trans. Apresentar no mínimo 65% de lipídeos na embalagem. Transportar resfriado, conforme exige a rotulagem do produto.</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3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bCs/>
                <w:color w:val="000000"/>
                <w:sz w:val="18"/>
                <w:szCs w:val="18"/>
              </w:rPr>
              <w:t>34</w:t>
            </w:r>
          </w:p>
        </w:tc>
        <w:tc>
          <w:tcPr>
            <w:tcW w:w="57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30</w:t>
            </w:r>
          </w:p>
        </w:tc>
        <w:tc>
          <w:tcPr>
            <w:tcW w:w="510" w:type="dxa"/>
            <w:tcBorders>
              <w:left w:val="single" w:sz="4" w:space="0" w:color="000000"/>
              <w:bottom w:val="single" w:sz="4" w:space="0" w:color="000000"/>
            </w:tcBorders>
            <w:vAlign w:val="center"/>
          </w:tcPr>
          <w:p>
            <w:pPr>
              <w:pStyle w:val="Contedodatabela"/>
              <w:jc w:val="center"/>
              <w:rPr>
                <w:sz w:val="18"/>
                <w:szCs w:val="18"/>
              </w:rPr>
            </w:pPr>
            <w:r>
              <w:rPr>
                <w:rFonts w:ascii="Arial" w:hAnsi="Arial"/>
                <w:b w:val="false"/>
                <w:bCs w:val="false"/>
                <w:i w:val="false"/>
                <w:iCs w:val="false"/>
                <w:strike w:val="false"/>
                <w:dstrike w:val="false"/>
                <w:outline w:val="false"/>
                <w:shadow w:val="false"/>
                <w:color w:val="000000"/>
                <w:sz w:val="18"/>
                <w:szCs w:val="18"/>
                <w:u w:val="none"/>
              </w:rPr>
              <w:t>U</w:t>
            </w:r>
            <w:r>
              <w:rPr>
                <w:rFonts w:ascii="Arial" w:hAnsi="Arial"/>
                <w:b w:val="false"/>
                <w:bCs w:val="false"/>
                <w:i w:val="false"/>
                <w:iCs w:val="false"/>
                <w:strike w:val="false"/>
                <w:dstrike w:val="false"/>
                <w:outline w:val="false"/>
                <w:shadow w:val="false"/>
                <w:color w:val="000000"/>
                <w:sz w:val="18"/>
                <w:szCs w:val="18"/>
                <w:u w:val="none"/>
              </w:rPr>
              <w:t>N</w:t>
            </w:r>
          </w:p>
        </w:tc>
        <w:tc>
          <w:tcPr>
            <w:tcW w:w="2835" w:type="dxa"/>
            <w:tcBorders>
              <w:left w:val="single" w:sz="4" w:space="0" w:color="000000"/>
              <w:bottom w:val="single" w:sz="4" w:space="0" w:color="000000"/>
            </w:tcBorders>
          </w:tcPr>
          <w:p>
            <w:pPr>
              <w:pStyle w:val="Contedodatabela"/>
              <w:jc w:val="both"/>
              <w:rPr>
                <w:sz w:val="18"/>
                <w:szCs w:val="18"/>
              </w:rPr>
            </w:pPr>
            <w:r>
              <w:rPr>
                <w:rFonts w:ascii="Arial" w:hAnsi="Arial"/>
                <w:b/>
                <w:bCs/>
                <w:i w:val="false"/>
                <w:iCs w:val="false"/>
                <w:strike w:val="false"/>
                <w:dstrike w:val="false"/>
                <w:outline w:val="false"/>
                <w:shadow w:val="false"/>
                <w:color w:val="000000"/>
                <w:sz w:val="18"/>
                <w:szCs w:val="18"/>
                <w:u w:val="none"/>
              </w:rPr>
              <w:t>Leite condensado integral.</w:t>
            </w:r>
            <w:r>
              <w:rPr>
                <w:rFonts w:ascii="Arial" w:hAnsi="Arial"/>
                <w:b w:val="false"/>
                <w:bCs w:val="false"/>
                <w:i w:val="false"/>
                <w:iCs w:val="false"/>
                <w:strike w:val="false"/>
                <w:dstrike w:val="false"/>
                <w:outline w:val="false"/>
                <w:shadow w:val="false"/>
                <w:color w:val="000000"/>
                <w:sz w:val="18"/>
                <w:szCs w:val="18"/>
                <w:u w:val="none"/>
              </w:rPr>
              <w:t xml:space="preserve"> Embalagem de lata ou caixa, contendo 395g.</w:t>
            </w:r>
          </w:p>
        </w:tc>
        <w:tc>
          <w:tcPr>
            <w:tcW w:w="1575"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r>
        <w:trPr/>
        <w:tc>
          <w:tcPr>
            <w:tcW w:w="6120" w:type="dxa"/>
            <w:gridSpan w:val="5"/>
            <w:tcBorders>
              <w:left w:val="single" w:sz="4" w:space="0" w:color="000000"/>
              <w:bottom w:val="single" w:sz="4" w:space="0" w:color="000000"/>
            </w:tcBorders>
            <w:vAlign w:val="center"/>
          </w:tcPr>
          <w:p>
            <w:pPr>
              <w:pStyle w:val="Contedodatabela"/>
              <w:jc w:val="center"/>
              <w:rPr>
                <w:sz w:val="18"/>
                <w:szCs w:val="18"/>
              </w:rPr>
            </w:pPr>
            <w:r>
              <w:rPr>
                <w:rFonts w:ascii="Arial" w:hAnsi="Arial"/>
                <w:b/>
                <w:bCs/>
                <w:sz w:val="18"/>
                <w:szCs w:val="18"/>
              </w:rPr>
              <w:t>VALOR TOTAL DO LOTE 3 (R$)</w:t>
            </w:r>
          </w:p>
        </w:tc>
        <w:tc>
          <w:tcPr>
            <w:tcW w:w="1770" w:type="dxa"/>
            <w:tcBorders>
              <w:left w:val="single" w:sz="4" w:space="0" w:color="000000"/>
              <w:bottom w:val="single" w:sz="4" w:space="0" w:color="000000"/>
            </w:tcBorders>
          </w:tcPr>
          <w:p>
            <w:pPr>
              <w:pStyle w:val="Contedodatabela"/>
              <w:jc w:val="both"/>
              <w:rPr>
                <w:rFonts w:ascii="Arial" w:hAnsi="Arial"/>
                <w:sz w:val="18"/>
                <w:szCs w:val="18"/>
              </w:rPr>
            </w:pPr>
            <w:r>
              <w:rPr>
                <w:rFonts w:ascii="Arial" w:hAnsi="Arial"/>
                <w:sz w:val="18"/>
                <w:szCs w:val="18"/>
              </w:rPr>
            </w:r>
          </w:p>
        </w:tc>
        <w:tc>
          <w:tcPr>
            <w:tcW w:w="1919" w:type="dxa"/>
            <w:tcBorders>
              <w:left w:val="single" w:sz="4" w:space="0" w:color="000000"/>
              <w:bottom w:val="single" w:sz="4" w:space="0" w:color="000000"/>
              <w:right w:val="single" w:sz="4" w:space="0" w:color="000000"/>
            </w:tcBorders>
          </w:tcPr>
          <w:p>
            <w:pPr>
              <w:pStyle w:val="Contedodatabela"/>
              <w:jc w:val="both"/>
              <w:rPr>
                <w:rFonts w:ascii="Arial" w:hAnsi="Arial"/>
                <w:sz w:val="18"/>
                <w:szCs w:val="18"/>
              </w:rPr>
            </w:pPr>
            <w:r>
              <w:rPr>
                <w:rFonts w:ascii="Arial" w:hAnsi="Arial"/>
                <w:sz w:val="18"/>
                <w:szCs w:val="18"/>
              </w:rPr>
            </w:r>
          </w:p>
        </w:tc>
      </w:tr>
    </w:tbl>
    <w:p>
      <w:pPr>
        <w:pStyle w:val="Normal"/>
        <w:jc w:val="both"/>
        <w:rPr>
          <w:rFonts w:ascii="Arial" w:hAnsi="Arial" w:eastAsia="Times New Roman" w:cs="Arial"/>
          <w:color w:val="00000A"/>
          <w:sz w:val="22"/>
          <w:szCs w:val="22"/>
          <w:shd w:fill="FFFFFF" w:val="clear"/>
          <w:lang w:val="pt-BR" w:eastAsia="zh-CN" w:bidi="ar-SA"/>
        </w:rPr>
      </w:pPr>
      <w:r>
        <w:rPr>
          <w:rFonts w:eastAsia="Times New Roman" w:cs="Arial" w:ascii="Arial" w:hAnsi="Arial"/>
          <w:color w:val="00000A"/>
          <w:sz w:val="22"/>
          <w:szCs w:val="22"/>
          <w:shd w:fill="FFFFFF" w:val="clear"/>
          <w:lang w:val="pt-BR" w:eastAsia="zh-CN" w:bidi="ar-SA"/>
        </w:rPr>
      </w:r>
    </w:p>
    <w:p>
      <w:pPr>
        <w:pStyle w:val="BodyText"/>
        <w:spacing w:lineRule="auto" w:line="240" w:before="0" w:after="0"/>
        <w:jc w:val="both"/>
        <w:rPr>
          <w:rFonts w:eastAsia="Times New Roman" w:cs="Arial"/>
          <w:color w:val="000000"/>
          <w:shd w:fill="FFFFFF" w:val="clear"/>
          <w:lang w:val="pt-BR" w:eastAsia="zh-CN" w:bidi="ar-SA"/>
        </w:rPr>
      </w:pPr>
      <w:r>
        <w:rPr>
          <w:rFonts w:eastAsia="Times New Roman" w:cs="Arial"/>
          <w:color w:val="000000"/>
          <w:shd w:fill="FFFFFF" w:val="clear"/>
          <w:lang w:val="pt-BR" w:eastAsia="zh-CN" w:bidi="ar-SA"/>
        </w:rPr>
      </w:r>
    </w:p>
    <w:p>
      <w:pPr>
        <w:pStyle w:val="BodyText"/>
        <w:spacing w:lineRule="auto" w:line="240" w:before="0" w:after="0"/>
        <w:jc w:val="both"/>
        <w:rPr>
          <w:sz w:val="18"/>
          <w:szCs w:val="18"/>
        </w:rPr>
      </w:pPr>
      <w:r>
        <w:rPr>
          <w:rFonts w:eastAsia="Times New Roman" w:cs="Arial" w:ascii="Arial" w:hAnsi="Arial"/>
          <w:color w:val="000000"/>
          <w:sz w:val="18"/>
          <w:szCs w:val="18"/>
          <w:shd w:fill="FFFFFF" w:val="clear"/>
          <w:lang w:val="pt-BR" w:eastAsia="zh-CN" w:bidi="ar-SA"/>
        </w:rPr>
        <w:t>DECLARO que o(s) material(is) proposto(s) atende(m) plenamente as exigências contidas no Termo de Referência</w:t>
      </w:r>
    </w:p>
    <w:p>
      <w:pPr>
        <w:pStyle w:val="BodyText"/>
        <w:spacing w:lineRule="auto" w:line="240" w:before="0" w:after="0"/>
        <w:jc w:val="both"/>
        <w:rPr>
          <w:rFonts w:ascii="Arial" w:hAnsi="Arial"/>
          <w:sz w:val="18"/>
          <w:szCs w:val="18"/>
        </w:rPr>
      </w:pPr>
      <w:r>
        <w:rPr>
          <w:rFonts w:ascii="Arial" w:hAnsi="Arial"/>
          <w:sz w:val="18"/>
          <w:szCs w:val="18"/>
        </w:rPr>
      </w:r>
    </w:p>
    <w:p>
      <w:pPr>
        <w:pStyle w:val="BodyText"/>
        <w:spacing w:lineRule="auto" w:line="240" w:before="0" w:after="0"/>
        <w:jc w:val="both"/>
        <w:rPr>
          <w:sz w:val="18"/>
          <w:szCs w:val="18"/>
        </w:rPr>
      </w:pPr>
      <w:r>
        <w:rPr>
          <w:rFonts w:ascii="Arial" w:hAnsi="Arial"/>
          <w:color w:val="000000"/>
          <w:sz w:val="18"/>
          <w:szCs w:val="18"/>
        </w:rPr>
        <w:t>DECLARO que a proposta financeira apresentada pela proponente contempla todos os custos diretos e indiretos incorridos na data da apresentação desta proposta incluindo, além do lucro, todas as despesas e custos, como por exemplo: tributos, encargos sociais e trabalhistas, materiais, transportes, alimentação, hospedagem e demais gastos relacionados com a entrega do objeto da presente licitação.</w:t>
      </w:r>
    </w:p>
    <w:p>
      <w:pPr>
        <w:pStyle w:val="BodyText"/>
        <w:spacing w:lineRule="auto" w:line="240" w:before="0" w:after="0"/>
        <w:jc w:val="both"/>
        <w:rPr>
          <w:b w:val="false"/>
          <w:bCs w:val="false"/>
          <w:color w:val="000000"/>
          <w:sz w:val="18"/>
          <w:szCs w:val="18"/>
        </w:rPr>
      </w:pPr>
      <w:r>
        <w:rPr>
          <w:b w:val="false"/>
          <w:bCs w:val="false"/>
          <w:color w:val="000000"/>
          <w:sz w:val="18"/>
          <w:szCs w:val="18"/>
        </w:rPr>
      </w:r>
    </w:p>
    <w:p>
      <w:pPr>
        <w:pStyle w:val="BodyText"/>
        <w:spacing w:lineRule="auto" w:line="240" w:before="0" w:after="0"/>
        <w:jc w:val="both"/>
        <w:rPr>
          <w:sz w:val="18"/>
          <w:szCs w:val="18"/>
        </w:rPr>
      </w:pPr>
      <w:r>
        <w:rPr>
          <w:rFonts w:ascii="Arial" w:hAnsi="Arial"/>
          <w:b w:val="false"/>
          <w:bCs w:val="false"/>
          <w:color w:val="000000"/>
          <w:sz w:val="18"/>
          <w:szCs w:val="18"/>
        </w:rPr>
        <w:t>Prazo de entrega:</w:t>
      </w:r>
      <w:r>
        <w:rPr>
          <w:rFonts w:ascii="Arial" w:hAnsi="Arial"/>
          <w:b/>
          <w:bCs/>
          <w:color w:val="000000"/>
          <w:sz w:val="18"/>
          <w:szCs w:val="18"/>
        </w:rPr>
        <w:t xml:space="preserve"> 05 dias úteis a partir do recebimento da Autorização de Fornecimento</w:t>
      </w:r>
    </w:p>
    <w:p>
      <w:pPr>
        <w:pStyle w:val="BodyText"/>
        <w:spacing w:lineRule="auto" w:line="240" w:before="0" w:after="0"/>
        <w:jc w:val="both"/>
        <w:rPr>
          <w:sz w:val="18"/>
          <w:szCs w:val="18"/>
        </w:rPr>
      </w:pPr>
      <w:r>
        <w:rPr>
          <w:rFonts w:ascii="Arial" w:hAnsi="Arial"/>
          <w:b w:val="false"/>
          <w:bCs w:val="false"/>
          <w:color w:val="000000"/>
          <w:sz w:val="18"/>
          <w:szCs w:val="18"/>
        </w:rPr>
        <w:t>Local de Entrega:</w:t>
      </w:r>
      <w:r>
        <w:rPr>
          <w:rFonts w:ascii="Arial" w:hAnsi="Arial"/>
          <w:b/>
          <w:bCs/>
          <w:color w:val="000000"/>
          <w:sz w:val="18"/>
          <w:szCs w:val="18"/>
        </w:rPr>
        <w:t xml:space="preserve"> Secretaria Municipal de Assistência e Desenvolvimento Social – SMADS – sita à Rua Floriano Peixoto nº 1.310 – Centro , Jaboticabal/SP</w:t>
      </w:r>
    </w:p>
    <w:p>
      <w:pPr>
        <w:pStyle w:val="BodyText"/>
        <w:spacing w:lineRule="auto" w:line="240" w:before="0" w:after="0"/>
        <w:jc w:val="both"/>
        <w:rPr>
          <w:sz w:val="18"/>
          <w:szCs w:val="18"/>
        </w:rPr>
      </w:pPr>
      <w:r>
        <w:rPr>
          <w:rFonts w:eastAsia="Times New Roman" w:cs="Arial" w:ascii="Arial" w:hAnsi="Arial"/>
          <w:b w:val="false"/>
          <w:bCs w:val="false"/>
          <w:color w:val="000000"/>
          <w:sz w:val="18"/>
          <w:szCs w:val="18"/>
          <w:shd w:fill="FFFFFF" w:val="clear"/>
          <w:lang w:val="pt-BR" w:eastAsia="zh-CN" w:bidi="ar-SA"/>
        </w:rPr>
        <w:t>Prazo de validade da proposta:</w:t>
      </w:r>
      <w:r>
        <w:rPr>
          <w:rFonts w:eastAsia="Times New Roman" w:cs="Arial" w:ascii="Arial" w:hAnsi="Arial"/>
          <w:b/>
          <w:bCs/>
          <w:color w:val="000000"/>
          <w:sz w:val="18"/>
          <w:szCs w:val="18"/>
          <w:shd w:fill="FFFFFF" w:val="clear"/>
          <w:lang w:val="pt-BR" w:eastAsia="zh-CN" w:bidi="ar-SA"/>
        </w:rPr>
        <w:t xml:space="preserve"> No mínimo 30 (Trinta) dias.</w:t>
      </w:r>
    </w:p>
    <w:p>
      <w:pPr>
        <w:pStyle w:val="BodyText"/>
        <w:spacing w:lineRule="auto" w:line="240" w:before="0" w:after="0"/>
        <w:jc w:val="both"/>
        <w:rPr>
          <w:rFonts w:ascii="Arial" w:hAnsi="Arial" w:eastAsia="Times New Roman" w:cs="Arial"/>
          <w:b/>
          <w:bCs/>
          <w:color w:val="000000"/>
          <w:shd w:fill="FFFFFF" w:val="clear"/>
          <w:lang w:val="pt-BR" w:eastAsia="zh-CN" w:bidi="ar-SA"/>
        </w:rPr>
      </w:pPr>
      <w:r>
        <w:rPr>
          <w:sz w:val="18"/>
          <w:szCs w:val="18"/>
        </w:rPr>
      </w:r>
    </w:p>
    <w:p>
      <w:pPr>
        <w:pStyle w:val="BodyText"/>
        <w:spacing w:lineRule="auto" w:line="240" w:before="0" w:after="0"/>
        <w:jc w:val="both"/>
        <w:rPr>
          <w:rFonts w:ascii="Arial" w:hAnsi="Arial" w:eastAsia="Times New Roman" w:cs="Arial"/>
          <w:b/>
          <w:bCs/>
          <w:color w:val="000000"/>
          <w:shd w:fill="FFFFFF" w:val="clear"/>
          <w:lang w:val="pt-BR" w:eastAsia="zh-CN" w:bidi="ar-SA"/>
        </w:rPr>
      </w:pPr>
      <w:r>
        <w:rPr>
          <w:sz w:val="18"/>
          <w:szCs w:val="18"/>
        </w:rPr>
      </w:r>
    </w:p>
    <w:p>
      <w:pPr>
        <w:pStyle w:val="BodyText"/>
        <w:spacing w:before="0" w:after="0"/>
        <w:jc w:val="center"/>
        <w:rPr>
          <w:rFonts w:ascii="Arial" w:hAnsi="Arial"/>
          <w:sz w:val="18"/>
          <w:szCs w:val="18"/>
        </w:rPr>
      </w:pPr>
      <w:r>
        <w:rPr>
          <w:rFonts w:ascii="Arial" w:hAnsi="Arial"/>
          <w:sz w:val="18"/>
          <w:szCs w:val="18"/>
        </w:rPr>
      </w:r>
    </w:p>
    <w:p>
      <w:pPr>
        <w:pStyle w:val="BodyText"/>
        <w:spacing w:before="0" w:after="0"/>
        <w:jc w:val="center"/>
        <w:rPr>
          <w:sz w:val="18"/>
          <w:szCs w:val="18"/>
        </w:rPr>
      </w:pPr>
      <w:r>
        <w:rPr>
          <w:rFonts w:ascii="Arial" w:hAnsi="Arial"/>
          <w:i/>
          <w:iCs/>
          <w:color w:val="00000A"/>
          <w:sz w:val="18"/>
          <w:szCs w:val="18"/>
        </w:rPr>
        <w:t>______________________</w:t>
      </w:r>
    </w:p>
    <w:p>
      <w:pPr>
        <w:pStyle w:val="BodyText"/>
        <w:spacing w:before="0" w:after="0"/>
        <w:jc w:val="center"/>
        <w:rPr>
          <w:sz w:val="18"/>
          <w:szCs w:val="18"/>
        </w:rPr>
      </w:pPr>
      <w:r>
        <w:rPr>
          <w:rFonts w:eastAsia="Times New Roman" w:cs="Arial" w:ascii="Arial" w:hAnsi="Arial"/>
          <w:i/>
          <w:iCs/>
          <w:color w:val="999999"/>
          <w:sz w:val="18"/>
          <w:szCs w:val="18"/>
          <w:shd w:fill="FFFFFF" w:val="clear"/>
          <w:lang w:val="pt-BR" w:eastAsia="zh-CN" w:bidi="ar-SA"/>
        </w:rPr>
        <w:t>Assinatura do proponente</w:t>
      </w:r>
    </w:p>
    <w:sectPr>
      <w:headerReference w:type="default" r:id="rId2"/>
      <w:footerReference w:type="default" r:id="rId3"/>
      <w:type w:val="nextPage"/>
      <w:pgSz w:w="11906" w:h="16838"/>
      <w:pgMar w:left="1600" w:right="1580" w:gutter="0" w:header="495" w:top="1350" w:footer="294" w:bottom="968"/>
      <w:pgNumType w:fmt="decimal"/>
      <w:formProt w:val="false"/>
      <w:textDirection w:val="lrTb"/>
      <w:docGrid w:type="default" w:linePitch="2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roman"/>
    <w:pitch w:val="variable"/>
  </w:font>
  <w:font w:name="Arial">
    <w:charset w:val="00"/>
    <w:family w:val="roman"/>
    <w:pitch w:val="variable"/>
  </w:font>
  <w:font w:name="Liberation Sans">
    <w:altName w:val="Arial"/>
    <w:charset w:val="00"/>
    <w:family w:val="roman"/>
    <w:pitch w:val="variable"/>
  </w:font>
  <w:font w:name="MS UI Gothic">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bidi w:val="0"/>
      <w:jc w:val="center"/>
      <w:rPr>
        <w:rFonts w:ascii="Arial" w:hAnsi="Arial"/>
        <w:b/>
        <w:bCs/>
        <w:sz w:val="18"/>
        <w:szCs w:val="18"/>
      </w:rPr>
    </w:pPr>
    <w:r>
      <w:rPr>
        <w:rFonts w:ascii="Arial" w:hAnsi="Arial"/>
        <w:b/>
        <w:bCs/>
        <w:sz w:val="18"/>
        <w:szCs w:val="18"/>
      </w:rPr>
      <w:fldChar w:fldCharType="begin"/>
    </w:r>
    <w:r>
      <w:rPr>
        <w:sz w:val="18"/>
        <w:b/>
        <w:szCs w:val="18"/>
        <w:bCs/>
        <w:rFonts w:ascii="Arial" w:hAnsi="Arial"/>
      </w:rPr>
      <w:instrText xml:space="preserve"> PAGE </w:instrText>
    </w:r>
    <w:r>
      <w:rPr>
        <w:sz w:val="18"/>
        <w:b/>
        <w:szCs w:val="18"/>
        <w:bCs/>
        <w:rFonts w:ascii="Arial" w:hAnsi="Arial"/>
      </w:rPr>
      <w:fldChar w:fldCharType="separate"/>
    </w:r>
    <w:r>
      <w:rPr>
        <w:sz w:val="18"/>
        <w:b/>
        <w:szCs w:val="18"/>
        <w:bCs/>
        <w:rFonts w:ascii="Arial" w:hAnsi="Arial"/>
      </w:rPr>
      <w:t>6</w:t>
    </w:r>
    <w:r>
      <w:rPr>
        <w:sz w:val="18"/>
        <w:b/>
        <w:szCs w:val="18"/>
        <w:bCs/>
        <w:rFonts w:ascii="Arial" w:hAnsi="Arial"/>
      </w:rPr>
      <w:fldChar w:fldCharType="end"/>
    </w:r>
    <w:r>
      <w:rPr>
        <w:rFonts w:cs="Cambria" w:ascii="Arial" w:hAnsi="Arial"/>
        <w:b/>
        <w:bCs/>
        <w:i/>
        <w:iCs/>
        <w:color w:val="333333"/>
        <w:sz w:val="18"/>
        <w:szCs w:val="18"/>
      </w:rPr>
      <w:t>/</w:t>
    </w:r>
    <w:r>
      <w:rPr>
        <w:rFonts w:ascii="Arial" w:hAnsi="Arial"/>
        <w:b/>
        <w:bCs/>
        <w:sz w:val="18"/>
        <w:szCs w:val="18"/>
      </w:rPr>
      <w:fldChar w:fldCharType="begin"/>
    </w:r>
    <w:r>
      <w:rPr>
        <w:sz w:val="18"/>
        <w:b/>
        <w:szCs w:val="18"/>
        <w:bCs/>
        <w:rFonts w:ascii="Arial" w:hAnsi="Arial"/>
      </w:rPr>
      <w:instrText xml:space="preserve"> NUMPAGES </w:instrText>
    </w:r>
    <w:r>
      <w:rPr>
        <w:sz w:val="18"/>
        <w:b/>
        <w:szCs w:val="18"/>
        <w:bCs/>
        <w:rFonts w:ascii="Arial" w:hAnsi="Arial"/>
      </w:rPr>
      <w:fldChar w:fldCharType="separate"/>
    </w:r>
    <w:r>
      <w:rPr>
        <w:sz w:val="18"/>
        <w:b/>
        <w:szCs w:val="18"/>
        <w:bCs/>
        <w:rFonts w:ascii="Arial" w:hAnsi="Arial"/>
      </w:rPr>
      <w:t>6</w:t>
    </w:r>
    <w:r>
      <w:rPr>
        <w:sz w:val="18"/>
        <w:b/>
        <w:szCs w:val="18"/>
        <w:bCs/>
        <w:rFonts w:ascii="Arial" w:hAnsi="Arial"/>
      </w:rPr>
      <w:fldChar w:fldCharType="end"/>
    </w:r>
  </w:p>
  <w:p>
    <w:pPr>
      <w:pStyle w:val="Normal"/>
      <w:bidi w:val="0"/>
      <w:jc w:val="center"/>
      <w:rPr>
        <w:rFonts w:ascii="Arial" w:hAnsi="Arial"/>
        <w:sz w:val="16"/>
        <w:szCs w:val="16"/>
      </w:rPr>
    </w:pPr>
    <w:r>
      <w:rPr>
        <w:rFonts w:ascii="Arial" w:hAnsi="Arial"/>
        <w:sz w:val="16"/>
        <w:szCs w:val="16"/>
      </w:rPr>
    </w:r>
  </w:p>
  <w:p>
    <w:pPr>
      <w:pStyle w:val="Footer"/>
      <w:bidi w:val="0"/>
      <w:jc w:val="left"/>
      <w:rPr>
        <w:rFonts w:ascii="Arial" w:hAnsi="Arial"/>
        <w:sz w:val="16"/>
        <w:szCs w:val="16"/>
      </w:rPr>
    </w:pPr>
    <w:r>
      <w:rPr>
        <w:rFonts w:cs="Cambria" w:ascii="Arial" w:hAnsi="Arial"/>
        <w:i/>
        <w:iCs/>
        <w:color w:val="333333"/>
        <w:sz w:val="16"/>
        <w:szCs w:val="16"/>
      </w:rPr>
      <w:t>Esplanada do Lago “Carlos Rodrigues Serra”, 160 – Vila Serra                                                    CNPJ 50.387.844/0001-05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bidi w:val="0"/>
      <w:ind w:hanging="0" w:left="367" w:right="0"/>
      <w:jc w:val="center"/>
      <w:rPr/>
    </w:pPr>
    <w:r>
      <w:drawing>
        <wp:anchor behindDoc="1" distT="0" distB="0" distL="0" distR="0" simplePos="0" locked="0" layoutInCell="0" allowOverlap="1" relativeHeight="7">
          <wp:simplePos x="0" y="0"/>
          <wp:positionH relativeFrom="column">
            <wp:posOffset>-105410</wp:posOffset>
          </wp:positionH>
          <wp:positionV relativeFrom="paragraph">
            <wp:posOffset>-123825</wp:posOffset>
          </wp:positionV>
          <wp:extent cx="641350" cy="606425"/>
          <wp:effectExtent l="0" t="0" r="0" b="0"/>
          <wp:wrapSquare wrapText="largest"/>
          <wp:docPr id="1"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4" descr=""/>
                  <pic:cNvPicPr>
                    <a:picLocks noChangeAspect="1" noChangeArrowheads="1"/>
                  </pic:cNvPicPr>
                </pic:nvPicPr>
                <pic:blipFill>
                  <a:blip r:embed="rId1"/>
                  <a:stretch>
                    <a:fillRect/>
                  </a:stretch>
                </pic:blipFill>
                <pic:spPr bwMode="auto">
                  <a:xfrm>
                    <a:off x="0" y="0"/>
                    <a:ext cx="641350" cy="606425"/>
                  </a:xfrm>
                  <a:prstGeom prst="rect">
                    <a:avLst/>
                  </a:prstGeom>
                </pic:spPr>
              </pic:pic>
            </a:graphicData>
          </a:graphic>
        </wp:anchor>
      </w:drawing>
    </w:r>
    <w:r>
      <w:rPr>
        <w:spacing w:val="40"/>
        <w:sz w:val="34"/>
        <w:szCs w:val="34"/>
        <w:lang w:val="pt-BR" w:eastAsia="pt-BR"/>
      </w:rPr>
      <w:t>Prefeitura Municipal de Jaboticabal</w:t>
    </w:r>
  </w:p>
  <w:p>
    <w:pPr>
      <w:pStyle w:val="Header"/>
      <w:bidi w:val="0"/>
      <w:ind w:hanging="0" w:left="367" w:right="0"/>
      <w:jc w:val="center"/>
      <w:rPr>
        <w:spacing w:val="40"/>
        <w:sz w:val="16"/>
        <w:szCs w:val="16"/>
        <w:lang w:val="pt-BR" w:eastAsia="pt-BR"/>
      </w:rPr>
    </w:pPr>
    <w:r>
      <w:rPr>
        <w:spacing w:val="40"/>
        <w:sz w:val="16"/>
        <w:szCs w:val="16"/>
        <w:lang w:val="pt-BR" w:eastAsia="pt-BR"/>
      </w:rPr>
    </w:r>
  </w:p>
  <w:p>
    <w:pPr>
      <w:pStyle w:val="Header"/>
      <w:bidi w:val="0"/>
      <w:ind w:hanging="0" w:left="367" w:right="0"/>
      <w:jc w:val="center"/>
      <w:rPr>
        <w:rFonts w:ascii="Calibri" w:hAnsi="Calibri" w:eastAsia="Arial" w:cs="Calibri"/>
        <w:b w:val="false"/>
        <w:bCs w:val="false"/>
        <w:color w:val="00000A"/>
        <w:spacing w:val="60"/>
        <w:sz w:val="20"/>
        <w:szCs w:val="20"/>
        <w:lang w:val="pt-BR" w:eastAsia="pt-BR" w:bidi="ar-SA"/>
      </w:rPr>
    </w:pPr>
    <w:r>
      <w:rPr>
        <w:rFonts w:eastAsia="Arial" w:cs="Calibri" w:ascii="Calibri" w:hAnsi="Calibri"/>
        <w:b w:val="false"/>
        <w:bCs w:val="false"/>
        <w:color w:val="00000A"/>
        <w:spacing w:val="60"/>
        <w:sz w:val="20"/>
        <w:szCs w:val="20"/>
        <w:lang w:val="pt-BR" w:eastAsia="pt-BR" w:bidi="ar-SA"/>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Cs w:val="22"/>
        <w:lang w:val="en-US" w:eastAsia="en-US" w:bidi="ar-SA"/>
      </w:rPr>
    </w:rPrDefault>
    <w:pPrDefault>
      <w:pPr>
        <w:suppressAutoHyphens w:val="true"/>
      </w:pPr>
    </w:pPrDefault>
  </w:docDefaults>
  <w:style w:type="paragraph" w:styleId="Normal">
    <w:name w:val="Normal"/>
    <w:qFormat/>
    <w:pPr>
      <w:widowControl w:val="false"/>
      <w:suppressAutoHyphens w:val="true"/>
      <w:overflowPunct w:val="false"/>
      <w:bidi w:val="0"/>
      <w:spacing w:lineRule="auto" w:line="240" w:before="0" w:after="0"/>
      <w:ind w:hanging="0" w:left="0" w:right="0"/>
      <w:jc w:val="left"/>
    </w:pPr>
    <w:rPr>
      <w:rFonts w:ascii="Arial MT" w:hAnsi="Arial MT" w:eastAsia="Arial MT" w:cs="Arial MT"/>
      <w:color w:val="00000A"/>
      <w:kern w:val="0"/>
      <w:sz w:val="22"/>
      <w:szCs w:val="22"/>
      <w:lang w:val="pt-PT" w:eastAsia="en-US" w:bidi="ar-SA"/>
    </w:rPr>
  </w:style>
  <w:style w:type="paragraph" w:styleId="Heading1">
    <w:name w:val="Heading 1"/>
    <w:basedOn w:val="Normal"/>
    <w:qFormat/>
    <w:pPr>
      <w:ind w:hanging="0" w:left="0" w:right="19"/>
      <w:jc w:val="center"/>
      <w:outlineLvl w:val="1"/>
    </w:pPr>
    <w:rPr>
      <w:rFonts w:ascii="Arial" w:hAnsi="Arial" w:eastAsia="Arial" w:cs="Arial"/>
      <w:b/>
      <w:bCs/>
      <w:sz w:val="20"/>
      <w:szCs w:val="20"/>
      <w:lang w:val="pt-PT" w:eastAsia="en-US" w:bidi="ar-SA"/>
    </w:rPr>
  </w:style>
  <w:style w:type="paragraph" w:styleId="Heading2">
    <w:name w:val="Heading 2"/>
    <w:basedOn w:val="Ttulo"/>
    <w:qFormat/>
    <w:pPr/>
    <w:rPr/>
  </w:style>
  <w:style w:type="paragraph" w:styleId="Heading3">
    <w:name w:val="Heading 3"/>
    <w:basedOn w:val="Ttulo"/>
    <w:qFormat/>
    <w:pPr/>
    <w:rPr/>
  </w:style>
  <w:style w:type="character" w:styleId="DefaultParagraphFont">
    <w:name w:val="Default Paragraph Font"/>
    <w:qFormat/>
    <w:rPr/>
  </w:style>
  <w:style w:type="character" w:styleId="Hyperlink">
    <w:name w:val="Hyperlink"/>
    <w:rPr>
      <w:color w:val="000080"/>
      <w:u w:val="single"/>
    </w:rPr>
  </w:style>
  <w:style w:type="character" w:styleId="WW-Fontepargpadro1">
    <w:name w:val="WW-Fonte parág. padrão1"/>
    <w:qFormat/>
    <w:rPr/>
  </w:style>
  <w:style w:type="character" w:styleId="Fontepargpadro">
    <w:name w:val="Fonte parág. padrão"/>
    <w:qFormat/>
    <w:rPr/>
  </w:style>
  <w:style w:type="character" w:styleId="WWCharLFO7LVL1">
    <w:name w:val="WW_CharLFO7LVL1"/>
    <w:qFormat/>
    <w:rPr>
      <w:rFonts w:ascii="Arial" w:hAnsi="Arial" w:cs="Arial"/>
      <w:b/>
      <w:sz w:val="22"/>
      <w:szCs w:val="22"/>
      <w:u w:val="none"/>
    </w:rPr>
  </w:style>
  <w:style w:type="character" w:styleId="WWCharLFO7LVL2">
    <w:name w:val="WW_CharLFO7LVL2"/>
    <w:qFormat/>
    <w:rPr>
      <w:rFonts w:ascii="Arial" w:hAnsi="Arial" w:cs="Arial"/>
      <w:b w:val="false"/>
      <w:bCs w:val="false"/>
      <w:color w:val="000000"/>
      <w:sz w:val="22"/>
      <w:szCs w:val="22"/>
      <w:u w:val="none"/>
    </w:rPr>
  </w:style>
  <w:style w:type="character" w:styleId="WWCharLFO7LVL3">
    <w:name w:val="WW_CharLFO7LVL3"/>
    <w:qFormat/>
    <w:rPr>
      <w:rFonts w:ascii="Arial" w:hAnsi="Arial" w:cs="Arial"/>
      <w:b w:val="false"/>
      <w:bCs w:val="false"/>
      <w:color w:val="000000"/>
      <w:sz w:val="22"/>
      <w:szCs w:val="22"/>
      <w:u w:val="none"/>
    </w:rPr>
  </w:style>
  <w:style w:type="character" w:styleId="WWCharLFO7LVL4">
    <w:name w:val="WW_CharLFO7LVL4"/>
    <w:qFormat/>
    <w:rPr>
      <w:rFonts w:ascii="Arial" w:hAnsi="Arial" w:cs="Arial"/>
      <w:b w:val="false"/>
      <w:bCs w:val="false"/>
      <w:sz w:val="22"/>
      <w:szCs w:val="22"/>
      <w:u w:val="none"/>
    </w:rPr>
  </w:style>
  <w:style w:type="character" w:styleId="WWCharLFO7LVL5">
    <w:name w:val="WW_CharLFO7LVL5"/>
    <w:qFormat/>
    <w:rPr>
      <w:rFonts w:ascii="Arial" w:hAnsi="Arial" w:cs="Arial"/>
      <w:b/>
      <w:sz w:val="24"/>
      <w:szCs w:val="24"/>
      <w:u w:val="none"/>
    </w:rPr>
  </w:style>
  <w:style w:type="character" w:styleId="WWCharLFO7LVL6">
    <w:name w:val="WW_CharLFO7LVL6"/>
    <w:qFormat/>
    <w:rPr>
      <w:rFonts w:ascii="Arial" w:hAnsi="Arial" w:cs="Arial"/>
      <w:b/>
      <w:sz w:val="24"/>
      <w:szCs w:val="24"/>
      <w:u w:val="none"/>
    </w:rPr>
  </w:style>
  <w:style w:type="character" w:styleId="WWCharLFO7LVL7">
    <w:name w:val="WW_CharLFO7LVL7"/>
    <w:qFormat/>
    <w:rPr>
      <w:rFonts w:ascii="Arial" w:hAnsi="Arial" w:cs="Arial"/>
      <w:b/>
      <w:sz w:val="24"/>
      <w:szCs w:val="24"/>
      <w:u w:val="none"/>
    </w:rPr>
  </w:style>
  <w:style w:type="character" w:styleId="WWCharLFO7LVL8">
    <w:name w:val="WW_CharLFO7LVL8"/>
    <w:qFormat/>
    <w:rPr>
      <w:rFonts w:ascii="Arial" w:hAnsi="Arial" w:cs="Arial"/>
      <w:b/>
      <w:sz w:val="24"/>
      <w:szCs w:val="24"/>
      <w:u w:val="none"/>
    </w:rPr>
  </w:style>
  <w:style w:type="character" w:styleId="WWCharLFO7LVL9">
    <w:name w:val="WW_CharLFO7LVL9"/>
    <w:qFormat/>
    <w:rPr>
      <w:rFonts w:ascii="Arial" w:hAnsi="Arial" w:cs="Arial"/>
      <w:b/>
      <w:sz w:val="24"/>
      <w:szCs w:val="24"/>
      <w:u w:val="non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rPr>
      <w:rFonts w:ascii="Arial MT" w:hAnsi="Arial MT" w:eastAsia="Arial MT" w:cs="Arial MT"/>
      <w:sz w:val="20"/>
      <w:szCs w:val="20"/>
      <w:lang w:val="pt-PT" w:eastAsia="en-US" w:bidi="ar-S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itle">
    <w:name w:val="Title"/>
    <w:basedOn w:val="Normal"/>
    <w:qFormat/>
    <w:pPr>
      <w:spacing w:before="22" w:after="0"/>
      <w:ind w:hanging="0" w:left="589" w:right="0"/>
    </w:pPr>
    <w:rPr>
      <w:rFonts w:ascii="MS UI Gothic" w:hAnsi="MS UI Gothic" w:eastAsia="MS UI Gothic" w:cs="MS UI Gothic"/>
      <w:sz w:val="36"/>
      <w:szCs w:val="36"/>
      <w:lang w:val="pt-PT" w:eastAsia="en-US" w:bidi="ar-SA"/>
    </w:rPr>
  </w:style>
  <w:style w:type="paragraph" w:styleId="ListParagraph">
    <w:name w:val="List Paragraph"/>
    <w:basedOn w:val="Normal"/>
    <w:qFormat/>
    <w:pPr/>
    <w:rPr>
      <w:lang w:val="pt-PT" w:eastAsia="en-US" w:bidi="ar-SA"/>
    </w:rPr>
  </w:style>
  <w:style w:type="paragraph" w:styleId="TableParagraph">
    <w:name w:val="Table Paragraph"/>
    <w:basedOn w:val="Normal"/>
    <w:qFormat/>
    <w:pPr/>
    <w:rPr>
      <w:lang w:val="pt-PT" w:eastAsia="en-US" w:bidi="ar-SA"/>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abealhoeRodap">
    <w:name w:val="Cabeçalho e Rodapé"/>
    <w:basedOn w:val="Normal"/>
    <w:qFormat/>
    <w:pPr>
      <w:suppressLineNumbers/>
      <w:tabs>
        <w:tab w:val="clear" w:pos="720"/>
        <w:tab w:val="center" w:pos="4363" w:leader="none"/>
        <w:tab w:val="right" w:pos="8726" w:leader="none"/>
      </w:tabs>
    </w:pPr>
    <w:rPr/>
  </w:style>
  <w:style w:type="paragraph" w:styleId="Header">
    <w:name w:val="Header"/>
    <w:basedOn w:val="CabealhoeRodap"/>
    <w:pPr>
      <w:suppressLineNumbers/>
    </w:pPr>
    <w:rPr/>
  </w:style>
  <w:style w:type="paragraph" w:styleId="Footer">
    <w:name w:val="Footer"/>
    <w:basedOn w:val="CabealhoeRodap"/>
    <w:pPr>
      <w:suppressLineNumbers/>
    </w:pPr>
    <w:rPr/>
  </w:style>
  <w:style w:type="paragraph" w:styleId="WW-Corpodetexto2">
    <w:name w:val="WW-Corpo de texto 2"/>
    <w:basedOn w:val="Normal"/>
    <w:qFormat/>
    <w:pPr>
      <w:widowControl w:val="false"/>
      <w:tabs>
        <w:tab w:val="clear" w:pos="720"/>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jc w:val="both"/>
    </w:pPr>
    <w:rPr>
      <w:sz w:val="24"/>
    </w:rPr>
  </w:style>
  <w:style w:type="paragraph" w:styleId="Contedodetabela">
    <w:name w:val="Conteúdo de tabela"/>
    <w:basedOn w:val="Normal"/>
    <w:qFormat/>
    <w:pPr>
      <w:suppressLineNumbers/>
    </w:pPr>
    <w:rPr/>
  </w:style>
  <w:style w:type="paragraph" w:styleId="Citaes">
    <w:name w:val="Citações"/>
    <w:basedOn w:val="Normal"/>
    <w:qFormat/>
    <w:pPr/>
    <w:rPr/>
  </w:style>
  <w:style w:type="paragraph" w:styleId="Subtitle">
    <w:name w:val="Subtitle"/>
    <w:basedOn w:val="Ttulo"/>
    <w:qFormat/>
    <w:pPr/>
    <w:rPr/>
  </w:style>
  <w:style w:type="numbering" w:styleId="WW8Num5">
    <w:name w:val="WW8Num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26</TotalTime>
  <Application>LibreOffice/7.6.3.2$Windows_X86_64 LibreOffice_project/29d686fea9f6705b262d369fede658f824154cc0</Application>
  <AppVersion>15.0000</AppVersion>
  <Pages>6</Pages>
  <Words>1481</Words>
  <Characters>7977</Characters>
  <CharactersWithSpaces>9303</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2024-01-23T14:48:59Z</dcterms:created>
  <dc:creator>Raphael Bertolli</dc:creator>
  <dc:description/>
  <dc:language>pt-BR</dc:language>
  <cp:lastModifiedBy/>
  <cp:lastPrinted>2025-03-13T14:43:35Z</cp:lastPrinted>
  <dcterms:modified xsi:type="dcterms:W3CDTF">2025-03-26T12:41:18Z</dcterms:modified>
  <cp:revision>67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2024-01-18T00:00:00Z</vt:filetime>
  </property>
  <property fmtid="{D5CDD505-2E9C-101B-9397-08002B2CF9AE}" pid="3" name="Creator">
    <vt:lpwstr>Microsoft® Word 2013</vt:lpwstr>
  </property>
  <property fmtid="{D5CDD505-2E9C-101B-9397-08002B2CF9AE}" pid="4" name="LastSaved">
    <vt:filetime>2024-01-23T00:00:00Z</vt:filetime>
  </property>
  <property fmtid="{D5CDD505-2E9C-101B-9397-08002B2CF9AE}" pid="5" name="Producer">
    <vt:lpwstr>Microsoft® Word 2013</vt:lpwstr>
  </property>
</Properties>
</file>