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1"/>
          <w:numId w:val="1"/>
        </w:numPr>
        <w:tabs>
          <w:tab w:val="clear" w:pos="720"/>
          <w:tab w:val="left" w:pos="0" w:leader="none"/>
        </w:tabs>
        <w:ind w:hanging="0" w:start="0"/>
        <w:rPr/>
      </w:pPr>
      <w:bookmarkStart w:id="0" w:name="__RefHeading___Toc29703_3585316353"/>
      <w:bookmarkEnd w:id="0"/>
      <w:r>
        <w:rPr>
          <w:rStyle w:val="Fontepargpadro"/>
          <w:rFonts w:cs="Arial"/>
          <w:b/>
          <w:bCs/>
          <w:color w:val="000000"/>
          <w:spacing w:val="60"/>
          <w:sz w:val="28"/>
          <w:szCs w:val="28"/>
        </w:rPr>
        <w:t>ANEXO – II</w:t>
      </w:r>
    </w:p>
    <w:p>
      <w:pPr>
        <w:pStyle w:val="Normal"/>
        <w:spacing w:lineRule="auto" w:line="240" w:before="0" w:after="85"/>
        <w:ind w:hanging="0" w:start="0" w:end="0"/>
        <w:jc w:val="center"/>
        <w:rPr/>
      </w:pPr>
      <w:r>
        <w:rPr>
          <w:rStyle w:val="Fontepargpadro"/>
          <w:rFonts w:cs="Arial" w:ascii="Arial" w:hAnsi="Arial"/>
          <w:b/>
          <w:bCs/>
          <w:color w:val="000000"/>
          <w:sz w:val="22"/>
          <w:szCs w:val="22"/>
        </w:rPr>
        <w:t>PREGÃO ELETRÔNICO Nº 060/2026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cs="Arial" w:ascii="Arial" w:hAnsi="Arial"/>
          <w:b/>
          <w:color w:val="000000"/>
          <w:sz w:val="26"/>
          <w:szCs w:val="26"/>
        </w:rPr>
        <w:t>MODELO DE PROPOSTA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(ESTE MODELO DE PROPOSTA DEVERÁ SER PREENCHIDO PELO LICITANTE VENCEDOR)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"/>
          <w:szCs w:val="2"/>
        </w:rPr>
      </w:pPr>
      <w:r>
        <w:rPr>
          <w:rFonts w:cs="Arial" w:ascii="Arial" w:hAnsi="Arial"/>
          <w:b/>
          <w:color w:val="000000"/>
          <w:sz w:val="2"/>
          <w:szCs w:val="2"/>
        </w:rPr>
      </w:r>
    </w:p>
    <w:tbl>
      <w:tblPr>
        <w:tblW w:w="14829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64"/>
        <w:gridCol w:w="4649"/>
        <w:gridCol w:w="872"/>
        <w:gridCol w:w="2239"/>
        <w:gridCol w:w="188"/>
        <w:gridCol w:w="1335"/>
        <w:gridCol w:w="3781"/>
      </w:tblGrid>
      <w:tr>
        <w:trPr/>
        <w:tc>
          <w:tcPr>
            <w:tcW w:w="1764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5521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427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Endereço:</w:t>
            </w:r>
          </w:p>
        </w:tc>
        <w:tc>
          <w:tcPr>
            <w:tcW w:w="4649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Nº:</w:t>
            </w:r>
          </w:p>
        </w:tc>
        <w:tc>
          <w:tcPr>
            <w:tcW w:w="2427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Bairro:</w:t>
            </w:r>
          </w:p>
        </w:tc>
        <w:tc>
          <w:tcPr>
            <w:tcW w:w="3781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523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3781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3781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jc w:val="center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tbl>
      <w:tblPr>
        <w:tblW w:w="14805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753"/>
        <w:gridCol w:w="1526"/>
        <w:gridCol w:w="960"/>
        <w:gridCol w:w="1020"/>
        <w:gridCol w:w="6181"/>
        <w:gridCol w:w="1460"/>
        <w:gridCol w:w="1319"/>
        <w:gridCol w:w="1584"/>
      </w:tblGrid>
      <w:tr>
        <w:trPr>
          <w:tblHeader w:val="true"/>
        </w:trPr>
        <w:tc>
          <w:tcPr>
            <w:tcW w:w="75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ITEM</w:t>
            </w:r>
          </w:p>
        </w:tc>
        <w:tc>
          <w:tcPr>
            <w:tcW w:w="152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DISPUTA</w:t>
            </w:r>
          </w:p>
        </w:tc>
        <w:tc>
          <w:tcPr>
            <w:tcW w:w="9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QTD</w:t>
            </w:r>
          </w:p>
        </w:tc>
        <w:tc>
          <w:tcPr>
            <w:tcW w:w="102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DESCRIÇÃO</w:t>
            </w:r>
          </w:p>
        </w:tc>
        <w:tc>
          <w:tcPr>
            <w:tcW w:w="14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MARCA</w:t>
            </w:r>
          </w:p>
        </w:tc>
        <w:tc>
          <w:tcPr>
            <w:tcW w:w="131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VALOR UNITÁRIO</w:t>
            </w:r>
          </w:p>
          <w:p>
            <w:pPr>
              <w:pStyle w:val="Ttulodetabela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(R$)</w:t>
            </w:r>
          </w:p>
        </w:tc>
        <w:tc>
          <w:tcPr>
            <w:tcW w:w="1584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VALOR TOTAL</w:t>
            </w:r>
          </w:p>
          <w:p>
            <w:pPr>
              <w:pStyle w:val="Ttulodetabela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(R$)</w:t>
            </w:r>
          </w:p>
        </w:tc>
      </w:tr>
      <w:tr>
        <w:trPr/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Avental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de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raspa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couro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,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0,60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 x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1,00 m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,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sem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emendas</w:t>
            </w:r>
            <w:r>
              <w:rPr>
                <w:rFonts w:eastAsia="Arial" w:cs="Courier New" w:ascii="Arial" w:hAnsi="Arial"/>
                <w:b w:val="false"/>
                <w:bCs w:val="false"/>
                <w:color w:val="000000"/>
                <w:spacing w:val="60"/>
                <w:kern w:val="2"/>
                <w:sz w:val="22"/>
                <w:szCs w:val="22"/>
                <w:u w:val="none"/>
                <w:lang w:val="zxx"/>
              </w:rPr>
              <w:t xml:space="preserve">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360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Botina de segurança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c/ elástico preto, para uso ocupacional, abertura lateral em elástico recoberto, confeccionada em vaqueta, colarinho acolchoado, forro interno na gáspea não tecido e forro do cano em sanitec dublado com manta de não tecido com tratamento antimicrobiano, biqueira de PVC, palmilha de montagem não tecido,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solado injeção direta bidensidade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bicolor e sobre palmilha antimicrobiana. Possuir certificado de aprovação válido junto ao ministério do trabalho e emprego. Cor: Preto. Tamanho diverso 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Apresentar amostra.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24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Capacete de segurança para uso ocupacional, tipo aba frontal, </w:t>
            </w:r>
            <w:r>
              <w:rPr>
                <w:rStyle w:val="Strong"/>
                <w:rFonts w:ascii="Arial" w:hAnsi="Arial"/>
                <w:sz w:val="22"/>
                <w:szCs w:val="22"/>
              </w:rPr>
              <w:t>Classe B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, confeccionado em polietileno de alta densidade (PEAD), de elevada resistência a impactos e penetração. Dotado de </w:t>
            </w:r>
            <w:r>
              <w:rPr>
                <w:rStyle w:val="Strong"/>
                <w:rFonts w:ascii="Arial" w:hAnsi="Arial"/>
                <w:sz w:val="22"/>
                <w:szCs w:val="22"/>
              </w:rPr>
              <w:t>carneira com suspensão interna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, proporcionando absorção de impactos, ajuste confortável e distribuição uniforme da carga sobre a cabeça. Equipado com </w:t>
            </w:r>
            <w:r>
              <w:rPr>
                <w:rStyle w:val="Strong"/>
                <w:rFonts w:ascii="Arial" w:hAnsi="Arial"/>
                <w:sz w:val="22"/>
                <w:szCs w:val="22"/>
              </w:rPr>
              <w:t>jugular regulável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, garantindo melhor fixação do capacete durante a utilização.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Cor: branca.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Atender integralmente à </w:t>
            </w:r>
            <w:r>
              <w:rPr>
                <w:rStyle w:val="Strong"/>
                <w:rFonts w:ascii="Arial" w:hAnsi="Arial"/>
                <w:sz w:val="22"/>
                <w:szCs w:val="22"/>
              </w:rPr>
              <w:t>ABNT NBR 8221:2023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(ou edição vigente à época do fornecimento), relativa a capacetes de segurança para uso ocupacional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120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Cone de sinalização –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borracha flexível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– 75 cm – laranja e branco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 w:before="114" w:after="114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120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Conjunto impermeável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composto por jaqueta e calça, confeccionado em PVC laminado ou tecido sintético impermeável de alta resistência, com costuras soldadas eletronicamente ou seladas, proporcionando proteção contra chuva e umidade. Jaqueta com fechamento frontal por zíper e/ou botões de pressão, capuz fixo ou embutido, punhos ajustáveis e ventilação, quando aplicável. Calça com elástico na cintura e barra ajustável. Material resistente a rasgos, flexível e de fácil higienização. Disponível em tamanhos G, GG e XG, conforme necessidade. O produto deverá atender às normas técnicas aplicáveis e ser fornecido novo, sem uso, em embalagem original. Produto deverá vir com o silk “PREFEITURA DE JABOTICABAL” nas costas da jaqueta.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120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Creme para proteção</w:t>
            </w:r>
            <w:r>
              <w:rPr>
                <w:rFonts w:ascii="Arial" w:hAnsi="Arial"/>
                <w:sz w:val="22"/>
                <w:szCs w:val="22"/>
              </w:rPr>
              <w:t xml:space="preserve"> 3 em 1-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Grupo 3</w:t>
            </w:r>
            <w:r>
              <w:rPr>
                <w:rFonts w:ascii="Arial" w:hAnsi="Arial"/>
                <w:sz w:val="22"/>
                <w:szCs w:val="22"/>
              </w:rPr>
              <w:t xml:space="preserve"> -  Água, óleo e pintura – Bisnaga com 200 gramas – Uso ocupacional, PH neutro, indicado para proteção contra ações de produtos nocivos, tais como: Graxa, gasolina, óleo mineral, querosene, thinner e tintas.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200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Faixa refletiva lateral 30 x 5 cm – lado direito/esquerdo – com a inscrição “Aprovado Denatran”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400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Fita para sinalização, preta/amarela, rolo com 200 metros de comprimento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Lente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para máscara de solda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transparente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100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Lente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para máscara de solda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fumê número 10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i w:val="false"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  <w:t>Exclusivo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i w:val="false"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  <w:t>ME/EPP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1.600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Luva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de segurança confeccionada em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vaqueta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– tipo pretoleira – com tira de reforço externo em vaqueta nos dedos polegar e indicador, reforço interno em vaqueta na palma, elástico no dorso para ajuste. ABNT 13712-96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Apresentar amostra.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i w:val="false"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  <w:t>Exclusivo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i w:val="false"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color w:val="FF0000"/>
                <w:sz w:val="18"/>
                <w:szCs w:val="18"/>
                <w:shd w:fill="auto" w:val="clear"/>
              </w:rPr>
              <w:t>ME/EPP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1.600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Luva tricotada 100% algodão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,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revestimento na palma e dedos em látex natural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, nitrilon, punho com elástico, tamanho: 9. Palma antiderrapante. Embalagem individual do fabricante com um par; risco mecânico: EN 388 – deverá vir impresso na luva e na embalagem risco mecânico, CA, Tamanho e nome do fabricante. 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Apresentar amostra.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Imagem meramente ilustrativa:</w:t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46355</wp:posOffset>
                  </wp:positionV>
                  <wp:extent cx="995045" cy="1120140"/>
                  <wp:effectExtent l="0" t="0" r="0" b="0"/>
                  <wp:wrapSquare wrapText="largest"/>
                  <wp:docPr id="1" name="Figura1 Copia 1 Copia 1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 Copia 1 Copia 1" descr="" titl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35" t="-31" r="-35" b="-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4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1600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Luva proteção mecânica P.U.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– luva de segurança, poliamida revestida em poliuretano na palma, face palmar e pontas dos dedos, punho com elastano. Ação antiestática – EN 388 riscos mecânicos, EN 407 riscos térmicos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360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Máscara para pó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, poeira, aerossol: respirador purificador de ar tipo peça semifacial filtrante para partículas – PFF2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360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Óculos de proteção fumê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resistente a impacto, com proteção UVA e UVB, hastes reguláveis lente e proteção laterais confeccionadas com mesmo material. Acondicionado em embalagem individual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24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Perneira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em couro sintético com velcro, com proteção no joelho e no metatarso 3 – talas – com 50 cm de altura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 w:before="57" w:after="57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24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Protetor tipo concha 24 db (a).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Protetor auditivo constituído por conchas de material plástico, moldado anatomicamente. Concha revestida internamente de espuma e material plástico, sendo encaixada à borda uma almofada, igualmente de material plástico, arco injetado em plástico flexível, revestido por uma almofada, também de material plástico, dispondo de recursos nas extremidades, que proporcionam a articulação das conchas, permitido adaptação adequada à cabeça e sob pressão dos dois abafadores.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Apresentar amostra.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240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Protetor auricular (inserção) 18 db (a). Protetor confeccionado em copolímero e fisiologicamente inerte. Fornecido em tamanho único, com 3 flanges curvos que se adaptam a curvatura do canal auditivo, conferindo atenuação e conforto do usuário  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65" w:hRule="atLeast"/>
        </w:trPr>
        <w:tc>
          <w:tcPr>
            <w:tcW w:w="7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15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Ampla</w:t>
            </w:r>
          </w:p>
          <w:p>
            <w:pPr>
              <w:pStyle w:val="Contedodetabela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  <w:shd w:fill="auto" w:val="clear"/>
              </w:rPr>
              <w:t>Concorrência</w:t>
            </w:r>
          </w:p>
        </w:tc>
        <w:tc>
          <w:tcPr>
            <w:tcW w:w="9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center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360 </w:t>
            </w:r>
          </w:p>
        </w:tc>
        <w:tc>
          <w:tcPr>
            <w:tcW w:w="10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618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spacing w:lineRule="auto" w:line="276"/>
              <w:jc w:val="both"/>
              <w:rPr>
                <w:rFonts w:ascii="Arial" w:hAnsi="Arial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Protetor solar FPS mínima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30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- frasco com 120 gr - composição: isenta de ingredientes perigosos à saúde; eficaz contra as radiações UVB;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eficaz na repelência de insetos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; resistente à água; isento de óleo mineral, deixando a formulação com sensorial agradável, leve e não oleoso; dermatologicamente testado; enriquecido com vitamina E. Não comedogênico. Paba free. Isento deste filtro químico. Repelente contra insetos para os trabalhadores expostos à luz solar e ao risco de picadas de insetos. O produto deve possuir registro junto a ANVISA. Apresentação em frascos de 120 ml com tampa tipo “flip top”.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Apresentar amostra.</w:t>
            </w:r>
          </w:p>
        </w:tc>
        <w:tc>
          <w:tcPr>
            <w:tcW w:w="146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3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8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</w:tbl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eastAsia="Times New Roman"/>
          <w:b/>
          <w:color w:val="000000"/>
          <w:sz w:val="2"/>
          <w:szCs w:val="2"/>
        </w:rPr>
      </w:pPr>
      <w:r>
        <w:rPr>
          <w:rFonts w:eastAsia="Times New Roman"/>
          <w:b/>
          <w:color w:val="000000"/>
          <w:sz w:val="2"/>
          <w:szCs w:val="2"/>
        </w:rPr>
      </w:r>
    </w:p>
    <w:p>
      <w:pPr>
        <w:pStyle w:val="WW-Corpodetexto2"/>
        <w:pageBreakBefore w:val="false"/>
        <w:spacing w:lineRule="auto" w:line="240" w:before="0" w:after="85"/>
        <w:ind w:hanging="0" w:start="0" w:end="0"/>
        <w:jc w:val="center"/>
        <w:rPr>
          <w:rFonts w:ascii="Arial" w:hAnsi="Arial"/>
          <w:b/>
          <w:bCs/>
          <w:sz w:val="20"/>
          <w:szCs w:val="20"/>
          <w:shd w:fill="FFFF00" w:val="clear"/>
        </w:rPr>
      </w:pPr>
      <w:r>
        <w:rPr>
          <w:rFonts w:ascii="Arial" w:hAnsi="Arial"/>
          <w:b/>
          <w:bCs/>
          <w:sz w:val="20"/>
          <w:szCs w:val="20"/>
          <w:shd w:fill="FFFF00" w:val="clear"/>
        </w:rPr>
      </w:r>
    </w:p>
    <w:p>
      <w:pPr>
        <w:pStyle w:val="BodyText"/>
        <w:jc w:val="both"/>
        <w:rPr>
          <w:color w:val="000000"/>
          <w:sz w:val="21"/>
          <w:szCs w:val="21"/>
          <w:shd w:fill="auto" w:val="clear"/>
        </w:rPr>
      </w:pP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>materiais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 propostos atendem plenamente as exigências contidas no Termo de Referência - 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fldChar w:fldCharType="begin"/>
      </w:r>
      <w:r>
        <w:rPr>
          <w:sz w:val="21"/>
          <w:b/>
          <w:shd w:fill="auto" w:val="clear"/>
          <w:szCs w:val="21"/>
          <w:bCs/>
          <w:rFonts w:eastAsia="Times New Roman" w:cs="Arial"/>
          <w:color w:val="000000"/>
          <w:lang w:val="pt-BR" w:eastAsia="zh-CN" w:bidi="ar-SA"/>
        </w:rPr>
        <w:instrText xml:space="preserve"> REF __RefHeading___Toc29529_3585316353 \h </w:instrText>
      </w:r>
      <w:r>
        <w:rPr>
          <w:sz w:val="21"/>
          <w:b/>
          <w:shd w:fill="auto" w:val="clear"/>
          <w:szCs w:val="21"/>
          <w:bCs/>
          <w:rFonts w:eastAsia="Times New Roman" w:cs="Arial"/>
          <w:color w:val="000000"/>
          <w:lang w:val="pt-BR" w:eastAsia="zh-CN" w:bidi="ar-SA"/>
        </w:rPr>
        <w:fldChar w:fldCharType="separate"/>
      </w:r>
      <w:r>
        <w:rPr>
          <w:sz w:val="21"/>
          <w:b/>
          <w:shd w:fill="auto" w:val="clear"/>
          <w:szCs w:val="21"/>
          <w:bCs/>
          <w:rFonts w:eastAsia="Times New Roman" w:cs="Arial"/>
          <w:color w:val="000000"/>
          <w:lang w:val="pt-BR" w:eastAsia="zh-CN" w:bidi="ar-SA"/>
        </w:rPr>
        <w:t>Erro: Origem da referência não encontrada</w:t>
      </w:r>
      <w:r>
        <w:rPr>
          <w:sz w:val="21"/>
          <w:b/>
          <w:shd w:fill="auto" w:val="clear"/>
          <w:szCs w:val="21"/>
          <w:bCs/>
          <w:rFonts w:eastAsia="Times New Roman" w:cs="Arial"/>
          <w:color w:val="000000"/>
          <w:lang w:val="pt-BR" w:eastAsia="zh-CN" w:bidi="ar-SA"/>
        </w:rPr>
        <w:fldChar w:fldCharType="end"/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jc w:val="both"/>
        <w:rPr>
          <w:color w:val="000000"/>
          <w:sz w:val="22"/>
          <w:szCs w:val="22"/>
        </w:rPr>
      </w:pPr>
      <w:r>
        <w:rPr>
          <w:rStyle w:val="Fontepargpadro"/>
          <w:b w:val="false"/>
          <w:bCs w:val="false"/>
          <w:color w:val="000000"/>
          <w:sz w:val="21"/>
          <w:szCs w:val="21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</w:rPr>
      </w:pPr>
      <w:r>
        <w:rPr/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2"/>
          <w:szCs w:val="22"/>
        </w:rPr>
        <w:t xml:space="preserve">Prazo </w:t>
      </w:r>
      <w:r>
        <w:rPr>
          <w:rStyle w:val="Fontepargpadro"/>
          <w:b/>
          <w:bCs/>
          <w:color w:val="000000"/>
          <w:sz w:val="22"/>
          <w:szCs w:val="22"/>
          <w:shd w:fill="auto" w:val="clear"/>
        </w:rPr>
        <w:t>de validade da proposta:</w:t>
      </w:r>
      <w:r>
        <w:rPr>
          <w:rStyle w:val="Fontepargpadro"/>
          <w:b w:val="false"/>
          <w:bCs w:val="false"/>
          <w:color w:val="000000"/>
          <w:sz w:val="22"/>
          <w:szCs w:val="22"/>
          <w:shd w:fill="auto" w:val="clear"/>
        </w:rPr>
        <w:t xml:space="preserve"> No mínimo 60 (sessenta) dias.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b w:val="false"/>
          <w:bCs w:val="false"/>
        </w:rPr>
      </w:pPr>
      <w:r>
        <w:rPr>
          <w:b/>
          <w:bCs/>
          <w:color w:val="000000"/>
          <w:sz w:val="22"/>
          <w:szCs w:val="22"/>
          <w:shd w:fill="auto" w:val="clear"/>
        </w:rPr>
        <w:t>Prazo para entrega: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 Até </w:t>
      </w:r>
      <w:r>
        <w:rPr>
          <w:rFonts w:eastAsia="Times New Roman" w:cs="Arial"/>
          <w:b w:val="false"/>
          <w:bCs w:val="false"/>
          <w:color w:val="000000"/>
          <w:sz w:val="22"/>
          <w:szCs w:val="22"/>
          <w:shd w:fill="auto" w:val="clear"/>
          <w:lang w:val="pt-BR" w:eastAsia="zh-CN" w:bidi="ar-SA"/>
        </w:rPr>
        <w:t xml:space="preserve">15 (quinze) dias 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>a partir de cada solicitação de entrega, mediante Autorização de Fornecimento.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b w:val="false"/>
          <w:bCs w:val="false"/>
        </w:rPr>
      </w:pPr>
      <w:r>
        <w:rPr>
          <w:b/>
          <w:bCs/>
          <w:color w:val="000000"/>
          <w:sz w:val="22"/>
          <w:szCs w:val="22"/>
          <w:shd w:fill="auto" w:val="clear"/>
        </w:rPr>
        <w:t>Local de entrega: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shd w:fill="auto" w:val="clear"/>
        </w:rPr>
        <w:t>Almoxarifado Geral: Rua Miguel Lerro nº 300, Jardim Kennedy, Jaboticabal – SP, CEP: 14.871-450 – das 7:00 às 10:30 e das 12:30 às 16:00 horas.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2"/>
          <w:szCs w:val="22"/>
          <w:shd w:fill="auto" w:val="clear"/>
        </w:rPr>
        <w:t>Condição de pagamento:</w:t>
      </w:r>
      <w:r>
        <w:rPr>
          <w:rStyle w:val="Fontepargpadro"/>
          <w:b w:val="false"/>
          <w:bCs w:val="false"/>
          <w:color w:val="000000"/>
          <w:sz w:val="22"/>
          <w:szCs w:val="22"/>
          <w:shd w:fill="auto" w:val="clear"/>
        </w:rPr>
        <w:t xml:space="preserve"> 30 (trinta) dias a contar da entrega dos materiais, devidamente, acompanhada da respectiva Nota Fiscal.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rFonts w:ascii="Arial" w:hAnsi="Arial"/>
          <w:bCs/>
          <w:color w:val="000000"/>
          <w:sz w:val="22"/>
          <w:szCs w:val="22"/>
          <w:shd w:fill="FFFF00" w:val="clear"/>
        </w:rPr>
      </w:pPr>
      <w:r>
        <w:rPr>
          <w:bCs/>
          <w:color w:val="000000"/>
          <w:sz w:val="22"/>
          <w:szCs w:val="22"/>
          <w:shd w:fill="FFFF00" w:val="clear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2"/>
          <w:szCs w:val="22"/>
          <w:shd w:fill="FFFF00" w:val="clear"/>
        </w:rPr>
      </w:pPr>
      <w:r>
        <w:rPr>
          <w:bCs/>
          <w:color w:val="000000"/>
          <w:sz w:val="22"/>
          <w:szCs w:val="22"/>
          <w:shd w:fill="FFFF00" w:val="clear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1"/>
          <w:szCs w:val="21"/>
          <w:shd w:fill="FFFF00" w:val="clear"/>
        </w:rPr>
      </w:pPr>
      <w:r>
        <w:rPr>
          <w:bCs/>
          <w:color w:val="000000"/>
          <w:sz w:val="21"/>
          <w:szCs w:val="21"/>
          <w:shd w:fill="FFFF00" w:val="clear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_________________________________________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(Assinatura, RG e CPF do declarante)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Representante Legal</w:t>
      </w:r>
    </w:p>
    <w:p>
      <w:pPr>
        <w:sectPr>
          <w:footerReference w:type="default" r:id="rId3"/>
          <w:type w:val="nextPage"/>
          <w:pgSz w:orient="landscape" w:w="16838" w:h="11906"/>
          <w:pgMar w:left="1701" w:right="1134" w:gutter="0" w:header="0" w:top="1642" w:footer="315" w:bottom="1043"/>
          <w:pgNumType w:fmt="decimal"/>
          <w:formProt w:val="false"/>
          <w:textDirection w:val="lrTb"/>
          <w:docGrid w:type="default" w:linePitch="600" w:charSpace="40960"/>
        </w:sect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</w:r>
    </w:p>
    <w:p>
      <w:pPr>
        <w:pStyle w:val="Heading2"/>
        <w:numPr>
          <w:ilvl w:val="1"/>
          <w:numId w:val="1"/>
        </w:numPr>
        <w:tabs>
          <w:tab w:val="clear" w:pos="720"/>
          <w:tab w:val="left" w:pos="0" w:leader="none"/>
        </w:tabs>
        <w:spacing w:before="0" w:after="0"/>
        <w:ind w:hanging="0" w:start="0"/>
        <w:rPr>
          <w:rFonts w:ascii="Arial" w:hAnsi="Arial"/>
          <w:b/>
          <w:bCs/>
          <w:sz w:val="26"/>
          <w:szCs w:val="26"/>
        </w:rPr>
      </w:pPr>
      <w:bookmarkStart w:id="1" w:name="__RefHeading___Toc30089_3585316353"/>
      <w:bookmarkEnd w:id="1"/>
      <w:r>
        <w:rPr>
          <w:b/>
          <w:bCs/>
          <w:sz w:val="26"/>
          <w:szCs w:val="26"/>
        </w:rPr>
        <w:t>A</w:t>
      </w:r>
      <w:r>
        <w:rPr>
          <w:b/>
          <w:bCs/>
          <w:sz w:val="26"/>
          <w:szCs w:val="26"/>
        </w:rPr>
        <w:t>NEXO – III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060/2026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sz w:val="18"/>
          <w:szCs w:val="18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84"/>
        <w:gridCol w:w="2710"/>
        <w:gridCol w:w="239"/>
        <w:gridCol w:w="2054"/>
        <w:gridCol w:w="1737"/>
        <w:gridCol w:w="1512"/>
      </w:tblGrid>
      <w:tr>
        <w:trPr>
          <w:trHeight w:val="510" w:hRule="atLeast"/>
        </w:trPr>
        <w:tc>
          <w:tcPr>
            <w:tcW w:w="9636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8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8252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8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740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512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8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949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20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I.E. </w:t>
            </w:r>
          </w:p>
        </w:tc>
        <w:tc>
          <w:tcPr>
            <w:tcW w:w="3249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409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para o envio de documentos (Atas/contratos) para assinatura digital: </w:t>
            </w:r>
          </w:p>
        </w:tc>
        <w:tc>
          <w:tcPr>
            <w:tcW w:w="5542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229"/>
        <w:gridCol w:w="3387"/>
        <w:gridCol w:w="1968"/>
        <w:gridCol w:w="2052"/>
      </w:tblGrid>
      <w:tr>
        <w:trPr>
          <w:trHeight w:val="540" w:hRule="atLeast"/>
        </w:trPr>
        <w:tc>
          <w:tcPr>
            <w:tcW w:w="963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2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7407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2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7407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2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38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96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2052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2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38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96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2052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2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7407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2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7407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>DECLARA ainda 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>
          <w:rFonts w:eastAsia="Arial"/>
          <w:color w:val="000000"/>
          <w:sz w:val="22"/>
          <w:szCs w:val="22"/>
          <w:lang w:bidi="ar-SA"/>
        </w:rPr>
      </w:r>
    </w:p>
    <w:p>
      <w:pPr>
        <w:pStyle w:val="LO-Normal"/>
        <w:numPr>
          <w:ilvl w:val="0"/>
          <w:numId w:val="8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9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10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11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12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e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1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14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1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1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17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os documentos apresentados por meio da plataforma eletrônica são autênticos aos originais;</w:t>
      </w:r>
    </w:p>
    <w:p>
      <w:pPr>
        <w:pStyle w:val="LO-Normal"/>
        <w:numPr>
          <w:ilvl w:val="0"/>
          <w:numId w:val="18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não possui servidor público ou agente político no quadro funcional da empresa licitante.</w:t>
      </w:r>
    </w:p>
    <w:p>
      <w:pPr>
        <w:pStyle w:val="LO-Normal"/>
        <w:numPr>
          <w:ilvl w:val="0"/>
          <w:numId w:val="19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e excluída das vedações constantes do § 4º do art. 3.º da Lei Complementar nº 123, de 14 de dezembro de 2006, alterada pela Lei Complementar nº 147/2014, e § 2º, art. 4º da lei federal 14.133/2021, cujos termos declara conhecer na íntegra, estando apta a usufruir dos benefícios concedidos pela referida Lei Complementar, com relação à participação em licitações públicas.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NÃO ESTÁ APTA a usufruir dos benefícios concedidos pela Lei Complementar Federal nº 123/06 e suas alterações, com relação à participação em licitações públicas, por não estar enquadrada como ME/EPP no ano corrente.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sz w:val="18"/>
          <w:szCs w:val="18"/>
        </w:rPr>
      </w:r>
    </w:p>
    <w:p>
      <w:pPr>
        <w:pStyle w:val="Heading2"/>
        <w:numPr>
          <w:ilvl w:val="0"/>
          <w:numId w:val="0"/>
        </w:numPr>
        <w:tabs>
          <w:tab w:val="clear" w:pos="720"/>
          <w:tab w:val="left" w:pos="0" w:leader="none"/>
        </w:tabs>
        <w:ind w:hanging="0" w:start="0"/>
        <w:rPr>
          <w:rFonts w:ascii="Arial" w:hAnsi="Arial" w:cs="Arial"/>
          <w:color w:val="000000"/>
          <w:sz w:val="22"/>
          <w:szCs w:val="22"/>
        </w:rPr>
      </w:pPr>
      <w:r>
        <w:rPr>
          <w:rFonts w:eastAsia="Arial" w:cs="Arial"/>
          <w:b w:val="false"/>
          <w:bCs w:val="false"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footerReference w:type="default" r:id="rId4"/>
      <w:footerReference w:type="first" r:id="rId5"/>
      <w:type w:val="nextPage"/>
      <w:pgSz w:w="11906" w:h="16838"/>
      <w:pgMar w:left="1134" w:right="1134" w:gutter="0" w:header="0" w:top="1134" w:footer="1134" w:bottom="1417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Microsoft Sans Serif">
    <w:charset w:val="00" w:characterSet="windows-1252"/>
    <w:family w:val="roman"/>
    <w:pitch w:val="variable"/>
  </w:font>
  <w:font w:name="CIDFont+F3">
    <w:charset w:val="00" w:characterSet="windows-1252"/>
    <w:family w:val="roman"/>
    <w:pitch w:val="variable"/>
  </w:font>
  <w:font w:name="CIDFont+F2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5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8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  <w:rPr/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6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6"/>
    <w:lvlOverride w:ilvl="0">
      <w:startOverride w:val="1"/>
    </w:lvlOverride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Annotation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2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fals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shd w:val="clear" w:fill="auto"/>
      <w:tabs>
        <w:tab w:val="clear" w:pos="720"/>
        <w:tab w:val="left" w:pos="567" w:leader="none"/>
      </w:tabs>
      <w:suppressAutoHyphens w:val="true"/>
      <w:overflowPunct w:val="false"/>
      <w:bidi w:val="0"/>
      <w:snapToGrid w:val="true"/>
      <w:spacing w:lineRule="auto" w:line="240" w:before="240" w:after="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52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val="pt-BR" w:eastAsia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0" w:after="140"/>
      <w:jc w:val="start"/>
      <w:textAlignment w:val="baseline"/>
    </w:pPr>
    <w:rPr>
      <w:rFonts w:ascii="Liberation Serif" w:hAnsi="Liberation Serif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pt-BR" w:eastAsia="ar-SA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shd w:val="clear" w:fill="auto"/>
      <w:tabs>
        <w:tab w:val="clear" w:pos="720"/>
        <w:tab w:val="left" w:pos="567" w:leader="none"/>
      </w:tabs>
      <w:suppressAutoHyphens w:val="true"/>
      <w:overflowPunct w:val="false"/>
      <w:bidi w:val="0"/>
      <w:snapToGrid w:val="true"/>
      <w:spacing w:lineRule="auto" w:line="240" w:before="240" w:after="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val="pt-BR" w:eastAsia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fals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0" w:after="140"/>
      <w:jc w:val="start"/>
      <w:textAlignment w:val="baseline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4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shd w:val="clear" w:fill="auto"/>
      <w:suppressAutoHyphens w:val="fals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Annotation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shd w:val="clear" w:fill="auto"/>
      <w:suppressAutoHyphens w:val="false"/>
      <w:overflowPunct w:val="fals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overflowPunct w:val="fals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2068</TotalTime>
  <Application>LibreOffice/7.6.7.2$Windows_X86_64 LibreOffice_project/dd47e4b30cb7dab30588d6c79c651f218165e3c5</Application>
  <AppVersion>15.0000</AppVersion>
  <Pages>8</Pages>
  <Words>1710</Words>
  <Characters>9588</Characters>
  <CharactersWithSpaces>11424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2026-08-17T15:51:52Z</dcterms:modified>
  <cp:revision>781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or">
    <vt:lpwstr>Microsoft® Word 2016</vt:lpwstr>
  </property>
  <property fmtid="{D5CDD505-2E9C-101B-9397-08002B2CF9AE}" pid="4" name="DocumentEncoding">
    <vt:lpwstr>utf-8</vt:lpwstr>
  </property>
  <property fmtid="{D5CDD505-2E9C-101B-9397-08002B2CF9AE}" pid="5" name="HTML">
    <vt:bool>1</vt:bool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MediaServiceImageTags">
    <vt:lpwstr/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