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bidi w:val="0"/>
        <w:ind w:hanging="0" w:left="0"/>
        <w:rPr/>
      </w:pPr>
      <w:bookmarkStart w:id="0" w:name="__RefHeading___Toc29703_3585316353"/>
      <w:bookmarkEnd w:id="0"/>
      <w:r>
        <w:rPr>
          <w:rStyle w:val="Fontepargpadro"/>
          <w:rFonts w:cs="Arial" w:ascii="Arial" w:hAnsi="Arial"/>
          <w:b/>
          <w:bCs/>
          <w:color w:val="auto"/>
          <w:spacing w:val="60"/>
          <w:sz w:val="28"/>
          <w:szCs w:val="28"/>
        </w:rPr>
        <w:t>ANEXO – I</w:t>
      </w:r>
      <w:r>
        <w:rPr>
          <w:rStyle w:val="Fontepargpadro"/>
          <w:rFonts w:cs="Arial" w:ascii="Arial" w:hAnsi="Arial"/>
          <w:b/>
          <w:bCs/>
          <w:color w:val="auto"/>
          <w:spacing w:val="60"/>
          <w:sz w:val="28"/>
          <w:szCs w:val="28"/>
        </w:rPr>
        <w:t>I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/>
      </w:pPr>
      <w:r>
        <w:rPr>
          <w:rStyle w:val="Fontepargpadro"/>
          <w:rFonts w:cs="Arial" w:ascii="Arial" w:hAnsi="Arial"/>
          <w:b/>
          <w:bCs/>
          <w:color w:val="auto"/>
          <w:sz w:val="22"/>
          <w:szCs w:val="22"/>
        </w:rPr>
        <w:t>PREGÃO ELETRÔNICO Nº 075/2026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color w:val="auto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cs="Arial" w:ascii="Arial" w:hAnsi="Arial"/>
          <w:b/>
          <w:color w:val="auto"/>
          <w:sz w:val="26"/>
          <w:szCs w:val="26"/>
        </w:rPr>
        <w:t>MODELO DE PROPOSTA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cs="Arial" w:ascii="Arial" w:hAnsi="Arial"/>
          <w:b/>
          <w:color w:val="auto"/>
          <w:sz w:val="20"/>
          <w:szCs w:val="20"/>
        </w:rPr>
        <w:t>(ESTE MODELO DE PROPOSTA DEVERÁ SER PREENCHIDO PELO LICITANTE VENCEDOR)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"/>
          <w:szCs w:val="2"/>
        </w:rPr>
      </w:pPr>
      <w:r>
        <w:rPr>
          <w:rFonts w:cs="Arial" w:ascii="Arial" w:hAnsi="Arial"/>
          <w:b/>
          <w:color w:val="auto"/>
          <w:sz w:val="2"/>
          <w:szCs w:val="2"/>
        </w:rPr>
      </w:r>
    </w:p>
    <w:tbl>
      <w:tblPr>
        <w:tblW w:w="1482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65"/>
        <w:gridCol w:w="4648"/>
        <w:gridCol w:w="872"/>
        <w:gridCol w:w="2240"/>
        <w:gridCol w:w="188"/>
        <w:gridCol w:w="1334"/>
        <w:gridCol w:w="3782"/>
      </w:tblGrid>
      <w:tr>
        <w:trPr/>
        <w:tc>
          <w:tcPr>
            <w:tcW w:w="1765" w:type="dxa"/>
            <w:tcBorders>
              <w:top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Razão Social:</w:t>
            </w:r>
          </w:p>
        </w:tc>
        <w:tc>
          <w:tcPr>
            <w:tcW w:w="13064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CNPJ:</w:t>
            </w:r>
          </w:p>
        </w:tc>
        <w:tc>
          <w:tcPr>
            <w:tcW w:w="5520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Inscrição Estadual:</w:t>
            </w:r>
          </w:p>
        </w:tc>
        <w:tc>
          <w:tcPr>
            <w:tcW w:w="5116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Endereço:</w:t>
            </w:r>
          </w:p>
        </w:tc>
        <w:tc>
          <w:tcPr>
            <w:tcW w:w="4648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872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Nº:</w:t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Bairro: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CEP:</w:t>
            </w:r>
          </w:p>
        </w:tc>
        <w:tc>
          <w:tcPr>
            <w:tcW w:w="7760" w:type="dxa"/>
            <w:gridSpan w:val="3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522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Cidade/UF: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>
          <w:trHeight w:val="437" w:hRule="atLeast"/>
        </w:trPr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Fone:</w:t>
            </w:r>
          </w:p>
        </w:tc>
        <w:tc>
          <w:tcPr>
            <w:tcW w:w="7948" w:type="dxa"/>
            <w:gridSpan w:val="4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E-mail: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jc w:val="center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tbl>
      <w:tblPr>
        <w:tblW w:w="14739" w:type="dxa"/>
        <w:jc w:val="left"/>
        <w:tblInd w:w="12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30"/>
        <w:gridCol w:w="1802"/>
        <w:gridCol w:w="793"/>
        <w:gridCol w:w="911"/>
        <w:gridCol w:w="6409"/>
        <w:gridCol w:w="1755"/>
        <w:gridCol w:w="1260"/>
        <w:gridCol w:w="1179"/>
      </w:tblGrid>
      <w:tr>
        <w:trPr>
          <w:tblHeader w:val="true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ITEM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DISPUTA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QTD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DESCRIÇÃO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MARCA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VALOR UNITÁRIO</w:t>
            </w:r>
          </w:p>
          <w:p>
            <w:pPr>
              <w:pStyle w:val="Ttulodetabela"/>
              <w:bidi w:val="0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(R$)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VALOR TOTAL</w:t>
            </w:r>
          </w:p>
          <w:p>
            <w:pPr>
              <w:pStyle w:val="Ttulodetabela"/>
              <w:bidi w:val="0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(R$)</w:t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1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  <w:t>EXCLUSIVA PARA</w:t>
            </w:r>
          </w:p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  <w:t>ME/EPP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7.200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infantil, tamanho P; formato anatômico; atóxico; composição interna fibra de celulose, polietileno, polipropileno; impermeável, tipo tecido super absorvente peso do usuário 3,5 a 5 kg; com 12 horas de proteção TOTAL adesivas reguláveis; elástico nas pernas; com 02 fitas adesivas; antivazamento: absorção mínima de flocos super gel, absorção rápida; indicador de umidade cintura elástica; embalado em material que garanta a integridade do produto; com validade mínima de 02 anos contar da data de entrega; e suas condições deverão estar de acordo com a RDC nº 640 de 24 de março de 2022 portaria nº 1480/90 do Ministério da Saúde; atendendo a atendendo a resolução GMC nº 3612004 do Inmetro referente a rotulagem.</w:t>
              <w:br/>
              <w:t>Apresentar ficha técnica e laudos microbiológicos.</w:t>
              <w:br/>
              <w:t>Pacote com no mínimo 36 unidades.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02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  <w:t>EXCLUSIVA PARA</w:t>
            </w:r>
          </w:p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  <w:t>ME/EPP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7.200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 xml:space="preserve">Fralda descartável infantil, tamanho M; formato anatômico; atóxico; composição interna fibra de celulose, polietileno, polipropileno; impermeável, tipo tecido; super absorvente; peso do usuário 5 a 10 kg; com 12 horas de proteção, fitas adesivas reguláveis; elástico nas pernas; com 02 fitas adesivas; antivazamento; absorção mínima de flocos super gel, absorção rápida; indicador de umidade; cintura elástica; embalado em material que garanta a integridade do produto; com validade mínima de 02 anos contar da data de entrega; e suas condições deverão estar de acordo com a RDC nº 640 de 24 de março de 2022 portaria nº 1480/90 do Ministério da Saúde; tendendo atendendo a resolução GMC nº 36/2004 do Inmetro referente a rotulagem. </w:t>
              <w:br/>
              <w:t>Apresentar ficha técnica e laudos microbiológicos.</w:t>
              <w:br/>
              <w:t>Pacote com no mínimo 32 unidades.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03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  <w:t>EXCLUSIVA PARA</w:t>
            </w:r>
          </w:p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  <w:t>ME/EPP</w:t>
            </w:r>
          </w:p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left"/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FF0000"/>
                <w:sz w:val="18"/>
                <w:szCs w:val="18"/>
              </w:rPr>
              <w:t xml:space="preserve">                                      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7.280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infantil, tamanho G; formato anatômico; atóxico; composição interna fibra de celulose, polietileno, polipropileno; impermeável, tipo tecido; super absorvente; peso do usuário 10 a 13kg; com 12 horas de proteção, fitas adesivas reguláveis; elástico nas pernas; com 02 fitas adesivas;  antivazamento; absorção mínima de flocos super gel, absorção rápida; indicador de umidade; cintura elástica; embalado em material que garanta integridade do produto; com validade mínima de 02 anos contar da data de entrega; e suas condições deverão estar de acordo com a RDC nº 640 de 24 de março de 2022 portaria nº 1480/90 do Ministério da Saúde; atendendo a atendendo a resolução GMC nº 36/2004 do Inmetro referente a rotulagem.</w:t>
              <w:br/>
              <w:t>Apresentar ficha técnica e laudos microbiológicos.</w:t>
              <w:br/>
              <w:t>Pacote com no mínimo 28 unidades.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04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AMPLA CONCORRÊNCIA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20.160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infantil, tamanho XG; formato anatômico; atóxico: composição interna fibra de celulose, polietileno, polipropileno; impermeável, tipo tecido; super absorvente; peso do usuário 13 a 15 kg; com 12 horas de proteção, fitas adesivas reguláveis; elástico nas pernas; com 02 fitas adesivas; antivazamento; absorção mínima de flocos super gel, absorção rápida; indicador de umidade; cintura elástica; embalado em material que garanta a integridade do produto; com validade mínima de 02 anos contar da data de 3ntrega; e suas condições deverão estar de acordo com a RDC nº 640 de 24 de março de 2022 portaria nº 1480/90 do Ministério da Saúde; atendendo a atendendo a resolução GMC nº 36/2004 do Inmetro referente a rotulagem.</w:t>
              <w:br/>
              <w:t>Apresentar ficha técnica e laudos microbiológicos.</w:t>
              <w:br/>
              <w:t>Pacote com no mínimo 24 unidades.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05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AMPLA CONCORRÊNCIA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90.000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infantil, tamanho XXG; formato anatômico; atóxico: composição interna fibra de celulose, polietileno, polipropileno; impermeável, tipo tecido; super absorvente; peso do usuário acima de 15 kg; com 12 horas de proteção, fitas adesivas reguláveis; elástico nas pernas; com 02 fitas adesivas; antivazamento: absorção mínima de flocos super gel, absorção rápida: indicador de umidade; cintura elástica; embalado em material que garanta integridade do produto; com validade mínima de 02 anos contar da data de entrega; e suas condições deverão estar de acordo com a RDC nº 640 de 24 de março de 2022 portaria nº 1480/90 do Ministério da Saúde; atendendo a resolução GMC nº 36/2004 do Inmetro referente a rotulagem.</w:t>
              <w:br/>
              <w:t>Apresentar ficha técnica e laudos microbiológicos.</w:t>
              <w:br/>
              <w:t>Pacote com no mínimo 20 unidades.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06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AMPLA CONCORRÊNCIA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60.000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infantil, tamanho XXXG; formato anatômico; atóxico: composição interna fibra de celulose, polietileno, polipropileno; impermeável, tipo tecido; super absorvente; peso do usuário acima de 18 a 25 kg; com 12 horas de proteção, fitas adesivas reguláveis; elástico nas pernas; com 02 fitas adesivas; antivazamento: absorção mínima de flocos super gel, absorção rápida: indicador de umidade; cintura elástica; embalado em material que garanta integridade do produto; com validade mínima de 02 anos contar da data de entrega; e suas condições deverão estar de acordo com a RDC nº 640 de 24 de março de 2022 portaria nº 1480/90 do Ministério da Saúde; atendendo a resolução GMC nº 36/2004 do Inmetro referente a rotulagem.</w:t>
              <w:br/>
              <w:t>Apresentar ficha técnica e laudos microbiológicos.</w:t>
              <w:br/>
              <w:t>Pacote com no mínimo 16 unidades.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07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AMPLA CONCORRÊNCIA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35.420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infantil, tamanho XXG, marca Huggies ou Pampers, em atendimento a ações judiciais com marca definida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08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AMPLA CONCORRÊNCIA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35.420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infantil, tamanho XXXG, marca Huggies ou Pampers, em atendimento a ações judiciais com marca definida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09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AMPLA CONCORRÊNCIA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60.000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geriátrica tamanho P (cintura 50 a 80 cm e peso 30 a 40 kg), com gel super absorvente, tecnologia anti odor, barreiras de proteção anti vazamento, barreira lateral anti vazamento, indicador de umidade, aloe vera e vitamina E, hipoaliergênica, fitas adesivas reposicionáveis que garantam o ajuste ideal ao corpo, múltiplos elásticos para garantir ajuste perfeito e impedir vazamentos, camadas internas e externas perfeitamente sobrepostas, com bordas unidas, para evitar deslocamento da camada intermediária no uso. Testada dermatologicamente, manta anatômica medindo no mínimo 64 x 15 cm (comp x larg) com variação de + ou - 01 cm, com "aba" que ultrapasse a barreira protetora tanto na parte superior quanto na parte inferior da fralda, dotada de alto poder absorvente, mantendo a umidade longe do contato direto da pele, indicada para absorção severa com capacidade de absorção comprovada por laudo de 1250 g/ml 1,2 l, produto deve conter em sua embalagem as seguintes informações: uso diurno / noturno com proteção até 12 horas, e dados de rotulagem conforme legislação sanitária vigente). Embalagem: pacote com 10 unidades.</w:t>
              <w:br/>
              <w:t>(apresentar junto a proposta ficha técnica produto , laudo microbiológico , laudo dermatológico e laudo de absorção feito por laboratório licenciado pelo Inmetro e amostra do produto)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10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AMPLA CONCORRÊNCIA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100.000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geriátrica tamanho M (cintura 70 a 120 cm e peso 40 a 70 kg), com gel super absorvente, tecnologia anti odor, barreiras de proteção anti vazamento, barreira lateral anti vazamento, indicador de umidade, aloe vera e vitamina e, hipoaliergênica, fitas adesivas reposicionáveis que garantam o ajuste ideal ao corpo, múltiplos elásticos para garantir ajuste perfeito e impedir vazamentos, camadas internas e externas perfeitamente sobrepostas, com bordas unidas, para evitar deslocamento da camada intermediária no uso. Testada dermatologicamente, manta anatômica medindo no mínimo 65 x 16 cm (comp x larg) com variação de + ou - 01 cm, com "aba" que ultrapasse a barreira protetora tanto na parte superior quanto na parte inferior da fralda, dotada de alto poder absorvente, mantendo a umidade longe do contato direto da pele, indicada para absorção severa com capacidade de absorção comprovada por laudo de 2000 g/ml 2,0 l, produto deve conter em sua embalagem as seguintes informações: uso diurno / noturno com proteção até 12 horas, e dados de rotulagem conforme legislação sanitária vigente. Embalagem: pacote com 08 unidades.</w:t>
              <w:br/>
              <w:t>(apresentar junto a proposta ficha técnica produto , laudo microbiológico, laudo dermatológico e laudo de absorção feito por laboratório licenciado pelo Inmetro e amostra do produto)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11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AMPLA CONCORRÊNCIA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380.000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geriátrica tamanho G (cintura 80 a 150 cm e peso 70 a 90 kg), com gel super absorvente, tecnologia anti odor, barreiras de proteção antivazamento, barreira lateral anti vazamento, indicador de umidade, aloe vera e vitamina E, hipoalergênica, fitas adesivas reposicionáveis que garantam o ajuste ideal ao corpo, múltiplos elásticos para garantir ajuste perfeito e impedir vazamentos, camadas internas e externas perfeitamente sobrepostas, com bordas unidas, para evitar deslocamento da camada intermediária no uso. Testada dermatologicamente, manta anatômica medindo no mínimo 70 x 16 cm (comp x larg) com variação de + ou - 01 cm, com "aba" que ultrapasse a barreira protetora tanto na parte superior, quanto na parte inferior da fralda, dotada de alto poder absorvente, mantendo a umidade longe do contato direto da pele, indicada para absorção severa com capacidade de absorção comprovada por laudo de 2300 g/ml 2,3 l, produto deve conter em sua embalagem as seguintes informações: uso diurno / noturno com proteção até 12 horas, e dados de rotulagem conforme legislação sanitária vigente. Embalagem: pacote com 08 unidades.</w:t>
              <w:br/>
              <w:t>(apresentar junto a proposta ficha técnica produto, laudo microbiológico, laudo dermatológico e laudo de absorção feito por laboratório licenciado pelo Inmetro e amostra do produto)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12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AMPLA CONCORRÊNCIA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251.000</w:t>
            </w:r>
          </w:p>
        </w:tc>
        <w:tc>
          <w:tcPr>
            <w:tcW w:w="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UN</w:t>
            </w:r>
          </w:p>
        </w:tc>
        <w:tc>
          <w:tcPr>
            <w:tcW w:w="64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before="0" w:after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Fralda descartável geriátrica tamanho EG (cintura acima de 110 a 165 e peso acima de 85 kg), com gel super absorvente, tecnologia anti odor, barreiras de proteção antivazamento, barreira lateral anti vazamento, indicador de umidade, aloe vera e vitamina E, hipoaliergênica, fitas adesivas reposicionáveis que garantam o ajuste ideal ao corpo, múltiplos elásticos para garantir ajuste perfeito e impedir vazamentos, camadas internas e externas perfeitamente sobrepostas, com bordas unidas, para evitar deslocamento da camada intermediária no uso. Testada dermatologicamente, manta anatômica medindo no mínimo 72 x 17 cm (comp x larg) com variação de + ou - 01 cm, com "aba" que ultrapasse a barreira protetora tanto na parte superior, quanto na parte inferior da fralda, dotada de alto poder absorvente, mantendo a umidade longe do contato direto da pele, indicada para absorção severa com capacidade de absorção comprovada por laudo de 2400 g/ml 2,4 l, produto deve conter em sua embalagem as seguintes informações: uso diurno / noturno com proteção até 12 horas, e dados de rotulagem conforme legislação sanitária vigente. Embalagem: pacote com 07  unidades.</w:t>
              <w:br/>
              <w:t>(apresentar junto a proposta ficha técnica produto, laudo microbiológico, laudo dermatológico e laudo de absorção feito por laboratório licenciado pelo Inmetro e amostra do produto)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10545" w:type="dxa"/>
            <w:gridSpan w:val="5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 xml:space="preserve">                                               </w:t>
            </w: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VALOR TOTAL DA PROPOSTA (R$)</w:t>
            </w:r>
          </w:p>
        </w:tc>
        <w:tc>
          <w:tcPr>
            <w:tcW w:w="419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</w:r>
          </w:p>
        </w:tc>
      </w:tr>
    </w:tbl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 w:eastAsia="Times New Roman"/>
          <w:b/>
          <w:color w:val="auto"/>
          <w:sz w:val="2"/>
          <w:szCs w:val="2"/>
        </w:rPr>
      </w:pPr>
      <w:r>
        <w:rPr>
          <w:rFonts w:eastAsia="Times New Roman" w:ascii="Arial" w:hAnsi="Arial"/>
          <w:b/>
          <w:color w:val="auto"/>
          <w:sz w:val="2"/>
          <w:szCs w:val="2"/>
        </w:rPr>
      </w:r>
    </w:p>
    <w:p>
      <w:pPr>
        <w:pStyle w:val="WW-Corpodetexto2"/>
        <w:pageBreakBefore w:val="false"/>
        <w:bidi w:val="0"/>
        <w:spacing w:lineRule="auto" w:line="240" w:before="0" w:after="85"/>
        <w:ind w:hanging="0" w:left="0" w:right="0"/>
        <w:jc w:val="center"/>
        <w:rPr>
          <w:rFonts w:ascii="Arial" w:hAnsi="Arial"/>
          <w:b/>
          <w:bCs/>
          <w:color w:val="auto"/>
          <w:sz w:val="20"/>
          <w:szCs w:val="20"/>
          <w:shd w:fill="FFFF00" w:val="clear"/>
        </w:rPr>
      </w:pPr>
      <w:r>
        <w:rPr>
          <w:rFonts w:ascii="Arial" w:hAnsi="Arial"/>
          <w:b/>
          <w:bCs/>
          <w:color w:val="auto"/>
          <w:sz w:val="20"/>
          <w:szCs w:val="20"/>
          <w:shd w:fill="FFFF00" w:val="clear"/>
        </w:rPr>
      </w:r>
    </w:p>
    <w:p>
      <w:pPr>
        <w:pStyle w:val="BodyText"/>
        <w:bidi w:val="0"/>
        <w:spacing w:before="0" w:after="0"/>
        <w:jc w:val="both"/>
        <w:rPr>
          <w:rFonts w:ascii="Arial" w:hAnsi="Arial" w:eastAsia="Times New Roman" w:cs="Arial"/>
          <w:color w:val="auto"/>
          <w:sz w:val="20"/>
          <w:szCs w:val="20"/>
          <w:highlight w:val="none"/>
          <w:shd w:fill="auto" w:val="clear"/>
          <w:lang w:val="pt-BR" w:eastAsia="zh-CN" w:bidi="ar-SA"/>
        </w:rPr>
      </w:pPr>
      <w:r>
        <w:rPr>
          <w:rFonts w:eastAsia="Times New Roman" w:cs="Arial" w:ascii="Arial" w:hAnsi="Arial"/>
          <w:color w:val="auto"/>
          <w:sz w:val="20"/>
          <w:szCs w:val="20"/>
          <w:shd w:fill="auto" w:val="clear"/>
          <w:lang w:val="pt-BR" w:eastAsia="zh-CN" w:bidi="ar-SA"/>
        </w:rPr>
      </w:r>
    </w:p>
    <w:p>
      <w:pPr>
        <w:pStyle w:val="BodyText"/>
        <w:bidi w:val="0"/>
        <w:spacing w:before="0" w:after="0"/>
        <w:jc w:val="both"/>
        <w:rPr>
          <w:rFonts w:ascii="Arial" w:hAnsi="Arial" w:eastAsia="Times New Roman" w:cs="Arial"/>
          <w:color w:val="auto"/>
          <w:sz w:val="20"/>
          <w:szCs w:val="20"/>
          <w:highlight w:val="none"/>
          <w:shd w:fill="auto" w:val="clear"/>
          <w:lang w:val="pt-BR" w:eastAsia="zh-CN" w:bidi="ar-SA"/>
        </w:rPr>
      </w:pPr>
      <w:r>
        <w:rPr>
          <w:rFonts w:eastAsia="Times New Roman" w:cs="Arial" w:ascii="Arial" w:hAnsi="Arial"/>
          <w:color w:val="auto"/>
          <w:sz w:val="20"/>
          <w:szCs w:val="20"/>
          <w:shd w:fill="auto" w:val="clear"/>
          <w:lang w:val="pt-BR" w:eastAsia="zh-CN" w:bidi="ar-SA"/>
        </w:rPr>
      </w:r>
    </w:p>
    <w:p>
      <w:pPr>
        <w:pStyle w:val="BodyText"/>
        <w:bidi w:val="0"/>
        <w:spacing w:before="0" w:after="0"/>
        <w:jc w:val="both"/>
        <w:rPr>
          <w:rFonts w:ascii="Arial" w:hAnsi="Arial" w:eastAsia="Times New Roman" w:cs="Arial"/>
          <w:color w:val="auto"/>
          <w:sz w:val="20"/>
          <w:szCs w:val="20"/>
          <w:highlight w:val="none"/>
          <w:shd w:fill="auto" w:val="clear"/>
          <w:lang w:val="pt-BR" w:eastAsia="zh-CN" w:bidi="ar-SA"/>
        </w:rPr>
      </w:pPr>
      <w:r>
        <w:rPr>
          <w:rFonts w:eastAsia="Times New Roman" w:cs="Arial" w:ascii="Arial" w:hAnsi="Arial"/>
          <w:color w:val="auto"/>
          <w:sz w:val="20"/>
          <w:szCs w:val="20"/>
          <w:shd w:fill="auto" w:val="clear"/>
          <w:lang w:val="pt-BR" w:eastAsia="zh-CN" w:bidi="ar-SA"/>
        </w:rPr>
      </w:r>
    </w:p>
    <w:p>
      <w:pPr>
        <w:pStyle w:val="BodyText"/>
        <w:bidi w:val="0"/>
        <w:spacing w:before="0" w:after="0"/>
        <w:jc w:val="both"/>
        <w:rPr>
          <w:color w:val="auto"/>
          <w:sz w:val="20"/>
          <w:szCs w:val="20"/>
          <w:highlight w:val="none"/>
          <w:shd w:fill="auto" w:val="clear"/>
        </w:rPr>
      </w:pPr>
      <w:r>
        <w:rPr>
          <w:rFonts w:eastAsia="Times New Roman" w:cs="Arial" w:ascii="Arial" w:hAnsi="Arial"/>
          <w:color w:val="auto"/>
          <w:sz w:val="20"/>
          <w:szCs w:val="20"/>
          <w:shd w:fill="auto" w:val="clear"/>
          <w:lang w:val="pt-BR" w:eastAsia="zh-CN" w:bidi="ar-SA"/>
        </w:rPr>
        <w:t xml:space="preserve">DECLARO que os </w:t>
      </w:r>
      <w:r>
        <w:rPr>
          <w:rFonts w:eastAsia="Times New Roman" w:cs="Arial" w:ascii="Arial" w:hAnsi="Arial"/>
          <w:b/>
          <w:bCs/>
          <w:color w:val="auto"/>
          <w:sz w:val="20"/>
          <w:szCs w:val="20"/>
          <w:shd w:fill="auto" w:val="clear"/>
          <w:lang w:val="pt-BR" w:eastAsia="zh-CN" w:bidi="ar-SA"/>
        </w:rPr>
        <w:t>materiais</w:t>
      </w:r>
      <w:r>
        <w:rPr>
          <w:rFonts w:eastAsia="Times New Roman" w:cs="Arial" w:ascii="Arial" w:hAnsi="Arial"/>
          <w:color w:val="auto"/>
          <w:sz w:val="20"/>
          <w:szCs w:val="20"/>
          <w:shd w:fill="auto" w:val="clear"/>
          <w:lang w:val="pt-BR" w:eastAsia="zh-CN" w:bidi="ar-SA"/>
        </w:rPr>
        <w:t xml:space="preserve"> propostos atendem plenamente as exigências contidas no Termo de Referência - </w:t>
      </w:r>
      <w:r>
        <w:rPr>
          <w:rFonts w:eastAsia="Times New Roman" w:cs="Arial" w:ascii="Arial" w:hAnsi="Arial"/>
          <w:b/>
          <w:bCs/>
          <w:color w:val="auto"/>
          <w:sz w:val="20"/>
          <w:szCs w:val="20"/>
          <w:shd w:fill="auto" w:val="clear"/>
          <w:lang w:val="pt-BR" w:eastAsia="zh-CN" w:bidi="ar-SA"/>
        </w:rPr>
        <w:fldChar w:fldCharType="begin"/>
      </w:r>
      <w:r>
        <w:rPr>
          <w:rFonts w:eastAsia="Times New Roman" w:cs="Arial" w:ascii="Arial" w:hAnsi="Arial"/>
          <w:b/>
          <w:bCs/>
          <w:color w:val="auto"/>
          <w:sz w:val="20"/>
          <w:szCs w:val="20"/>
          <w:shd w:fill="auto" w:val="clear"/>
          <w:lang w:val="pt-BR" w:eastAsia="zh-CN" w:bidi="ar-SA"/>
        </w:rPr>
        <w:instrText xml:space="preserve"> REF __RefHeading___Toc29529_3585316353 \h </w:instrText>
      </w:r>
      <w:r>
        <w:rPr>
          <w:rFonts w:eastAsia="Times New Roman" w:cs="Arial" w:ascii="Arial" w:hAnsi="Arial"/>
          <w:b/>
          <w:bCs/>
          <w:color w:val="auto"/>
          <w:sz w:val="20"/>
          <w:szCs w:val="20"/>
          <w:shd w:fill="auto" w:val="clear"/>
          <w:lang w:val="pt-BR" w:eastAsia="zh-CN" w:bidi="ar-SA"/>
        </w:rPr>
        <w:fldChar w:fldCharType="separate"/>
      </w:r>
      <w:r>
        <w:rPr>
          <w:rFonts w:eastAsia="Times New Roman" w:cs="Arial" w:ascii="Arial" w:hAnsi="Arial"/>
          <w:b/>
          <w:bCs/>
          <w:color w:val="auto"/>
          <w:sz w:val="20"/>
          <w:szCs w:val="20"/>
          <w:shd w:fill="auto" w:val="clear"/>
          <w:lang w:val="pt-BR" w:eastAsia="zh-CN" w:bidi="ar-SA"/>
        </w:rPr>
        <w:t>Erro: Origem da referência não encontrada</w:t>
      </w:r>
      <w:r>
        <w:rPr>
          <w:rFonts w:eastAsia="Times New Roman" w:cs="Arial" w:ascii="Arial" w:hAnsi="Arial"/>
          <w:b/>
          <w:bCs/>
          <w:color w:val="auto"/>
          <w:sz w:val="20"/>
          <w:szCs w:val="20"/>
          <w:shd w:fill="auto" w:val="clear"/>
          <w:lang w:val="pt-BR" w:eastAsia="zh-CN" w:bidi="ar-SA"/>
        </w:rPr>
        <w:fldChar w:fldCharType="end"/>
      </w:r>
      <w:r>
        <w:rPr>
          <w:rFonts w:eastAsia="Times New Roman" w:cs="Arial" w:ascii="Arial" w:hAnsi="Arial"/>
          <w:color w:val="auto"/>
          <w:sz w:val="20"/>
          <w:szCs w:val="20"/>
          <w:shd w:fill="auto" w:val="clear"/>
          <w:lang w:val="pt-BR" w:eastAsia="zh-CN" w:bidi="ar-SA"/>
        </w:rPr>
        <w:t xml:space="preserve"> do edital.</w:t>
      </w:r>
    </w:p>
    <w:p>
      <w:pPr>
        <w:pStyle w:val="BodyText"/>
        <w:bidi w:val="0"/>
        <w:spacing w:before="0" w:after="0"/>
        <w:jc w:val="both"/>
        <w:rPr>
          <w:rStyle w:val="Fontepargpadro"/>
          <w:rFonts w:ascii="Arial" w:hAnsi="Arial"/>
          <w:b w:val="false"/>
          <w:bCs w:val="false"/>
          <w:color w:val="auto"/>
          <w:sz w:val="20"/>
          <w:szCs w:val="20"/>
          <w:highlight w:val="none"/>
          <w:shd w:fill="auto" w:val="clear"/>
        </w:rPr>
      </w:pPr>
      <w:r>
        <w:rPr>
          <w:color w:val="000000"/>
          <w:sz w:val="22"/>
          <w:szCs w:val="22"/>
        </w:rPr>
      </w:r>
    </w:p>
    <w:p>
      <w:pPr>
        <w:pStyle w:val="BodyText"/>
        <w:bidi w:val="0"/>
        <w:spacing w:before="0" w:after="0"/>
        <w:jc w:val="both"/>
        <w:rPr>
          <w:color w:val="000000"/>
          <w:sz w:val="22"/>
          <w:szCs w:val="22"/>
        </w:rPr>
      </w:pPr>
      <w:r>
        <w:rPr>
          <w:rStyle w:val="Fontepargpadro"/>
          <w:rFonts w:ascii="Arial" w:hAnsi="Arial"/>
          <w:b w:val="false"/>
          <w:bCs w:val="false"/>
          <w:color w:val="auto"/>
          <w:sz w:val="20"/>
          <w:szCs w:val="20"/>
          <w:shd w:fill="auto" w:val="clear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Style w:val="Fontepargpadro"/>
          <w:color w:val="auto"/>
          <w:sz w:val="20"/>
          <w:szCs w:val="20"/>
          <w:highlight w:val="none"/>
          <w:shd w:fill="auto" w:val="clear"/>
        </w:rPr>
      </w:pPr>
      <w:r>
        <w:rPr/>
      </w:r>
    </w:p>
    <w:p>
      <w:pPr>
        <w:pStyle w:val="BodyText"/>
        <w:numPr>
          <w:ilvl w:val="0"/>
          <w:numId w:val="0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ascii="Arial" w:hAnsi="Arial"/>
          <w:color w:val="auto"/>
          <w:sz w:val="20"/>
          <w:szCs w:val="20"/>
          <w:shd w:fill="auto" w:val="clear"/>
        </w:rPr>
        <w:t xml:space="preserve">O prazo de validade da proposta não será inferior a </w:t>
      </w:r>
      <w:r>
        <w:rPr>
          <w:rStyle w:val="Fontepargpadro"/>
          <w:rFonts w:ascii="Arial" w:hAnsi="Arial"/>
          <w:b/>
          <w:bCs/>
          <w:color w:val="auto"/>
          <w:sz w:val="20"/>
          <w:szCs w:val="20"/>
          <w:shd w:fill="auto" w:val="clear"/>
        </w:rPr>
        <w:t>60 (sessenta) dias, a contar da data de sua apresentação.</w:t>
      </w:r>
    </w:p>
    <w:p>
      <w:pPr>
        <w:pStyle w:val="BodyText"/>
        <w:numPr>
          <w:ilvl w:val="0"/>
          <w:numId w:val="0"/>
        </w:numPr>
        <w:bidi w:val="0"/>
        <w:spacing w:lineRule="auto" w:line="240" w:before="0" w:after="0"/>
        <w:ind w:hanging="0" w:left="0" w:right="0"/>
        <w:jc w:val="both"/>
        <w:rPr>
          <w:rStyle w:val="Fontepargpadro"/>
          <w:rFonts w:ascii="Arial" w:hAnsi="Arial"/>
          <w:b/>
          <w:bCs/>
          <w:color w:val="auto"/>
          <w:sz w:val="20"/>
          <w:szCs w:val="20"/>
          <w:highlight w:val="none"/>
          <w:shd w:fill="auto" w:val="clear"/>
        </w:rPr>
      </w:pPr>
      <w:r>
        <w:rPr/>
      </w:r>
    </w:p>
    <w:p>
      <w:pPr>
        <w:pStyle w:val="BodyText"/>
        <w:numPr>
          <w:ilvl w:val="0"/>
          <w:numId w:val="0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ascii="Arial" w:hAnsi="Arial"/>
          <w:b/>
          <w:bCs/>
          <w:color w:val="auto"/>
          <w:sz w:val="20"/>
          <w:szCs w:val="20"/>
          <w:shd w:fill="auto" w:val="clear"/>
        </w:rPr>
        <w:t xml:space="preserve">Prazo para entrega: </w:t>
      </w:r>
      <w:r>
        <w:rPr>
          <w:rStyle w:val="Fontepargpadro"/>
          <w:rFonts w:ascii="Arial" w:hAnsi="Arial"/>
          <w:color w:val="auto"/>
          <w:sz w:val="20"/>
          <w:szCs w:val="20"/>
          <w:shd w:fill="auto" w:val="clear"/>
        </w:rPr>
        <w:t xml:space="preserve">Até </w:t>
      </w:r>
      <w:r>
        <w:rPr>
          <w:rStyle w:val="Fontepargpadro"/>
          <w:rFonts w:ascii="Arial" w:hAnsi="Arial"/>
          <w:color w:val="auto"/>
          <w:sz w:val="20"/>
          <w:szCs w:val="20"/>
          <w:shd w:fill="auto" w:val="clear"/>
        </w:rPr>
        <w:t>10</w:t>
      </w:r>
      <w:r>
        <w:rPr>
          <w:rStyle w:val="Fontepargpadro"/>
          <w:rFonts w:ascii="Arial" w:hAnsi="Arial"/>
          <w:color w:val="auto"/>
          <w:sz w:val="20"/>
          <w:szCs w:val="20"/>
          <w:shd w:fill="auto" w:val="clear"/>
        </w:rPr>
        <w:t xml:space="preserve"> (</w:t>
      </w:r>
      <w:r>
        <w:rPr>
          <w:rStyle w:val="Fontepargpadro"/>
          <w:rFonts w:ascii="Arial" w:hAnsi="Arial"/>
          <w:color w:val="auto"/>
          <w:sz w:val="20"/>
          <w:szCs w:val="20"/>
          <w:shd w:fill="auto" w:val="clear"/>
        </w:rPr>
        <w:t>dez</w:t>
      </w:r>
      <w:r>
        <w:rPr>
          <w:rStyle w:val="Fontepargpadro"/>
          <w:rFonts w:ascii="Arial" w:hAnsi="Arial"/>
          <w:color w:val="auto"/>
          <w:sz w:val="20"/>
          <w:szCs w:val="20"/>
          <w:shd w:fill="auto" w:val="clear"/>
        </w:rPr>
        <w:t xml:space="preserve">) dias </w:t>
      </w:r>
      <w:r>
        <w:rPr>
          <w:rStyle w:val="Fontepargpadro"/>
          <w:rFonts w:ascii="Arial" w:hAnsi="Arial"/>
          <w:color w:val="auto"/>
          <w:sz w:val="20"/>
          <w:szCs w:val="20"/>
          <w:shd w:fill="auto" w:val="clear"/>
        </w:rPr>
        <w:t xml:space="preserve">corridos </w:t>
      </w:r>
      <w:r>
        <w:rPr>
          <w:rStyle w:val="Fontepargpadro"/>
          <w:rFonts w:ascii="Arial" w:hAnsi="Arial"/>
          <w:color w:val="auto"/>
          <w:sz w:val="20"/>
          <w:szCs w:val="20"/>
          <w:shd w:fill="auto" w:val="clear"/>
        </w:rPr>
        <w:t>a partir da solicitação de entrega, mediante Autorização de Fornecimento.</w:t>
      </w:r>
    </w:p>
    <w:p>
      <w:pPr>
        <w:pStyle w:val="BodyText"/>
        <w:numPr>
          <w:ilvl w:val="0"/>
          <w:numId w:val="0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ascii="Arial" w:hAnsi="Arial"/>
          <w:b/>
          <w:bCs/>
          <w:color w:val="auto"/>
          <w:sz w:val="20"/>
          <w:szCs w:val="20"/>
          <w:shd w:fill="auto" w:val="clear"/>
        </w:rPr>
        <w:t xml:space="preserve">Local de entrega: </w:t>
      </w:r>
      <w:r>
        <w:rPr>
          <w:rStyle w:val="Fontepargpadro"/>
          <w:rFonts w:ascii="Arial" w:hAnsi="Arial"/>
          <w:color w:val="auto"/>
          <w:sz w:val="20"/>
          <w:szCs w:val="20"/>
          <w:shd w:fill="auto" w:val="clear"/>
        </w:rPr>
        <w:t>Praça Saul Borsari, n° 55, bairro Santa Luzia, Jaboticabal/SP. De segunda a sexta-feira, no horário das 07h00 às 13h00.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ascii="Arial" w:hAnsi="Arial"/>
          <w:b/>
          <w:bCs/>
          <w:color w:val="auto"/>
          <w:sz w:val="20"/>
          <w:szCs w:val="20"/>
          <w:shd w:fill="auto" w:val="clear"/>
        </w:rPr>
        <w:t xml:space="preserve">Condição de pagamento: </w:t>
      </w:r>
      <w:r>
        <w:rPr>
          <w:rStyle w:val="Fontepargpadro"/>
          <w:rFonts w:ascii="Arial" w:hAnsi="Arial"/>
          <w:color w:val="auto"/>
          <w:sz w:val="20"/>
          <w:szCs w:val="20"/>
          <w:shd w:fill="auto" w:val="clear"/>
        </w:rPr>
        <w:t>30 (trinta) dias a contar da entrega dos materiais, devidamente, acompanhada da respectiva Nota Fiscal.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bCs/>
          <w:color w:val="auto"/>
          <w:sz w:val="20"/>
          <w:szCs w:val="20"/>
          <w:highlight w:val="none"/>
          <w:shd w:fill="auto" w:val="clear"/>
        </w:rPr>
      </w:pPr>
      <w:r>
        <w:rPr>
          <w:rFonts w:ascii="Arial" w:hAnsi="Arial"/>
          <w:bCs/>
          <w:color w:val="auto"/>
          <w:sz w:val="20"/>
          <w:szCs w:val="20"/>
          <w:shd w:fill="auto" w:val="clear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bCs/>
          <w:color w:val="auto"/>
          <w:sz w:val="20"/>
          <w:szCs w:val="20"/>
          <w:highlight w:val="none"/>
          <w:shd w:fill="auto" w:val="clear"/>
        </w:rPr>
      </w:pPr>
      <w:r>
        <w:rPr>
          <w:rFonts w:ascii="Arial" w:hAnsi="Arial"/>
          <w:bCs/>
          <w:color w:val="auto"/>
          <w:sz w:val="20"/>
          <w:szCs w:val="20"/>
          <w:shd w:fill="auto" w:val="clear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center"/>
        <w:rPr>
          <w:rFonts w:ascii="Arial" w:hAnsi="Arial"/>
          <w:bCs/>
          <w:color w:val="auto"/>
          <w:sz w:val="20"/>
          <w:szCs w:val="20"/>
          <w:highlight w:val="none"/>
          <w:shd w:fill="auto" w:val="clear"/>
        </w:rPr>
      </w:pPr>
      <w:r>
        <w:rPr>
          <w:rFonts w:ascii="Arial" w:hAnsi="Arial"/>
          <w:bCs/>
          <w:color w:val="auto"/>
          <w:sz w:val="20"/>
          <w:szCs w:val="20"/>
          <w:shd w:fill="auto" w:val="clear"/>
        </w:rPr>
        <w:t>_________________________________________</w:t>
      </w:r>
    </w:p>
    <w:p>
      <w:pPr>
        <w:pStyle w:val="Normal"/>
        <w:bidi w:val="0"/>
        <w:spacing w:lineRule="auto" w:line="240" w:before="0" w:after="0"/>
        <w:ind w:hanging="0" w:left="0" w:right="0"/>
        <w:jc w:val="center"/>
        <w:rPr>
          <w:rFonts w:ascii="Arial" w:hAnsi="Arial" w:cs="Arial"/>
          <w:bCs/>
          <w:color w:val="auto"/>
          <w:sz w:val="20"/>
          <w:szCs w:val="20"/>
          <w:highlight w:val="none"/>
          <w:shd w:fill="auto" w:val="clear"/>
        </w:rPr>
      </w:pPr>
      <w:r>
        <w:rPr>
          <w:rFonts w:cs="Arial" w:ascii="Arial" w:hAnsi="Arial"/>
          <w:bCs/>
          <w:color w:val="auto"/>
          <w:sz w:val="20"/>
          <w:szCs w:val="20"/>
          <w:shd w:fill="auto" w:val="clear"/>
        </w:rPr>
        <w:t>(Assinatura, RG e CPF do declarante)</w:t>
      </w:r>
    </w:p>
    <w:p>
      <w:pPr>
        <w:pStyle w:val="Normal"/>
        <w:bidi w:val="0"/>
        <w:spacing w:lineRule="auto" w:line="240" w:before="0" w:after="0"/>
        <w:ind w:hanging="0" w:left="0" w:right="0"/>
        <w:jc w:val="center"/>
        <w:rPr>
          <w:rFonts w:ascii="Arial" w:hAnsi="Arial" w:cs="Arial"/>
          <w:bCs/>
          <w:color w:val="auto"/>
          <w:sz w:val="20"/>
          <w:szCs w:val="20"/>
          <w:highlight w:val="none"/>
          <w:shd w:fill="auto" w:val="clear"/>
        </w:rPr>
      </w:pPr>
      <w:r>
        <w:rPr>
          <w:rFonts w:cs="Arial" w:ascii="Arial" w:hAnsi="Arial"/>
          <w:bCs/>
          <w:color w:val="auto"/>
          <w:sz w:val="20"/>
          <w:szCs w:val="20"/>
          <w:shd w:fill="auto" w:val="clear"/>
        </w:rPr>
        <w:t>Representante Legal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auto"/>
          <w:sz w:val="20"/>
          <w:szCs w:val="20"/>
          <w:shd w:fill="auto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 w:eastAsia="Times New Roman"/>
          <w:color w:val="auto"/>
          <w:sz w:val="2"/>
          <w:szCs w:val="2"/>
          <w:shd w:fill="FFFF00" w:val="clear"/>
        </w:rPr>
      </w:pPr>
      <w:r>
        <w:rPr>
          <w:rFonts w:eastAsia="Times New Roman" w:ascii="Arial" w:hAnsi="Arial"/>
          <w:color w:val="auto"/>
          <w:sz w:val="2"/>
          <w:szCs w:val="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/>
          <w:bCs/>
          <w:color w:val="auto"/>
          <w:sz w:val="2"/>
          <w:szCs w:val="2"/>
          <w:shd w:fill="FFFF00" w:val="clear"/>
        </w:rPr>
      </w:pPr>
      <w:r>
        <w:rPr>
          <w:rFonts w:ascii="Arial" w:hAnsi="Arial"/>
          <w:b/>
          <w:bCs/>
          <w:color w:val="auto"/>
          <w:sz w:val="2"/>
          <w:szCs w:val="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"/>
          <w:szCs w:val="2"/>
          <w:shd w:fill="FFFF00" w:val="clear"/>
        </w:rPr>
      </w:pPr>
      <w:r>
        <w:rPr>
          <w:rFonts w:ascii="Arial" w:hAnsi="Arial"/>
          <w:bCs/>
          <w:color w:val="auto"/>
          <w:sz w:val="2"/>
          <w:szCs w:val="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"/>
          <w:szCs w:val="2"/>
          <w:shd w:fill="FFFF00" w:val="clear"/>
        </w:rPr>
      </w:pPr>
      <w:r>
        <w:rPr>
          <w:rFonts w:ascii="Arial" w:hAnsi="Arial"/>
          <w:bCs/>
          <w:color w:val="auto"/>
          <w:sz w:val="2"/>
          <w:szCs w:val="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"/>
          <w:szCs w:val="2"/>
          <w:shd w:fill="FFFF00" w:val="clear"/>
        </w:rPr>
        <w:sectPr>
          <w:type w:val="nextPage"/>
          <w:pgSz w:orient="landscape" w:w="16838" w:h="11906"/>
          <w:pgMar w:left="1134" w:right="1134" w:gutter="0" w:header="0" w:top="1134" w:footer="0" w:bottom="315"/>
          <w:pgNumType w:fmt="decimal"/>
          <w:formProt w:val="false"/>
          <w:textDirection w:val="lrTb"/>
          <w:docGrid w:type="default" w:linePitch="600" w:charSpace="32768"/>
        </w:sectPr>
      </w:pPr>
      <w:r>
        <w:rPr>
          <w:rFonts w:ascii="Arial" w:hAnsi="Arial"/>
          <w:bCs/>
          <w:color w:val="auto"/>
          <w:sz w:val="2"/>
          <w:szCs w:val="2"/>
          <w:shd w:fill="FFFF00" w:val="clear"/>
        </w:rPr>
      </w:r>
    </w:p>
    <w:p>
      <w:pPr>
        <w:pStyle w:val="Heading2"/>
        <w:bidi w:val="0"/>
        <w:ind w:hanging="0" w:left="0"/>
        <w:rPr>
          <w:rFonts w:ascii="Arial" w:hAnsi="Arial"/>
          <w:b/>
          <w:bCs/>
          <w:color w:val="auto"/>
          <w:sz w:val="26"/>
          <w:szCs w:val="26"/>
        </w:rPr>
      </w:pPr>
      <w:bookmarkStart w:id="1" w:name="__RefHeading___Toc30089_3585316353"/>
      <w:bookmarkEnd w:id="1"/>
      <w:r>
        <w:rPr>
          <w:rFonts w:ascii="Arial" w:hAnsi="Arial"/>
          <w:b/>
          <w:bCs/>
          <w:color w:val="auto"/>
          <w:sz w:val="26"/>
          <w:szCs w:val="26"/>
        </w:rPr>
        <w:t>ANEXO – I</w:t>
      </w:r>
      <w:r>
        <w:rPr>
          <w:rFonts w:ascii="Arial" w:hAnsi="Arial"/>
          <w:b/>
          <w:bCs/>
          <w:color w:val="auto"/>
          <w:sz w:val="26"/>
          <w:szCs w:val="26"/>
        </w:rPr>
        <w:t>II</w:t>
      </w:r>
    </w:p>
    <w:p>
      <w:pPr>
        <w:pStyle w:val="Normal"/>
        <w:bidi w:val="0"/>
        <w:rPr>
          <w:rFonts w:ascii="Arial" w:hAnsi="Arial"/>
          <w:b/>
          <w:bCs/>
          <w:color w:val="auto"/>
          <w:sz w:val="26"/>
          <w:szCs w:val="26"/>
        </w:rPr>
      </w:pPr>
      <w:r>
        <w:rPr>
          <w:rFonts w:ascii="Arial" w:hAnsi="Arial"/>
          <w:b/>
          <w:bCs/>
          <w:color w:val="auto"/>
          <w:sz w:val="26"/>
          <w:szCs w:val="26"/>
        </w:rPr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  <w:t>PREGÃO ELETRÔNICO Nº 075/2026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  <w:t>DECLARAÇÃO UNIFICADA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 w:cs="Arial Narrow"/>
          <w:color w:val="auto"/>
          <w:sz w:val="20"/>
          <w:szCs w:val="20"/>
        </w:rPr>
      </w:pPr>
      <w:r>
        <w:rPr>
          <w:rFonts w:cs="Arial Narrow" w:ascii="Arial" w:hAnsi="Arial"/>
          <w:color w:val="auto"/>
          <w:sz w:val="20"/>
          <w:szCs w:val="20"/>
        </w:rPr>
        <w:tab/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 w:ascii="Arial" w:hAnsi="Arial"/>
          <w:color w:val="auto"/>
          <w:sz w:val="22"/>
          <w:szCs w:val="22"/>
        </w:rPr>
        <w:tab/>
        <w:tab/>
        <w:t>A</w:t>
      </w:r>
      <w:r>
        <w:rPr>
          <w:rStyle w:val="Fontepargpadro"/>
          <w:rFonts w:cs="Arial Narrow" w:ascii="Arial" w:hAnsi="Arial"/>
          <w:color w:val="auto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Style w:val="Fontepargpadro"/>
          <w:color w:val="auto"/>
          <w:sz w:val="18"/>
          <w:szCs w:val="18"/>
        </w:rPr>
      </w:pPr>
      <w:r>
        <w:rPr>
          <w:rFonts w:cs="Arial Narrow" w:ascii="Arial" w:hAnsi="Arial"/>
          <w:sz w:val="20"/>
          <w:szCs w:val="20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i w:val="false"/>
                <w:iCs w:val="false"/>
                <w:color w:val="auto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auto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/>
            </w:pP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 xml:space="preserve"> </w:t>
            </w: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color w:val="auto"/>
                <w:sz w:val="16"/>
                <w:szCs w:val="16"/>
              </w:rPr>
            </w:pPr>
            <w:r>
              <w:rPr>
                <w:rFonts w:ascii="Arial" w:hAnsi="Arial"/>
                <w:color w:val="auto"/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eastAsia="Arial"/>
          <w:color w:val="auto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auto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auto"/>
          <w:sz w:val="22"/>
          <w:szCs w:val="22"/>
          <w:lang w:bidi="ar-SA"/>
        </w:rPr>
        <w:t>sob as penas da Lei: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Style w:val="Fontepargpadro"/>
          <w:rFonts w:ascii="Arial" w:hAnsi="Arial" w:eastAsia="Arial"/>
          <w:color w:val="auto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4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color w:val="aut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color w:val="auto"/>
          <w:sz w:val="22"/>
          <w:szCs w:val="22"/>
        </w:rPr>
        <w:t>e</w:t>
      </w:r>
      <w:r>
        <w:rPr>
          <w:rStyle w:val="Fontepargpadro"/>
          <w:color w:val="auto"/>
          <w:sz w:val="22"/>
          <w:szCs w:val="22"/>
        </w:rPr>
        <w:t xml:space="preserve"> </w:t>
      </w:r>
      <w:r>
        <w:rPr>
          <w:rStyle w:val="Fontepargpadro"/>
          <w:b/>
          <w:bCs/>
          <w:color w:val="auto"/>
          <w:sz w:val="22"/>
          <w:szCs w:val="22"/>
        </w:rPr>
        <w:t>artigo 7°, XXXIII, da Constituição</w:t>
      </w:r>
      <w:r>
        <w:rPr>
          <w:rStyle w:val="Fontepargpadro"/>
          <w:color w:val="aut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color w:val="aut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color w:val="auto"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ENQUADRAMENTO ME/EPP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6"/>
          <w:szCs w:val="26"/>
        </w:rPr>
        <w:t>[   ]</w:t>
      </w:r>
      <w:r>
        <w:rPr>
          <w:color w:val="auto"/>
          <w:sz w:val="22"/>
          <w:szCs w:val="22"/>
        </w:rPr>
        <w:t xml:space="preserve"> Que está enquadrada como ME/EPP </w:t>
      </w:r>
      <w:r>
        <w:rPr>
          <w:color w:val="auto"/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color w:val="auto"/>
          <w:sz w:val="22"/>
          <w:szCs w:val="22"/>
        </w:rPr>
        <w:t>estando apta a usufruir dos benefícios concedidos pel</w:t>
      </w:r>
      <w:r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referida Lei Complementar</w:t>
      </w:r>
      <w:r>
        <w:rPr>
          <w:color w:val="auto"/>
          <w:sz w:val="22"/>
          <w:szCs w:val="22"/>
        </w:rPr>
        <w:t xml:space="preserve">, </w:t>
      </w:r>
      <w:r>
        <w:rPr>
          <w:color w:val="auto"/>
          <w:sz w:val="22"/>
          <w:szCs w:val="22"/>
        </w:rPr>
        <w:t>com relação à participação em licitações públicas</w:t>
      </w:r>
      <w:r>
        <w:rPr>
          <w:color w:val="auto"/>
          <w:sz w:val="22"/>
          <w:szCs w:val="22"/>
        </w:rPr>
        <w:t>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6"/>
          <w:szCs w:val="26"/>
        </w:rPr>
        <w:t>[   ]</w:t>
      </w:r>
      <w:r>
        <w:rPr>
          <w:color w:val="auto"/>
          <w:sz w:val="22"/>
          <w:szCs w:val="22"/>
        </w:rPr>
        <w:t xml:space="preserve"> Que </w:t>
      </w:r>
      <w:r>
        <w:rPr>
          <w:color w:val="auto"/>
          <w:sz w:val="22"/>
          <w:szCs w:val="22"/>
        </w:rPr>
        <w:t xml:space="preserve">NÃO ESTÁ APTA a </w:t>
      </w:r>
      <w:r>
        <w:rPr>
          <w:color w:val="auto"/>
          <w:sz w:val="22"/>
          <w:szCs w:val="22"/>
        </w:rPr>
        <w:t>usufruir dos benefícios concedidos pel</w:t>
      </w:r>
      <w:r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 Lei Complementar Federal nº 123/06 e suas alterações, </w:t>
      </w:r>
      <w:r>
        <w:rPr>
          <w:color w:val="auto"/>
          <w:sz w:val="22"/>
          <w:szCs w:val="22"/>
        </w:rPr>
        <w:t xml:space="preserve">com relação à participação em licitações públicas, </w:t>
      </w:r>
      <w:r>
        <w:rPr>
          <w:color w:val="auto"/>
          <w:sz w:val="22"/>
          <w:szCs w:val="22"/>
        </w:rPr>
        <w:t xml:space="preserve">por não estar enquadrada como ME/EPP </w:t>
      </w:r>
      <w:r>
        <w:rPr>
          <w:color w:val="auto"/>
          <w:sz w:val="22"/>
          <w:szCs w:val="22"/>
        </w:rPr>
        <w:t>no ano corrente</w:t>
      </w:r>
      <w:r>
        <w:rPr>
          <w:color w:val="auto"/>
          <w:sz w:val="22"/>
          <w:szCs w:val="22"/>
        </w:rPr>
        <w:t>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ab/>
        <w:t>Por ser verdade assina a presente.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Local e data.</w:t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center"/>
        <w:rPr/>
      </w:pPr>
      <w:r>
        <w:rPr>
          <w:rStyle w:val="Fontepargpadro"/>
          <w:rFonts w:ascii="Arial" w:hAnsi="Arial"/>
          <w:bCs/>
          <w:color w:val="auto"/>
          <w:sz w:val="22"/>
          <w:szCs w:val="22"/>
        </w:rPr>
        <w:t>_________________________________________</w:t>
      </w:r>
    </w:p>
    <w:p>
      <w:pPr>
        <w:pStyle w:val="Normal"/>
        <w:bidi w:val="0"/>
        <w:spacing w:lineRule="auto" w:line="240" w:before="0" w:after="0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(Assinatura, RG e CPF do declarante)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Representante Legal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Style w:val="Fontepargpadro"/>
          <w:color w:val="auto"/>
          <w:sz w:val="18"/>
          <w:szCs w:val="18"/>
        </w:rPr>
      </w:pPr>
      <w:r>
        <w:rPr>
          <w:rFonts w:cs="Arial Narrow" w:ascii="Arial" w:hAnsi="Arial"/>
          <w:sz w:val="20"/>
          <w:szCs w:val="20"/>
        </w:rPr>
      </w:r>
    </w:p>
    <w:p>
      <w:pPr>
        <w:pStyle w:val="Heading2"/>
        <w:bidi w:val="0"/>
        <w:ind w:hanging="0" w:left="0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sectPr>
      <w:type w:val="nextPage"/>
      <w:pgSz w:w="11906" w:h="16838"/>
      <w:pgMar w:left="1701" w:right="1134" w:gutter="0" w:header="0" w:top="405" w:footer="0" w:bottom="315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suff w:val="nothing"/>
      <w:lvlText w:val="CLÁUSULA %1ª - "/>
      <w:lvlJc w:val="left"/>
      <w:pPr>
        <w:tabs>
          <w:tab w:val="num" w:pos="0"/>
        </w:tabs>
        <w:ind w:left="0" w:hanging="0"/>
      </w:pPr>
      <w:rPr>
        <w:rFonts w:ascii="Arial" w:hAnsi="Arial" w:cs="Arial"/>
        <w:b/>
        <w:sz w:val="22"/>
        <w:szCs w:val="22"/>
        <w:u w:val="none"/>
      </w:rPr>
    </w:lvl>
    <w:lvl w:ilvl="1">
      <w:start w:val="1"/>
      <w:numFmt w:val="decimal"/>
      <w:suff w:val="space"/>
      <w:lvlText w:val="%1.%2"/>
      <w:lvlJc w:val="left"/>
      <w:pPr>
        <w:tabs>
          <w:tab w:val="num" w:pos="0"/>
        </w:tabs>
        <w:ind w:left="0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2">
      <w:start w:val="1"/>
      <w:numFmt w:val="decimal"/>
      <w:suff w:val="space"/>
      <w:lvlText w:val="%1.%2.%3"/>
      <w:lvlJc w:val="left"/>
      <w:pPr>
        <w:tabs>
          <w:tab w:val="num" w:pos="0"/>
        </w:tabs>
        <w:ind w:left="567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3">
      <w:start w:val="1"/>
      <w:numFmt w:val="decimal"/>
      <w:suff w:val="space"/>
      <w:lvlText w:val="%1.%2.%3.%4"/>
      <w:lvlJc w:val="left"/>
      <w:pPr>
        <w:tabs>
          <w:tab w:val="num" w:pos="0"/>
        </w:tabs>
        <w:ind w:left="1134" w:hanging="0"/>
      </w:pPr>
      <w:rPr>
        <w:rFonts w:ascii="Arial" w:hAnsi="Arial" w:cs="Arial"/>
        <w:b w:val="false"/>
        <w:bCs w:val="false"/>
        <w:sz w:val="22"/>
        <w:szCs w:val="22"/>
        <w:u w:val="none"/>
      </w:rPr>
    </w:lvl>
    <w:lvl w:ilvl="4">
      <w:start w:val="1"/>
      <w:numFmt w:val="decimal"/>
      <w:suff w:val="space"/>
      <w:lvlText w:val="%1.%2.%3.%4.%5"/>
      <w:lvlJc w:val="left"/>
      <w:pPr>
        <w:tabs>
          <w:tab w:val="num" w:pos="0"/>
        </w:tabs>
        <w:ind w:left="1701" w:hanging="0"/>
      </w:pPr>
      <w:rPr>
        <w:rFonts w:ascii="Arial" w:hAnsi="Arial" w:cs="Arial"/>
        <w:b/>
        <w:sz w:val="24"/>
        <w:szCs w:val="24"/>
        <w:u w:val="none"/>
      </w:rPr>
    </w:lvl>
    <w:lvl w:ilvl="5">
      <w:start w:val="1"/>
      <w:numFmt w:val="decimal"/>
      <w:suff w:val="space"/>
      <w:lvlText w:val=" %1.%2.%3.%4.%5.%6 - "/>
      <w:lvlJc w:val="left"/>
      <w:pPr>
        <w:tabs>
          <w:tab w:val="num" w:pos="0"/>
        </w:tabs>
        <w:ind w:left="2268" w:hanging="0"/>
      </w:pPr>
      <w:rPr>
        <w:rFonts w:ascii="Arial" w:hAnsi="Arial" w:cs="Arial"/>
        <w:b/>
        <w:sz w:val="24"/>
        <w:szCs w:val="24"/>
        <w:u w:val="none"/>
      </w:rPr>
    </w:lvl>
    <w:lvl w:ilvl="6">
      <w:start w:val="1"/>
      <w:numFmt w:val="decimal"/>
      <w:suff w:val="space"/>
      <w:lvlText w:val=" %1.%2.%3.%4.%5.%6.%7 - "/>
      <w:lvlJc w:val="left"/>
      <w:pPr>
        <w:tabs>
          <w:tab w:val="num" w:pos="0"/>
        </w:tabs>
        <w:ind w:left="2835" w:hanging="0"/>
      </w:pPr>
      <w:rPr>
        <w:rFonts w:ascii="Arial" w:hAnsi="Arial" w:cs="Arial"/>
        <w:b/>
        <w:sz w:val="24"/>
        <w:szCs w:val="24"/>
        <w:u w:val="none"/>
      </w:rPr>
    </w:lvl>
    <w:lvl w:ilvl="7">
      <w:start w:val="1"/>
      <w:numFmt w:val="decimal"/>
      <w:suff w:val="space"/>
      <w:lvlText w:val=" %1.%2.%3.%4.%5.%6.%7.%8 - "/>
      <w:lvlJc w:val="left"/>
      <w:pPr>
        <w:tabs>
          <w:tab w:val="num" w:pos="0"/>
        </w:tabs>
        <w:ind w:left="3402" w:hanging="0"/>
      </w:pPr>
      <w:rPr>
        <w:rFonts w:ascii="Arial" w:hAnsi="Arial" w:cs="Arial"/>
        <w:b/>
        <w:sz w:val="24"/>
        <w:szCs w:val="24"/>
        <w:u w:val="none"/>
      </w:rPr>
    </w:lvl>
    <w:lvl w:ilvl="8">
      <w:start w:val="1"/>
      <w:numFmt w:val="decimal"/>
      <w:suff w:val="space"/>
      <w:lvlText w:val=" %1.%2.%3.%4.%5.%6.%7.%8.%9 - "/>
      <w:lvlJc w:val="left"/>
      <w:pPr>
        <w:tabs>
          <w:tab w:val="num" w:pos="0"/>
        </w:tabs>
        <w:ind w:left="3969" w:hanging="0"/>
      </w:pPr>
      <w:rPr>
        <w:rFonts w:ascii="Arial" w:hAnsi="Arial" w:cs="Arial"/>
        <w:b/>
        <w:sz w:val="24"/>
        <w:szCs w:val="24"/>
        <w:u w:val="none"/>
      </w:rPr>
    </w:lvl>
  </w:abstractNum>
  <w:abstractNum w:abstractNumId="3"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OpenSymbol;Arial Unicode MS" w:hAnsi="OpenSymbol;Arial Unicode MS" w:cs="OpenSymbol;Arial Unicode M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character" w:styleId="Fontepargpadro">
    <w:name w:val="Fonte parág. padrão"/>
    <w:qFormat/>
    <w:rPr/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Header">
    <w:name w:val="header"/>
    <w:basedOn w:val="Normal"/>
    <w:pPr>
      <w:tabs>
        <w:tab w:val="clear" w:pos="709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09"/>
        <w:tab w:val="center" w:pos="4419" w:leader="none"/>
        <w:tab w:val="right" w:pos="8838" w:leader="none"/>
      </w:tabs>
      <w:suppressAutoHyphens w:val="true"/>
    </w:pPr>
    <w:rPr/>
  </w:style>
  <w:style w:type="paragraph" w:styleId="WW-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LO-Normal">
    <w:name w:val="LO-Normal"/>
    <w:qFormat/>
    <w:pPr>
      <w:widowControl/>
      <w:suppressAutoHyphens w:val="true"/>
      <w:autoSpaceDE w:val="false"/>
      <w:bidi w:val="0"/>
    </w:pPr>
    <w:rPr>
      <w:rFonts w:ascii="Arial" w:hAnsi="Arial" w:eastAsia="Arial" w:cs="Arial"/>
      <w:color w:val="000000"/>
      <w:kern w:val="2"/>
      <w:sz w:val="24"/>
      <w:szCs w:val="24"/>
      <w:lang w:bidi="ar-SA" w:val="pt-BR" w:eastAsia="zh-CN"/>
    </w:rPr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LibreOffice/26.8.1.1$Windows_X86_64 LibreOffice_project/bf6ef2662401c7d6dce671ab4deb26ee0af3a7c1</Application>
  <AppVersion>15.0000</AppVersion>
  <Pages>7</Pages>
  <Words>2556</Words>
  <Characters>14229</Characters>
  <CharactersWithSpaces>17400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2026-10-26T15:39:35Z</dcterms:created>
  <dc:creator/>
  <dc:description/>
  <dc:language>pt-BR</dc:language>
  <cp:lastModifiedBy/>
  <dcterms:modified xsi:type="dcterms:W3CDTF">2026-10-26T15:40:22Z</dcterms:modified>
  <cp:revision>1</cp:revision>
  <dc:subject/>
  <dc:title/>
</cp:coreProperties>
</file>