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widowControl w:val="false"/>
        <w:spacing w:lineRule="auto" w:line="240" w:before="0" w:after="0"/>
        <w:ind w:hanging="0" w:left="-283" w:right="-144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TERMO DE REFERÊNCIA </w:t>
      </w:r>
    </w:p>
    <w:p>
      <w:pPr>
        <w:pStyle w:val="Heading1"/>
        <w:widowControl w:val="false"/>
        <w:spacing w:lineRule="auto" w:line="240" w:before="0" w:after="0"/>
        <w:ind w:hanging="0" w:left="-283" w:right="-144"/>
        <w:jc w:val="center"/>
        <w:rPr>
          <w:rFonts w:ascii="Arial" w:hAnsi="Arial" w:eastAsia="Arial" w:cs="Arial"/>
          <w:b w:val="false"/>
          <w:sz w:val="22"/>
          <w:szCs w:val="22"/>
        </w:rPr>
      </w:pPr>
      <w:r>
        <w:rPr>
          <w:rFonts w:eastAsia="Arial" w:cs="Arial" w:ascii="Arial" w:hAnsi="Arial"/>
          <w:b w:val="false"/>
          <w:sz w:val="22"/>
          <w:szCs w:val="22"/>
        </w:rPr>
        <w:t>DISPENSA DE LICITAÇÃO</w:t>
      </w:r>
    </w:p>
    <w:p>
      <w:pPr>
        <w:pStyle w:val="Normal"/>
        <w:ind w:hanging="0" w:left="-283" w:right="-144"/>
        <w:jc w:val="center"/>
        <w:rPr>
          <w:rFonts w:ascii="Arial" w:hAnsi="Arial" w:eastAsia="Arial" w:cs="Arial"/>
          <w:sz w:val="22"/>
          <w:szCs w:val="22"/>
          <w:shd w:fill="FFE599" w:val="clear"/>
        </w:rPr>
      </w:pPr>
      <w:r>
        <w:rPr>
          <w:rFonts w:eastAsia="Arial" w:cs="Arial"/>
          <w:shd w:fill="FFE599" w:val="clear"/>
        </w:rPr>
        <w:t>SC</w:t>
      </w:r>
      <w:r>
        <w:rPr>
          <w:rFonts w:eastAsia="Arial" w:cs="Arial"/>
          <w:b w:val="false"/>
          <w:sz w:val="22"/>
          <w:szCs w:val="22"/>
          <w:shd w:fill="FFE599" w:val="clear"/>
        </w:rPr>
        <w:t xml:space="preserve"> XXXX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1" w:leader="none"/>
        </w:tabs>
        <w:spacing w:before="280" w:after="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DO OBJETO</w:t>
      </w:r>
    </w:p>
    <w:p>
      <w:pPr>
        <w:pStyle w:val="BodyText"/>
        <w:widowControl/>
        <w:numPr>
          <w:ilvl w:val="1"/>
          <w:numId w:val="1"/>
        </w:numPr>
        <w:shd w:val="clear" w:fill="auto"/>
        <w:tabs>
          <w:tab w:val="clear" w:pos="720"/>
          <w:tab w:val="left" w:pos="502" w:leader="none"/>
        </w:tabs>
        <w:suppressAutoHyphens w:val="true"/>
        <w:bidi w:val="0"/>
        <w:spacing w:lineRule="auto" w:line="235" w:before="95" w:after="200"/>
        <w:ind w:hanging="0" w:left="-283" w:right="-144"/>
        <w:jc w:val="both"/>
        <w:rPr>
          <w:rFonts w:eastAsia="Arial" w:cs="Arial"/>
          <w:color w:val="000000"/>
          <w:kern w:val="0"/>
          <w:sz w:val="22"/>
          <w:szCs w:val="22"/>
          <w:lang w:val="pt-BR" w:eastAsia="en-US" w:bidi="hi-IN"/>
        </w:rPr>
      </w:pPr>
      <w:r>
        <w:rPr>
          <w:rFonts w:eastAsia="Arial" w:cs="Arial"/>
          <w:color w:val="000000"/>
          <w:kern w:val="0"/>
          <w:sz w:val="22"/>
          <w:szCs w:val="22"/>
          <w:lang w:val="pt-BR" w:eastAsia="en-US" w:bidi="hi-IN"/>
        </w:rPr>
        <w:t xml:space="preserve">Contratação de empresa especializada para a execução e instalação de fachadas em ACM na cor azul Bic, com as dimensões, quantidades e especificações indicadas, incluindo estrutura metálica de sustentação, aplicação de logotipo em relevo (acrílico e PVC com pintura automotiva) e iluminação em LED, conforme condições, exigências e parâmetros técnicos estabelecidos neste Termo de Referência, destinadas à identificação institucional da Fundação Cultural de Jacarehy. </w:t>
      </w:r>
    </w:p>
    <w:tbl>
      <w:tblPr>
        <w:tblStyle w:val="Table1"/>
        <w:tblW w:w="10425" w:type="dxa"/>
        <w:jc w:val="left"/>
        <w:tblInd w:w="-552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val="0000"/>
      </w:tblPr>
      <w:tblGrid>
        <w:gridCol w:w="645"/>
        <w:gridCol w:w="1063"/>
        <w:gridCol w:w="4772"/>
        <w:gridCol w:w="1185"/>
        <w:gridCol w:w="1367"/>
        <w:gridCol w:w="1392"/>
      </w:tblGrid>
      <w:tr>
        <w:trPr>
          <w:trHeight w:val="846" w:hRule="atLeast"/>
        </w:trPr>
        <w:tc>
          <w:tcPr>
            <w:tcW w:w="64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Item</w:t>
            </w:r>
          </w:p>
        </w:tc>
        <w:tc>
          <w:tcPr>
            <w:tcW w:w="1063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Código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SUP</w:t>
            </w:r>
          </w:p>
        </w:tc>
        <w:tc>
          <w:tcPr>
            <w:tcW w:w="477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Especificações</w:t>
            </w:r>
          </w:p>
        </w:tc>
        <w:tc>
          <w:tcPr>
            <w:tcW w:w="118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Tipo</w:t>
            </w:r>
          </w:p>
        </w:tc>
        <w:tc>
          <w:tcPr>
            <w:tcW w:w="1367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59" w:before="0" w:after="200"/>
              <w:ind w:hanging="0" w:left="0" w:right="109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Unidade</w:t>
            </w:r>
          </w:p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40" w:before="1" w:after="200"/>
              <w:ind w:hanging="0" w:left="0" w:right="109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Medida</w:t>
            </w:r>
          </w:p>
        </w:tc>
        <w:tc>
          <w:tcPr>
            <w:tcW w:w="139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Normal"/>
              <w:keepNext w:val="false"/>
              <w:keepLines w:val="false"/>
              <w:widowControl w:val="false"/>
              <w:shd w:val="clear" w:fill="auto"/>
              <w:spacing w:lineRule="auto" w:line="276" w:before="128" w:after="200"/>
              <w:ind w:hanging="0" w:left="0" w:right="66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sz w:val="22"/>
                <w:szCs w:val="22"/>
              </w:rPr>
              <w:t xml:space="preserve"> </w:t>
            </w:r>
            <w:r>
              <w:rPr>
                <w:rFonts w:eastAsia="Arial" w:cs="Arial"/>
                <w:b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Quantidade</w:t>
            </w:r>
          </w:p>
        </w:tc>
      </w:tr>
      <w:tr>
        <w:trPr>
          <w:trHeight w:val="879" w:hRule="atLeast"/>
        </w:trPr>
        <w:tc>
          <w:tcPr>
            <w:tcW w:w="64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b/>
                <w:sz w:val="22"/>
                <w:szCs w:val="22"/>
              </w:rPr>
              <w:t>01</w:t>
            </w:r>
          </w:p>
          <w:p>
            <w:pPr>
              <w:pStyle w:val="Normal"/>
              <w:widowControl w:val="false"/>
              <w:spacing w:before="0" w:after="200"/>
              <w:ind w:hanging="0" w:left="-283" w:right="-144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eastAsia="Arial" w:cs="Arial" w:ascii="Arial" w:hAnsi="Arial"/>
                <w:sz w:val="22"/>
                <w:szCs w:val="22"/>
              </w:rPr>
            </w:r>
          </w:p>
        </w:tc>
        <w:tc>
          <w:tcPr>
            <w:tcW w:w="1063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-283" w:right="-144"/>
              <w:jc w:val="center"/>
              <w:rPr>
                <w:rFonts w:ascii="Arial" w:hAnsi="Arial" w:eastAsia="Arial" w:cs="Arial"/>
                <w:sz w:val="22"/>
                <w:szCs w:val="22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2"/>
                <w:szCs w:val="22"/>
                <w:shd w:fill="FFFFFF" w:val="clear"/>
              </w:rPr>
            </w:r>
          </w:p>
          <w:p>
            <w:pPr>
              <w:pStyle w:val="Normal"/>
              <w:widowControl w:val="false"/>
              <w:spacing w:before="0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</w:tc>
        <w:tc>
          <w:tcPr>
            <w:tcW w:w="477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rPr>
                <w:rFonts w:ascii="Arial" w:hAnsi="Arial" w:eastAsia="Calibri" w:cs="" w:cstheme="minorBidi" w:eastAsiaTheme="minorHAnsi"/>
                <w:color w:val="111111"/>
                <w:kern w:val="0"/>
                <w:sz w:val="22"/>
                <w:szCs w:val="22"/>
                <w:lang w:val="pt-BR" w:eastAsia="en-US" w:bidi="hi-IN"/>
              </w:rPr>
            </w:pPr>
            <w:r>
              <w:rPr>
                <w:rFonts w:eastAsia="Calibri" w:cs="" w:cstheme="minorBidi" w:eastAsiaTheme="minorHAnsi"/>
                <w:color w:val="111111"/>
                <w:kern w:val="0"/>
                <w:sz w:val="22"/>
                <w:szCs w:val="22"/>
                <w:lang w:val="pt-BR" w:eastAsia="en-US" w:bidi="hi-IN"/>
              </w:rPr>
              <w:t xml:space="preserve">Fachada externa em ACM azul Bic, 2,44m x 17,49m, estrutura em metalon com avanço de 5 cm, logotipo em acrílico em relevo, iluminação em LED posterior, incluindo placa adicional em acrílico com logo em relevo (2,30m x 1,16m), com instalação </w:t>
            </w:r>
          </w:p>
        </w:tc>
        <w:tc>
          <w:tcPr>
            <w:tcW w:w="118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82" w:right="35"/>
              <w:jc w:val="center"/>
              <w:rPr>
                <w:rFonts w:ascii="Arial" w:hAnsi="Arial" w:eastAsia="Arial" w:cs="Arial"/>
                <w:sz w:val="22"/>
                <w:szCs w:val="22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2"/>
                <w:szCs w:val="22"/>
                <w:shd w:fill="FFFFFF" w:val="clear"/>
              </w:rPr>
              <w:t>serviço</w:t>
            </w:r>
          </w:p>
        </w:tc>
        <w:tc>
          <w:tcPr>
            <w:tcW w:w="1367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-283" w:right="-144"/>
              <w:jc w:val="center"/>
              <w:rPr>
                <w:rFonts w:ascii="Arial" w:hAnsi="Arial" w:eastAsia="Arial" w:cs="Arial"/>
                <w:sz w:val="22"/>
                <w:szCs w:val="22"/>
                <w:highlight w:val="none"/>
                <w:shd w:fill="FFFFFF" w:val="clear"/>
              </w:rPr>
            </w:pPr>
            <w:r>
              <w:rPr>
                <w:rFonts w:eastAsia="Arial" w:cs="Arial"/>
                <w:sz w:val="22"/>
                <w:szCs w:val="22"/>
                <w:shd w:fill="FFFFFF" w:val="clear"/>
              </w:rPr>
              <w:t>un</w:t>
            </w:r>
          </w:p>
        </w:tc>
        <w:tc>
          <w:tcPr>
            <w:tcW w:w="139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Normal"/>
              <w:widowControl w:val="false"/>
              <w:spacing w:before="8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Arial" w:cs="Arial"/>
                <w:sz w:val="22"/>
                <w:szCs w:val="22"/>
                <w:shd w:fill="FFFFFF" w:val="clear"/>
              </w:rPr>
              <w:t>1</w:t>
            </w:r>
          </w:p>
        </w:tc>
      </w:tr>
      <w:tr>
        <w:trPr>
          <w:trHeight w:val="904" w:hRule="atLeast"/>
        </w:trPr>
        <w:tc>
          <w:tcPr>
            <w:tcW w:w="64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0" w:after="200"/>
              <w:ind w:hanging="0" w:left="-283" w:right="-144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b/>
              </w:rPr>
              <w:t>0</w:t>
            </w:r>
            <w:r>
              <w:rPr>
                <w:b/>
              </w:rPr>
              <w:t>2</w:t>
            </w:r>
          </w:p>
        </w:tc>
        <w:tc>
          <w:tcPr>
            <w:tcW w:w="1063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0" w:after="200"/>
              <w:ind w:hanging="0" w:left="-283" w:right="-144"/>
              <w:jc w:val="center"/>
              <w:rPr>
                <w:rFonts w:ascii="Arial" w:hAnsi="Arial" w:eastAsia="Arial" w:cs="Arial"/>
                <w:sz w:val="22"/>
                <w:szCs w:val="22"/>
                <w:shd w:fill="FFE599" w:val="clear"/>
              </w:rPr>
            </w:pPr>
            <w:r>
              <w:rPr>
                <w:rFonts w:eastAsia="Arial" w:cs="Arial" w:ascii="Arial" w:hAnsi="Arial"/>
                <w:sz w:val="22"/>
                <w:szCs w:val="22"/>
                <w:shd w:fill="FFE599" w:val="clear"/>
              </w:rPr>
            </w:r>
          </w:p>
        </w:tc>
        <w:tc>
          <w:tcPr>
            <w:tcW w:w="477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rPr>
                <w:rFonts w:ascii="Arial" w:hAnsi="Arial" w:eastAsia="Calibri" w:cs="" w:cstheme="minorBidi" w:eastAsiaTheme="minorHAnsi"/>
                <w:color w:val="111111"/>
                <w:kern w:val="0"/>
                <w:sz w:val="22"/>
                <w:szCs w:val="22"/>
                <w:lang w:val="pt-BR" w:eastAsia="en-US" w:bidi="hi-IN"/>
              </w:rPr>
            </w:pPr>
            <w:r>
              <w:rPr>
                <w:rFonts w:eastAsia="Calibri" w:cs="" w:cstheme="minorBidi" w:eastAsiaTheme="minorHAnsi"/>
                <w:color w:val="111111"/>
                <w:kern w:val="0"/>
                <w:sz w:val="22"/>
                <w:szCs w:val="22"/>
                <w:lang w:val="pt-BR" w:eastAsia="en-US" w:bidi="hi-IN"/>
              </w:rPr>
              <w:t xml:space="preserve">Fachada interna em ACM azul Bic, 6,5m x 0,9m, estrutura em metalon, logotipo em PVC 10mm em relevo com pintura automotiva, com instalação </w:t>
            </w:r>
          </w:p>
        </w:tc>
        <w:tc>
          <w:tcPr>
            <w:tcW w:w="118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82" w:right="35"/>
              <w:jc w:val="center"/>
              <w:rPr>
                <w:rFonts w:ascii="Arial" w:hAnsi="Arial" w:eastAsia="Arial" w:cs="Arial"/>
                <w:sz w:val="22"/>
                <w:szCs w:val="22"/>
                <w:highlight w:val="none"/>
                <w:shd w:fill="FFFFFF" w:val="clear"/>
              </w:rPr>
            </w:pPr>
            <w:r>
              <w:rPr>
                <w:rFonts w:eastAsia="Arial" w:cs="Arial" w:ascii="Arial" w:hAnsi="Arial"/>
                <w:sz w:val="22"/>
                <w:szCs w:val="22"/>
                <w:shd w:fill="FFFFFF" w:val="clear"/>
              </w:rPr>
              <w:t>serviço</w:t>
            </w:r>
          </w:p>
        </w:tc>
        <w:tc>
          <w:tcPr>
            <w:tcW w:w="1367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Normal"/>
              <w:widowControl w:val="false"/>
              <w:spacing w:before="8" w:after="200"/>
              <w:ind w:hanging="0" w:left="-283" w:right="-144"/>
              <w:jc w:val="center"/>
              <w:rPr>
                <w:rFonts w:ascii="Arial" w:hAnsi="Arial" w:eastAsia="Arial" w:cs="Arial"/>
                <w:sz w:val="22"/>
                <w:szCs w:val="22"/>
                <w:highlight w:val="none"/>
                <w:shd w:fill="FFFFFF" w:val="clear"/>
              </w:rPr>
            </w:pPr>
            <w:r>
              <w:rPr>
                <w:shd w:fill="FFFFFF" w:val="clear"/>
              </w:rPr>
              <w:t>un</w:t>
            </w:r>
          </w:p>
        </w:tc>
        <w:tc>
          <w:tcPr>
            <w:tcW w:w="139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Normal"/>
              <w:widowControl w:val="false"/>
              <w:spacing w:before="0" w:after="200"/>
              <w:ind w:hanging="0" w:left="82" w:right="35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spacing w:lineRule="auto" w:line="240"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JUSTIFICATIVA DA CONTRATAÇÃO</w:t>
      </w:r>
    </w:p>
    <w:p>
      <w:pPr>
        <w:pStyle w:val="BodyText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76" w:before="0" w:after="0"/>
        <w:ind w:hanging="0" w:left="-283" w:right="0"/>
        <w:jc w:val="both"/>
        <w:rPr>
          <w:rFonts w:ascii="Arial" w:hAnsi="Arial"/>
          <w:b w:val="false"/>
          <w:bCs w:val="false"/>
          <w:color w:val="111111"/>
          <w:sz w:val="22"/>
          <w:szCs w:val="22"/>
          <w:shd w:fill="FFFFFF" w:val="clear"/>
        </w:rPr>
      </w:pPr>
      <w:r>
        <w:rPr>
          <w:rFonts w:ascii="Arial" w:hAnsi="Arial"/>
          <w:b w:val="false"/>
          <w:bCs w:val="false"/>
          <w:color w:val="111111"/>
          <w:sz w:val="22"/>
          <w:szCs w:val="22"/>
          <w:shd w:fill="FFFFFF" w:val="clear"/>
        </w:rPr>
        <w:t>A presente contratação tem por finalidade a execução e instalação de fachadas em ACM na nova sede da Fundação Cultural de Jacarehy, assegurando a adequada identificação do espaço e a valorização da imagem institucional. A escolha do material em ACM justifica-se por sua durabilidade, resistência e acabamento estético, que garantem maior qualidade e padronização visual. A inclusão do logotipo em relevo e da iluminação em LED contribui para a melhor comunicação com o público e reforça a presença da Fundação na cidade.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CLASSIFICAÇÃO DOS BENS COMUNS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  <w:b/>
          <w:color w:val="FF0000"/>
        </w:rPr>
      </w:pPr>
      <w:r>
        <w:rPr>
          <w:rFonts w:eastAsia="Arial" w:cs="Arial"/>
        </w:rPr>
        <w:t>Trata-se de aquisição de bem comum, mediante Dispensa de Licitação, com divulgação no PNCP</w:t>
      </w:r>
      <w:r>
        <w:rPr>
          <w:rFonts w:eastAsia="Arial" w:cs="Arial"/>
          <w:color w:val="FF0000"/>
        </w:rPr>
        <w:t xml:space="preserve"> </w:t>
      </w:r>
      <w:r>
        <w:rPr>
          <w:rFonts w:eastAsia="Arial" w:cs="Arial"/>
        </w:rPr>
        <w:t>e Portal da Transparência do Município</w:t>
      </w:r>
      <w:r>
        <w:rPr>
          <w:rFonts w:eastAsia="Arial" w:cs="Arial"/>
          <w:b/>
        </w:rPr>
        <w:t>.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spacing w:lineRule="auto" w:line="240"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ENTREGA E CRITÉRIOS DE ACEITAÇÃO DO OBJETO.</w:t>
      </w:r>
    </w:p>
    <w:p>
      <w:pPr>
        <w:pStyle w:val="Normal"/>
        <w:keepNext w:val="false"/>
        <w:keepLines w:val="false"/>
        <w:pageBreakBefore w:val="false"/>
        <w:widowControl w:val="false"/>
        <w:shd w:val="clear" w:fill="auto"/>
        <w:suppressAutoHyphens w:val="true"/>
        <w:bidi w:val="0"/>
        <w:spacing w:lineRule="auto" w:line="235" w:before="0" w:after="0"/>
        <w:ind w:hanging="0" w:left="-283" w:right="-144"/>
        <w:jc w:val="both"/>
        <w:rPr>
          <w:rFonts w:ascii="Arial" w:hAnsi="Arial" w:eastAsia="Calibri" w:cs="" w:cstheme="minorBidi" w:eastAsiaTheme="minorHAnsi"/>
          <w:kern w:val="0"/>
          <w:sz w:val="22"/>
          <w:szCs w:val="22"/>
          <w:lang w:val="pt-BR" w:eastAsia="en-US" w:bidi="hi-IN"/>
        </w:rPr>
      </w:pPr>
      <w:r>
        <w:rPr>
          <w:rFonts w:eastAsia="Calibri" w:cs="" w:cstheme="minorBidi" w:eastAsiaTheme="minorHAnsi"/>
          <w:kern w:val="0"/>
          <w:sz w:val="22"/>
          <w:szCs w:val="22"/>
          <w:lang w:val="pt-BR" w:eastAsia="en-US" w:bidi="hi-IN"/>
        </w:rPr>
        <w:t>O prazo de entrega dos serviços é de 7 (sete) dias, contados do recebimento da Autorização de Fornecimento/Serviço, no seguinte endereço: Avenida Getúlio Dorneles Vargas, 530 - Jardim Califórnia - Jacareí, SP - 12305-010  (Presidência da Fundação Cultural de Jacarehy).</w:t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76" w:before="9" w:after="200"/>
        <w:ind w:hanging="0" w:left="-283" w:right="-144"/>
        <w:jc w:val="both"/>
        <w:rPr>
          <w:rFonts w:ascii="Arial" w:hAnsi="Arial" w:eastAsia="Arial" w:cs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O Município de Jacareí não paga por frete nem por visita técnica. </w:t>
      </w:r>
    </w:p>
    <w:p>
      <w:pPr>
        <w:pStyle w:val="Heading2"/>
        <w:pageBreakBefore w:val="false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OBRIGAÇÕES DA CONTRATANTE</w:t>
      </w:r>
    </w:p>
    <w:p>
      <w:pPr>
        <w:pStyle w:val="Normal"/>
        <w:ind w:hanging="0" w:left="-283" w:right="-144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/>
          <w:b/>
        </w:rPr>
        <w:t>5.1</w:t>
      </w:r>
      <w:r>
        <w:rPr>
          <w:rFonts w:eastAsia="Arial" w:cs="Arial"/>
        </w:rPr>
        <w:t>- São obrigações da Contratante: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/>
          <w:b/>
        </w:rPr>
        <w:t>5.1.1.</w:t>
      </w:r>
      <w:r>
        <w:rPr>
          <w:rFonts w:eastAsia="Arial" w:cs="Arial"/>
        </w:rPr>
        <w:t xml:space="preserve"> Verificar minuciosamente, no prazo fixado, a conformidade dos bens recebidos com as  especificações constantes deste Termo de Referência e da proposta, para fins de aceitação e recebimento;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5.1.2. </w:t>
      </w:r>
      <w:r>
        <w:rPr>
          <w:rFonts w:eastAsia="Arial" w:cs="Arial"/>
        </w:rPr>
        <w:t>Comunicar à Contratada, por escrito, sobre imperfeições, falhas ou irregularidades verificadas no objeto  fornecido, para que seja substituído, reparado ou corrigido;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5.1.3. </w:t>
      </w:r>
      <w:r>
        <w:rPr>
          <w:rFonts w:eastAsia="Arial" w:cs="Arial"/>
        </w:rPr>
        <w:t>Efetuar o pagamento à Contratada no valor correspondente ao fornecimento do objeto, no prazo e  forma estabelecidos no Termo de Referência;</w:t>
      </w:r>
    </w:p>
    <w:p>
      <w:pPr>
        <w:pStyle w:val="Normal"/>
        <w:spacing w:lineRule="auto" w:line="235" w:before="1" w:after="20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>5.1.4.</w:t>
      </w:r>
      <w:r>
        <w:rPr>
          <w:rFonts w:eastAsia="Arial" w:cs="Arial"/>
        </w:rPr>
        <w:t xml:space="preserve"> A Administração não responderá por quaisquer compromissos assumidos pela Contratada com terceiros, ainda que vinculados à execução do contrato, bem como por qualquer dano causado a terceiros em  decorrência de ato da Contratada, de seus empregados, prepostos ou subordinados.</w:t>
      </w:r>
    </w:p>
    <w:p>
      <w:pPr>
        <w:pStyle w:val="Heading2"/>
        <w:pageBreakBefore w:val="false"/>
        <w:numPr>
          <w:ilvl w:val="0"/>
          <w:numId w:val="1"/>
        </w:numPr>
        <w:tabs>
          <w:tab w:val="clear" w:pos="720"/>
          <w:tab w:val="left" w:pos="342" w:leader="none"/>
        </w:tabs>
        <w:spacing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OBRIGAÇÕES DA CONTRATADA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/>
          <w:b/>
        </w:rPr>
        <w:t xml:space="preserve">6.1. </w:t>
      </w:r>
      <w:r>
        <w:rPr>
          <w:rFonts w:eastAsia="Arial" w:cs="Arial"/>
        </w:rPr>
        <w:t>A Contratada deve cumprir todas as obrigações constantes no Termo de Referência, seus anexos e sua proposta, assumindo exclusivamente seus riscos e as despesas decorrentes da boa e perfeita execução do objeto e, ainda:</w:t>
      </w:r>
      <w:r>
        <w:rPr>
          <w:rFonts w:eastAsia="Arial" w:cs="Arial"/>
          <w:sz w:val="22"/>
          <w:szCs w:val="22"/>
        </w:rPr>
        <w:t xml:space="preserve">  </w:t>
      </w:r>
    </w:p>
    <w:p>
      <w:pPr>
        <w:pStyle w:val="Normal"/>
        <w:spacing w:lineRule="auto" w:line="235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6.2. </w:t>
      </w:r>
      <w:r>
        <w:rPr>
          <w:rFonts w:eastAsia="Arial" w:cs="Arial"/>
        </w:rPr>
        <w:t>Efetuar a entrega do objeto / serviço em perfeitas condições, conforme especificações, prazo e local constantes no Termo de Referência e seus anexos.</w:t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62" w:leader="none"/>
        </w:tabs>
        <w:spacing w:before="280" w:after="280"/>
        <w:ind w:hanging="0" w:left="-283" w:right="-144"/>
        <w:jc w:val="both"/>
        <w:rPr>
          <w:rFonts w:ascii="Arial" w:hAnsi="Arial" w:eastAsia="Arial" w:cs="Arial"/>
          <w:b/>
          <w:i w:val="false"/>
          <w:i w:val="false"/>
          <w:sz w:val="22"/>
          <w:szCs w:val="22"/>
          <w:highlight w:val="white"/>
        </w:rPr>
      </w:pPr>
      <w:r>
        <w:rPr>
          <w:rFonts w:eastAsia="Arial" w:cs="Arial" w:ascii="Arial" w:hAnsi="Arial"/>
          <w:i w:val="false"/>
          <w:sz w:val="22"/>
          <w:szCs w:val="22"/>
          <w:highlight w:val="white"/>
        </w:rPr>
        <w:t>DO PAGAMENTO</w:t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7.1. </w:t>
      </w:r>
      <w:r>
        <w:rPr>
          <w:rFonts w:eastAsia="Arial" w:cs="Arial"/>
        </w:rPr>
        <w:t xml:space="preserve">O pagamento será realizado no prazo de </w:t>
      </w:r>
      <w:r>
        <w:rPr>
          <w:rFonts w:eastAsia="Arial" w:cs="Arial"/>
          <w:color w:val="000000"/>
        </w:rPr>
        <w:t>11</w:t>
      </w:r>
      <w:r>
        <w:rPr>
          <w:rFonts w:eastAsia="Arial" w:cs="Arial"/>
        </w:rPr>
        <w:t xml:space="preserve"> DFS </w:t>
      </w:r>
      <w:r>
        <w:rPr>
          <w:rFonts w:eastAsia="Arial" w:cs="Arial"/>
          <w:color w:val="000000"/>
        </w:rPr>
        <w:t>(Onze</w:t>
      </w:r>
      <w:r>
        <w:rPr>
          <w:rFonts w:eastAsia="Arial" w:cs="Arial"/>
          <w:color w:val="FF0000"/>
        </w:rPr>
        <w:t xml:space="preserve"> </w:t>
      </w:r>
      <w:r>
        <w:rPr>
          <w:rFonts w:eastAsia="Arial" w:cs="Arial"/>
        </w:rPr>
        <w:t xml:space="preserve">dias fora a semana), onde será efetuado através de crédito em Conta Corrente; </w:t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7.2. </w:t>
      </w:r>
      <w:r>
        <w:rPr>
          <w:rFonts w:eastAsia="Arial" w:cs="Arial"/>
        </w:rPr>
        <w:t>Fazer constar no corpo da Nota Fiscal os números da AF (autorização de fornecimento) / AS (autorização de serviço) e do Empenho, além da Condição de Pagamento;</w:t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/>
          <w:b/>
        </w:rPr>
        <w:t xml:space="preserve">7.3. </w:t>
      </w:r>
      <w:r>
        <w:rPr>
          <w:rFonts w:eastAsia="Arial" w:cs="Arial"/>
        </w:rPr>
        <w:t>As Notas Fiscais decorrentes das autorizações deverão ser emitidas em nome da FUNDAÇÃO CULTURAL DE JACAREHY, formato este correspondente à inscrição principal do Município no Cadastro Nacional da Pessoa Jurídica (CNPJ).</w:t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spacing w:lineRule="auto" w:line="240" w:before="0" w:after="0"/>
        <w:ind w:hanging="0" w:left="-283" w:right="-144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left="-283" w:right="-144"/>
        <w:jc w:val="center"/>
        <w:rPr>
          <w:rFonts w:ascii="Arial" w:hAnsi="Arial" w:eastAsia="Arial" w:cs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_________________________________________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>Marcelo Carvalho Lima</w:t>
      </w:r>
    </w:p>
    <w:p>
      <w:pPr>
        <w:pStyle w:val="LO-normal"/>
        <w:keepNext w:val="false"/>
        <w:keepLines w:val="false"/>
        <w:widowControl/>
        <w:shd w:val="clear" w:fill="auto"/>
        <w:spacing w:lineRule="auto" w:line="276" w:before="0" w:after="0"/>
        <w:ind w:hanging="0" w:left="0" w:right="0"/>
        <w:jc w:val="center"/>
        <w:rPr>
          <w:highlight w:val="none"/>
          <w:shd w:fill="FFFFFF" w:val="clear"/>
        </w:rPr>
      </w:pPr>
      <w:r>
        <w:rPr>
          <w:rFonts w:eastAsia="Arial" w:cs="Arial" w:ascii="Arial" w:hAnsi="Arial"/>
          <w:shd w:fill="FFFFFF" w:val="clear"/>
        </w:rPr>
        <w:t>Diretor-geral da Fundação Cultural de Jacarehy – José Maria de Abreu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559" w:right="1134" w:gutter="0" w:header="340" w:top="1701" w:footer="453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  <w:font w:name="SimSun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mic Sans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-566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Avenida </w:t>
    </w:r>
    <w:r>
      <w:rPr>
        <w:color w:val="999999"/>
        <w:sz w:val="18"/>
        <w:szCs w:val="18"/>
      </w:rPr>
      <w:t>Cristóvão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 Arouca, n. 40 – Centro – Jacareí/SP – CEP: 12.327-707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-566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>Telefone: (12) 3951-0710 / 3951-9497 - www.fundacaocultural.com.br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 w:ascii="Calibri" w:hAnsi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b/>
        <w:sz w:val="18"/>
        <w:szCs w:val="18"/>
      </w:rPr>
    </w:pPr>
    <w:r>
      <w:rPr>
        <w:b/>
        <w:sz w:val="18"/>
        <w:szCs w:val="18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b/>
        <w:sz w:val="18"/>
        <w:szCs w:val="1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-566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Avenida </w:t>
    </w:r>
    <w:r>
      <w:rPr>
        <w:color w:val="999999"/>
        <w:sz w:val="18"/>
        <w:szCs w:val="18"/>
      </w:rPr>
      <w:t>Cristóvão</w:t>
    </w: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 xml:space="preserve"> Arouca, n. 40 – Centro – Jacareí/SP – CEP: 12.327-707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-566" w:right="0"/>
      <w:jc w:val="center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999999"/>
        <w:position w:val="0"/>
        <w:sz w:val="18"/>
        <w:sz w:val="18"/>
        <w:szCs w:val="18"/>
        <w:u w:val="none"/>
        <w:shd w:fill="auto" w:val="clear"/>
        <w:vertAlign w:val="baseline"/>
      </w:rPr>
      <w:t>Telefone: (12) 3951-0710 / 3951-9497 - www.fundacaocultural.com.br</w:t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pPr>
    <w:r>
      <w:rPr>
        <w:rFonts w:eastAsia="Calibri" w:cs="Calibri" w:ascii="Calibri" w:hAnsi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8"/>
        <w:sz w:val="18"/>
        <w:szCs w:val="18"/>
        <w:u w:val="none"/>
        <w:shd w:fill="auto" w:val="clear"/>
        <w:vertAlign w:val="baseline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b/>
        <w:sz w:val="18"/>
        <w:szCs w:val="18"/>
      </w:rPr>
    </w:pPr>
    <w:r>
      <w:rPr>
        <w:b/>
        <w:sz w:val="18"/>
        <w:szCs w:val="18"/>
      </w:rPr>
    </w:r>
  </w:p>
  <w:p>
    <w:pPr>
      <w:pStyle w:val="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b/>
        <w:sz w:val="18"/>
        <w:szCs w:val="18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>
        <w:rFonts w:eastAsia="Calibri" w:cs="Calibri" w:ascii="Calibri" w:hAnsi="Calibri"/>
        <w:color w:val="000000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5334000</wp:posOffset>
          </wp:positionH>
          <wp:positionV relativeFrom="paragraph">
            <wp:posOffset>-101600</wp:posOffset>
          </wp:positionV>
          <wp:extent cx="1222375" cy="108267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22375" cy="1082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/>
      <w:drawing>
        <wp:inline distT="0" distB="0" distL="0" distR="0">
          <wp:extent cx="5400040" cy="851535"/>
          <wp:effectExtent l="0" t="0" r="0" b="0"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>
        <w:rFonts w:eastAsia="Calibri" w:cs="Calibri" w:ascii="Calibri" w:hAnsi="Calibri"/>
        <w:color w:val="000000"/>
      </w:rP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5334000</wp:posOffset>
          </wp:positionH>
          <wp:positionV relativeFrom="paragraph">
            <wp:posOffset>-101600</wp:posOffset>
          </wp:positionV>
          <wp:extent cx="1222375" cy="1082675"/>
          <wp:effectExtent l="0" t="0" r="0" b="0"/>
          <wp:wrapNone/>
          <wp:docPr id="3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22375" cy="1082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rPr>
        <w:rFonts w:ascii="Calibri" w:hAnsi="Calibri" w:eastAsia="Calibri" w:cs="Calibri"/>
        <w:color w:val="000000"/>
      </w:rPr>
    </w:pPr>
    <w:r>
      <w:rPr/>
      <w:drawing>
        <wp:inline distT="0" distB="0" distL="0" distR="0">
          <wp:extent cx="5400040" cy="851535"/>
          <wp:effectExtent l="0" t="0" r="0" b="0"/>
          <wp:docPr id="4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-"/>
      <w:lvlJc w:val="left"/>
      <w:pPr>
        <w:tabs>
          <w:tab w:val="num" w:pos="0"/>
        </w:tabs>
        <w:ind w:left="400" w:hanging="261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0" w:hanging="362"/>
      </w:pPr>
      <w:rPr>
        <w:sz w:val="22"/>
        <w:b/>
        <w:szCs w:val="22"/>
        <w:rFonts w:ascii="Times New Roman" w:hAnsi="Times New Roman" w:eastAsia="Times New Roman" w:cs="Times New Roman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6" w:hanging="362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33" w:hanging="362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99" w:hanging="362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66" w:hanging="362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2" w:hanging="362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9" w:hanging="362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66" w:hanging="362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autoRedefine/>
    <w:uiPriority w:val="0"/>
    <w:qFormat/>
    <w:pPr>
      <w:keepNext w:val="false"/>
      <w:keepLines w:val="false"/>
      <w:pageBreakBefore w:val="false"/>
      <w:widowControl w:val="false"/>
      <w:shd w:val="clear" w:fill="auto"/>
      <w:suppressAutoHyphens w:val="true"/>
      <w:bidi w:val="0"/>
      <w:spacing w:lineRule="auto" w:line="276" w:before="0" w:after="0"/>
      <w:ind w:hanging="0" w:left="0" w:right="0"/>
      <w:jc w:val="center"/>
    </w:pPr>
    <w:rPr>
      <w:rFonts w:ascii="Arial" w:hAnsi="Arial" w:eastAsia="Calibri" w:cs="" w:cstheme="minorBidi" w:eastAsiaTheme="minorHAnsi"/>
      <w:color w:val="000000"/>
      <w:kern w:val="0"/>
      <w:sz w:val="22"/>
      <w:szCs w:val="22"/>
      <w:lang w:val="pt-BR" w:eastAsia="en-US" w:bidi="hi-IN"/>
    </w:rPr>
  </w:style>
  <w:style w:type="paragraph" w:styleId="Heading1">
    <w:name w:val="heading 1"/>
    <w:basedOn w:val="Normal"/>
    <w:next w:val="LO-normal1"/>
    <w:autoRedefine/>
    <w:uiPriority w:val="9"/>
    <w:qFormat/>
    <w:pPr>
      <w:spacing w:lineRule="auto" w:line="276" w:before="0" w:after="200"/>
      <w:ind w:hanging="0" w:left="222"/>
      <w:outlineLvl w:val="0"/>
    </w:pPr>
    <w:rPr>
      <w:rFonts w:ascii="Calibri" w:hAnsi="Calibri" w:eastAsia="Calibri" w:cs="Calibri"/>
      <w:b/>
      <w:bCs/>
      <w:sz w:val="20"/>
      <w:szCs w:val="20"/>
      <w:lang w:val="pt-BR"/>
    </w:rPr>
  </w:style>
  <w:style w:type="paragraph" w:styleId="Heading2">
    <w:name w:val="heading 2"/>
    <w:basedOn w:val="Normal"/>
    <w:next w:val="LO-normal1"/>
    <w:uiPriority w:val="9"/>
    <w:semiHidden/>
    <w:unhideWhenUsed/>
    <w:qFormat/>
    <w:pPr>
      <w:spacing w:lineRule="auto" w:line="259" w:beforeAutospacing="1" w:afterAutospacing="1"/>
      <w:outlineLvl w:val="1"/>
    </w:pPr>
    <w:rPr>
      <w:rFonts w:ascii="SimSun" w:hAnsi="SimSun" w:eastAsia="SimSun" w:cs="Times New Roman"/>
      <w:b/>
      <w:i/>
      <w:sz w:val="36"/>
      <w:szCs w:val="36"/>
      <w:lang w:val="en-US" w:eastAsia="zh-CN"/>
    </w:rPr>
  </w:style>
  <w:style w:type="paragraph" w:styleId="Heading3">
    <w:name w:val="heading 3"/>
    <w:next w:val="Normal"/>
    <w:autoRedefine/>
    <w:uiPriority w:val="0"/>
    <w:qFormat/>
    <w:pPr>
      <w:keepNext w:val="true"/>
      <w:keepLines/>
      <w:widowControl/>
      <w:suppressAutoHyphens w:val="true"/>
      <w:bidi w:val="0"/>
      <w:spacing w:lineRule="auto" w:line="276" w:before="280" w:after="80"/>
      <w:jc w:val="left"/>
      <w:outlineLvl w:val="2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Heading4">
    <w:name w:val="heading 4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240" w:after="40"/>
      <w:jc w:val="left"/>
      <w:outlineLvl w:val="3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Heading5">
    <w:name w:val="heading 5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220" w:after="40"/>
      <w:jc w:val="left"/>
      <w:outlineLvl w:val="4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Heading6">
    <w:name w:val="heading 6"/>
    <w:next w:val="Normal"/>
    <w:autoRedefine/>
    <w:uiPriority w:val="0"/>
    <w:qFormat/>
    <w:pPr>
      <w:keepNext w:val="true"/>
      <w:keepLines/>
      <w:widowControl/>
      <w:suppressAutoHyphens w:val="true"/>
      <w:bidi w:val="0"/>
      <w:spacing w:lineRule="auto" w:line="276" w:before="200" w:after="40"/>
      <w:jc w:val="left"/>
      <w:outlineLvl w:val="5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styleId="CabealhoChar" w:customStyle="1">
    <w:name w:val="Cabeçalho Char"/>
    <w:basedOn w:val="DefaultParagraphFont"/>
    <w:uiPriority w:val="99"/>
    <w:semiHidden/>
    <w:qFormat/>
    <w:rPr/>
  </w:style>
  <w:style w:type="character" w:styleId="RodapChar" w:customStyle="1">
    <w:name w:val="Rodapé Char"/>
    <w:basedOn w:val="DefaultParagraphFont"/>
    <w:uiPriority w:val="0"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Pr>
      <w:rFonts w:ascii="Tahoma" w:hAnsi="Tahoma" w:cs="Tahoma"/>
      <w:sz w:val="16"/>
      <w:szCs w:val="16"/>
    </w:rPr>
  </w:style>
  <w:style w:type="character" w:styleId="apple-tab-span" w:customStyle="1">
    <w:name w:val="apple-tab-span"/>
    <w:basedOn w:val="DefaultParagraphFont"/>
    <w:uiPriority w:val="0"/>
    <w:qFormat/>
    <w:rPr/>
  </w:style>
  <w:style w:type="character" w:styleId="Corpodetexto3Char" w:customStyle="1">
    <w:name w:val="Corpo de texto 3 Char"/>
    <w:basedOn w:val="DefaultParagraphFont"/>
    <w:uiPriority w:val="99"/>
    <w:semiHidden/>
    <w:qFormat/>
    <w:rPr>
      <w:rFonts w:ascii="Calibri" w:hAnsi="Calibri" w:eastAsia="Calibri" w:cs="" w:asciiTheme="minorHAnsi" w:cstheme="minorBidi" w:eastAsiaTheme="minorHAnsi" w:hAnsiTheme="minorHAnsi"/>
      <w:sz w:val="16"/>
      <w:szCs w:val="16"/>
      <w:lang w:eastAsia="en-US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Pr>
      <w:rFonts w:ascii="Calibri" w:hAnsi="Calibri" w:eastAsia="Calibri" w:cs="" w:asciiTheme="minorHAnsi" w:cstheme="minorBidi" w:eastAsiaTheme="minorHAnsi" w:hAnsiTheme="minorHAnsi"/>
      <w:sz w:val="20"/>
      <w:szCs w:val="20"/>
      <w:lang w:eastAsia="en-US"/>
    </w:rPr>
  </w:style>
  <w:style w:type="character" w:styleId="Caracteresdenotaderodapuser">
    <w:name w:val="Caracteres de nota de rodapé (user)"/>
    <w:qFormat/>
    <w:rPr/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semiHidden/>
    <w:unhideWhenUsed/>
    <w:qFormat/>
    <w:pPr/>
    <w:rPr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-normal1" w:default="1">
    <w:name w:val="LO-normal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next w:val="Normal"/>
    <w:uiPriority w:val="0"/>
    <w:qFormat/>
    <w:pPr>
      <w:keepNext w:val="true"/>
      <w:keepLines/>
      <w:widowControl/>
      <w:suppressAutoHyphens w:val="true"/>
      <w:bidi w:val="0"/>
      <w:spacing w:lineRule="auto" w:line="276" w:before="480" w:after="120"/>
      <w:jc w:val="left"/>
    </w:pPr>
    <w:rPr>
      <w:rFonts w:ascii="Calibri" w:hAnsi="Calibri" w:eastAsia="Calibri" w:cs="Calibri"/>
      <w:b/>
      <w:color w:val="auto"/>
      <w:kern w:val="0"/>
      <w:sz w:val="72"/>
      <w:szCs w:val="72"/>
      <w:lang w:val="pt-BR" w:eastAsia="zh-CN" w:bidi="hi-IN"/>
    </w:rPr>
  </w:style>
  <w:style w:type="paragraph" w:styleId="NormalWeb">
    <w:name w:val="Normal (Web)"/>
    <w:uiPriority w:val="99"/>
    <w:unhideWhenUsed/>
    <w:qFormat/>
    <w:pPr>
      <w:widowControl/>
      <w:suppressAutoHyphens w:val="true"/>
      <w:bidi w:val="0"/>
      <w:spacing w:lineRule="auto" w:line="259" w:beforeAutospacing="1" w:afterAutospacing="1"/>
      <w:jc w:val="left"/>
    </w:pPr>
    <w:rPr>
      <w:rFonts w:ascii="Times New Roman" w:hAnsi="Times New Roman" w:eastAsia="SimSun" w:cs="Times New Roman"/>
      <w:color w:val="auto"/>
      <w:kern w:val="0"/>
      <w:sz w:val="22"/>
      <w:szCs w:val="24"/>
      <w:lang w:val="en-US" w:eastAsia="zh-CN" w:bidi="hi-IN"/>
    </w:rPr>
  </w:style>
  <w:style w:type="paragraph" w:styleId="BodyText3">
    <w:name w:val="Body Text 3"/>
    <w:basedOn w:val="Normal"/>
    <w:uiPriority w:val="99"/>
    <w:semiHidden/>
    <w:unhideWhenUsed/>
    <w:qFormat/>
    <w:pPr>
      <w:spacing w:before="0" w:after="120"/>
    </w:pPr>
    <w:rPr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autoRedefine/>
    <w:uiPriority w:val="99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autoRedefine/>
    <w:uiPriority w:val="0"/>
    <w:unhideWhenUsed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odyTextIndent3">
    <w:name w:val="Body Text Indent 3"/>
    <w:basedOn w:val="Normal"/>
    <w:autoRedefine/>
    <w:uiPriority w:val="99"/>
    <w:semiHidden/>
    <w:unhideWhenUsed/>
    <w:qFormat/>
    <w:pPr>
      <w:spacing w:before="0" w:after="120"/>
      <w:ind w:hanging="0" w:left="283"/>
    </w:pPr>
    <w:rPr>
      <w:sz w:val="16"/>
      <w:szCs w:val="16"/>
    </w:rPr>
  </w:style>
  <w:style w:type="paragraph" w:styleId="BalloonText">
    <w:name w:val="Balloon Text"/>
    <w:basedOn w:val="Normal"/>
    <w:uiPriority w:val="99"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ubtitle">
    <w:name w:val="Subtitle"/>
    <w:basedOn w:val="LO-normal1"/>
    <w:next w:val="LO-normal1"/>
    <w:uiPriority w:val="0"/>
    <w:qFormat/>
    <w:pPr>
      <w:jc w:val="center"/>
    </w:pPr>
    <w:rPr>
      <w:rFonts w:ascii="Comic Sans MS" w:hAnsi="Comic Sans MS" w:eastAsia="Comic Sans MS" w:cs="Comic Sans MS"/>
      <w:b/>
      <w:color w:val="000000"/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qFormat/>
    <w:pPr>
      <w:spacing w:lineRule="auto" w:line="240" w:before="0" w:after="0"/>
    </w:pPr>
    <w:rPr>
      <w:sz w:val="20"/>
      <w:szCs w:val="20"/>
    </w:rPr>
  </w:style>
  <w:style w:type="paragraph" w:styleId="Normal1" w:customStyle="1">
    <w:name w:val="Normal1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Default" w:customStyle="1">
    <w:name w:val="Default"/>
    <w:uiPriority w:val="0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SimSun" w:cs="Arial"/>
      <w:color w:val="000000"/>
      <w:kern w:val="0"/>
      <w:sz w:val="24"/>
      <w:szCs w:val="24"/>
      <w:lang w:val="pt-BR" w:eastAsia="zh-CN" w:bidi="hi-IN"/>
    </w:rPr>
  </w:style>
  <w:style w:type="paragraph" w:styleId="SemEspaamento1" w:customStyle="1">
    <w:name w:val="Sem Espaçamento1"/>
    <w:autoRedefine/>
    <w:uiPriority w:val="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SimSun" w:cs="Times New Roman"/>
      <w:color w:val="auto"/>
      <w:kern w:val="0"/>
      <w:sz w:val="22"/>
      <w:szCs w:val="22"/>
      <w:lang w:val="pt-BR" w:eastAsia="en-US" w:bidi="hi-IN"/>
    </w:rPr>
  </w:style>
  <w:style w:type="paragraph" w:styleId="ListParagraph">
    <w:name w:val="List Paragraph"/>
    <w:basedOn w:val="Normal"/>
    <w:autoRedefine/>
    <w:uiPriority w:val="1"/>
    <w:qFormat/>
    <w:pPr>
      <w:ind w:hanging="360" w:left="222"/>
      <w:jc w:val="both"/>
    </w:pPr>
    <w:rPr/>
  </w:style>
  <w:style w:type="paragraph" w:styleId="Ttulo1" w:customStyle="1">
    <w:name w:val="Título1"/>
    <w:basedOn w:val="Normal"/>
    <w:next w:val="Subtitle"/>
    <w:uiPriority w:val="0"/>
    <w:qFormat/>
    <w:pPr>
      <w:jc w:val="center"/>
    </w:pPr>
    <w:rPr>
      <w:rFonts w:ascii="Comic Sans MS" w:hAnsi="Comic Sans MS"/>
      <w:sz w:val="56"/>
    </w:rPr>
  </w:style>
  <w:style w:type="paragraph" w:styleId="LO-normal" w:customStyle="1">
    <w:name w:val="LO-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paragraph" w:styleId="TableParagraph" w:customStyle="1">
    <w:name w:val="Table Paragraph"/>
    <w:basedOn w:val="Normal"/>
    <w:autoRedefine/>
    <w:uiPriority w:val="1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default="1" w:styleId="TableNormal">
    <w:name w:val="Table Normal"/>
  </w:style>
  <w:style w:type="table" w:default="1" w:styleId="9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Table Normal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6">
    <w:name w:val="_Style 85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">
    <w:name w:val="_Style 86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8">
    <w:name w:val="_Style 87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9">
    <w:name w:val="_Style 88"/>
    <w:basedOn w:val="23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_Style 89"/>
    <w:basedOn w:val="23"/>
    <w:uiPriority w:val="0"/>
    <w:qFormat/>
    <w:tblPr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1">
    <w:name w:val="_Style 90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_Style 91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_Style 92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4">
    <w:name w:val="_Style 93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5">
    <w:name w:val="_Style 94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6">
    <w:name w:val="_Style 95"/>
    <w:basedOn w:val="23"/>
    <w:uiPriority w:val="0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7">
    <w:name w:val="_Style 96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_Style 97"/>
    <w:basedOn w:val="23"/>
    <w:uiPriority w:val="0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9">
    <w:name w:val="_Style 99"/>
    <w:uiPriority w:val="0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PklkckHCsRfmFBe5UF0OWIYOH5Q==">CgMxLjAyCGguZ2pkZ3hzOAByITFnMjdNN0Rvd1hienJ2d0pwd184My1yc1IyY1RMcnJ4UQ==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LibreOffice/25.2.5.2$Windows_X86_64 LibreOffice_project/03d19516eb2e1dd5d4ccd751a0d6f35f35e08022</Application>
  <AppVersion>15.0000</AppVersion>
  <Pages>2</Pages>
  <Words>645</Words>
  <Characters>3679</Characters>
  <CharactersWithSpaces>4285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2020-10-15T18:07:00Z</dcterms:created>
  <dc:creator>Selma</dc:creator>
  <dc:description/>
  <dc:language>pt-BR</dc:language>
  <cp:lastModifiedBy/>
  <dcterms:modified xsi:type="dcterms:W3CDTF">2025-09-08T12:09:26Z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847440F02FB746CDBF5EFBD55FB33236_13</vt:lpwstr>
  </property>
  <property fmtid="{D5CDD505-2E9C-101B-9397-08002B2CF9AE}" pid="3" name="KSOProductBuildVer">
    <vt:lpwstr>1046-12.2.0.16731</vt:lpwstr>
  </property>
</Properties>
</file>