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tulo1"/>
        <w:widowControl w:val="false"/>
        <w:spacing w:lineRule="auto" w:line="240" w:before="0" w:after="0"/>
        <w:ind w:left="-283" w:right="-144" w:hanging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TERMO DE REFERÊNCIA </w:t>
      </w:r>
    </w:p>
    <w:p>
      <w:pPr>
        <w:pStyle w:val="Ttulo1"/>
        <w:widowControl w:val="false"/>
        <w:spacing w:lineRule="auto" w:line="240" w:before="0" w:after="0"/>
        <w:ind w:left="-283" w:right="-144" w:hanging="0"/>
        <w:jc w:val="center"/>
        <w:rPr>
          <w:rFonts w:ascii="Arial" w:hAnsi="Arial" w:eastAsia="Arial" w:cs="Arial"/>
          <w:b w:val="false"/>
          <w:b w:val="false"/>
          <w:sz w:val="22"/>
          <w:szCs w:val="22"/>
        </w:rPr>
      </w:pPr>
      <w:r>
        <w:rPr>
          <w:rFonts w:eastAsia="Arial" w:cs="Arial" w:ascii="Arial" w:hAnsi="Arial"/>
          <w:b w:val="false"/>
          <w:sz w:val="22"/>
          <w:szCs w:val="22"/>
        </w:rPr>
        <w:t>DISPENSA DE LICITAÇÃO</w:t>
      </w:r>
    </w:p>
    <w:p>
      <w:pPr>
        <w:pStyle w:val="Normal"/>
        <w:ind w:left="-283" w:right="-144" w:hanging="0"/>
        <w:jc w:val="center"/>
        <w:rPr>
          <w:highlight w:val="none"/>
          <w:shd w:fill="FFFFFF" w:val="clear"/>
        </w:rPr>
      </w:pPr>
      <w:r>
        <w:rPr>
          <w:rFonts w:eastAsia="Arial" w:cs="Arial" w:ascii="Arial" w:hAnsi="Arial"/>
          <w:shd w:fill="FFFFFF" w:val="clear"/>
        </w:rPr>
        <w:t>SC</w:t>
      </w:r>
      <w:r>
        <w:rPr>
          <w:rFonts w:eastAsia="Arial" w:cs="Arial" w:ascii="Arial" w:hAnsi="Arial"/>
          <w:b w:val="false"/>
          <w:sz w:val="22"/>
          <w:szCs w:val="22"/>
          <w:shd w:fill="FFFFFF" w:val="clear"/>
        </w:rPr>
        <w:t xml:space="preserve"> </w:t>
      </w:r>
      <w:r>
        <w:rPr>
          <w:rFonts w:eastAsia="Arial" w:cs="Arial" w:ascii="Arial" w:hAnsi="Arial"/>
          <w:b w:val="false"/>
          <w:sz w:val="22"/>
          <w:szCs w:val="22"/>
          <w:shd w:fill="FFFFFF" w:val="clear"/>
        </w:rPr>
        <w:t>163/2025</w:t>
      </w:r>
    </w:p>
    <w:p>
      <w:pPr>
        <w:pStyle w:val="Ttulo2"/>
        <w:numPr>
          <w:ilvl w:val="0"/>
          <w:numId w:val="1"/>
        </w:numPr>
        <w:tabs>
          <w:tab w:val="clear" w:pos="720"/>
          <w:tab w:val="left" w:pos="401" w:leader="none"/>
        </w:tabs>
        <w:spacing w:before="280" w:after="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DO OBJETO</w:t>
      </w:r>
    </w:p>
    <w:p>
      <w:pPr>
        <w:pStyle w:val="Normal"/>
        <w:keepNext w:val="false"/>
        <w:keepLines w:val="false"/>
        <w:pageBreakBefore w:val="false"/>
        <w:widowControl/>
        <w:numPr>
          <w:ilvl w:val="1"/>
          <w:numId w:val="1"/>
        </w:numPr>
        <w:shd w:val="clear" w:fill="auto"/>
        <w:tabs>
          <w:tab w:val="clear" w:pos="720"/>
          <w:tab w:val="left" w:pos="502" w:leader="none"/>
        </w:tabs>
        <w:spacing w:lineRule="auto" w:line="235" w:before="95" w:after="200"/>
        <w:ind w:left="-283" w:right="-144" w:hanging="0"/>
        <w:jc w:val="both"/>
        <w:rPr>
          <w:rFonts w:ascii="Arial" w:hAnsi="Arial" w:eastAsia="Arial" w:cs="Arial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Aquisição de </w:t>
      </w: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FFFFFF" w:val="clear"/>
          <w:vertAlign w:val="baseline"/>
        </w:rPr>
        <w:t>material</w:t>
      </w: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FF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para a Fundação Cultural de Jacarehy, conforme condições, quantidades e exigências estabelecidas neste instrumento:</w:t>
      </w:r>
    </w:p>
    <w:tbl>
      <w:tblPr>
        <w:tblStyle w:val="Table1"/>
        <w:tblW w:w="10425" w:type="dxa"/>
        <w:jc w:val="left"/>
        <w:tblInd w:w="-552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000"/>
      </w:tblPr>
      <w:tblGrid>
        <w:gridCol w:w="570"/>
        <w:gridCol w:w="1754"/>
        <w:gridCol w:w="4830"/>
        <w:gridCol w:w="1051"/>
        <w:gridCol w:w="959"/>
        <w:gridCol w:w="1260"/>
      </w:tblGrid>
      <w:tr>
        <w:trPr>
          <w:trHeight w:val="846" w:hRule="atLeast"/>
        </w:trPr>
        <w:tc>
          <w:tcPr>
            <w:tcW w:w="57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left="-283" w:right="-144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Item</w:t>
            </w:r>
          </w:p>
        </w:tc>
        <w:tc>
          <w:tcPr>
            <w:tcW w:w="1754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left="-283" w:right="-144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Código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left="-283" w:right="-144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SUP</w:t>
            </w:r>
          </w:p>
        </w:tc>
        <w:tc>
          <w:tcPr>
            <w:tcW w:w="483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left="-283" w:right="-144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Especificações</w:t>
            </w:r>
          </w:p>
        </w:tc>
        <w:tc>
          <w:tcPr>
            <w:tcW w:w="1051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left="-283" w:right="-144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Tipo</w:t>
            </w:r>
          </w:p>
        </w:tc>
        <w:tc>
          <w:tcPr>
            <w:tcW w:w="959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59" w:before="0" w:after="200"/>
              <w:ind w:left="0" w:right="109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Unidade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1" w:after="200"/>
              <w:ind w:left="0" w:right="109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Medida</w:t>
            </w:r>
          </w:p>
        </w:tc>
        <w:tc>
          <w:tcPr>
            <w:tcW w:w="126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left="0" w:right="66" w:hanging="0"/>
              <w:jc w:val="center"/>
              <w:rPr>
                <w:rFonts w:ascii="Arial" w:hAnsi="Arial" w:eastAsia="Arial" w:cs="Arial"/>
                <w:b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Quantidade</w:t>
            </w:r>
          </w:p>
        </w:tc>
      </w:tr>
      <w:tr>
        <w:trPr>
          <w:trHeight w:val="899" w:hRule="atLeast"/>
        </w:trPr>
        <w:tc>
          <w:tcPr>
            <w:tcW w:w="57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01</w:t>
            </w:r>
          </w:p>
          <w:p>
            <w:pPr>
              <w:pStyle w:val="Normal"/>
              <w:widowControl w:val="false"/>
              <w:spacing w:before="0" w:after="20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754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ind w:left="-283" w:right="-144" w:hanging="0"/>
              <w:rPr>
                <w:rFonts w:ascii="Arial" w:hAnsi="Arial" w:eastAsia="Arial" w:cs="Arial"/>
                <w:sz w:val="20"/>
                <w:szCs w:val="20"/>
                <w:lang w:val="pt-BR" w:eastAsia="en-US"/>
              </w:rPr>
            </w:pPr>
            <w:r>
              <w:rPr>
                <w:rFonts w:eastAsia="Arial" w:cs="Arial" w:ascii="Arial" w:hAnsi="Arial"/>
                <w:sz w:val="20"/>
                <w:szCs w:val="20"/>
                <w:lang w:val="pt-BR" w:eastAsia="en-US"/>
              </w:rPr>
            </w:r>
          </w:p>
          <w:p>
            <w:pPr>
              <w:pStyle w:val="Normal"/>
              <w:widowControl w:val="false"/>
              <w:bidi w:val="0"/>
              <w:spacing w:lineRule="auto" w:line="276" w:before="0" w:after="200"/>
              <w:ind w:left="-283" w:right="-144" w:hanging="0"/>
              <w:rPr>
                <w:rFonts w:ascii="Arial" w:hAnsi="Arial" w:eastAsia="Arial" w:cs="Arial"/>
                <w:sz w:val="20"/>
                <w:szCs w:val="20"/>
                <w:lang w:val="pt-BR" w:eastAsia="en-US"/>
              </w:rPr>
            </w:pPr>
            <w:r>
              <w:rPr>
                <w:rFonts w:eastAsia="Arial" w:cs="Arial" w:ascii="Arial" w:hAnsi="Arial"/>
                <w:sz w:val="20"/>
                <w:szCs w:val="20"/>
                <w:lang w:val="pt-BR" w:eastAsia="en-US"/>
              </w:rPr>
            </w:r>
          </w:p>
          <w:p>
            <w:pPr>
              <w:pStyle w:val="Normal"/>
              <w:widowControl w:val="false"/>
              <w:bidi w:val="0"/>
              <w:spacing w:lineRule="auto" w:line="276" w:before="0" w:after="200"/>
              <w:ind w:left="-283" w:right="-144" w:hanging="0"/>
              <w:rPr>
                <w:rFonts w:ascii="Arial" w:hAnsi="Arial" w:eastAsia="Arial" w:cs="Arial"/>
                <w:sz w:val="20"/>
                <w:szCs w:val="20"/>
                <w:lang w:val="pt-BR" w:eastAsia="en-US"/>
              </w:rPr>
            </w:pPr>
            <w:r>
              <w:rPr>
                <w:rFonts w:eastAsia="Arial" w:cs="Arial" w:ascii="Arial" w:hAnsi="Arial"/>
                <w:sz w:val="20"/>
                <w:szCs w:val="20"/>
                <w:lang w:val="pt-BR" w:eastAsia="en-US"/>
              </w:rPr>
              <w:t xml:space="preserve"> </w:t>
            </w:r>
            <w:r>
              <w:rPr>
                <w:rFonts w:eastAsia="Arial" w:cs="Arial" w:ascii="Arial" w:hAnsi="Arial"/>
                <w:sz w:val="20"/>
                <w:szCs w:val="20"/>
                <w:lang w:val="pt-BR" w:eastAsia="en-US"/>
              </w:rPr>
              <w:t>1.022.002.002245</w:t>
            </w:r>
          </w:p>
        </w:tc>
        <w:tc>
          <w:tcPr>
            <w:tcW w:w="483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Corpodotexto"/>
              <w:widowControl w:val="false"/>
              <w:rPr/>
            </w:pPr>
            <w:r>
              <w:rPr/>
            </w:r>
          </w:p>
          <w:p>
            <w:pPr>
              <w:pStyle w:val="Corpodotexto"/>
              <w:widowControl w:val="false"/>
              <w:rPr/>
            </w:pPr>
            <w:r>
              <w:rPr/>
              <w:t>Aparelho de telefone com fio</w:t>
            </w:r>
          </w:p>
          <w:p>
            <w:pPr>
              <w:pStyle w:val="Corpodotexto"/>
              <w:widowControl w:val="false"/>
              <w:rPr/>
            </w:pPr>
            <w:r>
              <w:rPr/>
              <w:t>Especificação Técnica</w:t>
            </w:r>
          </w:p>
          <w:p>
            <w:pPr>
              <w:pStyle w:val="Corpodotexto"/>
              <w:widowControl w:val="false"/>
              <w:rPr/>
            </w:pPr>
            <w:r>
              <w:rPr>
                <w:b/>
              </w:rPr>
              <w:t xml:space="preserve">Equipamento: </w:t>
            </w:r>
            <w:r>
              <w:rPr/>
              <w:t>Telefone IP Simples</w:t>
            </w:r>
          </w:p>
          <w:p>
            <w:pPr>
              <w:pStyle w:val="Corpodotexto"/>
              <w:widowControl w:val="false"/>
              <w:rPr/>
            </w:pPr>
            <w:r>
              <w:rPr>
                <w:b/>
              </w:rPr>
              <w:t>Configurações</w:t>
            </w:r>
            <w:r>
              <w:rPr/>
              <w:t xml:space="preserve"> </w:t>
            </w:r>
            <w:r>
              <w:rPr>
                <w:b/>
                <w:u w:val="single"/>
              </w:rPr>
              <w:t>Mínimas:</w:t>
            </w:r>
          </w:p>
          <w:p>
            <w:pPr>
              <w:pStyle w:val="Corpodotexto"/>
              <w:widowControl w:val="false"/>
              <w:rPr/>
            </w:pPr>
            <w:r>
              <w:rPr>
                <w:b/>
              </w:rPr>
              <w:t xml:space="preserve">Tela: </w:t>
            </w:r>
            <w:r>
              <w:rPr/>
              <w:t>LCD de 132 x 48 (2.95’’)</w:t>
            </w:r>
          </w:p>
          <w:p>
            <w:pPr>
              <w:pStyle w:val="Corpodotexto"/>
              <w:widowControl w:val="false"/>
              <w:rPr/>
            </w:pPr>
            <w:r>
              <w:rPr>
                <w:b/>
              </w:rPr>
              <w:t xml:space="preserve">Teclas:   </w:t>
            </w:r>
            <w:r>
              <w:rPr/>
              <w:t>-  Teclas para 2 linhas com LED em duas cores e 1 conta SIP</w:t>
            </w:r>
          </w:p>
          <w:p>
            <w:pPr>
              <w:pStyle w:val="Corpodotexto"/>
              <w:widowControl w:val="false"/>
              <w:rPr/>
            </w:pPr>
            <w:r>
              <w:rPr/>
              <w:t>- 3 teclas sensíveis ao contexto com programação XML</w:t>
            </w:r>
          </w:p>
          <w:p>
            <w:pPr>
              <w:pStyle w:val="Corpodotexto"/>
              <w:widowControl w:val="false"/>
              <w:rPr/>
            </w:pPr>
            <w:r>
              <w:rPr/>
              <w:t>- 5 teclas (navegação, menu)</w:t>
            </w:r>
          </w:p>
          <w:p>
            <w:pPr>
              <w:pStyle w:val="Corpodotexto"/>
              <w:widowControl w:val="false"/>
              <w:rPr/>
            </w:pPr>
            <w:r>
              <w:rPr>
                <w:b/>
              </w:rPr>
              <w:t xml:space="preserve"> </w:t>
            </w:r>
            <w:r>
              <w:rPr/>
              <w:t xml:space="preserve">-13 teclas de função exclusivas para PAGING/INTERCOM (paginação/interfone), PHONEBOOK (agenda), MESSAGE (mensagens), HOME (início), HOLD (espera), RECORD (gravação), MUTE (silenciar), HEADSET (fones), TRANSFER (transferência), CONFERENCE (conferência), SEND (enviar) e REDIAL (rediscar), SPEAKERPHONE (viva-voz), VOLUME  </w:t>
            </w:r>
          </w:p>
          <w:p>
            <w:pPr>
              <w:pStyle w:val="Corpodotexto"/>
              <w:widowControl w:val="false"/>
              <w:rPr/>
            </w:pPr>
            <w:r>
              <w:rPr>
                <w:rFonts w:eastAsia="Calibri" w:cs="" w:cstheme="minorBidi" w:eastAsiaTheme="minorHAnsi"/>
                <w:b/>
                <w:color w:val="00000A"/>
              </w:rPr>
              <w:t xml:space="preserve">Codecs de Voz: </w:t>
            </w:r>
            <w:r>
              <w:rPr>
                <w:rFonts w:eastAsia="Calibri" w:cs="" w:cstheme="minorBidi" w:eastAsiaTheme="minorHAnsi"/>
                <w:color w:val="00000A"/>
              </w:rPr>
              <w:t>Suporte para G.711μ / a, G.722 (wide-band), G.723, G.726-32, G.729 A / B, iLBC, inband e DTMF fora de banda (no áudio, RFC2833, SIP INFO)</w:t>
            </w:r>
          </w:p>
          <w:p>
            <w:pPr>
              <w:pStyle w:val="Corpodotexto"/>
              <w:widowControl w:val="false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color w:val="00000A"/>
                <w:sz w:val="28"/>
                <w:szCs w:val="28"/>
              </w:rPr>
            </w:pP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Interface de Rede :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- Portas Ethernet de 10/100 Mbps com detecção automática e</w:t>
            </w:r>
            <w:r>
              <w:rPr>
                <w:rFonts w:eastAsia="Calibri" w:cs="" w:ascii="Arial" w:hAnsi="Arial" w:cstheme="minorBidi" w:eastAsiaTheme="minorHAnsi"/>
                <w:color w:val="00000A"/>
                <w:sz w:val="28"/>
                <w:szCs w:val="28"/>
              </w:rPr>
              <w:t xml:space="preserve">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comutador duplo</w:t>
            </w:r>
          </w:p>
          <w:p>
            <w:pPr>
              <w:pStyle w:val="Normal1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PoE integrado  </w:t>
            </w:r>
          </w:p>
          <w:p>
            <w:pPr>
              <w:pStyle w:val="Normal1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Conector dos Fones: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Conector RJ9 (permitindo EHS com fones de ouvido)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Suporte de Base: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Sim, permite posições em dois ângulos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Suporte de parede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QoS: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Qualidade serviço de camada 2 (802.1Q, 802.1P) e camada 3 (ToS, DiffServ, MPLS)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Idiomas: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Inglês, português,</w:t>
            </w: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" w:ascii="Arial" w:hAnsi="Arial" w:cstheme="minorBidi" w:eastAsiaTheme="minorHAnsi"/>
                <w:b/>
                <w:color w:val="00000A"/>
                <w:sz w:val="20"/>
                <w:szCs w:val="20"/>
              </w:rPr>
              <w:t xml:space="preserve">Upgrade/Provisionamento: </w:t>
            </w:r>
            <w:r>
              <w:rPr>
                <w:rFonts w:eastAsia="Calibri" w:cs="" w:ascii="Arial" w:hAnsi="Arial" w:cstheme="minorBidi" w:eastAsiaTheme="minorHAnsi"/>
                <w:color w:val="00000A"/>
                <w:sz w:val="20"/>
                <w:szCs w:val="20"/>
              </w:rPr>
              <w:t>Upgrade de firmware via TFTP/HTTP/HTTPS, provisionamento em massa usando um arquivo de configuração XML com criptografia AES ou TR-069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Recursos de Telefonia:  </w:t>
            </w:r>
            <w:r>
              <w:rPr>
                <w:rFonts w:ascii="Arial" w:hAnsi="Arial"/>
                <w:sz w:val="20"/>
                <w:szCs w:val="20"/>
              </w:rPr>
              <w:t>- Espera, transferência, encaminhamento (incondicional/sem resposta/ocupado),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Conferência de três vias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Chamada em espera para conferência/captação de chamadas, agenda para download (XML, LDAP, até 500 itens), chamada em espera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Histórico de chamadas (até 200 registros)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Discagem automática com aparelho ocupado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Resposta automática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Discagem com clique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Plano de discagem flexível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Uso compartilhado de recursos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Toques musicais personalizados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Redundância de servidores e failover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Segurança:  </w:t>
            </w:r>
            <w:r>
              <w:rPr>
                <w:rFonts w:ascii="Arial" w:hAnsi="Arial"/>
                <w:sz w:val="20"/>
                <w:szCs w:val="20"/>
              </w:rPr>
              <w:t>- Controle de acesso de usuário e administrador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Autenticação baseada em MD5 e MD5-sess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Arquivo de configuração com criptografia AES de 256 bits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TLS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SRTP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HTTPS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Controle de acesso a mídia 802.1x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Energia: </w:t>
            </w:r>
            <w:r>
              <w:rPr>
                <w:rFonts w:ascii="Arial" w:hAnsi="Arial"/>
                <w:sz w:val="20"/>
                <w:szCs w:val="20"/>
              </w:rPr>
              <w:t xml:space="preserve">- Fonte de alimentação universal 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Entrada 100-240 VCA 50-60Hz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Saída +5 VCD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- 600mA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EXIGÊNCIAS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 telefone deverá ser novo e fazer parte da linha de produção do fabricante na data de apresentação da proposta.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Após a entrega do equipamento, o fornecedor indicará um representante para acompanhar vistoria técnica a ser efetuada pelo Departamento de Tecnologia da Informação, para certificação da configuração apresentada.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Garantia total (peças, serviços e transporte)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: mínima de 06 meses. 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No caso de haver necessidade de remoção do (s) equipamento (s) para manutenção técnica em garantia, a retirada, devolução e transporte do (s) mesmo (s) deverão ser efetuados pelo fornecedor.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Atendimento: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o atendimento às chamadas técnicas, durante o período de garantia, deverá ser feito no local da instalação do equipamento no prazo máximo de 24 (vinte e quatro) horas corridas.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OBSERVAÇÕES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Informações que o fornecedor deverá fazer constar na proposta: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fabricante, marca e modelo, com cópia de material divulgado pelo fabricante com descrições técnicas.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Documentação que o fornecedor deverá apresentar junto da proposta:</w:t>
            </w:r>
          </w:p>
          <w:p>
            <w:pPr>
              <w:pStyle w:val="Corpodotexto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se o fornecedor não for o próprio fabricante do equipamento, deverá apresentar comprovação de que é distribuidor ou revendedor autorizado do mesmo. No caso de declaração emitida por distribuidor, esse deverá apresentar, por sua vez, comprovação de que o fabricante o autoriza à distribuição de seus produtos.</w:t>
            </w:r>
          </w:p>
          <w:p>
            <w:pPr>
              <w:pStyle w:val="Corpodotexto"/>
              <w:widowControl w:val="false"/>
              <w:spacing w:before="0" w:after="20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1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ind w:left="82" w:right="35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Normal"/>
              <w:widowControl w:val="false"/>
              <w:ind w:left="82" w:right="35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Normal"/>
              <w:widowControl w:val="false"/>
              <w:spacing w:before="0" w:after="200"/>
              <w:ind w:left="82" w:right="35" w:hanging="0"/>
              <w:jc w:val="center"/>
              <w:rPr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FFFF" w:val="clear"/>
              </w:rPr>
              <w:t>Material</w:t>
            </w:r>
          </w:p>
        </w:tc>
        <w:tc>
          <w:tcPr>
            <w:tcW w:w="959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Normal"/>
              <w:widowControl w:val="false"/>
              <w:spacing w:before="0" w:after="200"/>
              <w:ind w:left="-283" w:right="-144" w:hanging="0"/>
              <w:jc w:val="center"/>
              <w:rPr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FFFF" w:val="clear"/>
              </w:rPr>
              <w:t>UN</w:t>
            </w:r>
          </w:p>
        </w:tc>
        <w:tc>
          <w:tcPr>
            <w:tcW w:w="126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Normal"/>
              <w:widowControl w:val="false"/>
              <w:ind w:left="-283" w:right="-144" w:hanging="0"/>
              <w:jc w:val="center"/>
              <w:rPr>
                <w:rFonts w:ascii="Arial" w:hAnsi="Arial" w:eastAsia="Arial" w:cs="Arial"/>
                <w:sz w:val="20"/>
                <w:szCs w:val="20"/>
                <w:shd w:fill="FFE599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E599" w:val="clear"/>
              </w:rPr>
            </w:r>
          </w:p>
          <w:p>
            <w:pPr>
              <w:pStyle w:val="Normal"/>
              <w:widowControl w:val="false"/>
              <w:spacing w:before="0" w:after="200"/>
              <w:ind w:left="-283" w:right="-144" w:hanging="0"/>
              <w:jc w:val="center"/>
              <w:rPr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FFFFFF" w:val="clear"/>
              </w:rPr>
              <w:t>25</w:t>
            </w:r>
          </w:p>
        </w:tc>
      </w:tr>
    </w:tbl>
    <w:p>
      <w:pPr>
        <w:pStyle w:val="Ttulo2"/>
        <w:numPr>
          <w:ilvl w:val="0"/>
          <w:numId w:val="1"/>
        </w:numPr>
        <w:tabs>
          <w:tab w:val="clear" w:pos="720"/>
          <w:tab w:val="left" w:pos="342" w:leader="none"/>
        </w:tabs>
        <w:spacing w:lineRule="auto" w:line="240" w:before="280" w:after="28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JUSTIFICATIVA DA CONTRATAÇÃO</w:t>
      </w:r>
    </w:p>
    <w:p>
      <w:pPr>
        <w:pStyle w:val="Corpodotexto"/>
        <w:widowControl/>
        <w:bidi w:val="0"/>
        <w:spacing w:lineRule="auto" w:line="276" w:before="0" w:after="198"/>
        <w:ind w:left="-283" w:right="-142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 Fundação Cultural de Jacarehy está em processo de migração do sistema de telefonia analógica para o sistema VOIP (Voice over Internet Protocol), com o objetivo de modernizar a comunicação interna e externa, além de reduzir custos operacionais.</w:t>
      </w:r>
    </w:p>
    <w:p>
      <w:pPr>
        <w:pStyle w:val="Corpodotexto"/>
        <w:widowControl/>
        <w:bidi w:val="0"/>
        <w:spacing w:lineRule="auto" w:line="276" w:before="0" w:after="198"/>
        <w:ind w:left="-283" w:right="-142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 aquisição de aparelhos de telefone com fio IP tipo VOIP é necessária para garantir a continuidade desse processo e os seguintes benefícios:</w:t>
      </w:r>
    </w:p>
    <w:p>
      <w:pPr>
        <w:pStyle w:val="Corpodotexto"/>
        <w:widowControl/>
        <w:numPr>
          <w:ilvl w:val="0"/>
          <w:numId w:val="2"/>
        </w:numPr>
        <w:tabs>
          <w:tab w:val="clear" w:pos="720"/>
          <w:tab w:val="left" w:pos="0" w:leader="none"/>
        </w:tabs>
        <w:bidi w:val="0"/>
        <w:spacing w:lineRule="auto" w:line="276" w:before="0" w:after="198"/>
        <w:ind w:left="426" w:right="-142" w:hanging="283"/>
        <w:rPr/>
      </w:pPr>
      <w:r>
        <w:rPr>
          <w:rStyle w:val="Nfaseforte"/>
          <w:rFonts w:ascii="Arial" w:hAnsi="Arial"/>
          <w:sz w:val="22"/>
          <w:szCs w:val="22"/>
        </w:rPr>
        <w:t>Redução de Custos</w:t>
      </w:r>
      <w:r>
        <w:rPr>
          <w:rFonts w:ascii="Arial" w:hAnsi="Arial"/>
          <w:sz w:val="22"/>
          <w:szCs w:val="22"/>
        </w:rPr>
        <w:t>: O sistema VOIP utiliza a internet para realizar chamadas, o que reduz significativamente os custos com telefonia, especialmente para ligações de longa distância.</w:t>
      </w:r>
    </w:p>
    <w:p>
      <w:pPr>
        <w:pStyle w:val="Corpodotexto"/>
        <w:widowControl/>
        <w:numPr>
          <w:ilvl w:val="0"/>
          <w:numId w:val="2"/>
        </w:numPr>
        <w:tabs>
          <w:tab w:val="clear" w:pos="720"/>
          <w:tab w:val="left" w:pos="0" w:leader="none"/>
        </w:tabs>
        <w:bidi w:val="0"/>
        <w:spacing w:lineRule="auto" w:line="276" w:before="0" w:after="198"/>
        <w:ind w:left="426" w:right="-142" w:hanging="283"/>
        <w:rPr/>
      </w:pPr>
      <w:r>
        <w:rPr>
          <w:rStyle w:val="Nfaseforte"/>
          <w:rFonts w:ascii="Arial" w:hAnsi="Arial"/>
          <w:sz w:val="22"/>
          <w:szCs w:val="22"/>
        </w:rPr>
        <w:t>Melhoria na Qualidade das Chamadas</w:t>
      </w:r>
      <w:r>
        <w:rPr>
          <w:rFonts w:ascii="Arial" w:hAnsi="Arial"/>
          <w:sz w:val="22"/>
          <w:szCs w:val="22"/>
        </w:rPr>
        <w:t>: A tecnologia VOIP oferece melhor qualidade de áudio e menos interferências em comparação com o sistema analógico.</w:t>
      </w:r>
    </w:p>
    <w:p>
      <w:pPr>
        <w:pStyle w:val="Corpodotexto"/>
        <w:widowControl/>
        <w:numPr>
          <w:ilvl w:val="0"/>
          <w:numId w:val="0"/>
        </w:numPr>
        <w:bidi w:val="0"/>
        <w:spacing w:lineRule="auto" w:line="276" w:before="0" w:after="198"/>
        <w:ind w:left="-283" w:right="-142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orpodotexto"/>
        <w:widowControl/>
        <w:numPr>
          <w:ilvl w:val="0"/>
          <w:numId w:val="2"/>
        </w:numPr>
        <w:tabs>
          <w:tab w:val="clear" w:pos="720"/>
          <w:tab w:val="left" w:pos="0" w:leader="none"/>
        </w:tabs>
        <w:bidi w:val="0"/>
        <w:spacing w:lineRule="auto" w:line="276" w:before="0" w:after="198"/>
        <w:ind w:left="426" w:right="-142" w:hanging="283"/>
        <w:rPr/>
      </w:pPr>
      <w:r>
        <w:rPr>
          <w:rStyle w:val="Nfaseforte"/>
          <w:rFonts w:ascii="Arial" w:hAnsi="Arial"/>
          <w:sz w:val="22"/>
          <w:szCs w:val="22"/>
        </w:rPr>
        <w:t>Simplicidade e Sustentabilidade</w:t>
      </w:r>
      <w:r>
        <w:rPr>
          <w:rFonts w:ascii="Arial" w:hAnsi="Arial"/>
          <w:sz w:val="22"/>
          <w:szCs w:val="22"/>
        </w:rPr>
        <w:t>: O uso de tecnologia VOIP reduz a necessidade de infraestrutura adicional, como centrais telefônicas, e contribui para a redução do consumo de energia e materiais.</w:t>
      </w:r>
    </w:p>
    <w:p>
      <w:pPr>
        <w:pStyle w:val="Corpodotexto"/>
        <w:widowControl/>
        <w:bidi w:val="0"/>
        <w:spacing w:lineRule="auto" w:line="276" w:before="0" w:after="198"/>
        <w:ind w:left="-283" w:right="-142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Portanto, a compra dos aparelhos de telefone com fio IP VOIP é essencial para a transição eficaz para o novo sistema, garantindo uma comunicação mais moderna, eficiente e econômica para a Fundação Cultural de Jacarehy.</w:t>
      </w:r>
    </w:p>
    <w:p>
      <w:pPr>
        <w:pStyle w:val="Normal"/>
        <w:widowControl/>
        <w:shd w:val="clear" w:fill="auto"/>
        <w:bidi w:val="0"/>
        <w:spacing w:lineRule="auto" w:line="276" w:before="0" w:after="198"/>
        <w:ind w:left="-283" w:right="-142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FFE599" w:val="clear"/>
          <w:vertAlign w:val="baseline"/>
        </w:rPr>
        <w:t xml:space="preserve">   </w:t>
      </w:r>
      <w:r>
        <w:rPr>
          <w:rFonts w:eastAsia="Arial" w:cs="Arial" w:ascii="Arial" w:hAnsi="Arial"/>
          <w:b/>
          <w:caps w:val="false"/>
          <w:smallCaps w:val="false"/>
          <w:strike w:val="false"/>
          <w:dstrike w:val="false"/>
          <w:color w:val="FF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8" w:after="200"/>
        <w:ind w:left="-283" w:right="-144" w:hanging="0"/>
        <w:jc w:val="both"/>
        <w:rPr>
          <w:rFonts w:ascii="Arial" w:hAnsi="Arial" w:eastAsia="Arial" w:cs="Arial"/>
          <w:b/>
          <w:b/>
          <w:caps w:val="false"/>
          <w:smallCaps w:val="false"/>
          <w:strike w:val="false"/>
          <w:dstrike w:val="false"/>
          <w:color w:val="FF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caps w:val="false"/>
          <w:smallCaps w:val="false"/>
          <w:strike w:val="false"/>
          <w:dstrike w:val="false"/>
          <w:color w:val="FF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Ttulo2"/>
        <w:numPr>
          <w:ilvl w:val="0"/>
          <w:numId w:val="1"/>
        </w:numPr>
        <w:tabs>
          <w:tab w:val="clear" w:pos="720"/>
          <w:tab w:val="left" w:pos="342" w:leader="none"/>
        </w:tabs>
        <w:spacing w:before="280" w:after="28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CLASSIFICAÇÃO DOS BENS COMUNS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  <w:b/>
          <w:b/>
          <w:color w:val="FF0000"/>
        </w:rPr>
      </w:pPr>
      <w:r>
        <w:rPr>
          <w:rFonts w:eastAsia="Arial" w:cs="Arial" w:ascii="Arial" w:hAnsi="Arial"/>
        </w:rPr>
        <w:t>Trata-se de aquisição de bem comum, mediante Dispensa de Licitação, com divulgação no PNCP</w:t>
      </w:r>
      <w:r>
        <w:rPr>
          <w:rFonts w:eastAsia="Arial" w:cs="Arial" w:ascii="Arial" w:hAnsi="Arial"/>
          <w:color w:val="FF0000"/>
        </w:rPr>
        <w:t xml:space="preserve"> </w:t>
      </w:r>
      <w:r>
        <w:rPr>
          <w:rFonts w:eastAsia="Arial" w:cs="Arial" w:ascii="Arial" w:hAnsi="Arial"/>
        </w:rPr>
        <w:t>e Portal da Transparência do Município</w:t>
      </w:r>
      <w:r>
        <w:rPr>
          <w:rFonts w:eastAsia="Arial" w:cs="Arial" w:ascii="Arial" w:hAnsi="Arial"/>
          <w:b/>
        </w:rPr>
        <w:t>.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  <w:b/>
          <w:b/>
          <w:color w:val="FF0000"/>
        </w:rPr>
      </w:pPr>
      <w:r>
        <w:rPr>
          <w:rFonts w:eastAsia="Arial" w:cs="Arial" w:ascii="Arial" w:hAnsi="Arial"/>
          <w:b/>
          <w:color w:val="FF0000"/>
        </w:rPr>
      </w:r>
    </w:p>
    <w:p>
      <w:pPr>
        <w:pStyle w:val="Ttulo2"/>
        <w:numPr>
          <w:ilvl w:val="0"/>
          <w:numId w:val="1"/>
        </w:numPr>
        <w:tabs>
          <w:tab w:val="clear" w:pos="720"/>
          <w:tab w:val="left" w:pos="342" w:leader="none"/>
        </w:tabs>
        <w:spacing w:lineRule="auto" w:line="240" w:before="280" w:after="28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ENTREGA E CRITÉRIOS DE ACEITAÇÃO DO OBJETO.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  <w:shd w:fill="FFE599" w:val="clear"/>
        </w:rPr>
      </w:pPr>
      <w:r>
        <w:rPr>
          <w:rFonts w:eastAsia="Arial" w:cs="Arial" w:ascii="Arial" w:hAnsi="Arial"/>
        </w:rPr>
        <w:t xml:space="preserve">O prazo de entrega </w:t>
      </w:r>
      <w:r>
        <w:rPr>
          <w:rFonts w:eastAsia="Arial" w:cs="Arial" w:ascii="Arial" w:hAnsi="Arial"/>
          <w:shd w:fill="FFFFFF" w:val="clear"/>
        </w:rPr>
        <w:t xml:space="preserve">dos bens é de 10 </w:t>
      </w:r>
      <w:r>
        <w:rPr>
          <w:rFonts w:eastAsia="Arial" w:cs="Arial" w:ascii="Arial" w:hAnsi="Arial"/>
        </w:rPr>
        <w:t>dias, contados do recebimento da Autorização de Fornecimento, no seguinte endereço:</w:t>
      </w:r>
      <w:r>
        <w:rPr>
          <w:rFonts w:eastAsia="Arial" w:cs="Arial" w:ascii="Arial" w:hAnsi="Arial"/>
          <w:shd w:fill="FFFFFF" w:val="clear"/>
        </w:rPr>
        <w:t xml:space="preserve"> Almoxarifado da Fundação Cultural de Jacarehy. </w:t>
      </w:r>
      <w:r>
        <w:rPr>
          <w:rFonts w:eastAsia="Arial" w:cs="Arial" w:ascii="Arial" w:hAnsi="Arial"/>
          <w:b w:val="false"/>
          <w:b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FFFFFF" w:val="clear"/>
          <w:vertAlign w:val="baseline"/>
        </w:rPr>
        <w:t>Avenida José Cristovão Arouca, 40, Centro, Jacareí (SP), CEP - 12.327-707.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9" w:after="200"/>
        <w:ind w:left="-283" w:right="-144" w:hanging="0"/>
        <w:jc w:val="both"/>
        <w:rPr>
          <w:rFonts w:ascii="Arial" w:hAnsi="Arial" w:eastAsia="Arial" w:cs="Arial"/>
          <w:b w:val="false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 Município de Jacareí não paga por frete nem por visita técnica.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5" w:after="200"/>
        <w:ind w:left="-283" w:right="-144" w:hanging="0"/>
        <w:jc w:val="both"/>
        <w:rPr>
          <w:rFonts w:ascii="Arial" w:hAnsi="Arial" w:eastAsia="Arial" w:cs="Arial"/>
          <w:b w:val="false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Ttulo2"/>
        <w:numPr>
          <w:ilvl w:val="0"/>
          <w:numId w:val="1"/>
        </w:numPr>
        <w:tabs>
          <w:tab w:val="clear" w:pos="720"/>
          <w:tab w:val="left" w:pos="342" w:leader="none"/>
        </w:tabs>
        <w:spacing w:before="280" w:after="28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OBRIGAÇÕES DA CONTRATANTE</w:t>
      </w:r>
    </w:p>
    <w:p>
      <w:pPr>
        <w:pStyle w:val="Normal"/>
        <w:ind w:left="-283" w:right="-144" w:hanging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</w:rPr>
        <w:t>5.1</w:t>
      </w:r>
      <w:r>
        <w:rPr>
          <w:rFonts w:eastAsia="Arial" w:cs="Arial" w:ascii="Arial" w:hAnsi="Arial"/>
        </w:rPr>
        <w:t>- São obrigações da Contratante: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</w:rPr>
        <w:t>5.1.1-</w:t>
      </w:r>
      <w:r>
        <w:rPr>
          <w:rFonts w:eastAsia="Arial" w:cs="Arial" w:ascii="Arial" w:hAnsi="Arial"/>
        </w:rPr>
        <w:t xml:space="preserve"> Verificar minuciosamente, no prazo fixado, a conformidade dos bens recebidos com as  especificações constantes deste Termo de Referência e da proposta, para fins de aceitação e recebimento;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5.1.2- </w:t>
      </w:r>
      <w:r>
        <w:rPr>
          <w:rFonts w:eastAsia="Arial" w:cs="Arial" w:ascii="Arial" w:hAnsi="Arial"/>
        </w:rPr>
        <w:t>Comunicar à Contratada, por escrito, sobre imperfeições, falhas ou irregularidades verificadas no objeto  fornecido, para que seja substituído, reparado ou corrigido;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5.1.3- </w:t>
      </w:r>
      <w:r>
        <w:rPr>
          <w:rFonts w:eastAsia="Arial" w:cs="Arial" w:ascii="Arial" w:hAnsi="Arial"/>
        </w:rPr>
        <w:t>Efetuar o pagamento à Contratada no valor correspondente ao fornecimento do objeto, no prazo e  forma estabelecidos no Termo de Referência;</w:t>
      </w:r>
    </w:p>
    <w:p>
      <w:pPr>
        <w:pStyle w:val="Normal"/>
        <w:spacing w:lineRule="auto" w:line="235" w:before="1" w:after="20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5.1.4-</w:t>
      </w:r>
      <w:r>
        <w:rPr>
          <w:rFonts w:eastAsia="Arial" w:cs="Arial" w:ascii="Arial" w:hAnsi="Arial"/>
        </w:rPr>
        <w:t xml:space="preserve"> A Administração não responderá por quaisquer compromissos assumidos pela Contratada com terceiros, ainda que vinculados à execução do contrato, bem como por qualquer dano causado a terceiros em  decorrência de ato da Contratada, de seus empregados, prepostos ou subordinados.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4" w:after="200"/>
        <w:ind w:left="-283" w:right="-144" w:hanging="0"/>
        <w:jc w:val="both"/>
        <w:rPr>
          <w:rFonts w:ascii="Arial" w:hAnsi="Arial" w:eastAsia="Arial" w:cs="Arial"/>
          <w:b w:val="false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Ttulo2"/>
        <w:numPr>
          <w:ilvl w:val="0"/>
          <w:numId w:val="1"/>
        </w:numPr>
        <w:tabs>
          <w:tab w:val="clear" w:pos="720"/>
          <w:tab w:val="left" w:pos="342" w:leader="none"/>
        </w:tabs>
        <w:spacing w:before="280" w:after="28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OBRIGAÇÕES DA CONTRATADA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</w:rPr>
        <w:t xml:space="preserve">6.1. </w:t>
      </w:r>
      <w:r>
        <w:rPr>
          <w:rFonts w:eastAsia="Arial" w:cs="Arial" w:ascii="Arial" w:hAnsi="Arial"/>
        </w:rPr>
        <w:t>A Contratada deve cumprir todas as obrigações constantes no Termo de Referência, seus anexos e sua proposta, assumindo exclusivamente seus riscos e as despesas decorrentes da boa e perfeita execução do objeto e, ainda:</w:t>
      </w:r>
      <w:r>
        <w:rPr>
          <w:rFonts w:eastAsia="Arial" w:cs="Arial" w:ascii="Arial" w:hAnsi="Arial"/>
          <w:sz w:val="22"/>
          <w:szCs w:val="22"/>
        </w:rPr>
        <w:t xml:space="preserve">  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6.2. </w:t>
      </w:r>
      <w:r>
        <w:rPr>
          <w:rFonts w:eastAsia="Arial" w:cs="Arial" w:ascii="Arial" w:hAnsi="Arial"/>
        </w:rPr>
        <w:t>Efetuar a entrega do objeto / serviço em perfeitas condições, conforme especificações, prazo e local constantes    no Termo de Referência e seus anexos.</w:t>
      </w:r>
    </w:p>
    <w:p>
      <w:pPr>
        <w:pStyle w:val="Normal"/>
        <w:spacing w:lineRule="auto" w:line="235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Ttulo2"/>
        <w:numPr>
          <w:ilvl w:val="0"/>
          <w:numId w:val="1"/>
        </w:numPr>
        <w:tabs>
          <w:tab w:val="clear" w:pos="720"/>
          <w:tab w:val="left" w:pos="462" w:leader="none"/>
        </w:tabs>
        <w:spacing w:before="280" w:after="280"/>
        <w:ind w:left="-283" w:right="-144" w:hanging="0"/>
        <w:jc w:val="both"/>
        <w:rPr>
          <w:rFonts w:ascii="Arial" w:hAnsi="Arial" w:eastAsia="Arial" w:cs="Arial"/>
          <w:b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DO PAGAMENTO</w:t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7.1 - </w:t>
      </w:r>
      <w:r>
        <w:rPr>
          <w:rFonts w:eastAsia="Arial" w:cs="Arial" w:ascii="Arial" w:hAnsi="Arial"/>
        </w:rPr>
        <w:t xml:space="preserve">O pagamento será realizado no prazo de </w:t>
      </w:r>
      <w:r>
        <w:rPr>
          <w:rFonts w:eastAsia="Arial" w:cs="Arial" w:ascii="Arial" w:hAnsi="Arial"/>
          <w:color w:val="000000"/>
        </w:rPr>
        <w:t>11</w:t>
      </w:r>
      <w:r>
        <w:rPr>
          <w:rFonts w:eastAsia="Arial" w:cs="Arial" w:ascii="Arial" w:hAnsi="Arial"/>
        </w:rPr>
        <w:t xml:space="preserve"> DFS </w:t>
      </w:r>
      <w:r>
        <w:rPr>
          <w:rFonts w:eastAsia="Arial" w:cs="Arial" w:ascii="Arial" w:hAnsi="Arial"/>
          <w:color w:val="000000"/>
        </w:rPr>
        <w:t>(Onze</w:t>
      </w:r>
      <w:r>
        <w:rPr>
          <w:rFonts w:eastAsia="Arial" w:cs="Arial" w:ascii="Arial" w:hAnsi="Arial"/>
          <w:color w:val="FF0000"/>
        </w:rPr>
        <w:t xml:space="preserve"> </w:t>
      </w:r>
      <w:r>
        <w:rPr>
          <w:rFonts w:eastAsia="Arial" w:cs="Arial" w:ascii="Arial" w:hAnsi="Arial"/>
        </w:rPr>
        <w:t xml:space="preserve">dias fora a semana), onde será efetuado através de crédito em Conta Corrente; </w:t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7.2 - </w:t>
      </w:r>
      <w:r>
        <w:rPr>
          <w:rFonts w:eastAsia="Arial" w:cs="Arial" w:ascii="Arial" w:hAnsi="Arial"/>
        </w:rPr>
        <w:t>Fazer constar no corpo da Nota Fiscal os números da AF (autorização de fornecimento) / AS (autorização de serviço) e do Empenho, além da Condição de Pagamento;</w:t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7.3 - </w:t>
      </w:r>
      <w:r>
        <w:rPr>
          <w:rFonts w:eastAsia="Arial" w:cs="Arial" w:ascii="Arial" w:hAnsi="Arial"/>
        </w:rPr>
        <w:t>As Notas Fiscais decorrentes das autorizações deverão ser emitidas em nome da FUNDAÇÃO CULTURAL DE JACAREHY, formato este correspondente à inscrição principal do Município no Cadastro Nacional da Pessoa Jurídica (CNPJ).</w:t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  <w:bookmarkStart w:id="0" w:name="_heading=h.gjdgxs"/>
      <w:bookmarkStart w:id="1" w:name="_heading=h.gjdgxs"/>
      <w:bookmarkEnd w:id="1"/>
    </w:p>
    <w:p>
      <w:pPr>
        <w:pStyle w:val="Normal"/>
        <w:spacing w:lineRule="auto" w:line="240" w:before="0" w:after="0"/>
        <w:ind w:left="-283" w:right="-144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-283" w:right="-144" w:hanging="0"/>
        <w:jc w:val="center"/>
        <w:rPr>
          <w:rFonts w:ascii="Arial" w:hAnsi="Arial" w:eastAsia="Arial" w:cs="Arial"/>
          <w:b w:val="false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_________________________________________</w:t>
      </w:r>
    </w:p>
    <w:p>
      <w:pPr>
        <w:pStyle w:val="Normal"/>
        <w:spacing w:lineRule="auto" w:line="240" w:before="0" w:after="0"/>
        <w:ind w:left="-283" w:right="-144" w:hanging="0"/>
        <w:jc w:val="center"/>
        <w:rPr>
          <w:highlight w:val="none"/>
          <w:shd w:fill="FFFFFF" w:val="clear"/>
        </w:rPr>
      </w:pPr>
      <w:r>
        <w:rPr>
          <w:rFonts w:eastAsia="Arial" w:cs="Arial" w:ascii="Arial" w:hAnsi="Arial"/>
          <w:shd w:fill="FFFFFF" w:val="clear"/>
        </w:rPr>
        <w:t>Marcelo Carvalho Lima</w:t>
      </w:r>
    </w:p>
    <w:p>
      <w:pPr>
        <w:pStyle w:val="Normal"/>
        <w:spacing w:lineRule="auto" w:line="240" w:before="0" w:after="0"/>
        <w:ind w:left="-283" w:right="-144" w:hanging="0"/>
        <w:jc w:val="center"/>
        <w:rPr>
          <w:highlight w:val="none"/>
          <w:shd w:fill="FFFFFF" w:val="clear"/>
        </w:rPr>
      </w:pPr>
      <w:r>
        <w:rPr>
          <w:rFonts w:eastAsia="Arial" w:cs="Arial" w:ascii="Arial" w:hAnsi="Arial"/>
          <w:shd w:fill="FFFFFF" w:val="clear"/>
        </w:rPr>
        <w:t>Diretor Geral da Fundação Cultural de Jacarehy -</w:t>
      </w:r>
    </w:p>
    <w:p>
      <w:pPr>
        <w:pStyle w:val="Normal"/>
        <w:spacing w:lineRule="auto" w:line="240" w:before="0" w:after="0"/>
        <w:ind w:left="-283" w:right="-144" w:hanging="0"/>
        <w:jc w:val="center"/>
        <w:rPr>
          <w:highlight w:val="none"/>
          <w:shd w:fill="FFFFFF" w:val="clear"/>
        </w:rPr>
      </w:pPr>
      <w:r>
        <w:rPr>
          <w:rFonts w:eastAsia="Arial" w:cs="Arial" w:ascii="Arial" w:hAnsi="Arial"/>
          <w:shd w:fill="FFFFFF" w:val="clear"/>
        </w:rPr>
        <w:t>José Maria de Abreu</w:t>
      </w:r>
    </w:p>
    <w:sectPr>
      <w:headerReference w:type="default" r:id="rId2"/>
      <w:footerReference w:type="default" r:id="rId3"/>
      <w:type w:val="nextPage"/>
      <w:pgSz w:w="11906" w:h="16838"/>
      <w:pgMar w:left="1559" w:right="1134" w:gutter="0" w:header="340" w:top="1701" w:footer="453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imSun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mic Sans MS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-566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 xml:space="preserve">Avenida </w:t>
    </w:r>
    <w:r>
      <w:rPr>
        <w:color w:val="999999"/>
        <w:sz w:val="18"/>
        <w:szCs w:val="18"/>
      </w:rPr>
      <w:t>Cristóvão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 xml:space="preserve"> Arouca, n. 40 – Centro – Jacareí/SP – CEP: 12.327-707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-566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>Telefone: (12) 3951-0710 / 3951-9497 - www.fundacaocultural.com.br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righ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right"/>
      <w:rPr>
        <w:b/>
        <w:b/>
        <w:sz w:val="18"/>
        <w:szCs w:val="18"/>
      </w:rPr>
    </w:pPr>
    <w:r>
      <w:rPr>
        <w:b/>
        <w:sz w:val="18"/>
        <w:szCs w:val="18"/>
      </w:rPr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right"/>
      <w:rPr>
        <w:b/>
        <w:b/>
        <w:sz w:val="18"/>
        <w:szCs w:val="18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>
        <w:rFonts w:eastAsia="Calibri" w:cs="Calibri"/>
        <w:color w:val="000000"/>
      </w:rP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5334000</wp:posOffset>
          </wp:positionH>
          <wp:positionV relativeFrom="paragraph">
            <wp:posOffset>-101600</wp:posOffset>
          </wp:positionV>
          <wp:extent cx="1222375" cy="108267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22375" cy="1082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/>
      <w:drawing>
        <wp:inline distT="0" distB="0" distL="0" distR="0">
          <wp:extent cx="5400040" cy="851535"/>
          <wp:effectExtent l="0" t="0" r="0" b="0"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>
        <w:rFonts w:eastAsia="Calibri" w:cs="Calibri"/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-"/>
      <w:lvlJc w:val="left"/>
      <w:pPr>
        <w:tabs>
          <w:tab w:val="num" w:pos="0"/>
        </w:tabs>
        <w:ind w:left="400" w:hanging="261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0" w:hanging="362"/>
      </w:pPr>
      <w:rPr>
        <w:sz w:val="22"/>
        <w:b/>
        <w:szCs w:val="22"/>
        <w:rFonts w:ascii="Times New Roman" w:hAnsi="Times New Roman" w:eastAsia="Times New Roman" w:cs="Times New Roman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6" w:hanging="36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33" w:hanging="36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99" w:hanging="36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66" w:hanging="36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32" w:hanging="36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9" w:hanging="36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66" w:hanging="362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autoRedefine/>
    <w:uiPriority w:val="0"/>
    <w:qFormat/>
    <w:pPr>
      <w:widowControl/>
      <w:suppressAutoHyphens w:val="true"/>
      <w:bidi w:val="0"/>
      <w:spacing w:lineRule="auto" w:line="276" w:before="0" w:after="200"/>
      <w:jc w:val="center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hi-IN"/>
    </w:rPr>
  </w:style>
  <w:style w:type="paragraph" w:styleId="Ttulo1">
    <w:name w:val="Heading 1"/>
    <w:basedOn w:val="Normal"/>
    <w:next w:val="LOnormal1"/>
    <w:autoRedefine/>
    <w:uiPriority w:val="9"/>
    <w:qFormat/>
    <w:pPr>
      <w:spacing w:lineRule="auto" w:line="276" w:before="0" w:after="200"/>
      <w:ind w:left="222" w:hanging="0"/>
      <w:outlineLvl w:val="0"/>
    </w:pPr>
    <w:rPr>
      <w:rFonts w:ascii="Calibri" w:hAnsi="Calibri" w:eastAsia="Calibri" w:cs="Calibri"/>
      <w:b/>
      <w:bCs/>
      <w:sz w:val="20"/>
      <w:szCs w:val="20"/>
      <w:lang w:val="pt-BR"/>
    </w:rPr>
  </w:style>
  <w:style w:type="paragraph" w:styleId="Ttulo2">
    <w:name w:val="Heading 2"/>
    <w:basedOn w:val="Normal"/>
    <w:next w:val="LOnormal1"/>
    <w:uiPriority w:val="9"/>
    <w:semiHidden/>
    <w:unhideWhenUsed/>
    <w:qFormat/>
    <w:pPr>
      <w:spacing w:lineRule="auto" w:line="259" w:beforeAutospacing="1" w:afterAutospacing="1"/>
      <w:outlineLvl w:val="1"/>
    </w:pPr>
    <w:rPr>
      <w:rFonts w:ascii="SimSun" w:hAnsi="SimSun" w:eastAsia="SimSun" w:cs="Times New Roman"/>
      <w:b/>
      <w:i/>
      <w:sz w:val="36"/>
      <w:szCs w:val="36"/>
      <w:lang w:val="en-US" w:eastAsia="zh-CN"/>
    </w:rPr>
  </w:style>
  <w:style w:type="paragraph" w:styleId="Ttulo3">
    <w:name w:val="Heading 3"/>
    <w:next w:val="Normal"/>
    <w:autoRedefine/>
    <w:uiPriority w:val="0"/>
    <w:qFormat/>
    <w:pPr>
      <w:keepNext w:val="true"/>
      <w:keepLines/>
      <w:widowControl/>
      <w:suppressAutoHyphens w:val="true"/>
      <w:bidi w:val="0"/>
      <w:spacing w:lineRule="auto" w:line="276" w:before="280" w:after="80"/>
      <w:jc w:val="left"/>
      <w:outlineLvl w:val="2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next w:val="Normal"/>
    <w:uiPriority w:val="0"/>
    <w:qFormat/>
    <w:pPr>
      <w:keepNext w:val="true"/>
      <w:keepLines/>
      <w:widowControl/>
      <w:suppressAutoHyphens w:val="true"/>
      <w:bidi w:val="0"/>
      <w:spacing w:lineRule="auto" w:line="276" w:before="240" w:after="40"/>
      <w:jc w:val="left"/>
      <w:outlineLvl w:val="3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next w:val="Normal"/>
    <w:uiPriority w:val="0"/>
    <w:qFormat/>
    <w:pPr>
      <w:keepNext w:val="true"/>
      <w:keepLines/>
      <w:widowControl/>
      <w:suppressAutoHyphens w:val="true"/>
      <w:bidi w:val="0"/>
      <w:spacing w:lineRule="auto" w:line="276" w:before="220" w:after="40"/>
      <w:jc w:val="left"/>
      <w:outlineLvl w:val="4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next w:val="Normal"/>
    <w:autoRedefine/>
    <w:uiPriority w:val="0"/>
    <w:qFormat/>
    <w:pPr>
      <w:keepNext w:val="true"/>
      <w:keepLines/>
      <w:widowControl/>
      <w:suppressAutoHyphens w:val="true"/>
      <w:bidi w:val="0"/>
      <w:spacing w:lineRule="auto" w:line="276" w:before="200" w:after="40"/>
      <w:jc w:val="left"/>
      <w:outlineLvl w:val="5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Pr>
      <w:vertAlign w:val="superscript"/>
    </w:rPr>
  </w:style>
  <w:style w:type="character" w:styleId="LinkdaInternet">
    <w:name w:val="Link da Internet"/>
    <w:basedOn w:val="DefaultParagraphFont"/>
    <w:uiPriority w:val="99"/>
    <w:unhideWhenUsed/>
    <w:qFormat/>
    <w:rPr>
      <w:color w:val="0000FF"/>
      <w:u w:val="single"/>
    </w:rPr>
  </w:style>
  <w:style w:type="character" w:styleId="CabealhoChar" w:customStyle="1">
    <w:name w:val="Cabeçalho Char"/>
    <w:basedOn w:val="DefaultParagraphFont"/>
    <w:uiPriority w:val="99"/>
    <w:semiHidden/>
    <w:qFormat/>
    <w:rPr/>
  </w:style>
  <w:style w:type="character" w:styleId="RodapChar" w:customStyle="1">
    <w:name w:val="Rodapé Char"/>
    <w:basedOn w:val="DefaultParagraphFont"/>
    <w:uiPriority w:val="0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styleId="Appletabspan" w:customStyle="1">
    <w:name w:val="apple-tab-span"/>
    <w:basedOn w:val="DefaultParagraphFont"/>
    <w:uiPriority w:val="0"/>
    <w:qFormat/>
    <w:rPr/>
  </w:style>
  <w:style w:type="character" w:styleId="Corpodetexto3Char" w:customStyle="1">
    <w:name w:val="Corpo de texto 3 Char"/>
    <w:basedOn w:val="DefaultParagraphFont"/>
    <w:link w:val="BodyText3"/>
    <w:uiPriority w:val="99"/>
    <w:semiHidden/>
    <w:qFormat/>
    <w:rPr>
      <w:rFonts w:ascii="Calibri" w:hAnsi="Calibri" w:eastAsia="Calibri" w:cs="" w:asciiTheme="minorHAnsi" w:cstheme="minorBidi" w:eastAsiaTheme="minorHAnsi" w:hAnsiTheme="minorHAnsi"/>
      <w:sz w:val="16"/>
      <w:szCs w:val="16"/>
      <w:lang w:eastAsia="en-US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Pr>
      <w:rFonts w:ascii="Calibri" w:hAnsi="Calibri" w:eastAsia="Calibri" w:cs="" w:asciiTheme="minorHAnsi" w:cstheme="minorBidi" w:eastAsiaTheme="minorHAnsi" w:hAnsiTheme="minorHAnsi"/>
      <w:sz w:val="20"/>
      <w:szCs w:val="20"/>
      <w:lang w:eastAsia="en-US"/>
    </w:rPr>
  </w:style>
  <w:style w:type="character" w:styleId="Nfaseforte">
    <w:name w:val="Ênfase forte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99"/>
    <w:semiHidden/>
    <w:unhideWhenUsed/>
    <w:qFormat/>
    <w:pPr/>
    <w:rPr>
      <w:sz w:val="20"/>
      <w:szCs w:val="20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1" w:default="1">
    <w:name w:val="LO-normal1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next w:val="Normal"/>
    <w:uiPriority w:val="0"/>
    <w:qFormat/>
    <w:pPr>
      <w:keepNext w:val="true"/>
      <w:keepLines/>
      <w:widowControl/>
      <w:suppressAutoHyphens w:val="true"/>
      <w:bidi w:val="0"/>
      <w:spacing w:lineRule="auto" w:line="276" w:before="480" w:after="120"/>
      <w:jc w:val="left"/>
    </w:pPr>
    <w:rPr>
      <w:rFonts w:ascii="Calibri" w:hAnsi="Calibri" w:eastAsia="Calibri" w:cs="Calibri"/>
      <w:b/>
      <w:color w:val="auto"/>
      <w:kern w:val="0"/>
      <w:sz w:val="72"/>
      <w:szCs w:val="72"/>
      <w:lang w:val="pt-BR" w:eastAsia="zh-CN" w:bidi="hi-IN"/>
    </w:rPr>
  </w:style>
  <w:style w:type="paragraph" w:styleId="NormalWeb">
    <w:name w:val="Normal (Web)"/>
    <w:uiPriority w:val="99"/>
    <w:unhideWhenUsed/>
    <w:qFormat/>
    <w:pPr>
      <w:widowControl/>
      <w:suppressAutoHyphens w:val="true"/>
      <w:bidi w:val="0"/>
      <w:spacing w:lineRule="auto" w:line="259" w:beforeAutospacing="1" w:afterAutospacing="1"/>
      <w:jc w:val="left"/>
    </w:pPr>
    <w:rPr>
      <w:rFonts w:ascii="Times New Roman" w:hAnsi="Times New Roman" w:eastAsia="SimSun" w:cs="Times New Roman"/>
      <w:color w:val="auto"/>
      <w:kern w:val="0"/>
      <w:sz w:val="22"/>
      <w:szCs w:val="24"/>
      <w:lang w:val="en-US" w:eastAsia="zh-CN" w:bidi="hi-IN"/>
    </w:rPr>
  </w:style>
  <w:style w:type="paragraph" w:styleId="BodyText3">
    <w:name w:val="Body Text 3"/>
    <w:basedOn w:val="Normal"/>
    <w:link w:val="Corpodetexto3Char"/>
    <w:uiPriority w:val="99"/>
    <w:semiHidden/>
    <w:unhideWhenUsed/>
    <w:qFormat/>
    <w:pPr>
      <w:spacing w:before="0" w:after="120"/>
    </w:pPr>
    <w:rPr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autoRedefine/>
    <w:uiPriority w:val="99"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autoRedefine/>
    <w:uiPriority w:val="0"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odyTextIndent3">
    <w:name w:val="Body Text Indent 3"/>
    <w:basedOn w:val="Normal"/>
    <w:autoRedefine/>
    <w:uiPriority w:val="99"/>
    <w:semiHidden/>
    <w:unhideWhenUsed/>
    <w:qFormat/>
    <w:pPr>
      <w:spacing w:before="0" w:after="120"/>
      <w:ind w:left="283" w:hanging="0"/>
    </w:pPr>
    <w:rPr>
      <w:sz w:val="16"/>
      <w:szCs w:val="16"/>
    </w:rPr>
  </w:style>
  <w:style w:type="paragraph" w:styleId="BalloonText">
    <w:name w:val="Balloon Text"/>
    <w:basedOn w:val="Normal"/>
    <w:link w:val="TextodebaloChar"/>
    <w:uiPriority w:val="99"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ubttulo">
    <w:name w:val="Subtitle"/>
    <w:basedOn w:val="LOnormal1"/>
    <w:next w:val="LOnormal1"/>
    <w:uiPriority w:val="0"/>
    <w:qFormat/>
    <w:pPr>
      <w:jc w:val="center"/>
    </w:pPr>
    <w:rPr>
      <w:rFonts w:ascii="Comic Sans MS" w:hAnsi="Comic Sans MS" w:eastAsia="Comic Sans MS" w:cs="Comic Sans MS"/>
      <w:b/>
      <w:color w:val="000000"/>
      <w:sz w:val="20"/>
      <w:szCs w:val="20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qFormat/>
    <w:pPr>
      <w:spacing w:lineRule="auto" w:line="240" w:before="0" w:after="0"/>
    </w:pPr>
    <w:rPr>
      <w:sz w:val="20"/>
      <w:szCs w:val="20"/>
    </w:rPr>
  </w:style>
  <w:style w:type="paragraph" w:styleId="Normal1" w:customStyle="1">
    <w:name w:val="Normal1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Default" w:customStyle="1">
    <w:name w:val="Default"/>
    <w:uiPriority w:val="0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SimSun" w:cs="Arial"/>
      <w:color w:val="000000"/>
      <w:kern w:val="0"/>
      <w:sz w:val="24"/>
      <w:szCs w:val="24"/>
      <w:lang w:val="pt-BR" w:eastAsia="zh-CN" w:bidi="hi-IN"/>
    </w:rPr>
  </w:style>
  <w:style w:type="paragraph" w:styleId="SemEspaamento1" w:customStyle="1">
    <w:name w:val="Sem Espaçamento1"/>
    <w:autoRedefine/>
    <w:uiPriority w:val="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SimSun" w:cs="Times New Roman"/>
      <w:color w:val="auto"/>
      <w:kern w:val="0"/>
      <w:sz w:val="22"/>
      <w:szCs w:val="22"/>
      <w:lang w:val="pt-BR" w:eastAsia="en-US" w:bidi="hi-IN"/>
    </w:rPr>
  </w:style>
  <w:style w:type="paragraph" w:styleId="ListParagraph">
    <w:name w:val="List Paragraph"/>
    <w:basedOn w:val="Normal"/>
    <w:autoRedefine/>
    <w:uiPriority w:val="1"/>
    <w:qFormat/>
    <w:pPr>
      <w:ind w:left="222" w:hanging="360"/>
      <w:jc w:val="both"/>
    </w:pPr>
    <w:rPr/>
  </w:style>
  <w:style w:type="paragraph" w:styleId="Ttulo11" w:customStyle="1">
    <w:name w:val="Título1"/>
    <w:basedOn w:val="Normal"/>
    <w:next w:val="Subttulo"/>
    <w:uiPriority w:val="0"/>
    <w:qFormat/>
    <w:pPr>
      <w:jc w:val="center"/>
    </w:pPr>
    <w:rPr>
      <w:rFonts w:ascii="Comic Sans MS" w:hAnsi="Comic Sans MS"/>
      <w:sz w:val="56"/>
    </w:rPr>
  </w:style>
  <w:style w:type="paragraph" w:styleId="LOnormal" w:customStyle="1">
    <w:name w:val="LO-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ableParagraph" w:customStyle="1">
    <w:name w:val="Table Paragraph"/>
    <w:basedOn w:val="Normal"/>
    <w:autoRedefine/>
    <w:uiPriority w:val="1"/>
    <w:qFormat/>
    <w:pPr/>
    <w:rPr/>
  </w:style>
  <w:style w:type="paragraph" w:styleId="Linhahorizontal">
    <w:name w:val="Linha horizontal"/>
    <w:basedOn w:val="Normal"/>
    <w:next w:val="Corpodo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table" w:default="1" w:styleId="TableNormal">
    <w:name w:val="Table Normal"/>
  </w:style>
  <w:style w:type="table" w:default="1" w:styleId="9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Table Normal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">
    <w:name w:val="_Style 85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">
    <w:name w:val="_Style 86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8">
    <w:name w:val="_Style 87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">
    <w:name w:val="_Style 88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_Style 89"/>
    <w:basedOn w:val="23"/>
    <w:uiPriority w:val="0"/>
    <w:qFormat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1">
    <w:name w:val="_Style 90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_Style 91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_Style 92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4">
    <w:name w:val="_Style 93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5">
    <w:name w:val="_Style 94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6">
    <w:name w:val="_Style 95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7">
    <w:name w:val="_Style 96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_Style 97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">
    <w:name w:val="_Style 99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PklkckHCsRfmFBe5UF0OWIYOH5Q==">CgMxLjAyCGguZ2pkZ3hzOAByITFnMjdNN0Rvd1hienJ2d0pwd184My1yc1IyY1RMcnJ4UQ==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LibreOffice/7.3.1.3$Windows_X86_64 LibreOffice_project/a69ca51ded25f3eefd52d7bf9a5fad8c90b87951</Application>
  <AppVersion>15.0000</AppVersion>
  <Pages>6</Pages>
  <Words>1130</Words>
  <Characters>6411</Characters>
  <CharactersWithSpaces>7467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2020-10-15T18:07:00Z</dcterms:created>
  <dc:creator>Selma</dc:creator>
  <dc:description/>
  <dc:language>pt-BR</dc:language>
  <cp:lastModifiedBy/>
  <dcterms:modified xsi:type="dcterms:W3CDTF">2025-03-21T15:00:46Z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847440F02FB746CDBF5EFBD55FB33236_13</vt:lpwstr>
  </property>
  <property fmtid="{D5CDD505-2E9C-101B-9397-08002B2CF9AE}" pid="3" name="KSOProductBuildVer">
    <vt:lpwstr>1046-12.2.0.16731</vt:lpwstr>
  </property>
</Properties>
</file>