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41B69F1">
      <w:pPr>
        <w:pStyle w:val="2"/>
        <w:widowControl w:val="0"/>
        <w:spacing w:before="0" w:after="0" w:line="240" w:lineRule="auto"/>
        <w:ind w:left="-283" w:right="-144" w:firstLine="0"/>
        <w:jc w:val="center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TERMO DE REFERÊNCIA </w:t>
      </w:r>
    </w:p>
    <w:p w14:paraId="00860747">
      <w:pPr>
        <w:pStyle w:val="2"/>
        <w:widowControl w:val="0"/>
        <w:spacing w:before="0" w:after="0" w:line="240" w:lineRule="auto"/>
        <w:ind w:left="-283" w:right="-144" w:firstLine="0"/>
        <w:jc w:val="center"/>
        <w:rPr>
          <w:rFonts w:ascii="Arial" w:hAnsi="Arial" w:eastAsia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</w:rPr>
        <w:t>DISPENSA DE LICITAÇÃO</w:t>
      </w:r>
    </w:p>
    <w:p w14:paraId="311684FE">
      <w:pPr>
        <w:ind w:left="-283" w:right="-144" w:firstLine="0"/>
        <w:jc w:val="center"/>
        <w:rPr>
          <w:highlight w:val="none"/>
          <w:shd w:val="clear" w:fill="FFFFFF"/>
        </w:rPr>
      </w:pPr>
      <w:r>
        <w:rPr>
          <w:rFonts w:ascii="Arial" w:hAnsi="Arial" w:eastAsia="Arial" w:cs="Arial"/>
          <w:shd w:val="clear" w:fill="FFFFFF"/>
        </w:rPr>
        <w:t>SC</w:t>
      </w:r>
      <w:r>
        <w:rPr>
          <w:rFonts w:ascii="Arial" w:hAnsi="Arial" w:eastAsia="Arial" w:cs="Arial"/>
          <w:b w:val="0"/>
          <w:sz w:val="22"/>
          <w:szCs w:val="22"/>
          <w:shd w:val="clear" w:fill="FFFFFF"/>
        </w:rPr>
        <w:t xml:space="preserve"> </w:t>
      </w:r>
      <w:r>
        <w:rPr>
          <w:rFonts w:hint="default" w:ascii="Arial" w:hAnsi="Arial" w:eastAsia="Arial" w:cs="Arial"/>
          <w:b w:val="0"/>
          <w:sz w:val="22"/>
          <w:szCs w:val="22"/>
          <w:shd w:val="clear" w:fill="FFFFFF"/>
          <w:lang w:val="pt-BR"/>
        </w:rPr>
        <w:t>357</w:t>
      </w:r>
      <w:bookmarkStart w:id="1" w:name="_GoBack"/>
      <w:bookmarkEnd w:id="1"/>
      <w:r>
        <w:rPr>
          <w:rFonts w:ascii="Arial" w:hAnsi="Arial" w:eastAsia="Arial" w:cs="Arial"/>
          <w:b w:val="0"/>
          <w:sz w:val="22"/>
          <w:szCs w:val="22"/>
          <w:shd w:val="clear" w:fill="FFFFFF"/>
        </w:rPr>
        <w:t>/2026</w:t>
      </w:r>
    </w:p>
    <w:p w14:paraId="72A26578">
      <w:pPr>
        <w:pStyle w:val="4"/>
        <w:numPr>
          <w:ilvl w:val="0"/>
          <w:numId w:val="1"/>
        </w:numPr>
        <w:tabs>
          <w:tab w:val="left" w:pos="401"/>
        </w:tabs>
        <w:spacing w:before="280" w:after="0"/>
        <w:ind w:left="-283" w:right="-144" w:firstLine="0"/>
        <w:jc w:val="both"/>
        <w:rPr>
          <w:rFonts w:ascii="Arial" w:hAnsi="Arial" w:eastAsia="Arial" w:cs="Arial"/>
          <w:b/>
          <w:i w:val="0"/>
          <w:sz w:val="22"/>
          <w:szCs w:val="22"/>
          <w:highlight w:val="white"/>
        </w:rPr>
      </w:pPr>
      <w:r>
        <w:rPr>
          <w:rFonts w:ascii="Arial" w:hAnsi="Arial" w:eastAsia="Arial" w:cs="Arial"/>
          <w:i w:val="0"/>
          <w:sz w:val="22"/>
          <w:szCs w:val="22"/>
          <w:highlight w:val="white"/>
        </w:rPr>
        <w:t>DO OBJETO</w:t>
      </w:r>
    </w:p>
    <w:p w14:paraId="0EC7EF40">
      <w:pPr>
        <w:keepNext w:val="0"/>
        <w:keepLines w:val="0"/>
        <w:pageBreakBefore w:val="0"/>
        <w:widowControl/>
        <w:numPr>
          <w:ilvl w:val="1"/>
          <w:numId w:val="1"/>
        </w:numPr>
        <w:shd w:val="clear" w:fill="auto"/>
        <w:tabs>
          <w:tab w:val="left" w:pos="502"/>
        </w:tabs>
        <w:spacing w:before="95" w:after="200" w:line="235" w:lineRule="auto"/>
        <w:ind w:left="-283" w:right="-144" w:firstLine="0"/>
        <w:jc w:val="both"/>
        <w:rPr>
          <w:rFonts w:ascii="Arial" w:hAnsi="Arial" w:eastAsia="Arial" w:cs="Arial"/>
          <w:caps w:val="0"/>
          <w:smallCaps w:val="0"/>
          <w:strike w:val="0"/>
          <w:dstrike w:val="0"/>
          <w:color w:val="000000"/>
          <w:position w:val="0"/>
          <w:sz w:val="22"/>
          <w:szCs w:val="22"/>
          <w:shd w:val="clear" w:fill="auto"/>
          <w:vertAlign w:val="baseline"/>
        </w:rPr>
      </w:pPr>
      <w:r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auto"/>
          <w:vertAlign w:val="baseline"/>
        </w:rPr>
        <w:t>Aquisição d</w:t>
      </w:r>
      <w:r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FFFFFF"/>
          <w:vertAlign w:val="baseline"/>
        </w:rPr>
        <w:t>e</w:t>
      </w:r>
      <w:r>
        <w:rPr>
          <w:rFonts w:ascii="Arial" w:hAnsi="Arial" w:eastAsia="Arial" w:cs="Arial"/>
          <w:b w:val="0"/>
          <w:caps w:val="0"/>
          <w:smallCaps w:val="0"/>
          <w:strike w:val="0"/>
          <w:dstrike w:val="0"/>
          <w:position w:val="0"/>
          <w:sz w:val="22"/>
          <w:szCs w:val="22"/>
          <w:u w:val="none"/>
          <w:shd w:val="clear" w:fill="FFFFFF"/>
          <w:vertAlign w:val="baseline"/>
        </w:rPr>
        <w:t xml:space="preserve"> equipamentos de informática </w:t>
      </w:r>
      <w:r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auto"/>
          <w:vertAlign w:val="baseline"/>
        </w:rPr>
        <w:t>para a Fundação Cultural de Jacarehy, conforme condições, quantidades e exigências estabelecidas neste instrumento:</w:t>
      </w:r>
    </w:p>
    <w:tbl>
      <w:tblPr>
        <w:tblStyle w:val="10"/>
        <w:tblW w:w="10424" w:type="dxa"/>
        <w:tblInd w:w="-55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1418"/>
        <w:gridCol w:w="5091"/>
        <w:gridCol w:w="1051"/>
        <w:gridCol w:w="959"/>
        <w:gridCol w:w="1260"/>
      </w:tblGrid>
      <w:tr w14:paraId="4572F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atLeast"/>
        </w:trPr>
        <w:tc>
          <w:tcPr>
            <w:tcW w:w="645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58FD97C9">
            <w:pPr>
              <w:keepNext w:val="0"/>
              <w:keepLines w:val="0"/>
              <w:widowControl w:val="0"/>
              <w:shd w:val="clear" w:fill="auto"/>
              <w:spacing w:before="128" w:after="200" w:line="276" w:lineRule="auto"/>
              <w:ind w:left="-283" w:right="-144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Item</w:t>
            </w:r>
          </w:p>
        </w:tc>
        <w:tc>
          <w:tcPr>
            <w:tcW w:w="1418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10218F26">
            <w:pPr>
              <w:keepNext w:val="0"/>
              <w:keepLines w:val="0"/>
              <w:widowControl w:val="0"/>
              <w:shd w:val="clear" w:fill="auto"/>
              <w:spacing w:before="128" w:after="200" w:line="276" w:lineRule="auto"/>
              <w:ind w:left="-283" w:right="-144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Código</w:t>
            </w:r>
          </w:p>
          <w:p w14:paraId="6FD3CCDB">
            <w:pPr>
              <w:keepNext w:val="0"/>
              <w:keepLines w:val="0"/>
              <w:widowControl w:val="0"/>
              <w:shd w:val="clear" w:fill="auto"/>
              <w:spacing w:before="128" w:after="200" w:line="276" w:lineRule="auto"/>
              <w:ind w:left="-283" w:right="-144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SUP</w:t>
            </w:r>
          </w:p>
        </w:tc>
        <w:tc>
          <w:tcPr>
            <w:tcW w:w="5091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36BF77D1">
            <w:pPr>
              <w:keepNext w:val="0"/>
              <w:keepLines w:val="0"/>
              <w:widowControl w:val="0"/>
              <w:shd w:val="clear" w:fill="auto"/>
              <w:spacing w:before="128" w:after="200" w:line="276" w:lineRule="auto"/>
              <w:ind w:left="-283" w:right="-144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Especificações</w:t>
            </w:r>
          </w:p>
        </w:tc>
        <w:tc>
          <w:tcPr>
            <w:tcW w:w="1051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61DE63B1">
            <w:pPr>
              <w:keepNext w:val="0"/>
              <w:keepLines w:val="0"/>
              <w:widowControl w:val="0"/>
              <w:shd w:val="clear" w:fill="auto"/>
              <w:spacing w:before="128" w:after="200" w:line="276" w:lineRule="auto"/>
              <w:ind w:left="-283" w:right="-144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Tipo</w:t>
            </w:r>
          </w:p>
        </w:tc>
        <w:tc>
          <w:tcPr>
            <w:tcW w:w="959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7CE27BCA">
            <w:pPr>
              <w:keepNext w:val="0"/>
              <w:keepLines w:val="0"/>
              <w:widowControl w:val="0"/>
              <w:shd w:val="clear" w:fill="auto"/>
              <w:spacing w:before="0" w:after="200" w:line="259" w:lineRule="auto"/>
              <w:ind w:left="0" w:right="109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Unidade</w:t>
            </w:r>
          </w:p>
          <w:p w14:paraId="142FF655">
            <w:pPr>
              <w:keepNext w:val="0"/>
              <w:keepLines w:val="0"/>
              <w:widowControl w:val="0"/>
              <w:shd w:val="clear" w:fill="auto"/>
              <w:spacing w:before="1" w:after="200" w:line="240" w:lineRule="auto"/>
              <w:ind w:left="0" w:right="109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Medida</w:t>
            </w:r>
          </w:p>
        </w:tc>
        <w:tc>
          <w:tcPr>
            <w:tcW w:w="1260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808080" w:sz="18" w:space="0"/>
            </w:tcBorders>
          </w:tcPr>
          <w:p w14:paraId="78AC11E0">
            <w:pPr>
              <w:keepNext w:val="0"/>
              <w:keepLines w:val="0"/>
              <w:widowControl w:val="0"/>
              <w:shd w:val="clear" w:fill="auto"/>
              <w:spacing w:before="128" w:after="200" w:line="276" w:lineRule="auto"/>
              <w:ind w:left="0" w:right="66" w:firstLine="0"/>
              <w:jc w:val="center"/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eastAsia="Arial" w:cs="Arial"/>
                <w:b/>
                <w:caps w:val="0"/>
                <w:smallCaps w:val="0"/>
                <w:strike w:val="0"/>
                <w:dstrike w:val="0"/>
                <w:color w:val="000000"/>
                <w:position w:val="0"/>
                <w:sz w:val="20"/>
                <w:szCs w:val="20"/>
                <w:u w:val="none"/>
                <w:shd w:val="clear" w:fill="auto"/>
                <w:vertAlign w:val="baseline"/>
              </w:rPr>
              <w:t>Quantidade</w:t>
            </w:r>
          </w:p>
        </w:tc>
      </w:tr>
      <w:tr w14:paraId="07B604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645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536095DE">
            <w:pPr>
              <w:widowControl w:val="0"/>
              <w:ind w:left="-283" w:right="-144" w:firstLine="0"/>
              <w:jc w:val="center"/>
              <w:rPr>
                <w:rFonts w:ascii="Arial" w:hAnsi="Arial" w:eastAsia="Arial" w:cs="Arial"/>
                <w:sz w:val="20"/>
                <w:szCs w:val="20"/>
                <w:highlight w:val="none"/>
                <w:shd w:val="clear" w:fill="FFFFFF"/>
              </w:rPr>
            </w:pPr>
          </w:p>
          <w:p w14:paraId="7F82E686">
            <w:pPr>
              <w:widowControl w:val="0"/>
              <w:spacing w:before="0" w:after="200"/>
              <w:ind w:left="-283" w:right="-144" w:firstLine="0"/>
              <w:jc w:val="center"/>
              <w:rPr>
                <w:rFonts w:hint="default"/>
                <w:highlight w:val="none"/>
                <w:shd w:val="clear" w:fill="FFFFFF"/>
                <w:lang w:val="pt-BR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  <w:shd w:val="clear" w:fill="FFFFFF"/>
              </w:rPr>
              <w:t>0</w:t>
            </w:r>
            <w:r>
              <w:rPr>
                <w:rFonts w:hint="default" w:ascii="Arial" w:hAnsi="Arial" w:eastAsia="Arial" w:cs="Arial"/>
                <w:b/>
                <w:sz w:val="20"/>
                <w:szCs w:val="20"/>
                <w:shd w:val="clear" w:fill="FFFFFF"/>
                <w:lang w:val="pt-BR"/>
              </w:rPr>
              <w:t>1</w:t>
            </w:r>
          </w:p>
        </w:tc>
        <w:tc>
          <w:tcPr>
            <w:tcW w:w="1418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718EAFFF">
            <w:pPr>
              <w:widowControl w:val="0"/>
              <w:ind w:left="-283" w:right="-144" w:firstLine="0"/>
              <w:jc w:val="center"/>
              <w:rPr>
                <w:rFonts w:ascii="Arial" w:hAnsi="Arial" w:eastAsia="Arial" w:cs="Arial"/>
                <w:sz w:val="16"/>
                <w:szCs w:val="16"/>
                <w:highlight w:val="none"/>
                <w:shd w:val="clear" w:fill="FFFFFF"/>
              </w:rPr>
            </w:pPr>
          </w:p>
          <w:p w14:paraId="09FFE4E5">
            <w:pPr>
              <w:widowControl w:val="0"/>
              <w:bidi w:val="0"/>
              <w:spacing w:before="0" w:after="200" w:line="276" w:lineRule="auto"/>
              <w:ind w:left="-283" w:right="-144" w:firstLine="0"/>
              <w:jc w:val="center"/>
              <w:rPr>
                <w:rFonts w:ascii="Arial" w:hAnsi="Arial" w:eastAsia="Arial" w:cs="Arial"/>
                <w:sz w:val="16"/>
                <w:szCs w:val="16"/>
                <w:highlight w:val="none"/>
                <w:shd w:val="clear" w:fill="FFFFFF"/>
                <w:lang w:val="pt-BR" w:eastAsia="en-US"/>
              </w:rPr>
            </w:pPr>
            <w:r>
              <w:rPr>
                <w:rFonts w:ascii="Arial" w:hAnsi="Arial" w:eastAsia="Arial" w:cs="Arial"/>
                <w:sz w:val="16"/>
                <w:szCs w:val="16"/>
                <w:shd w:val="clear" w:fill="FFFFFF"/>
                <w:lang w:val="pt-BR" w:eastAsia="en-US"/>
              </w:rPr>
              <w:t xml:space="preserve"> 1.008.001.000518</w:t>
            </w:r>
          </w:p>
        </w:tc>
        <w:tc>
          <w:tcPr>
            <w:tcW w:w="5091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1A1D1F9A">
            <w:pPr>
              <w:widowControl w:val="0"/>
              <w:ind w:left="-283" w:right="-144" w:firstLine="0"/>
              <w:jc w:val="center"/>
              <w:rPr>
                <w:rFonts w:ascii="Arial" w:hAnsi="Arial" w:eastAsia="Arial" w:cs="Arial"/>
                <w:sz w:val="20"/>
                <w:szCs w:val="20"/>
                <w:shd w:val="clear" w:fill="FFE599"/>
              </w:rPr>
            </w:pPr>
          </w:p>
          <w:p w14:paraId="7F78858A">
            <w:pPr>
              <w:widowControl w:val="0"/>
              <w:ind w:left="141" w:right="59" w:firstLine="0"/>
              <w:jc w:val="center"/>
              <w:rPr>
                <w:highlight w:val="none"/>
                <w:shd w:val="clear" w:fill="FFFFFF"/>
              </w:rPr>
            </w:pP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 xml:space="preserve">Fonte de alimentação para notebook, modelo </w:t>
            </w:r>
            <w:r>
              <w:rPr>
                <w:rFonts w:hint="default" w:ascii="Arial" w:hAnsi="Arial" w:eastAsia="Segoe UI" w:cs="Arial"/>
                <w:i w:val="0"/>
                <w:iCs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PA-1450-26</w:t>
            </w:r>
            <w:r>
              <w:rPr>
                <w:rFonts w:hint="default" w:ascii="Arial" w:hAnsi="Arial" w:eastAsia="Arial" w:cs="Arial"/>
                <w:color w:val="000000" w:themeColor="text1"/>
                <w:sz w:val="20"/>
                <w:szCs w:val="20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 xml:space="preserve">ou equivalente, compatível com equipamentos da linha 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Aspire da marca ACER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>, com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 xml:space="preserve"> as seguintes especificações técnicas: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 xml:space="preserve"> tensão de saída de 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19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 xml:space="preserve">V, corrente de 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saída de 2.37A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>, potência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 xml:space="preserve"> total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 xml:space="preserve"> de 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4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>5W, conector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(plug)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 xml:space="preserve"> de 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3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>,0mm x 1,</w:t>
            </w: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1</w:t>
            </w: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 xml:space="preserve">mm (pino fino), entrada bivolt automática (100-240V) </w:t>
            </w:r>
          </w:p>
          <w:p w14:paraId="1F1162E1">
            <w:pPr>
              <w:widowControl w:val="0"/>
              <w:spacing w:before="0" w:after="200"/>
              <w:ind w:left="141" w:right="59" w:firstLine="0"/>
              <w:jc w:val="center"/>
              <w:rPr>
                <w:rFonts w:ascii="Arial" w:hAnsi="Arial" w:eastAsia="Arial" w:cs="Arial"/>
                <w:sz w:val="20"/>
                <w:szCs w:val="20"/>
                <w:shd w:val="clear" w:fill="FFE599"/>
              </w:rPr>
            </w:pPr>
          </w:p>
        </w:tc>
        <w:tc>
          <w:tcPr>
            <w:tcW w:w="1051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7504819B">
            <w:pPr>
              <w:widowControl w:val="0"/>
              <w:ind w:left="82" w:right="35" w:firstLine="0"/>
              <w:jc w:val="center"/>
              <w:rPr>
                <w:rFonts w:ascii="Arial" w:hAnsi="Arial" w:eastAsia="Arial" w:cs="Arial"/>
                <w:sz w:val="20"/>
                <w:szCs w:val="20"/>
                <w:shd w:val="clear" w:fill="FFE599"/>
              </w:rPr>
            </w:pPr>
          </w:p>
          <w:p w14:paraId="6449E2CE">
            <w:pPr>
              <w:widowControl w:val="0"/>
              <w:spacing w:before="0" w:after="200"/>
              <w:ind w:left="82" w:right="35" w:firstLine="0"/>
              <w:jc w:val="center"/>
              <w:rPr>
                <w:highlight w:val="none"/>
                <w:shd w:val="clear" w:fill="FFFFFF"/>
              </w:rPr>
            </w:pP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>Material</w:t>
            </w:r>
          </w:p>
        </w:tc>
        <w:tc>
          <w:tcPr>
            <w:tcW w:w="959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2B2B2B" w:sz="18" w:space="0"/>
            </w:tcBorders>
          </w:tcPr>
          <w:p w14:paraId="30B06D78">
            <w:pPr>
              <w:widowControl w:val="0"/>
              <w:ind w:left="-283" w:right="-144" w:firstLine="0"/>
              <w:jc w:val="center"/>
              <w:rPr>
                <w:rFonts w:ascii="Arial" w:hAnsi="Arial" w:eastAsia="Arial" w:cs="Arial"/>
                <w:sz w:val="20"/>
                <w:szCs w:val="20"/>
                <w:shd w:val="clear" w:fill="FFE599"/>
              </w:rPr>
            </w:pPr>
          </w:p>
          <w:p w14:paraId="37E30E1F">
            <w:pPr>
              <w:widowControl w:val="0"/>
              <w:spacing w:before="0" w:after="200"/>
              <w:ind w:left="-283" w:right="-144" w:firstLine="0"/>
              <w:jc w:val="center"/>
              <w:rPr>
                <w:rFonts w:ascii="Arial" w:hAnsi="Arial" w:eastAsia="Arial" w:cs="Arial"/>
                <w:sz w:val="20"/>
                <w:szCs w:val="20"/>
                <w:highlight w:val="none"/>
                <w:shd w:val="clear" w:fill="FFFFFF"/>
              </w:rPr>
            </w:pPr>
            <w:r>
              <w:rPr>
                <w:rFonts w:ascii="Arial" w:hAnsi="Arial" w:eastAsia="Arial" w:cs="Arial"/>
                <w:sz w:val="20"/>
                <w:szCs w:val="20"/>
                <w:shd w:val="clear" w:fill="FFFFFF"/>
              </w:rPr>
              <w:t>UN</w:t>
            </w:r>
          </w:p>
        </w:tc>
        <w:tc>
          <w:tcPr>
            <w:tcW w:w="1260" w:type="dxa"/>
            <w:tcBorders>
              <w:top w:val="single" w:color="2B2B2B" w:sz="18" w:space="0"/>
              <w:left w:val="single" w:color="2B2B2B" w:sz="18" w:space="0"/>
              <w:bottom w:val="single" w:color="2B2B2B" w:sz="18" w:space="0"/>
              <w:right w:val="single" w:color="808080" w:sz="18" w:space="0"/>
            </w:tcBorders>
          </w:tcPr>
          <w:p w14:paraId="7A9A4CBC">
            <w:pPr>
              <w:widowControl w:val="0"/>
              <w:ind w:left="-283" w:right="-144" w:firstLine="0"/>
              <w:jc w:val="center"/>
              <w:rPr>
                <w:rFonts w:ascii="Arial" w:hAnsi="Arial" w:eastAsia="Arial" w:cs="Arial"/>
                <w:sz w:val="20"/>
                <w:szCs w:val="20"/>
                <w:shd w:val="clear" w:fill="FFE599"/>
              </w:rPr>
            </w:pPr>
          </w:p>
          <w:p w14:paraId="466305AA">
            <w:pPr>
              <w:widowControl w:val="0"/>
              <w:spacing w:before="0" w:after="200"/>
              <w:ind w:left="-283" w:right="-144" w:firstLine="0"/>
              <w:jc w:val="center"/>
              <w:rPr>
                <w:rFonts w:hint="default" w:ascii="Arial" w:hAnsi="Arial" w:eastAsia="Arial" w:cs="Arial"/>
                <w:sz w:val="20"/>
                <w:szCs w:val="20"/>
                <w:highlight w:val="none"/>
                <w:shd w:val="clear" w:fill="FFFFFF"/>
                <w:lang w:val="pt-BR"/>
              </w:rPr>
            </w:pPr>
            <w:r>
              <w:rPr>
                <w:rFonts w:hint="default" w:ascii="Arial" w:hAnsi="Arial" w:eastAsia="Arial" w:cs="Arial"/>
                <w:sz w:val="20"/>
                <w:szCs w:val="20"/>
                <w:shd w:val="clear" w:fill="FFFFFF"/>
                <w:lang w:val="pt-BR"/>
              </w:rPr>
              <w:t>02</w:t>
            </w:r>
          </w:p>
        </w:tc>
      </w:tr>
    </w:tbl>
    <w:p w14:paraId="5CE1B1B2">
      <w:pPr>
        <w:pStyle w:val="4"/>
        <w:numPr>
          <w:ilvl w:val="0"/>
          <w:numId w:val="1"/>
        </w:numPr>
        <w:tabs>
          <w:tab w:val="left" w:pos="342"/>
        </w:tabs>
        <w:spacing w:before="280" w:after="280" w:line="240" w:lineRule="auto"/>
        <w:ind w:left="-283" w:right="-144" w:firstLine="0"/>
        <w:jc w:val="both"/>
        <w:rPr>
          <w:rFonts w:ascii="Arial" w:hAnsi="Arial" w:eastAsia="Arial" w:cs="Arial"/>
          <w:b/>
          <w:i w:val="0"/>
          <w:sz w:val="22"/>
          <w:szCs w:val="22"/>
          <w:highlight w:val="white"/>
        </w:rPr>
      </w:pPr>
      <w:r>
        <w:rPr>
          <w:rFonts w:ascii="Arial" w:hAnsi="Arial" w:eastAsia="Arial" w:cs="Arial"/>
          <w:i w:val="0"/>
          <w:sz w:val="22"/>
          <w:szCs w:val="22"/>
          <w:highlight w:val="white"/>
        </w:rPr>
        <w:t>JUSTIFICATIVA DA CONTRATAÇÃO</w:t>
      </w:r>
    </w:p>
    <w:p w14:paraId="791E6778">
      <w:pPr>
        <w:keepNext w:val="0"/>
        <w:keepLines w:val="0"/>
        <w:pageBreakBefore w:val="0"/>
        <w:widowControl/>
        <w:shd w:val="clear" w:fill="auto"/>
        <w:spacing w:before="8" w:after="200" w:line="276" w:lineRule="auto"/>
        <w:ind w:left="-283" w:right="-144" w:firstLine="0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caps w:val="0"/>
          <w:smallCaps w:val="0"/>
          <w:strike w:val="0"/>
          <w:dstrike w:val="0"/>
          <w:position w:val="0"/>
          <w:sz w:val="22"/>
          <w:szCs w:val="22"/>
          <w:u w:val="none"/>
          <w:shd w:val="clear" w:fill="FFFFFF"/>
          <w:vertAlign w:val="baseline"/>
        </w:rPr>
        <w:t>A aquisição se faz necessária para garantir a manutenção e melhoria do desempenho dos equipamentos de informática utilizados pela Fundação Cultural de Jacarehy, assegurando a continuidade das atividades administrativas.</w:t>
      </w:r>
    </w:p>
    <w:p w14:paraId="1FFF94B9">
      <w:pPr>
        <w:widowControl/>
        <w:shd w:val="clear" w:fill="auto"/>
        <w:spacing w:before="8" w:after="200" w:line="276" w:lineRule="auto"/>
        <w:ind w:left="-283" w:right="-144" w:firstLine="0"/>
        <w:jc w:val="both"/>
        <w:rPr>
          <w:shd w:val="clear" w:fill="FFFFFF"/>
        </w:rPr>
      </w:pPr>
      <w:r>
        <w:rPr>
          <w:rFonts w:ascii="Arial" w:hAnsi="Arial" w:eastAsia="Arial" w:cs="Arial"/>
          <w:caps w:val="0"/>
          <w:smallCaps w:val="0"/>
          <w:strike w:val="0"/>
          <w:dstrike w:val="0"/>
          <w:position w:val="0"/>
          <w:sz w:val="22"/>
          <w:szCs w:val="22"/>
          <w:u w:val="none"/>
          <w:shd w:val="clear" w:fill="FFFFFF"/>
          <w:vertAlign w:val="baseline"/>
        </w:rPr>
        <w:t xml:space="preserve">A substituição dos componentes se justifica em razão do desgaste e/ou defeito dos equipamentos existentes, bem como para otimização do desempenho dos computadores. </w:t>
      </w:r>
    </w:p>
    <w:p w14:paraId="61618A90">
      <w:pPr>
        <w:pStyle w:val="4"/>
        <w:numPr>
          <w:ilvl w:val="0"/>
          <w:numId w:val="1"/>
        </w:numPr>
        <w:tabs>
          <w:tab w:val="left" w:pos="342"/>
        </w:tabs>
        <w:ind w:left="-283" w:right="-144" w:firstLine="0"/>
        <w:jc w:val="both"/>
        <w:rPr>
          <w:rFonts w:ascii="Arial" w:hAnsi="Arial" w:eastAsia="Arial" w:cs="Arial"/>
          <w:b/>
          <w:i w:val="0"/>
          <w:sz w:val="22"/>
          <w:szCs w:val="22"/>
          <w:highlight w:val="white"/>
        </w:rPr>
      </w:pPr>
      <w:r>
        <w:rPr>
          <w:rFonts w:ascii="Arial" w:hAnsi="Arial" w:eastAsia="Arial" w:cs="Arial"/>
          <w:i w:val="0"/>
          <w:sz w:val="22"/>
          <w:szCs w:val="22"/>
          <w:highlight w:val="white"/>
        </w:rPr>
        <w:t>CLASSIFICAÇÃO DOS BENS COMUNS</w:t>
      </w:r>
    </w:p>
    <w:p w14:paraId="2E2EA625">
      <w:pPr>
        <w:widowControl/>
        <w:bidi w:val="0"/>
        <w:spacing w:before="0" w:after="200" w:line="235" w:lineRule="auto"/>
        <w:ind w:left="-283" w:right="-144" w:firstLine="0"/>
        <w:jc w:val="both"/>
        <w:rPr>
          <w:rFonts w:ascii="Arial" w:hAnsi="Arial" w:eastAsia="Arial" w:cs="Arial"/>
          <w:lang w:val="pt-BR" w:eastAsia="en-US"/>
        </w:rPr>
      </w:pPr>
      <w:r>
        <w:rPr>
          <w:rFonts w:ascii="Arial" w:hAnsi="Arial" w:eastAsia="Arial" w:cs="Arial"/>
          <w:lang w:val="pt-BR" w:eastAsia="en-US"/>
        </w:rPr>
        <w:t>Trata-se de aquisição de bem comum, mediante Dispensa de Licitação, com divulgação no PNCP e Portal da Transparência do Município.</w:t>
      </w:r>
    </w:p>
    <w:p w14:paraId="1A291A43">
      <w:pPr>
        <w:spacing w:line="235" w:lineRule="auto"/>
        <w:ind w:left="-283" w:right="-144" w:firstLine="0"/>
        <w:jc w:val="both"/>
        <w:rPr>
          <w:rFonts w:ascii="Arial" w:hAnsi="Arial" w:eastAsia="Arial" w:cs="Arial"/>
          <w:b/>
          <w:color w:val="FF0000"/>
        </w:rPr>
      </w:pPr>
    </w:p>
    <w:p w14:paraId="35CCD5C2">
      <w:pPr>
        <w:pStyle w:val="4"/>
        <w:numPr>
          <w:ilvl w:val="0"/>
          <w:numId w:val="1"/>
        </w:numPr>
        <w:tabs>
          <w:tab w:val="left" w:pos="342"/>
        </w:tabs>
        <w:spacing w:before="280" w:after="280" w:line="240" w:lineRule="auto"/>
        <w:ind w:left="-283" w:right="-144" w:firstLine="0"/>
        <w:jc w:val="both"/>
        <w:rPr>
          <w:rFonts w:ascii="Arial" w:hAnsi="Arial" w:eastAsia="Arial" w:cs="Arial"/>
          <w:b/>
          <w:i w:val="0"/>
          <w:sz w:val="22"/>
          <w:szCs w:val="22"/>
          <w:highlight w:val="white"/>
        </w:rPr>
      </w:pPr>
      <w:r>
        <w:rPr>
          <w:rFonts w:ascii="Arial" w:hAnsi="Arial" w:eastAsia="Arial" w:cs="Arial"/>
          <w:i w:val="0"/>
          <w:sz w:val="22"/>
          <w:szCs w:val="22"/>
          <w:highlight w:val="white"/>
        </w:rPr>
        <w:t>ENTREGA E CRITÉRIOS DE ACEITAÇÃO DO OBJETO.</w:t>
      </w:r>
    </w:p>
    <w:p w14:paraId="6708B09A">
      <w:pPr>
        <w:pStyle w:val="13"/>
        <w:spacing w:line="235" w:lineRule="auto"/>
        <w:ind w:left="-283" w:right="-144" w:firstLine="0"/>
        <w:jc w:val="both"/>
      </w:pPr>
      <w:r>
        <w:rPr>
          <w:rFonts w:ascii="Arial" w:hAnsi="Arial" w:eastAsia="Arial" w:cs="Arial"/>
          <w:sz w:val="22"/>
          <w:szCs w:val="22"/>
          <w:shd w:val="clear" w:fill="FFFFFF"/>
        </w:rPr>
        <w:t xml:space="preserve">O prazo de entrega dos bens será de até </w:t>
      </w:r>
      <w:r>
        <w:rPr>
          <w:rStyle w:val="33"/>
          <w:rFonts w:ascii="Arial" w:hAnsi="Arial" w:eastAsia="Arial" w:cs="Arial"/>
          <w:sz w:val="22"/>
          <w:szCs w:val="22"/>
          <w:shd w:val="clear" w:fill="FFFFFF"/>
        </w:rPr>
        <w:t>10 (dez) dias</w:t>
      </w:r>
      <w:r>
        <w:rPr>
          <w:rFonts w:ascii="Arial" w:hAnsi="Arial" w:eastAsia="Arial" w:cs="Arial"/>
          <w:sz w:val="22"/>
          <w:szCs w:val="22"/>
          <w:shd w:val="clear" w:fill="FFFFFF"/>
        </w:rPr>
        <w:t>, contados do recebimento da Autorização de Fornecimento, no seguinte endereço:</w:t>
      </w:r>
    </w:p>
    <w:p w14:paraId="3D2A00C0">
      <w:pPr>
        <w:pStyle w:val="13"/>
        <w:spacing w:line="235" w:lineRule="auto"/>
        <w:ind w:left="-283" w:right="-144" w:firstLine="0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 xml:space="preserve">Av. Getúlio Dorneles Vargas, nº 530 – Jardim Califórnia – Jacareí/SP </w:t>
      </w:r>
    </w:p>
    <w:p w14:paraId="2BEA80A2">
      <w:pPr>
        <w:pStyle w:val="13"/>
        <w:spacing w:line="235" w:lineRule="auto"/>
        <w:ind w:left="-283" w:right="-144" w:firstLine="0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>Os produtos deverão ser novos, sem uso, em perfeitas condições de funcionamento e em conformidade com as especificações deste Termo de Referência.</w:t>
      </w:r>
    </w:p>
    <w:p w14:paraId="19048D79">
      <w:pPr>
        <w:pStyle w:val="13"/>
        <w:spacing w:line="235" w:lineRule="auto"/>
        <w:ind w:left="-283" w:right="-144" w:firstLine="0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 xml:space="preserve">A entrega será considerada aceita após verificação da conformidade dos itens com as especificações técnicas exigidas.  </w:t>
      </w:r>
    </w:p>
    <w:p w14:paraId="5F22BF88">
      <w:pPr>
        <w:pStyle w:val="13"/>
        <w:spacing w:line="235" w:lineRule="auto"/>
        <w:ind w:left="-283" w:right="-144" w:firstLine="0"/>
        <w:jc w:val="both"/>
        <w:rPr>
          <w:sz w:val="22"/>
          <w:szCs w:val="22"/>
        </w:rPr>
      </w:pPr>
      <w:r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auto"/>
          <w:vertAlign w:val="baseline"/>
        </w:rPr>
        <w:t xml:space="preserve">O Município de Jacareí não paga por frete nem por visita técnica. </w:t>
      </w:r>
    </w:p>
    <w:p w14:paraId="5F1E92A3">
      <w:pPr>
        <w:keepNext w:val="0"/>
        <w:keepLines w:val="0"/>
        <w:pageBreakBefore w:val="0"/>
        <w:widowControl/>
        <w:shd w:val="clear" w:fill="auto"/>
        <w:spacing w:before="5" w:after="200" w:line="276" w:lineRule="auto"/>
        <w:ind w:left="-283" w:right="-144" w:firstLine="0"/>
        <w:jc w:val="both"/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auto"/>
          <w:vertAlign w:val="baseline"/>
        </w:rPr>
      </w:pPr>
    </w:p>
    <w:p w14:paraId="4A0DE034">
      <w:pPr>
        <w:pStyle w:val="4"/>
        <w:numPr>
          <w:ilvl w:val="0"/>
          <w:numId w:val="1"/>
        </w:numPr>
        <w:tabs>
          <w:tab w:val="left" w:pos="342"/>
        </w:tabs>
        <w:ind w:left="-283" w:right="-144" w:firstLine="0"/>
        <w:jc w:val="both"/>
        <w:rPr>
          <w:rFonts w:ascii="Arial" w:hAnsi="Arial" w:eastAsia="Arial" w:cs="Arial"/>
          <w:b/>
          <w:i w:val="0"/>
          <w:sz w:val="22"/>
          <w:szCs w:val="22"/>
          <w:highlight w:val="white"/>
        </w:rPr>
      </w:pPr>
      <w:r>
        <w:rPr>
          <w:rFonts w:ascii="Arial" w:hAnsi="Arial" w:eastAsia="Arial" w:cs="Arial"/>
          <w:i w:val="0"/>
          <w:sz w:val="22"/>
          <w:szCs w:val="22"/>
          <w:highlight w:val="white"/>
        </w:rPr>
        <w:t>OBRIGAÇÕES DA CONTRATANTE</w:t>
      </w:r>
    </w:p>
    <w:p w14:paraId="37ED7739">
      <w:pPr>
        <w:ind w:left="-283" w:right="-144" w:firstLine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b/>
        </w:rPr>
        <w:t>5.1</w:t>
      </w:r>
      <w:r>
        <w:rPr>
          <w:rFonts w:ascii="Arial" w:hAnsi="Arial" w:eastAsia="Arial" w:cs="Arial"/>
        </w:rPr>
        <w:t>- São obrigações da Contratante:</w:t>
      </w:r>
    </w:p>
    <w:p w14:paraId="5FC42642">
      <w:pPr>
        <w:spacing w:line="235" w:lineRule="auto"/>
        <w:ind w:left="-283" w:right="-144" w:firstLine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b/>
        </w:rPr>
        <w:t>5.1.1-</w:t>
      </w:r>
      <w:r>
        <w:rPr>
          <w:rFonts w:ascii="Arial" w:hAnsi="Arial" w:eastAsia="Arial" w:cs="Arial"/>
        </w:rPr>
        <w:t xml:space="preserve"> Verificar minuciosamente, no prazo fixado, a conformidade dos bens recebidos com as  especificações constantes deste Termo de Referência e da proposta, para fins de aceitação e recebimento;</w:t>
      </w:r>
    </w:p>
    <w:p w14:paraId="30E3E680">
      <w:pPr>
        <w:spacing w:line="235" w:lineRule="auto"/>
        <w:ind w:left="-283" w:right="-144" w:firstLine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5.1.2- </w:t>
      </w:r>
      <w:r>
        <w:rPr>
          <w:rFonts w:ascii="Arial" w:hAnsi="Arial" w:eastAsia="Arial" w:cs="Arial"/>
        </w:rPr>
        <w:t>Comunicar à Contratada, por escrito, sobre imperfeições, falhas ou irregularidades verificadas no objeto  fornecido, para que seja substituído, reparado ou corrigido;</w:t>
      </w:r>
    </w:p>
    <w:p w14:paraId="39489170">
      <w:pPr>
        <w:spacing w:line="235" w:lineRule="auto"/>
        <w:ind w:left="-283" w:right="-144" w:firstLine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5.1.3- </w:t>
      </w:r>
      <w:r>
        <w:rPr>
          <w:rFonts w:ascii="Arial" w:hAnsi="Arial" w:eastAsia="Arial" w:cs="Arial"/>
        </w:rPr>
        <w:t>Efetuar o pagamento à Contratada no valor correspondente ao fornecimento do objeto, no prazo e  forma estabelecidos no Termo de Referência;</w:t>
      </w:r>
    </w:p>
    <w:p w14:paraId="521CC754">
      <w:pPr>
        <w:spacing w:before="1" w:after="200" w:line="235" w:lineRule="auto"/>
        <w:ind w:left="-283" w:right="-144" w:firstLine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5.1.4-</w:t>
      </w:r>
      <w:r>
        <w:rPr>
          <w:rFonts w:ascii="Arial" w:hAnsi="Arial" w:eastAsia="Arial" w:cs="Arial"/>
        </w:rPr>
        <w:t xml:space="preserve"> A Administração não responderá por quaisquer compromissos assumidos pela Contratada com terceiros, ainda que vinculados à execução do contrato, bem como por qualquer dano causado a terceiros em  decorrência de ato da Contratada, de seus empregados, prepostos ou subordinados.</w:t>
      </w:r>
    </w:p>
    <w:p w14:paraId="3C37C0D9">
      <w:pPr>
        <w:keepNext w:val="0"/>
        <w:keepLines w:val="0"/>
        <w:pageBreakBefore w:val="0"/>
        <w:widowControl/>
        <w:shd w:val="clear" w:fill="auto"/>
        <w:spacing w:before="4" w:after="200" w:line="276" w:lineRule="auto"/>
        <w:ind w:left="-283" w:right="-144" w:firstLine="0"/>
        <w:jc w:val="both"/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auto"/>
          <w:vertAlign w:val="baseline"/>
        </w:rPr>
      </w:pPr>
    </w:p>
    <w:p w14:paraId="0E1E6C2B">
      <w:pPr>
        <w:pStyle w:val="4"/>
        <w:numPr>
          <w:ilvl w:val="0"/>
          <w:numId w:val="1"/>
        </w:numPr>
        <w:tabs>
          <w:tab w:val="left" w:pos="342"/>
        </w:tabs>
        <w:ind w:left="-283" w:right="-144" w:firstLine="0"/>
        <w:jc w:val="both"/>
        <w:rPr>
          <w:rFonts w:ascii="Arial" w:hAnsi="Arial" w:eastAsia="Arial" w:cs="Arial"/>
          <w:b/>
          <w:i w:val="0"/>
          <w:sz w:val="22"/>
          <w:szCs w:val="22"/>
          <w:highlight w:val="white"/>
        </w:rPr>
      </w:pPr>
      <w:r>
        <w:rPr>
          <w:rFonts w:ascii="Arial" w:hAnsi="Arial" w:eastAsia="Arial" w:cs="Arial"/>
          <w:i w:val="0"/>
          <w:sz w:val="22"/>
          <w:szCs w:val="22"/>
          <w:highlight w:val="white"/>
        </w:rPr>
        <w:t>OBRIGAÇÕES DA CONTRATADA</w:t>
      </w:r>
    </w:p>
    <w:p w14:paraId="3C8F164F">
      <w:pPr>
        <w:spacing w:line="235" w:lineRule="auto"/>
        <w:ind w:left="-283" w:right="-144" w:firstLine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b/>
        </w:rPr>
        <w:t xml:space="preserve">6.1. </w:t>
      </w:r>
      <w:r>
        <w:rPr>
          <w:rFonts w:ascii="Arial" w:hAnsi="Arial" w:eastAsia="Arial" w:cs="Arial"/>
        </w:rPr>
        <w:t>A Contratada deve cumprir todas as obrigações constantes no Termo de Referência, seus anexos e sua proposta, assumindo exclusivamente seus riscos e as despesas decorrentes da boa e perfeita execução do objeto e, ainda:</w:t>
      </w:r>
      <w:r>
        <w:rPr>
          <w:rFonts w:ascii="Arial" w:hAnsi="Arial" w:eastAsia="Arial" w:cs="Arial"/>
          <w:sz w:val="22"/>
          <w:szCs w:val="22"/>
        </w:rPr>
        <w:t xml:space="preserve">  </w:t>
      </w:r>
    </w:p>
    <w:p w14:paraId="79222D4C">
      <w:pPr>
        <w:spacing w:line="235" w:lineRule="auto"/>
        <w:ind w:left="-283" w:right="-144" w:firstLine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6.2. </w:t>
      </w:r>
      <w:r>
        <w:rPr>
          <w:rFonts w:ascii="Arial" w:hAnsi="Arial" w:eastAsia="Arial" w:cs="Arial"/>
        </w:rPr>
        <w:t>Efetuar a entrega do objeto / serviço em perfeitas condições, conforme especificações, prazo e local constantes    no Termo de Referência e seus anexos.</w:t>
      </w:r>
    </w:p>
    <w:p w14:paraId="2557C257">
      <w:pPr>
        <w:spacing w:line="235" w:lineRule="auto"/>
        <w:ind w:left="-283" w:right="-144" w:firstLine="0"/>
        <w:jc w:val="both"/>
        <w:rPr>
          <w:rFonts w:ascii="Arial" w:hAnsi="Arial" w:eastAsia="Arial" w:cs="Arial"/>
        </w:rPr>
      </w:pPr>
    </w:p>
    <w:p w14:paraId="4F860D2B">
      <w:pPr>
        <w:pStyle w:val="4"/>
        <w:numPr>
          <w:ilvl w:val="0"/>
          <w:numId w:val="1"/>
        </w:numPr>
        <w:tabs>
          <w:tab w:val="left" w:pos="462"/>
        </w:tabs>
        <w:ind w:left="-283" w:right="-144" w:firstLine="0"/>
        <w:jc w:val="both"/>
        <w:rPr>
          <w:rFonts w:ascii="Arial" w:hAnsi="Arial" w:eastAsia="Arial" w:cs="Arial"/>
          <w:b/>
          <w:i w:val="0"/>
          <w:sz w:val="22"/>
          <w:szCs w:val="22"/>
          <w:highlight w:val="white"/>
        </w:rPr>
      </w:pPr>
      <w:r>
        <w:rPr>
          <w:rFonts w:ascii="Arial" w:hAnsi="Arial" w:eastAsia="Arial" w:cs="Arial"/>
          <w:i w:val="0"/>
          <w:sz w:val="22"/>
          <w:szCs w:val="22"/>
          <w:highlight w:val="white"/>
        </w:rPr>
        <w:t>DO PAGAMENTO</w:t>
      </w:r>
    </w:p>
    <w:p w14:paraId="70A9A849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7.1 - </w:t>
      </w:r>
      <w:r>
        <w:rPr>
          <w:rFonts w:ascii="Arial" w:hAnsi="Arial" w:eastAsia="Arial" w:cs="Arial"/>
        </w:rPr>
        <w:t xml:space="preserve">O pagamento será realizado no prazo de </w:t>
      </w:r>
      <w:r>
        <w:rPr>
          <w:rFonts w:ascii="Arial" w:hAnsi="Arial" w:eastAsia="Arial" w:cs="Arial"/>
          <w:color w:val="000000"/>
        </w:rPr>
        <w:t>11</w:t>
      </w:r>
      <w:r>
        <w:rPr>
          <w:rFonts w:ascii="Arial" w:hAnsi="Arial" w:eastAsia="Arial" w:cs="Arial"/>
        </w:rPr>
        <w:t xml:space="preserve"> DFS </w:t>
      </w:r>
      <w:r>
        <w:rPr>
          <w:rFonts w:ascii="Arial" w:hAnsi="Arial" w:eastAsia="Arial" w:cs="Arial"/>
          <w:color w:val="000000"/>
        </w:rPr>
        <w:t>(Onze</w:t>
      </w:r>
      <w:r>
        <w:rPr>
          <w:rFonts w:ascii="Arial" w:hAnsi="Arial" w:eastAsia="Arial" w:cs="Arial"/>
          <w:color w:val="FF0000"/>
        </w:rPr>
        <w:t xml:space="preserve"> </w:t>
      </w:r>
      <w:r>
        <w:rPr>
          <w:rFonts w:ascii="Arial" w:hAnsi="Arial" w:eastAsia="Arial" w:cs="Arial"/>
        </w:rPr>
        <w:t xml:space="preserve">dias fora a semana), onde será efetuado através de crédito em Conta Corrente; </w:t>
      </w:r>
    </w:p>
    <w:p w14:paraId="1EBCAD8B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</w:p>
    <w:p w14:paraId="31A91BB8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7.2 - </w:t>
      </w:r>
      <w:r>
        <w:rPr>
          <w:rFonts w:ascii="Arial" w:hAnsi="Arial" w:eastAsia="Arial" w:cs="Arial"/>
        </w:rPr>
        <w:t>Fazer constar no corpo da Nota Fiscal os números da AF (autorização de fornecimento) / AS (autorização de serviço) e do Empenho, além da Condição de Pagamento;</w:t>
      </w:r>
    </w:p>
    <w:p w14:paraId="72D2DD98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</w:p>
    <w:p w14:paraId="5571D430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 xml:space="preserve">7.3 - </w:t>
      </w:r>
      <w:r>
        <w:rPr>
          <w:rFonts w:ascii="Arial" w:hAnsi="Arial" w:eastAsia="Arial" w:cs="Arial"/>
        </w:rPr>
        <w:t>As Notas Fiscais decorrentes das autorizações deverão ser emitidas em nome da FUNDAÇÃO CULTURAL DE JACAREHY, formato este correspondente à inscrição principal do Município no Cadastro Nacional da Pessoa Jurídica (CNPJ).</w:t>
      </w:r>
    </w:p>
    <w:p w14:paraId="04A1CEB5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</w:p>
    <w:p w14:paraId="72B5276B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</w:p>
    <w:p w14:paraId="4BD89FE5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</w:p>
    <w:p w14:paraId="203ED7E2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  <w:bookmarkStart w:id="0" w:name="_heading=h.gjdgxs"/>
      <w:bookmarkEnd w:id="0"/>
    </w:p>
    <w:p w14:paraId="48E2982F">
      <w:pPr>
        <w:spacing w:before="0" w:after="0" w:line="240" w:lineRule="auto"/>
        <w:ind w:left="-283" w:right="-144" w:firstLine="0"/>
        <w:jc w:val="both"/>
        <w:rPr>
          <w:rFonts w:ascii="Arial" w:hAnsi="Arial" w:eastAsia="Arial" w:cs="Arial"/>
        </w:rPr>
      </w:pPr>
    </w:p>
    <w:p w14:paraId="5226F3EB">
      <w:pPr>
        <w:keepNext w:val="0"/>
        <w:keepLines w:val="0"/>
        <w:pageBreakBefore w:val="0"/>
        <w:widowControl/>
        <w:shd w:val="clear" w:fill="auto"/>
        <w:spacing w:before="0" w:after="0" w:line="240" w:lineRule="auto"/>
        <w:ind w:left="-283" w:right="-144" w:firstLine="0"/>
        <w:jc w:val="center"/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caps w:val="0"/>
          <w:smallCaps w:val="0"/>
          <w:strike w:val="0"/>
          <w:dstrike w:val="0"/>
          <w:color w:val="000000"/>
          <w:position w:val="0"/>
          <w:sz w:val="22"/>
          <w:szCs w:val="22"/>
          <w:u w:val="none"/>
          <w:shd w:val="clear" w:fill="auto"/>
          <w:vertAlign w:val="baseline"/>
        </w:rPr>
        <w:t>_________________________________________</w:t>
      </w:r>
    </w:p>
    <w:p w14:paraId="74B2FCDB">
      <w:pPr>
        <w:spacing w:before="0" w:after="0" w:line="240" w:lineRule="auto"/>
        <w:ind w:left="-283" w:right="-144" w:firstLine="0"/>
        <w:jc w:val="center"/>
        <w:rPr>
          <w:highlight w:val="none"/>
          <w:shd w:val="clear" w:fill="FFFFFF"/>
        </w:rPr>
      </w:pPr>
      <w:r>
        <w:rPr>
          <w:rFonts w:ascii="Arial" w:hAnsi="Arial" w:eastAsia="Arial" w:cs="Arial"/>
          <w:shd w:val="clear" w:fill="FFFFFF"/>
        </w:rPr>
        <w:t>Marcelo Carvalho Lima</w:t>
      </w:r>
    </w:p>
    <w:p w14:paraId="7F8E0603">
      <w:pPr>
        <w:spacing w:before="0" w:after="0" w:line="240" w:lineRule="auto"/>
        <w:ind w:left="-283" w:right="-144" w:firstLine="0"/>
        <w:jc w:val="center"/>
        <w:rPr>
          <w:highlight w:val="none"/>
          <w:shd w:val="clear" w:fill="FFFFFF"/>
        </w:rPr>
      </w:pPr>
      <w:r>
        <w:rPr>
          <w:rFonts w:ascii="Arial" w:hAnsi="Arial" w:eastAsia="Arial" w:cs="Arial"/>
          <w:shd w:val="clear" w:fill="FFFFFF"/>
        </w:rPr>
        <w:t>Diretor  Geral da Fundação Cultural de Jacarehy -</w:t>
      </w:r>
    </w:p>
    <w:p w14:paraId="5F72680C">
      <w:pPr>
        <w:spacing w:before="0" w:after="0" w:line="240" w:lineRule="auto"/>
        <w:ind w:left="-283" w:right="-144" w:firstLine="0"/>
        <w:jc w:val="center"/>
        <w:rPr>
          <w:highlight w:val="none"/>
          <w:shd w:val="clear" w:fill="FFFFFF"/>
        </w:rPr>
      </w:pPr>
      <w:r>
        <w:rPr>
          <w:rFonts w:ascii="Arial" w:hAnsi="Arial" w:eastAsia="Arial" w:cs="Arial"/>
          <w:shd w:val="clear" w:fill="FFFFFF"/>
        </w:rPr>
        <w:t>José Maria de Abreu</w:t>
      </w:r>
    </w:p>
    <w:sectPr>
      <w:headerReference r:id="rId5" w:type="default"/>
      <w:footerReference r:id="rId6" w:type="default"/>
      <w:pgSz w:w="11906" w:h="16838"/>
      <w:pgMar w:top="1701" w:right="1134" w:bottom="1134" w:left="1559" w:header="340" w:footer="453" w:gutter="0"/>
      <w:pgNumType w:fmt="decimal" w:start="1"/>
      <w:cols w:space="720" w:num="1"/>
      <w:formProt w:val="0"/>
      <w:docGrid w:linePitch="1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mic Sans MS">
    <w:panose1 w:val="030F0702030302020204"/>
    <w:charset w:val="00"/>
    <w:family w:val="roman"/>
    <w:pitch w:val="default"/>
    <w:sig w:usb0="00000687" w:usb1="00000013" w:usb2="00000000" w:usb3="00000000" w:csb0="2000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BF6D6A">
    <w:pPr>
      <w:keepNext w:val="0"/>
      <w:keepLines w:val="0"/>
      <w:widowControl/>
      <w:shd w:val="clear" w:fill="auto"/>
      <w:tabs>
        <w:tab w:val="center" w:pos="4252"/>
        <w:tab w:val="right" w:pos="8504"/>
      </w:tabs>
      <w:spacing w:before="0" w:after="0" w:line="240" w:lineRule="auto"/>
      <w:ind w:left="-566" w:right="0" w:firstLine="0"/>
      <w:jc w:val="center"/>
      <w:rPr>
        <w:rFonts w:ascii="Calibri" w:hAnsi="Calibri" w:eastAsia="Calibri" w:cs="Calibri"/>
        <w:b w:val="0"/>
        <w:i w:val="0"/>
        <w:caps w:val="0"/>
        <w:smallCaps w:val="0"/>
        <w:strike w:val="0"/>
        <w:dstrike w:val="0"/>
        <w:color w:val="999999"/>
        <w:position w:val="0"/>
        <w:sz w:val="18"/>
        <w:szCs w:val="18"/>
        <w:u w:val="none"/>
        <w:shd w:val="clear" w:fill="auto"/>
        <w:vertAlign w:val="baseline"/>
      </w:rPr>
    </w:pPr>
    <w:r>
      <w:rPr>
        <w:rFonts w:eastAsia="Calibri" w:cs="Calibri"/>
        <w:b w:val="0"/>
        <w:i w:val="0"/>
        <w:caps w:val="0"/>
        <w:smallCaps w:val="0"/>
        <w:strike w:val="0"/>
        <w:dstrike w:val="0"/>
        <w:color w:val="999999"/>
        <w:position w:val="0"/>
        <w:sz w:val="18"/>
        <w:szCs w:val="18"/>
        <w:u w:val="none"/>
        <w:shd w:val="clear" w:fill="auto"/>
        <w:vertAlign w:val="baseline"/>
      </w:rPr>
      <w:t xml:space="preserve">Avenida </w:t>
    </w:r>
    <w:r>
      <w:rPr>
        <w:color w:val="999999"/>
        <w:sz w:val="18"/>
        <w:szCs w:val="18"/>
      </w:rPr>
      <w:t>Cristóvão</w:t>
    </w:r>
    <w:r>
      <w:rPr>
        <w:rFonts w:eastAsia="Calibri" w:cs="Calibri"/>
        <w:b w:val="0"/>
        <w:i w:val="0"/>
        <w:caps w:val="0"/>
        <w:smallCaps w:val="0"/>
        <w:strike w:val="0"/>
        <w:dstrike w:val="0"/>
        <w:color w:val="999999"/>
        <w:position w:val="0"/>
        <w:sz w:val="18"/>
        <w:szCs w:val="18"/>
        <w:u w:val="none"/>
        <w:shd w:val="clear" w:fill="auto"/>
        <w:vertAlign w:val="baseline"/>
      </w:rPr>
      <w:t xml:space="preserve"> Arouca, n. 40 – Centro – Jacareí/SP – CEP: 12.327-707</w:t>
    </w:r>
  </w:p>
  <w:p w14:paraId="373A77A0">
    <w:pPr>
      <w:keepNext w:val="0"/>
      <w:keepLines w:val="0"/>
      <w:widowControl/>
      <w:shd w:val="clear" w:fill="auto"/>
      <w:tabs>
        <w:tab w:val="center" w:pos="4252"/>
        <w:tab w:val="right" w:pos="8504"/>
      </w:tabs>
      <w:spacing w:before="0" w:after="0" w:line="240" w:lineRule="auto"/>
      <w:ind w:left="-566" w:right="0" w:firstLine="0"/>
      <w:jc w:val="center"/>
      <w:rPr>
        <w:rFonts w:ascii="Calibri" w:hAnsi="Calibri" w:eastAsia="Calibri" w:cs="Calibri"/>
        <w:b w:val="0"/>
        <w:i w:val="0"/>
        <w:caps w:val="0"/>
        <w:smallCaps w:val="0"/>
        <w:strike w:val="0"/>
        <w:dstrike w:val="0"/>
        <w:color w:val="999999"/>
        <w:position w:val="0"/>
        <w:sz w:val="18"/>
        <w:szCs w:val="18"/>
        <w:u w:val="none"/>
        <w:shd w:val="clear" w:fill="auto"/>
        <w:vertAlign w:val="baseline"/>
      </w:rPr>
    </w:pPr>
    <w:r>
      <w:rPr>
        <w:rFonts w:eastAsia="Calibri" w:cs="Calibri"/>
        <w:b w:val="0"/>
        <w:i w:val="0"/>
        <w:caps w:val="0"/>
        <w:smallCaps w:val="0"/>
        <w:strike w:val="0"/>
        <w:dstrike w:val="0"/>
        <w:color w:val="999999"/>
        <w:position w:val="0"/>
        <w:sz w:val="18"/>
        <w:szCs w:val="18"/>
        <w:u w:val="none"/>
        <w:shd w:val="clear" w:fill="auto"/>
        <w:vertAlign w:val="baseline"/>
      </w:rPr>
      <w:t>Telefone: (12) 3951-0710 / 3951-9497 - www.fundacaocultural.com.br</w:t>
    </w:r>
  </w:p>
  <w:p w14:paraId="1827F0F0">
    <w:pPr>
      <w:keepNext w:val="0"/>
      <w:keepLines w:val="0"/>
      <w:widowControl/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right"/>
      <w:rPr>
        <w:rFonts w:ascii="Calibri" w:hAnsi="Calibri" w:eastAsia="Calibri" w:cs="Calibri"/>
        <w:b w:val="0"/>
        <w:i w:val="0"/>
        <w:caps w:val="0"/>
        <w:smallCaps w:val="0"/>
        <w:strike w:val="0"/>
        <w:dstrike w:val="0"/>
        <w:color w:val="000000"/>
        <w:position w:val="0"/>
        <w:sz w:val="18"/>
        <w:szCs w:val="18"/>
        <w:u w:val="none"/>
        <w:shd w:val="clear" w:fill="auto"/>
        <w:vertAlign w:val="baseline"/>
      </w:rPr>
    </w:pPr>
  </w:p>
  <w:p w14:paraId="6918E9E4">
    <w:pPr>
      <w:keepNext w:val="0"/>
      <w:keepLines w:val="0"/>
      <w:widowControl/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right"/>
      <w:rPr>
        <w:b/>
        <w:sz w:val="18"/>
        <w:szCs w:val="18"/>
      </w:rPr>
    </w:pPr>
  </w:p>
  <w:p w14:paraId="2CC493DB">
    <w:pPr>
      <w:keepNext w:val="0"/>
      <w:keepLines w:val="0"/>
      <w:widowControl/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right"/>
      <w:rPr>
        <w:b/>
        <w:sz w:val="18"/>
        <w:szCs w:val="18"/>
      </w:rPr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218D46">
    <w:pPr>
      <w:tabs>
        <w:tab w:val="center" w:pos="4252"/>
        <w:tab w:val="right" w:pos="8504"/>
      </w:tabs>
      <w:spacing w:before="0" w:after="0" w:line="240" w:lineRule="auto"/>
      <w:rPr>
        <w:rFonts w:ascii="Calibri" w:hAnsi="Calibri" w:eastAsia="Calibri" w:cs="Calibri"/>
        <w:color w:val="000000"/>
      </w:rPr>
    </w:pPr>
    <w:r>
      <w:rPr>
        <w:rFonts w:eastAsia="Calibri" w:cs="Calibri"/>
        <w:color w:val="000000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5334000</wp:posOffset>
          </wp:positionH>
          <wp:positionV relativeFrom="paragraph">
            <wp:posOffset>-101600</wp:posOffset>
          </wp:positionV>
          <wp:extent cx="1222375" cy="1082675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2375" cy="1082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FC52ECE">
    <w:pPr>
      <w:tabs>
        <w:tab w:val="center" w:pos="4252"/>
        <w:tab w:val="right" w:pos="8504"/>
      </w:tabs>
      <w:spacing w:before="0" w:after="0" w:line="240" w:lineRule="auto"/>
      <w:rPr>
        <w:rFonts w:ascii="Calibri" w:hAnsi="Calibri" w:eastAsia="Calibri" w:cs="Calibri"/>
        <w:color w:val="000000"/>
      </w:rPr>
    </w:pPr>
    <w:r>
      <w:drawing>
        <wp:inline distT="0" distB="0" distL="0" distR="0">
          <wp:extent cx="5400040" cy="851535"/>
          <wp:effectExtent l="0" t="0" r="0" b="0"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00040" cy="851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E5CE0F">
    <w:pPr>
      <w:tabs>
        <w:tab w:val="center" w:pos="4252"/>
        <w:tab w:val="right" w:pos="8504"/>
      </w:tabs>
      <w:spacing w:before="0" w:after="0" w:line="240" w:lineRule="auto"/>
      <w:rPr>
        <w:rFonts w:ascii="Calibri" w:hAnsi="Calibri" w:eastAsia="Calibri"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-"/>
      <w:lvlJc w:val="left"/>
      <w:pPr>
        <w:tabs>
          <w:tab w:val="left" w:pos="0"/>
        </w:tabs>
        <w:ind w:left="400" w:hanging="261"/>
      </w:pPr>
      <w:rPr>
        <w:color w:val="000000"/>
      </w:r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140" w:hanging="362"/>
      </w:pPr>
      <w:rPr>
        <w:rFonts w:ascii="Times New Roman" w:hAnsi="Times New Roman" w:eastAsia="Times New Roman" w:cs="Times New Roman"/>
        <w:b/>
        <w:sz w:val="22"/>
        <w:szCs w:val="22"/>
      </w:rPr>
    </w:lvl>
    <w:lvl w:ilvl="2" w:tentative="0">
      <w:start w:val="0"/>
      <w:numFmt w:val="bullet"/>
      <w:lvlText w:val=""/>
      <w:lvlJc w:val="left"/>
      <w:pPr>
        <w:tabs>
          <w:tab w:val="left" w:pos="0"/>
        </w:tabs>
        <w:ind w:left="1566" w:hanging="362"/>
      </w:pPr>
      <w:rPr>
        <w:rFonts w:hint="default" w:ascii="Symbol" w:hAnsi="Symbol" w:cs="Symbol"/>
      </w:rPr>
    </w:lvl>
    <w:lvl w:ilvl="3" w:tentative="0">
      <w:start w:val="0"/>
      <w:numFmt w:val="bullet"/>
      <w:lvlText w:val=""/>
      <w:lvlJc w:val="left"/>
      <w:pPr>
        <w:tabs>
          <w:tab w:val="left" w:pos="0"/>
        </w:tabs>
        <w:ind w:left="2733" w:hanging="362"/>
      </w:pPr>
      <w:rPr>
        <w:rFonts w:hint="default" w:ascii="Symbol" w:hAnsi="Symbol" w:cs="Symbol"/>
      </w:rPr>
    </w:lvl>
    <w:lvl w:ilvl="4" w:tentative="0">
      <w:start w:val="0"/>
      <w:numFmt w:val="bullet"/>
      <w:lvlText w:val=""/>
      <w:lvlJc w:val="left"/>
      <w:pPr>
        <w:tabs>
          <w:tab w:val="left" w:pos="0"/>
        </w:tabs>
        <w:ind w:left="3899" w:hanging="362"/>
      </w:pPr>
      <w:rPr>
        <w:rFonts w:hint="default" w:ascii="Symbol" w:hAnsi="Symbol" w:cs="Symbol"/>
      </w:rPr>
    </w:lvl>
    <w:lvl w:ilvl="5" w:tentative="0">
      <w:start w:val="0"/>
      <w:numFmt w:val="bullet"/>
      <w:lvlText w:val=""/>
      <w:lvlJc w:val="left"/>
      <w:pPr>
        <w:tabs>
          <w:tab w:val="left" w:pos="0"/>
        </w:tabs>
        <w:ind w:left="5066" w:hanging="362"/>
      </w:pPr>
      <w:rPr>
        <w:rFonts w:hint="default" w:ascii="Symbol" w:hAnsi="Symbol" w:cs="Symbol"/>
      </w:rPr>
    </w:lvl>
    <w:lvl w:ilvl="6" w:tentative="0">
      <w:start w:val="0"/>
      <w:numFmt w:val="bullet"/>
      <w:lvlText w:val=""/>
      <w:lvlJc w:val="left"/>
      <w:pPr>
        <w:tabs>
          <w:tab w:val="left" w:pos="0"/>
        </w:tabs>
        <w:ind w:left="6232" w:hanging="362"/>
      </w:pPr>
      <w:rPr>
        <w:rFonts w:hint="default" w:ascii="Symbol" w:hAnsi="Symbol" w:cs="Symbol"/>
      </w:rPr>
    </w:lvl>
    <w:lvl w:ilvl="7" w:tentative="0">
      <w:start w:val="0"/>
      <w:numFmt w:val="bullet"/>
      <w:lvlText w:val=""/>
      <w:lvlJc w:val="left"/>
      <w:pPr>
        <w:tabs>
          <w:tab w:val="left" w:pos="0"/>
        </w:tabs>
        <w:ind w:left="7399" w:hanging="362"/>
      </w:pPr>
      <w:rPr>
        <w:rFonts w:hint="default" w:ascii="Symbol" w:hAnsi="Symbol" w:cs="Symbol"/>
      </w:rPr>
    </w:lvl>
    <w:lvl w:ilvl="8" w:tentative="0">
      <w:start w:val="0"/>
      <w:numFmt w:val="bullet"/>
      <w:lvlText w:val=""/>
      <w:lvlJc w:val="left"/>
      <w:pPr>
        <w:tabs>
          <w:tab w:val="left" w:pos="0"/>
        </w:tabs>
        <w:ind w:left="8566" w:hanging="362"/>
      </w:pPr>
      <w:rPr>
        <w:rFonts w:hint="default"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efaultTabStop w:val="720"/>
  <w:autoHyphenation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</w:compat>
  <w:rsids>
    <w:rsidRoot w:val="00000000"/>
    <w:rsid w:val="59666D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iPriority="99" w:name="Body Text 3"/>
    <w:lsdException w:qFormat="1" w:unhideWhenUsed="0" w:uiPriority="0" w:semiHidden="0" w:name="Body Text Indent 2"/>
    <w:lsdException w:qFormat="1" w:uiPriority="99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autoRedefine/>
    <w:qFormat/>
    <w:uiPriority w:val="0"/>
    <w:pPr>
      <w:widowControl/>
      <w:suppressAutoHyphens/>
      <w:bidi w:val="0"/>
      <w:spacing w:before="0" w:after="200" w:line="276" w:lineRule="auto"/>
      <w:jc w:val="center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hi-IN"/>
    </w:rPr>
  </w:style>
  <w:style w:type="paragraph" w:styleId="2">
    <w:name w:val="heading 1"/>
    <w:basedOn w:val="1"/>
    <w:next w:val="3"/>
    <w:autoRedefine/>
    <w:qFormat/>
    <w:uiPriority w:val="9"/>
    <w:pPr>
      <w:spacing w:before="0" w:after="200" w:line="276" w:lineRule="auto"/>
      <w:ind w:left="222" w:firstLine="0"/>
      <w:outlineLvl w:val="0"/>
    </w:pPr>
    <w:rPr>
      <w:rFonts w:ascii="Calibri" w:hAnsi="Calibri" w:eastAsia="Calibri" w:cs="Calibri"/>
      <w:b/>
      <w:bCs/>
      <w:sz w:val="20"/>
      <w:szCs w:val="20"/>
      <w:lang w:val="pt-BR"/>
    </w:rPr>
  </w:style>
  <w:style w:type="paragraph" w:styleId="4">
    <w:name w:val="heading 2"/>
    <w:basedOn w:val="1"/>
    <w:next w:val="3"/>
    <w:semiHidden/>
    <w:unhideWhenUsed/>
    <w:qFormat/>
    <w:uiPriority w:val="9"/>
    <w:pPr>
      <w:spacing w:beforeAutospacing="1" w:afterAutospacing="1" w:line="259" w:lineRule="auto"/>
      <w:outlineLvl w:val="1"/>
    </w:pPr>
    <w:rPr>
      <w:rFonts w:ascii="SimSun" w:hAnsi="SimSun" w:eastAsia="SimSun" w:cs="Times New Roman"/>
      <w:b/>
      <w:i/>
      <w:sz w:val="36"/>
      <w:szCs w:val="36"/>
      <w:lang w:val="en-US" w:eastAsia="zh-CN"/>
    </w:rPr>
  </w:style>
  <w:style w:type="paragraph" w:styleId="5">
    <w:name w:val="heading 3"/>
    <w:next w:val="1"/>
    <w:autoRedefine/>
    <w:qFormat/>
    <w:uiPriority w:val="0"/>
    <w:pPr>
      <w:keepNext/>
      <w:keepLines/>
      <w:widowControl/>
      <w:suppressAutoHyphens/>
      <w:bidi w:val="0"/>
      <w:spacing w:before="280" w:after="80" w:line="276" w:lineRule="auto"/>
      <w:jc w:val="left"/>
      <w:outlineLvl w:val="2"/>
    </w:pPr>
    <w:rPr>
      <w:rFonts w:ascii="Calibri" w:hAnsi="Calibri" w:eastAsia="Calibri" w:cs="Calibri"/>
      <w:b/>
      <w:color w:val="auto"/>
      <w:kern w:val="0"/>
      <w:sz w:val="28"/>
      <w:szCs w:val="28"/>
      <w:lang w:val="pt-BR" w:eastAsia="zh-CN" w:bidi="hi-IN"/>
    </w:rPr>
  </w:style>
  <w:style w:type="paragraph" w:styleId="6">
    <w:name w:val="heading 4"/>
    <w:next w:val="1"/>
    <w:qFormat/>
    <w:uiPriority w:val="0"/>
    <w:pPr>
      <w:keepNext/>
      <w:keepLines/>
      <w:widowControl/>
      <w:suppressAutoHyphens/>
      <w:bidi w:val="0"/>
      <w:spacing w:before="240" w:after="40" w:line="276" w:lineRule="auto"/>
      <w:jc w:val="left"/>
      <w:outlineLvl w:val="3"/>
    </w:pPr>
    <w:rPr>
      <w:rFonts w:ascii="Calibri" w:hAnsi="Calibri" w:eastAsia="Calibri" w:cs="Calibri"/>
      <w:b/>
      <w:color w:val="auto"/>
      <w:kern w:val="0"/>
      <w:sz w:val="24"/>
      <w:szCs w:val="24"/>
      <w:lang w:val="pt-BR" w:eastAsia="zh-CN" w:bidi="hi-IN"/>
    </w:rPr>
  </w:style>
  <w:style w:type="paragraph" w:styleId="7">
    <w:name w:val="heading 5"/>
    <w:next w:val="1"/>
    <w:qFormat/>
    <w:uiPriority w:val="0"/>
    <w:pPr>
      <w:keepNext/>
      <w:keepLines/>
      <w:widowControl/>
      <w:suppressAutoHyphens/>
      <w:bidi w:val="0"/>
      <w:spacing w:before="220" w:after="40" w:line="276" w:lineRule="auto"/>
      <w:jc w:val="left"/>
      <w:outlineLvl w:val="4"/>
    </w:pPr>
    <w:rPr>
      <w:rFonts w:ascii="Calibri" w:hAnsi="Calibri" w:eastAsia="Calibri" w:cs="Calibri"/>
      <w:b/>
      <w:color w:val="auto"/>
      <w:kern w:val="0"/>
      <w:sz w:val="22"/>
      <w:szCs w:val="22"/>
      <w:lang w:val="pt-BR" w:eastAsia="zh-CN" w:bidi="hi-IN"/>
    </w:rPr>
  </w:style>
  <w:style w:type="paragraph" w:styleId="8">
    <w:name w:val="heading 6"/>
    <w:next w:val="1"/>
    <w:autoRedefine/>
    <w:qFormat/>
    <w:uiPriority w:val="0"/>
    <w:pPr>
      <w:keepNext/>
      <w:keepLines/>
      <w:widowControl/>
      <w:suppressAutoHyphens/>
      <w:bidi w:val="0"/>
      <w:spacing w:before="200" w:after="40" w:line="276" w:lineRule="auto"/>
      <w:jc w:val="left"/>
      <w:outlineLvl w:val="5"/>
    </w:pPr>
    <w:rPr>
      <w:rFonts w:ascii="Calibri" w:hAnsi="Calibri" w:eastAsia="Calibri" w:cs="Calibri"/>
      <w:b/>
      <w:color w:val="auto"/>
      <w:kern w:val="0"/>
      <w:sz w:val="20"/>
      <w:szCs w:val="20"/>
      <w:lang w:val="pt-BR" w:eastAsia="zh-CN" w:bidi="hi-IN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LO-normal1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character" w:styleId="11">
    <w:name w:val="Strong"/>
    <w:basedOn w:val="9"/>
    <w:qFormat/>
    <w:uiPriority w:val="22"/>
    <w:rPr>
      <w:b/>
      <w:bCs/>
    </w:rPr>
  </w:style>
  <w:style w:type="paragraph" w:styleId="12">
    <w:name w:val="List"/>
    <w:basedOn w:val="13"/>
    <w:qFormat/>
    <w:uiPriority w:val="0"/>
    <w:rPr>
      <w:rFonts w:cs="Arial"/>
    </w:rPr>
  </w:style>
  <w:style w:type="paragraph" w:styleId="13">
    <w:name w:val="Body Text"/>
    <w:basedOn w:val="1"/>
    <w:semiHidden/>
    <w:unhideWhenUsed/>
    <w:qFormat/>
    <w:uiPriority w:val="99"/>
    <w:rPr>
      <w:sz w:val="20"/>
      <w:szCs w:val="20"/>
    </w:rPr>
  </w:style>
  <w:style w:type="paragraph" w:styleId="14">
    <w:name w:val="Title"/>
    <w:next w:val="1"/>
    <w:qFormat/>
    <w:uiPriority w:val="0"/>
    <w:pPr>
      <w:keepNext/>
      <w:keepLines/>
      <w:widowControl/>
      <w:suppressAutoHyphens/>
      <w:bidi w:val="0"/>
      <w:spacing w:before="480" w:after="120" w:line="276" w:lineRule="auto"/>
      <w:jc w:val="left"/>
    </w:pPr>
    <w:rPr>
      <w:rFonts w:ascii="Calibri" w:hAnsi="Calibri" w:eastAsia="Calibri" w:cs="Calibri"/>
      <w:b/>
      <w:color w:val="auto"/>
      <w:kern w:val="0"/>
      <w:sz w:val="72"/>
      <w:szCs w:val="72"/>
      <w:lang w:val="pt-BR" w:eastAsia="zh-CN" w:bidi="hi-IN"/>
    </w:rPr>
  </w:style>
  <w:style w:type="paragraph" w:styleId="15">
    <w:name w:val="Normal (Web)"/>
    <w:unhideWhenUsed/>
    <w:qFormat/>
    <w:uiPriority w:val="99"/>
    <w:pPr>
      <w:widowControl/>
      <w:suppressAutoHyphens/>
      <w:bidi w:val="0"/>
      <w:spacing w:beforeAutospacing="1" w:afterAutospacing="1" w:line="259" w:lineRule="auto"/>
      <w:jc w:val="left"/>
    </w:pPr>
    <w:rPr>
      <w:rFonts w:ascii="Times New Roman" w:hAnsi="Times New Roman" w:eastAsia="SimSun" w:cs="Times New Roman"/>
      <w:color w:val="auto"/>
      <w:kern w:val="0"/>
      <w:sz w:val="22"/>
      <w:szCs w:val="24"/>
      <w:lang w:val="en-US" w:eastAsia="zh-CN" w:bidi="hi-IN"/>
    </w:rPr>
  </w:style>
  <w:style w:type="paragraph" w:styleId="16">
    <w:name w:val="Body Text 3"/>
    <w:basedOn w:val="1"/>
    <w:link w:val="31"/>
    <w:semiHidden/>
    <w:unhideWhenUsed/>
    <w:qFormat/>
    <w:uiPriority w:val="99"/>
    <w:pPr>
      <w:spacing w:before="0" w:after="120"/>
    </w:pPr>
    <w:rPr>
      <w:sz w:val="16"/>
      <w:szCs w:val="16"/>
    </w:rPr>
  </w:style>
  <w:style w:type="paragraph" w:styleId="17">
    <w:name w:val="header"/>
    <w:basedOn w:val="1"/>
    <w:link w:val="27"/>
    <w:autoRedefine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18">
    <w:name w:val="footer"/>
    <w:basedOn w:val="1"/>
    <w:link w:val="28"/>
    <w:autoRedefine/>
    <w:unhideWhenUsed/>
    <w:qFormat/>
    <w:uiPriority w:val="0"/>
    <w:pPr>
      <w:tabs>
        <w:tab w:val="center" w:pos="4252"/>
        <w:tab w:val="right" w:pos="8504"/>
      </w:tabs>
      <w:spacing w:before="0" w:after="0" w:line="240" w:lineRule="auto"/>
    </w:pPr>
  </w:style>
  <w:style w:type="paragraph" w:styleId="1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0">
    <w:name w:val="Body Text Indent 3"/>
    <w:basedOn w:val="1"/>
    <w:autoRedefine/>
    <w:semiHidden/>
    <w:unhideWhenUsed/>
    <w:qFormat/>
    <w:uiPriority w:val="99"/>
    <w:pPr>
      <w:spacing w:before="0" w:after="120"/>
      <w:ind w:left="283" w:firstLine="0"/>
    </w:pPr>
    <w:rPr>
      <w:sz w:val="16"/>
      <w:szCs w:val="16"/>
    </w:rPr>
  </w:style>
  <w:style w:type="paragraph" w:styleId="21">
    <w:name w:val="Balloon Text"/>
    <w:basedOn w:val="1"/>
    <w:link w:val="29"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22">
    <w:name w:val="Subtitle"/>
    <w:basedOn w:val="3"/>
    <w:next w:val="3"/>
    <w:qFormat/>
    <w:uiPriority w:val="0"/>
    <w:pPr>
      <w:jc w:val="center"/>
    </w:pPr>
    <w:rPr>
      <w:rFonts w:ascii="Comic Sans MS" w:hAnsi="Comic Sans MS" w:eastAsia="Comic Sans MS" w:cs="Comic Sans MS"/>
      <w:b/>
      <w:color w:val="000000"/>
      <w:sz w:val="20"/>
      <w:szCs w:val="20"/>
    </w:rPr>
  </w:style>
  <w:style w:type="paragraph" w:styleId="23">
    <w:name w:val="footnote text"/>
    <w:basedOn w:val="1"/>
    <w:link w:val="32"/>
    <w:semiHidden/>
    <w:unhideWhenUsed/>
    <w:qFormat/>
    <w:uiPriority w:val="99"/>
    <w:pPr>
      <w:spacing w:before="0" w:after="0" w:line="240" w:lineRule="auto"/>
    </w:pPr>
    <w:rPr>
      <w:sz w:val="20"/>
      <w:szCs w:val="20"/>
    </w:rPr>
  </w:style>
  <w:style w:type="character" w:customStyle="1" w:styleId="24">
    <w:name w:val="Âncora da nota de rodapé"/>
    <w:qFormat/>
    <w:uiPriority w:val="0"/>
    <w:rPr>
      <w:vertAlign w:val="superscript"/>
    </w:rPr>
  </w:style>
  <w:style w:type="character" w:customStyle="1" w:styleId="25">
    <w:name w:val="Footnote Characters"/>
    <w:basedOn w:val="9"/>
    <w:semiHidden/>
    <w:unhideWhenUsed/>
    <w:qFormat/>
    <w:uiPriority w:val="99"/>
    <w:rPr>
      <w:vertAlign w:val="superscript"/>
    </w:rPr>
  </w:style>
  <w:style w:type="character" w:customStyle="1" w:styleId="26">
    <w:name w:val="Link da Internet"/>
    <w:basedOn w:val="9"/>
    <w:unhideWhenUsed/>
    <w:qFormat/>
    <w:uiPriority w:val="99"/>
    <w:rPr>
      <w:color w:val="0000FF"/>
      <w:u w:val="single"/>
    </w:rPr>
  </w:style>
  <w:style w:type="character" w:customStyle="1" w:styleId="27">
    <w:name w:val="Cabeçalho Char"/>
    <w:basedOn w:val="9"/>
    <w:link w:val="17"/>
    <w:semiHidden/>
    <w:qFormat/>
    <w:uiPriority w:val="99"/>
  </w:style>
  <w:style w:type="character" w:customStyle="1" w:styleId="28">
    <w:name w:val="Rodapé Char"/>
    <w:basedOn w:val="9"/>
    <w:link w:val="18"/>
    <w:qFormat/>
    <w:uiPriority w:val="0"/>
  </w:style>
  <w:style w:type="character" w:customStyle="1" w:styleId="29">
    <w:name w:val="Texto de balão Char"/>
    <w:basedOn w:val="9"/>
    <w:link w:val="21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30">
    <w:name w:val="apple-tab-span"/>
    <w:basedOn w:val="9"/>
    <w:qFormat/>
    <w:uiPriority w:val="0"/>
  </w:style>
  <w:style w:type="character" w:customStyle="1" w:styleId="31">
    <w:name w:val="Corpo de texto 3 Char"/>
    <w:basedOn w:val="9"/>
    <w:link w:val="16"/>
    <w:semiHidden/>
    <w:qFormat/>
    <w:uiPriority w:val="99"/>
    <w:rPr>
      <w:rFonts w:asciiTheme="minorHAnsi" w:hAnsiTheme="minorHAnsi" w:eastAsiaTheme="minorHAnsi" w:cstheme="minorBidi"/>
      <w:sz w:val="16"/>
      <w:szCs w:val="16"/>
      <w:lang w:eastAsia="en-US"/>
    </w:rPr>
  </w:style>
  <w:style w:type="character" w:customStyle="1" w:styleId="32">
    <w:name w:val="Texto de nota de rodapé Char"/>
    <w:basedOn w:val="9"/>
    <w:link w:val="23"/>
    <w:semiHidden/>
    <w:qFormat/>
    <w:uiPriority w:val="99"/>
    <w:rPr>
      <w:rFonts w:asciiTheme="minorHAnsi" w:hAnsiTheme="minorHAnsi" w:eastAsiaTheme="minorHAnsi" w:cstheme="minorBidi"/>
      <w:sz w:val="20"/>
      <w:szCs w:val="20"/>
      <w:lang w:eastAsia="en-US"/>
    </w:rPr>
  </w:style>
  <w:style w:type="character" w:customStyle="1" w:styleId="33">
    <w:name w:val="Ênfase forte"/>
    <w:qFormat/>
    <w:uiPriority w:val="0"/>
    <w:rPr>
      <w:b/>
      <w:bCs/>
    </w:rPr>
  </w:style>
  <w:style w:type="paragraph" w:customStyle="1" w:styleId="34">
    <w:name w:val="Título11"/>
    <w:basedOn w:val="1"/>
    <w:next w:val="13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35">
    <w:name w:val="Índice"/>
    <w:basedOn w:val="1"/>
    <w:qFormat/>
    <w:uiPriority w:val="0"/>
    <w:pPr>
      <w:suppressLineNumbers/>
    </w:pPr>
    <w:rPr>
      <w:rFonts w:cs="Arial"/>
      <w:lang w:val="zh-CN" w:eastAsia="zh-CN" w:bidi="zh-CN"/>
    </w:rPr>
  </w:style>
  <w:style w:type="paragraph" w:customStyle="1" w:styleId="36">
    <w:name w:val="Cabeçalho e Rodapé"/>
    <w:basedOn w:val="1"/>
    <w:qFormat/>
    <w:uiPriority w:val="0"/>
  </w:style>
  <w:style w:type="paragraph" w:customStyle="1" w:styleId="37">
    <w:name w:val="Normal1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customStyle="1" w:styleId="38">
    <w:name w:val="Default"/>
    <w:qFormat/>
    <w:uiPriority w:val="0"/>
    <w:pPr>
      <w:widowControl/>
      <w:suppressAutoHyphens/>
      <w:bidi w:val="0"/>
      <w:spacing w:before="0" w:after="160" w:line="259" w:lineRule="auto"/>
      <w:jc w:val="left"/>
    </w:pPr>
    <w:rPr>
      <w:rFonts w:ascii="Times New Roman" w:hAnsi="Times New Roman" w:eastAsia="SimSun" w:cs="Arial"/>
      <w:color w:val="000000"/>
      <w:kern w:val="0"/>
      <w:sz w:val="24"/>
      <w:szCs w:val="24"/>
      <w:lang w:val="pt-BR" w:eastAsia="zh-CN" w:bidi="hi-IN"/>
    </w:rPr>
  </w:style>
  <w:style w:type="paragraph" w:customStyle="1" w:styleId="39">
    <w:name w:val="Sem Espaçamento1"/>
    <w:autoRedefine/>
    <w:qFormat/>
    <w:uiPriority w:val="1"/>
    <w:pPr>
      <w:widowControl/>
      <w:suppressAutoHyphens/>
      <w:bidi w:val="0"/>
      <w:spacing w:before="0" w:after="160" w:line="259" w:lineRule="auto"/>
      <w:jc w:val="left"/>
    </w:pPr>
    <w:rPr>
      <w:rFonts w:ascii="Times New Roman" w:hAnsi="Times New Roman" w:eastAsia="SimSun" w:cs="Times New Roman"/>
      <w:color w:val="auto"/>
      <w:kern w:val="0"/>
      <w:sz w:val="22"/>
      <w:szCs w:val="22"/>
      <w:lang w:val="pt-BR" w:eastAsia="en-US" w:bidi="hi-IN"/>
    </w:rPr>
  </w:style>
  <w:style w:type="paragraph" w:styleId="40">
    <w:name w:val="List Paragraph"/>
    <w:basedOn w:val="1"/>
    <w:autoRedefine/>
    <w:qFormat/>
    <w:uiPriority w:val="1"/>
    <w:pPr>
      <w:ind w:left="222" w:hanging="360"/>
      <w:jc w:val="both"/>
    </w:pPr>
  </w:style>
  <w:style w:type="paragraph" w:customStyle="1" w:styleId="41">
    <w:name w:val="Título1"/>
    <w:basedOn w:val="1"/>
    <w:next w:val="22"/>
    <w:qFormat/>
    <w:uiPriority w:val="0"/>
    <w:pPr>
      <w:jc w:val="center"/>
    </w:pPr>
    <w:rPr>
      <w:rFonts w:ascii="Comic Sans MS" w:hAnsi="Comic Sans MS"/>
      <w:sz w:val="56"/>
    </w:rPr>
  </w:style>
  <w:style w:type="paragraph" w:customStyle="1" w:styleId="42">
    <w:name w:val="LO-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customStyle="1" w:styleId="43">
    <w:name w:val="Table Paragraph"/>
    <w:basedOn w:val="1"/>
    <w:autoRedefine/>
    <w:qFormat/>
    <w:uiPriority w:val="1"/>
  </w:style>
  <w:style w:type="table" w:customStyle="1" w:styleId="44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_Style 85"/>
    <w:basedOn w:val="4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6">
    <w:name w:val="_Style 86"/>
    <w:basedOn w:val="4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7">
    <w:name w:val="_Style 87"/>
    <w:basedOn w:val="4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">
    <w:name w:val="_Style 88"/>
    <w:basedOn w:val="4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9">
    <w:name w:val="_Style 89"/>
    <w:basedOn w:val="44"/>
    <w:qFormat/>
    <w:uiPriority w:val="0"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0">
    <w:name w:val="_Style 90"/>
    <w:basedOn w:val="44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_Style 91"/>
    <w:basedOn w:val="44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_Style 92"/>
    <w:basedOn w:val="44"/>
    <w:qFormat/>
    <w:uiPriority w:val="0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3">
    <w:name w:val="_Style 93"/>
    <w:basedOn w:val="44"/>
    <w:qFormat/>
    <w:uiPriority w:val="0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4">
    <w:name w:val="_Style 94"/>
    <w:basedOn w:val="44"/>
    <w:qFormat/>
    <w:uiPriority w:val="0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5">
    <w:name w:val="_Style 95"/>
    <w:basedOn w:val="44"/>
    <w:qFormat/>
    <w:uiPriority w:val="0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6">
    <w:name w:val="_Style 96"/>
    <w:basedOn w:val="44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_Style 97"/>
    <w:basedOn w:val="44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">
    <w:name w:val="_Style 99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PklkckHCsRfmFBe5UF0OWIYOH5Q==">CgMxLjAyCGguZ2pkZ3hzOAByITFnMjdNN0Rvd1hienJ2d0pwd184My1yc1IyY1RMcnJ4UQ==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580</Words>
  <Characters>3365</Characters>
  <Paragraphs>57</Paragraphs>
  <TotalTime>22</TotalTime>
  <ScaleCrop>false</ScaleCrop>
  <LinksUpToDate>false</LinksUpToDate>
  <CharactersWithSpaces>3912</CharactersWithSpaces>
  <Application>WPS Office_12.1.0.25862_F1E327BC-269C-435d-A152-05C5408002CA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2020-10-15T18:07:00Z</dcterms:created>
  <dc:creator>Selma</dc:creator>
  <cp:lastModifiedBy>FATIMAALVARENGA</cp:lastModifiedBy>
  <dcterms:modified xsi:type="dcterms:W3CDTF">2026-06-08T18:28:53Z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847440F02FB746CDBF5EFBD55FB33236_13</vt:lpwstr>
  </property>
  <property fmtid="{D5CDD505-2E9C-101B-9397-08002B2CF9AE}" pid="3" name="KSOProductBuildVer">
    <vt:lpwstr>1046-12.1.0.25862</vt:lpwstr>
  </property>
  <property fmtid="{D5CDD505-2E9C-101B-9397-08002B2CF9AE}" pid="4" name="KSOTemplateDocerSaveRecord">
    <vt:lpwstr>eyJoZGlkIjoiNjJlNDFhNDllMzJkYTU3MzY3ZjEyZTk2ODNmNjBmMWIifQ==</vt:lpwstr>
  </property>
</Properties>
</file>