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b/>
          <w:bCs/>
          <w:color w:val="000000"/>
          <w:kern w:val="0"/>
          <w:sz w:val="21"/>
          <w:szCs w:val="21"/>
          <w:lang w:eastAsia="pt-BR" w:bidi="ar-SA"/>
        </w:rPr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</w:r>
    </w:p>
    <w:p>
      <w:pPr>
        <w:pStyle w:val="Standard"/>
        <w:spacing w:lineRule="auto" w:line="360"/>
        <w:jc w:val="center"/>
        <w:textAlignment w:val="auto"/>
        <w:rPr>
          <w:rFonts w:ascii="Arial" w:hAnsi="Arial" w:cs="Times New Roman"/>
          <w:b/>
          <w:bCs/>
          <w:color w:val="000000"/>
          <w:kern w:val="0"/>
          <w:sz w:val="21"/>
          <w:szCs w:val="21"/>
          <w:lang w:eastAsia="pt-BR" w:bidi="ar-SA"/>
        </w:rPr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  <w:t>ESTUDO TÉCNICO PRELIMINAR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b/>
          <w:bCs/>
          <w:color w:val="000000"/>
          <w:kern w:val="0"/>
          <w:sz w:val="21"/>
          <w:szCs w:val="21"/>
          <w:lang w:eastAsia="pt-BR" w:bidi="ar-SA"/>
        </w:rPr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</w:r>
    </w:p>
    <w:p>
      <w:pPr>
        <w:pStyle w:val="Standard"/>
        <w:spacing w:lineRule="auto" w:line="360"/>
        <w:jc w:val="both"/>
        <w:textAlignment w:val="auto"/>
        <w:rPr/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  <w:t xml:space="preserve">OBJETO: </w:t>
      </w: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 xml:space="preserve">Solicitação de </w:t>
      </w:r>
      <w:r>
        <w:rPr>
          <w:rFonts w:cs="Calibri" w:ascii="Arial" w:hAnsi="Arial"/>
          <w:color w:val="000000"/>
          <w:kern w:val="0"/>
          <w:sz w:val="21"/>
          <w:szCs w:val="21"/>
          <w:shd w:fill="FFFFFF" w:val="clear"/>
          <w:lang w:eastAsia="pt-BR" w:bidi="ar-SA"/>
        </w:rPr>
        <w:t>abertura de concorrência para Execução</w:t>
      </w:r>
      <w:r>
        <w:rPr>
          <w:rFonts w:cs="Times New Roman" w:ascii="Arial" w:hAnsi="Arial"/>
          <w:color w:val="000000"/>
          <w:kern w:val="0"/>
          <w:sz w:val="21"/>
          <w:szCs w:val="21"/>
          <w:shd w:fill="FFFFFF" w:val="clear"/>
          <w:lang w:eastAsia="pt-BR" w:bidi="ar-SA"/>
        </w:rPr>
        <w:t xml:space="preserve"> de Serviços de Engenharia para manutenção do telhado da Câmara Municipal de Capivari. 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Arial"/>
          <w:color w:val="000000"/>
          <w:kern w:val="0"/>
          <w:sz w:val="21"/>
          <w:szCs w:val="21"/>
          <w:lang w:eastAsia="pt-BR" w:bidi="ar-SA"/>
        </w:rPr>
      </w:pPr>
      <w:r>
        <w:rPr>
          <w:rFonts w:cs="Arial" w:ascii="Arial" w:hAnsi="Arial"/>
          <w:color w:val="000000"/>
          <w:kern w:val="0"/>
          <w:sz w:val="21"/>
          <w:szCs w:val="21"/>
          <w:lang w:eastAsia="pt-BR" w:bidi="ar-SA"/>
        </w:rPr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  <w:t>1. INTRODUÇÃO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>As contratações produzem significativo impacto na atividade econômica, tendo em vista o volume de recursos envolvidos, os quais, em grande parte, são instrumentos de realização de políticas públicas. Neste sentido um planejamento bem elaborado propicia a contratação de serviços potencialmente mais eficientes, posto que a realização de estudos previamente delineados conduz ao conhecimento de novas modelagens/metodologias ofertadas pelo mercado, resultando na melhor qualidade do gasto e em uma gestão eficiente dos recursos públicos.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b/>
          <w:bCs/>
          <w:color w:val="000000"/>
          <w:kern w:val="0"/>
          <w:sz w:val="21"/>
          <w:szCs w:val="21"/>
          <w:lang w:eastAsia="pt-BR" w:bidi="ar-SA"/>
        </w:rPr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  <w:t>2. DESENVOLVIMENTO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bCs/>
          <w:color w:val="000000"/>
          <w:sz w:val="21"/>
          <w:szCs w:val="21"/>
        </w:rPr>
      </w:pPr>
      <w:r>
        <w:rPr>
          <w:rFonts w:cs="Times New Roman" w:ascii="Arial" w:hAnsi="Arial"/>
          <w:bCs/>
          <w:color w:val="000000"/>
          <w:sz w:val="21"/>
          <w:szCs w:val="21"/>
        </w:rPr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I – NECESSIDADE DA CONTRATAÇÃO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color w:val="000000"/>
          <w:sz w:val="21"/>
          <w:szCs w:val="21"/>
          <w:shd w:fill="FFFFFF" w:val="clear"/>
        </w:rPr>
        <w:t>A presente contratação tem por objetivo a realização de serviços de manutenção e reparo no telhado da Câmara Municipal de Capivari, cuja construção foi iniciada no ano de 2012, encontrando-se atualmente com mais de uma década de uso contínuo, sem intervenções estruturais completas no sistema de cobertura. Com o passar dos anos, e em decorrência da ação do tempo, o telhado passou a apresentar diversos danos estruturais, sendo constatados furos, trechos abertos, partes com ferragens expostas e enferrujadas, bem como componentes que estão se desfazendo.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Tais deteriorações têm causado infiltrações e vazamentos frequentes, principalmente em dias de chuva, o que tem comprometido o funcionamento regular das atividades administrativas da Câmara. A água tem invadido diversas salas, provocando danos às paredes, aos móveis institucionais, aos equipamentos eletrônicos e à rede elétrica, inclusive atingindo luminárias, fiações e forros, elevando o risco de curtos-circuitos e acidentes elétricos, além de prejuízos materiais.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Diante do cenário apresentado, é evidente a necessidade urgente e inadiável de intervenção especializada, de modo a garantir a integridade da estrutura física do prédio e a segurança dos servidores e visitantes. A falta de reparo imediato poderá ampliar os danos já existentes, aumentar os custos futuros com manutenção corretiva, além de comprometer o patrimônio público e a continuidade dos serviços legislativos.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A intervenção necessária compreende a manutenção corretiva e preventiva do telhado da Câmara Municipal de Capivari, englobando a substituição de telhas, vedação de goteiras, troca de calhas, rufos e condutores pluviais, bem como a remoção de ferrugem e aplicação de tratamento anticorrosivo em estruturas metálicas, conforme detalhamento em memorial descritivo.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A presente contratação se faz necessária para que seja reestabelecida o perfeito funcionamento das instalações, segurança dos servidores e munícipes, como também contribuição para a preservação do patrimônio público. Ressalta-se que as fotografias anexadas ao processo possuem caráter meramente ilustrativo e comprobatório da situação atual, não sendo utilizadas como parâmetro técnico exclusivo para a execução dos serviços. </w:t>
      </w:r>
    </w:p>
    <w:p>
      <w:pPr>
        <w:pStyle w:val="Standard"/>
        <w:tabs>
          <w:tab w:val="clear" w:pos="708"/>
          <w:tab w:val="left" w:pos="180" w:leader="none"/>
        </w:tabs>
        <w:spacing w:lineRule="auto" w:line="360" w:before="0" w:after="120"/>
        <w:jc w:val="both"/>
        <w:textAlignment w:val="auto"/>
        <w:rPr>
          <w:rFonts w:ascii="Arial" w:hAnsi="Arial" w:eastAsia="Arial" w:cs="Times New Roman"/>
          <w:color w:val="000000"/>
          <w:sz w:val="21"/>
          <w:szCs w:val="21"/>
          <w:shd w:fill="FFFFFF" w:val="clear"/>
        </w:rPr>
      </w:pPr>
      <w:r>
        <w:rPr>
          <w:rFonts w:eastAsia="Arial" w:cs="Times New Roman" w:ascii="Arial" w:hAnsi="Arial"/>
          <w:color w:val="000000"/>
          <w:sz w:val="21"/>
          <w:szCs w:val="21"/>
          <w:shd w:fill="FFFFFF" w:val="clear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II – REQUISITOS DA CONTRATAÇÃO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 empresa contratada deverá comprovar, no ato da contratação, que:</w:t>
      </w:r>
    </w:p>
    <w:p>
      <w:pPr>
        <w:pStyle w:val="BodyText"/>
        <w:numPr>
          <w:ilvl w:val="0"/>
          <w:numId w:val="1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Possui registro ativo no CNPJ com atividade compatível com a prestação de serviços;</w:t>
      </w:r>
    </w:p>
    <w:p>
      <w:pPr>
        <w:pStyle w:val="BodyText"/>
        <w:numPr>
          <w:ilvl w:val="0"/>
          <w:numId w:val="1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Está regular perante os órgãos fiscalizadores (Receita Federal, Estadual e Municipal);</w:t>
      </w:r>
    </w:p>
    <w:p>
      <w:pPr>
        <w:pStyle w:val="BodyText"/>
        <w:numPr>
          <w:ilvl w:val="0"/>
          <w:numId w:val="1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Apresenta certidões negativas ou positivas com efeito de negativas quanto a débitos trabalhistas, tributários e previdenciários;</w:t>
      </w:r>
    </w:p>
    <w:p>
      <w:pPr>
        <w:pStyle w:val="BodyText"/>
        <w:numPr>
          <w:ilvl w:val="0"/>
          <w:numId w:val="6"/>
        </w:numPr>
        <w:spacing w:lineRule="auto" w:line="360" w:before="0" w:after="180"/>
        <w:jc w:val="both"/>
        <w:rPr/>
      </w:pPr>
      <w:r>
        <w:rPr>
          <w:rFonts w:ascii="Arial" w:hAnsi="Arial"/>
          <w:color w:val="000000"/>
          <w:sz w:val="21"/>
          <w:szCs w:val="21"/>
        </w:rPr>
        <w:t>Que dispõe de equipe qualificada e equipamentos necessários para a execução completa dos serviços contratados;</w:t>
      </w:r>
    </w:p>
    <w:p>
      <w:pPr>
        <w:pStyle w:val="BodyText"/>
        <w:numPr>
          <w:ilvl w:val="0"/>
          <w:numId w:val="6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Que possui infraestrutura adequada para atendimento dos prazos e padrões exigidos pela Câmara Municipal.</w:t>
      </w:r>
    </w:p>
    <w:p>
      <w:pPr>
        <w:pStyle w:val="BodyText"/>
        <w:spacing w:lineRule="auto" w:line="360" w:before="0" w:after="180"/>
        <w:ind w:start="72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 </w:t>
      </w:r>
      <w:r>
        <w:rPr>
          <w:rFonts w:ascii="Arial" w:hAnsi="Arial"/>
          <w:color w:val="000000"/>
          <w:sz w:val="21"/>
          <w:szCs w:val="21"/>
        </w:rPr>
        <w:t>Habilitação Técnica: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Prova de Registro da licitante na entidade profissional competente que se dará pela apresentação da Certidão de Registro no Conselho Regional de Engenharia, Arquitetura e Agronomia – CREA da empresa licitante, conforme Resolução 266/79, em pleno vigor, demonstrando situação regular na data de apresentação da proposta;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A empresa com sede fora do Estado de São Paulo, caso seja declarada vencedora do certame, deverá providenciar o visto junto ao CREA/SP como condição indispensável para a assinatura do contrato, nos termos da legislação em vigor.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Atestado(s) ou Certidão(ões) de Capacidade Operacional, fornecido(s) por pessoa(s) jurídica(s) de direito público ou privado, necessariamente em nome do licitante, devidamente registrado(s) no órgão competente – CREA, no(s) qual(ais) se indique(m) 50% (cinquenta por cento) de execução de serviços similares de complexidade tecnológica e operacional equivalente ou superior ao objeto licitado, em conformidade com a Súmula n.º 24 do Tribunal de Contas do Estado de São Paulo – TCESP.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Capacidade técnico-profissional que se dará através da comprovação de que o licitante possui um profissional de nível superior ou outro devidamente Página 13 de 52 reconhecido pela entidade competente, conforme a Súmula n.º 25 do TCESP, bem como nos termos da Resolução 218/73 do CONFEA, que será o responsável técnico pela execução dos serviços, devidamente registrado no Conselho de Engenharia, Arquitetura e Agronomia – CREA, detentor de atestado de responsabilidade técnica por execução de obra ou serviço de características semelhantes ao do objeto desta licitação, devidamente registrado (certidão de acervo técnico - CAT) no CREA, que atenda independente do seu quantitativo.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A comprovação do registro do profissional junto ao CREA far-se-á através da apresentação de Certidão de Registro de Pessoa Física no Conselho Regional de Engenharia em pleno vigor.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highlight w:val="none"/>
          <w:shd w:fill="auto" w:val="clear"/>
        </w:rPr>
      </w:pPr>
      <w:r>
        <w:rPr>
          <w:rFonts w:ascii="Arial" w:hAnsi="Arial"/>
          <w:color w:val="000000"/>
          <w:sz w:val="21"/>
          <w:szCs w:val="21"/>
          <w:shd w:fill="auto" w:val="clear"/>
        </w:rPr>
        <w:t>A comprovação de vínculo profissional pode se dar mediante contrato social, registro na carteira profissional, ficha de empregado ou contrato de trabalho, sendo possível a contratação de profissional autônomo que preencha os requisitos e se responsabilize tecnicamente pela execução dos serviços (SÚMULA 25 DO TCESP), o qual deverá firmar declaração assumindo o compromisso de que se responsabilizará pela execução dos serviços objeto do edital em apreço, se porventura a licitante sagrar-se vencedora do processo licitatório.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 xml:space="preserve">Os atestados mencionados nos itens anteriores, apresentados pelas licitantes, serão submetidos à análise conjunta de equipe de Compras e da equipe técnica designada por meio da Portaria nº116/2026 a qual designa o engenheiro responsável Arthur Sousa Alves Santiago para acompanhamento dos procedimentos licitatórios, fiscalizações e medições da obra. A análise dos atestados terá por finalidade verificar a compatibilidade com o objeto licitado, especialmente quanto às características, complexidade e pertinência técnica, de modo a assegurar que a licitante possui capacidade técnico-operacional para a adequada execução dos serviços.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highlight w:val="none"/>
          <w:shd w:fill="auto" w:val="clear"/>
        </w:rPr>
      </w:pPr>
      <w:r>
        <w:rPr>
          <w:rFonts w:ascii="Arial" w:hAnsi="Arial"/>
          <w:bCs/>
          <w:color w:val="000000"/>
          <w:sz w:val="21"/>
          <w:szCs w:val="21"/>
          <w:shd w:fill="auto" w:val="clear"/>
        </w:rPr>
        <w:t xml:space="preserve">Da visita técnica ao local: a visita técnica ao local da execução dos serviços será </w:t>
      </w:r>
      <w:r>
        <w:rPr>
          <w:rFonts w:ascii="Arial" w:hAnsi="Arial"/>
          <w:bCs/>
          <w:color w:val="000000"/>
          <w:sz w:val="21"/>
          <w:szCs w:val="21"/>
          <w:shd w:fill="auto" w:val="clear"/>
        </w:rPr>
        <w:t>obrigatória</w:t>
      </w:r>
      <w:r>
        <w:rPr>
          <w:rFonts w:ascii="Arial" w:hAnsi="Arial"/>
          <w:bCs/>
          <w:color w:val="000000"/>
          <w:sz w:val="21"/>
          <w:szCs w:val="21"/>
          <w:shd w:fill="auto" w:val="clear"/>
        </w:rPr>
        <w:t xml:space="preserve">, devendo ser realizada por representante legal ou profissional habilitado da licitante, com o objetivo de conhecimento pleno das condições do local e das especifidades do objeto, após a realização da visita, será emitido atestado de visita técnica pela administração, a não realização da visita implicará a inabilitação da licitante, </w:t>
      </w:r>
      <w:r>
        <w:rPr>
          <w:rFonts w:ascii="Arial" w:hAnsi="Arial"/>
          <w:bCs/>
          <w:color w:val="000000"/>
          <w:sz w:val="21"/>
          <w:szCs w:val="21"/>
          <w:shd w:fill="auto" w:val="clear"/>
        </w:rPr>
        <w:t xml:space="preserve">não </w:t>
      </w:r>
      <w:r>
        <w:rPr>
          <w:rFonts w:ascii="Arial" w:hAnsi="Arial"/>
          <w:bCs/>
          <w:color w:val="000000"/>
          <w:sz w:val="21"/>
          <w:szCs w:val="21"/>
          <w:shd w:fill="auto" w:val="clear"/>
        </w:rPr>
        <w:t xml:space="preserve">sendo admitidas sua substituição por declaração de conhecimento e responsabilidade das condições legais. </w:t>
      </w:r>
    </w:p>
    <w:p>
      <w:pPr>
        <w:pStyle w:val="BodyText"/>
        <w:numPr>
          <w:ilvl w:val="0"/>
          <w:numId w:val="7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Em se tratando de obra e serviços comuns de engenharia, entende-se por necessário a comprovação de aptidão técnica da licitante, compatível ao objeto da licitação, para que seja devidamente demonstrada a sua capacidade operacional e gerencial, a fim de que não sejam conferidos riscos à Administração na execução da obra.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Fornecimento de Materiais e Responsabilidades:</w:t>
      </w:r>
    </w:p>
    <w:p>
      <w:pPr>
        <w:pStyle w:val="BodyText"/>
        <w:numPr>
          <w:ilvl w:val="0"/>
          <w:numId w:val="2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Todos os materiais a serem utilizados na execução da obra serão de responsabilidade da contratada, de primeira qualidade, com garantia de fábrica e em conformidade com as normas técnicas da ABNT;</w:t>
      </w:r>
    </w:p>
    <w:p>
      <w:pPr>
        <w:pStyle w:val="BodyText"/>
        <w:numPr>
          <w:ilvl w:val="0"/>
          <w:numId w:val="2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 contratada deverá providenciar o transporte, armazenamento e manuseio dos materiais, responsabilizando-se por eventuais perdas, extravios ou danos;</w:t>
      </w:r>
    </w:p>
    <w:p>
      <w:pPr>
        <w:pStyle w:val="BodyText"/>
        <w:numPr>
          <w:ilvl w:val="0"/>
          <w:numId w:val="2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 contratada será também responsável por toda a mão de obra, EPIs, ferramentas e equipamentos, assegurando a integridade física de seus trabalhadores e terceiros.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Responsabilidade Legal e Trabalhista:</w:t>
      </w:r>
    </w:p>
    <w:p>
      <w:pPr>
        <w:pStyle w:val="BodyText"/>
        <w:numPr>
          <w:ilvl w:val="0"/>
          <w:numId w:val="3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 contratada será inteiramente responsável pelos encargos trabalhistas, previdenciários, fiscais e comerciais decorrentes da execução do contrato, não podendo a Câmara Municipal ser responsabilizada, ainda que solidariamente, por qualquer inadimplemento.</w:t>
      </w:r>
    </w:p>
    <w:p>
      <w:pPr>
        <w:pStyle w:val="BodyText"/>
        <w:numPr>
          <w:ilvl w:val="0"/>
          <w:numId w:val="3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Conformidade com Normas de Segurança e Meio Ambiente</w:t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Durante a execução dos serviços, a contratada deverá:</w:t>
      </w:r>
    </w:p>
    <w:p>
      <w:pPr>
        <w:pStyle w:val="BodyText"/>
        <w:numPr>
          <w:ilvl w:val="0"/>
          <w:numId w:val="4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Adotar todas as normas de segurança do trabalho, incluindo fornecimento de EPIs e sinalização do local de obra;</w:t>
      </w:r>
    </w:p>
    <w:p>
      <w:pPr>
        <w:pStyle w:val="BodyText"/>
        <w:numPr>
          <w:ilvl w:val="0"/>
          <w:numId w:val="4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Respeitar as normas ambientais vigentes, especialmente no descarte de resíduos;</w:t>
      </w:r>
    </w:p>
    <w:p>
      <w:pPr>
        <w:pStyle w:val="BodyText"/>
        <w:numPr>
          <w:ilvl w:val="0"/>
          <w:numId w:val="4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Suspender os trabalhos caso haja risco iminente à integridade de pessoas, equipamentos ou da edificação, devendo comunicar imediatamente a fiscalização.</w:t>
      </w:r>
    </w:p>
    <w:p>
      <w:pPr>
        <w:pStyle w:val="BodyText"/>
        <w:spacing w:lineRule="auto" w:line="360" w:before="0" w:after="180"/>
        <w:ind w:start="72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BodyText"/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Prazos e Penalidades:</w:t>
      </w:r>
    </w:p>
    <w:p>
      <w:pPr>
        <w:pStyle w:val="BodyText"/>
        <w:numPr>
          <w:ilvl w:val="0"/>
          <w:numId w:val="5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O prazo de execução será de 03 meses, contados a partir da</w:t>
      </w:r>
      <w:r>
        <w:rPr>
          <w:rFonts w:ascii="Arial" w:hAnsi="Arial"/>
          <w:color w:val="000000"/>
          <w:sz w:val="21"/>
          <w:szCs w:val="21"/>
          <w:shd w:fill="auto" w:val="clear"/>
        </w:rPr>
        <w:t xml:space="preserve"> emissão da </w:t>
      </w:r>
      <w:r>
        <w:rPr>
          <w:rFonts w:ascii="Arial" w:hAnsi="Arial"/>
          <w:color w:val="000000"/>
          <w:sz w:val="21"/>
          <w:szCs w:val="21"/>
        </w:rPr>
        <w:t>ordem de serviço;</w:t>
      </w:r>
    </w:p>
    <w:p>
      <w:pPr>
        <w:pStyle w:val="BodyText"/>
        <w:numPr>
          <w:ilvl w:val="0"/>
          <w:numId w:val="5"/>
        </w:numPr>
        <w:spacing w:lineRule="auto" w:line="360" w:before="0" w:after="18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  <w:t>O descumprimento dos prazos ou das exigências técnicas poderá ensejar advertência, aplicação de multa, rescisão contratual e impedimento de contratar com a Administração Pública, conforme previsto na Lei nº 14.133/2021.</w:t>
      </w:r>
    </w:p>
    <w:p>
      <w:pPr>
        <w:pStyle w:val="ListParagraph"/>
        <w:spacing w:lineRule="auto" w:line="360"/>
        <w:jc w:val="both"/>
        <w:rPr>
          <w:rFonts w:ascii="Arial" w:hAnsi="Arial" w:cs="Times New Roman"/>
          <w:color w:val="000000"/>
          <w:sz w:val="21"/>
          <w:szCs w:val="21"/>
          <w:lang w:eastAsia="pt-BR"/>
        </w:rPr>
      </w:pPr>
      <w:r>
        <w:rPr>
          <w:rFonts w:cs="Times New Roman" w:ascii="Arial" w:hAnsi="Arial"/>
          <w:color w:val="000000"/>
          <w:sz w:val="21"/>
          <w:szCs w:val="21"/>
          <w:lang w:eastAsia="pt-BR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III – LEVANTAMENTO DE MERCADO</w:t>
      </w:r>
    </w:p>
    <w:p>
      <w:pPr>
        <w:pStyle w:val="Standard"/>
        <w:spacing w:lineRule="auto" w:line="360" w:before="0" w:after="12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  <w:t xml:space="preserve">Consoante dispõe a Lei nº 14.133/2021, o levantamento de mercado tem por finalidade identificar as soluções disponíveis e praticadas no mercado para atendimento da necessidade da Administração, bem como subsidiar a definição da solução mais vantajosa sob os aspectos técnico e econômico. Para a formação do orçamento estimado, foi elaborada planilha orçamentária com BDI Geral 22,82% contemplando os custos dos serviços a serem executados, a qual integra o presente processo. </w:t>
      </w:r>
    </w:p>
    <w:p>
      <w:pPr>
        <w:pStyle w:val="ListParagraph"/>
        <w:spacing w:lineRule="auto" w:line="360"/>
        <w:ind w:start="0"/>
        <w:jc w:val="both"/>
        <w:rPr>
          <w:rFonts w:ascii="Arial" w:hAnsi="Arial" w:cs="Times New Roman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IV – DESCRIÇÃO DA SOLUÇÃO COMO UM TODO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Arial" w:hAnsi="Arial"/>
          <w:color w:val="000000"/>
          <w:sz w:val="21"/>
          <w:szCs w:val="21"/>
          <w:lang w:eastAsia="pt-BR"/>
        </w:rPr>
        <w:t xml:space="preserve">Solicitação de </w:t>
      </w:r>
      <w:r>
        <w:rPr>
          <w:rFonts w:cs="Calibri" w:ascii="Arial" w:hAnsi="Arial"/>
          <w:color w:val="000000"/>
          <w:sz w:val="21"/>
          <w:szCs w:val="21"/>
          <w:shd w:fill="FFFFFF" w:val="clear"/>
          <w:lang w:eastAsia="pt-BR"/>
        </w:rPr>
        <w:t>abertura de concorrência para Execução</w:t>
      </w:r>
      <w:r>
        <w:rPr>
          <w:rFonts w:cs="Times New Roman" w:ascii="Arial" w:hAnsi="Arial"/>
          <w:color w:val="000000"/>
          <w:sz w:val="21"/>
          <w:szCs w:val="21"/>
          <w:shd w:fill="FFFFFF" w:val="clear"/>
          <w:lang w:eastAsia="pt-BR"/>
        </w:rPr>
        <w:t xml:space="preserve"> de Serviços de Engenharia para manutenção do telhado da Câmara Municipal de Capivari. </w:t>
      </w:r>
    </w:p>
    <w:p>
      <w:pPr>
        <w:pStyle w:val="Standard"/>
        <w:spacing w:lineRule="auto" w:line="36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V – ESTIMATIVA DAS QUANTIDADES</w:t>
      </w:r>
    </w:p>
    <w:tbl>
      <w:tblPr>
        <w:tblW w:w="8727" w:type="dxa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  <w:tblLook w:firstRow="1" w:noVBand="1" w:lastRow="0" w:firstColumn="1" w:lastColumn="0" w:noHBand="0" w:val="04a0"/>
      </w:tblPr>
      <w:tblGrid>
        <w:gridCol w:w="6524"/>
        <w:gridCol w:w="1133"/>
        <w:gridCol w:w="1070"/>
      </w:tblGrid>
      <w:tr>
        <w:trPr/>
        <w:tc>
          <w:tcPr>
            <w:tcW w:w="6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lineRule="auto" w:line="360" w:before="0" w:after="20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1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lineRule="auto" w:line="360" w:before="0" w:after="20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color w:val="000000"/>
                <w:sz w:val="20"/>
                <w:szCs w:val="20"/>
              </w:rPr>
              <w:t>QTD</w:t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user"/>
              <w:spacing w:lineRule="auto" w:line="360" w:before="0" w:after="20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color w:val="000000"/>
                <w:sz w:val="20"/>
                <w:szCs w:val="20"/>
              </w:rPr>
              <w:t>UN MED</w:t>
            </w:r>
          </w:p>
        </w:tc>
      </w:tr>
      <w:tr>
        <w:trPr/>
        <w:tc>
          <w:tcPr>
            <w:tcW w:w="6524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BodyText"/>
              <w:spacing w:lineRule="auto" w:line="360" w:before="0" w:after="14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Serviço especializado em manutenção de telhados conforme detalhamento em memorial descritivo.</w:t>
            </w:r>
          </w:p>
        </w:tc>
        <w:tc>
          <w:tcPr>
            <w:tcW w:w="113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dodatabelauser"/>
              <w:spacing w:lineRule="auto" w:line="360" w:before="0" w:after="20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070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dodatabelauser"/>
              <w:spacing w:lineRule="auto" w:line="360" w:before="0" w:after="200"/>
              <w:jc w:val="both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Serviço</w:t>
            </w:r>
          </w:p>
        </w:tc>
      </w:tr>
    </w:tbl>
    <w:p>
      <w:pPr>
        <w:pStyle w:val="Normal"/>
        <w:spacing w:lineRule="auto" w:line="360"/>
        <w:jc w:val="both"/>
        <w:rPr>
          <w:rFonts w:ascii="Arial" w:hAnsi="Arial" w:cs="Times New Roman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VI – ESTIMATIVA DO VALOR DA CONTRATAÇÃO</w:t>
      </w:r>
    </w:p>
    <w:p>
      <w:pPr>
        <w:pStyle w:val="Normal"/>
        <w:spacing w:lineRule="auto" w:line="360"/>
        <w:jc w:val="both"/>
        <w:rPr/>
      </w:pPr>
      <w:r>
        <w:rPr>
          <w:rFonts w:cs="Calibri" w:ascii="Arial" w:hAnsi="Arial"/>
          <w:color w:val="000000"/>
          <w:sz w:val="21"/>
          <w:szCs w:val="21"/>
        </w:rPr>
        <w:t xml:space="preserve">O valor estimado é de </w:t>
      </w:r>
      <w:r>
        <w:rPr>
          <w:rFonts w:eastAsia="Arial" w:cs="Arial" w:ascii="Arial" w:hAnsi="Arial"/>
          <w:color w:val="000000"/>
          <w:sz w:val="21"/>
          <w:szCs w:val="21"/>
        </w:rPr>
        <w:t>R$ 628.473,47 (</w:t>
      </w:r>
      <w:r>
        <w:rPr>
          <w:rStyle w:val="Strong"/>
          <w:rFonts w:cs="Calibri" w:ascii="Arial" w:hAnsi="Arial"/>
          <w:b w:val="false"/>
          <w:color w:val="000000"/>
          <w:sz w:val="21"/>
          <w:szCs w:val="21"/>
        </w:rPr>
        <w:t xml:space="preserve">seiscentos e vinte e oito mil, quatrocentos e setenta e três reais e quarenta e sete centavos). 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VII – JUSTIFICATIVA PARA O PARCELAMENTO OU NÃO DA SOLUÇÃO</w:t>
      </w:r>
    </w:p>
    <w:p>
      <w:pPr>
        <w:pStyle w:val="Standard"/>
        <w:spacing w:lineRule="auto" w:line="36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>Do ponto de vista, trata-se de aquisição não divisível, deste modo não é passível de parcelamento. No que se refere ao viés econômico, o parcelamento atentaria contra a economia de escala, uma vez que se pretende adquirir apenas um item.</w:t>
      </w:r>
    </w:p>
    <w:p>
      <w:pPr>
        <w:pStyle w:val="Standard"/>
        <w:spacing w:lineRule="auto" w:line="36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>Assim, com no fulcro no Art. 40, §3°, I e II da Lei n°14.133/2021, optou-se pelo não parcelamento.</w:t>
      </w:r>
    </w:p>
    <w:p>
      <w:pPr>
        <w:pStyle w:val="ListParagraph"/>
        <w:spacing w:lineRule="auto" w:line="360"/>
        <w:ind w:start="0"/>
        <w:jc w:val="both"/>
        <w:rPr>
          <w:rFonts w:ascii="Arial" w:hAnsi="Arial" w:cs="Times New Roman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VIII – IDENTIFICAÇÃO DE CONTRATAÇÕES CORRELATAS E/OU INTERDEPENDENTES</w:t>
      </w:r>
    </w:p>
    <w:p>
      <w:pPr>
        <w:pStyle w:val="Standard"/>
        <w:spacing w:lineRule="auto" w:line="36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  <w:shd w:fill="FFFFFF" w:val="clear"/>
        </w:rPr>
        <w:t>Em exame da natureza dos serviços que ora se pretende adquirir nessa contratação, não se verifica interdependência destes com quaisquer outros, no sentido de condicioná-los a sua plena efetivação, ou seja</w:t>
      </w:r>
      <w:r>
        <w:rPr>
          <w:rFonts w:ascii="Arial" w:hAnsi="Arial"/>
          <w:color w:val="000000"/>
          <w:sz w:val="21"/>
          <w:szCs w:val="21"/>
        </w:rPr>
        <w:t>, vindo a contratá-los, estarão plenament</w:t>
      </w:r>
      <w:r>
        <w:rPr>
          <w:rFonts w:ascii="Arial" w:hAnsi="Arial"/>
          <w:color w:val="000000"/>
          <w:sz w:val="21"/>
          <w:szCs w:val="21"/>
          <w:shd w:fill="FFFFFF" w:val="clear"/>
        </w:rPr>
        <w:t>e aptos a atender ao interesse público demonstrado neste ETP.</w:t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IX – DEMONSTRAÇÃO DO ALINHAMENTO ENTRE A CONTRATAÇÃO E O PLANEJAMENTO</w:t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sz w:val="21"/>
          <w:szCs w:val="21"/>
        </w:rPr>
        <w:t>Por tratar-se de manutenção, o mesmo não se encontra no Plano de Contratações Anual, contudo as eventuais aquisições necessárias estão previstas no Planejamento Orçamentário desta Câmara.</w:t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X – RESULTADOS PRETENDIDOS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sz w:val="21"/>
          <w:szCs w:val="21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>E</w:t>
      </w:r>
      <w:r>
        <w:rPr>
          <w:rFonts w:cs="Arial" w:ascii="Arial" w:hAnsi="Arial"/>
          <w:color w:val="000000"/>
          <w:kern w:val="0"/>
          <w:sz w:val="21"/>
          <w:szCs w:val="21"/>
          <w:lang w:eastAsia="pt-BR" w:bidi="ar-SA"/>
        </w:rPr>
        <w:t>spera-se q</w:t>
      </w:r>
      <w:r>
        <w:rPr>
          <w:rFonts w:cs="Arial" w:ascii="Arial" w:hAnsi="Arial"/>
          <w:color w:val="000000"/>
          <w:kern w:val="0"/>
          <w:sz w:val="21"/>
          <w:szCs w:val="21"/>
          <w:shd w:fill="FFFFFF" w:val="clear"/>
          <w:lang w:eastAsia="pt-BR" w:bidi="ar-SA"/>
        </w:rPr>
        <w:t>ue seja reestabelecido o perfeito funcionamento das instalações, segurança dos servidores e munícipes, como também contribuição para a preservação do patrimônio público.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Arial"/>
          <w:color w:val="000000"/>
          <w:kern w:val="0"/>
          <w:sz w:val="21"/>
          <w:szCs w:val="21"/>
          <w:shd w:fill="FFFFFF" w:val="clear"/>
          <w:lang w:eastAsia="pt-BR" w:bidi="ar-SA"/>
        </w:rPr>
      </w:pPr>
      <w:r>
        <w:rPr>
          <w:rFonts w:cs="Arial" w:ascii="Arial" w:hAnsi="Arial"/>
          <w:color w:val="000000"/>
          <w:kern w:val="0"/>
          <w:sz w:val="21"/>
          <w:szCs w:val="21"/>
          <w:shd w:fill="FFFFFF" w:val="clear"/>
          <w:lang w:eastAsia="pt-BR" w:bidi="ar-SA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 w:cs="Times New Roman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XI – PROVIDÊNCIAS A SEREM ADOTADAS</w:t>
      </w:r>
    </w:p>
    <w:p>
      <w:pPr>
        <w:pStyle w:val="BodyText"/>
        <w:spacing w:lineRule="auto" w:line="360"/>
        <w:jc w:val="both"/>
        <w:rPr>
          <w:rFonts w:ascii="Arial" w:hAnsi="Arial" w:cs="Arial"/>
          <w:color w:val="000000"/>
          <w:sz w:val="21"/>
          <w:szCs w:val="21"/>
          <w:lang w:eastAsia="pt-BR"/>
        </w:rPr>
      </w:pPr>
      <w:r>
        <w:rPr>
          <w:rFonts w:cs="Arial" w:ascii="Arial" w:hAnsi="Arial"/>
          <w:color w:val="000000"/>
          <w:sz w:val="21"/>
          <w:szCs w:val="21"/>
          <w:lang w:eastAsia="pt-BR"/>
        </w:rPr>
        <w:t>Para a presente contratação, será adotada a modalidade de licitação concorrência, nos termos da Lei nº 14.133/2021, considerando a natureza do objeto e a necessidade de assegurar ampla competitividade, isonomia entre os licitantes e a seleção da proposta mais vantajosa para a Administração Pública.</w:t>
      </w:r>
    </w:p>
    <w:p>
      <w:pPr>
        <w:pStyle w:val="BodyText"/>
        <w:spacing w:lineRule="auto" w:line="360" w:before="0" w:after="180"/>
        <w:jc w:val="both"/>
        <w:rPr>
          <w:rFonts w:ascii="Arial" w:hAnsi="Arial" w:cs="Arial"/>
          <w:color w:val="000000"/>
          <w:sz w:val="21"/>
          <w:szCs w:val="21"/>
          <w:lang w:eastAsia="pt-BR"/>
        </w:rPr>
      </w:pPr>
      <w:r>
        <w:rPr>
          <w:rFonts w:cs="Arial" w:ascii="Arial" w:hAnsi="Arial"/>
          <w:color w:val="000000"/>
          <w:sz w:val="21"/>
          <w:szCs w:val="21"/>
          <w:lang w:eastAsia="pt-BR"/>
        </w:rPr>
        <w:t>Serão observadas todas as etapas do procedimento licitatório, incluindo a adequada instrução processual, definição de critérios objetivos de julgamento, análise da habilitação técnica e operacional das licitantes, bem como o acompanhamento e fiscalização da execução contratual.</w:t>
      </w:r>
    </w:p>
    <w:p>
      <w:pPr>
        <w:pStyle w:val="ListParagraph"/>
        <w:spacing w:lineRule="auto" w:line="360"/>
        <w:ind w:start="0"/>
        <w:jc w:val="both"/>
        <w:rPr>
          <w:rFonts w:ascii="Arial" w:hAnsi="Arial" w:cs="Times New Roman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sz w:val="21"/>
          <w:szCs w:val="21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XII – DESCRIÇÃO DE POSSÍVEIS IMPACTOS AMBIENTAIS</w:t>
      </w:r>
    </w:p>
    <w:p>
      <w:pPr>
        <w:pStyle w:val="BodyText"/>
        <w:spacing w:lineRule="auto" w:line="360"/>
        <w:jc w:val="both"/>
        <w:rPr>
          <w:rFonts w:ascii="Arial" w:hAnsi="Arial" w:eastAsia="NSimSun" w:cs="Arial"/>
          <w:bCs/>
          <w:color w:val="000000"/>
          <w:sz w:val="21"/>
          <w:szCs w:val="21"/>
          <w:lang w:eastAsia="pt-BR"/>
        </w:rPr>
      </w:pPr>
      <w:r>
        <w:rPr>
          <w:rFonts w:eastAsia="NSimSun" w:cs="Arial" w:ascii="Arial" w:hAnsi="Arial"/>
          <w:bCs/>
          <w:color w:val="000000"/>
          <w:sz w:val="21"/>
          <w:szCs w:val="21"/>
          <w:lang w:eastAsia="pt-BR"/>
        </w:rPr>
        <w:t>A presente contratação, por se tratar de serviços de manutenção em estrutura já existente, não apresenta impactos ambientais relevantes ou significativos que demandem a elaboração de estudo de impacto ambiental específico.</w:t>
      </w:r>
    </w:p>
    <w:p>
      <w:pPr>
        <w:pStyle w:val="BodyText"/>
        <w:spacing w:lineRule="auto" w:line="360" w:before="0" w:after="180"/>
        <w:jc w:val="both"/>
        <w:rPr>
          <w:rFonts w:ascii="Arial" w:hAnsi="Arial" w:eastAsia="NSimSun" w:cs="Arial"/>
          <w:bCs/>
          <w:color w:val="000000"/>
          <w:sz w:val="21"/>
          <w:szCs w:val="21"/>
          <w:lang w:eastAsia="pt-BR"/>
        </w:rPr>
      </w:pPr>
      <w:r>
        <w:rPr>
          <w:rFonts w:eastAsia="NSimSun" w:cs="Arial" w:ascii="Arial" w:hAnsi="Arial"/>
          <w:bCs/>
          <w:color w:val="000000"/>
          <w:sz w:val="21"/>
          <w:szCs w:val="21"/>
          <w:lang w:eastAsia="pt-BR"/>
        </w:rPr>
        <w:t>Ainda assim, a execução dos serviços deverá observar as normas ambientais aplicáveis, especialmente no que se refere à correta destinação de resíduos, utilização adequada de materiais e adoção de práticas que minimizem eventuais impactos ao meio ambiente.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color w:val="000000"/>
          <w:kern w:val="0"/>
          <w:sz w:val="21"/>
          <w:szCs w:val="21"/>
          <w:lang w:eastAsia="pt-BR" w:bidi="ar-SA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</w:r>
    </w:p>
    <w:p>
      <w:pPr>
        <w:pStyle w:val="ListParagraph"/>
        <w:spacing w:lineRule="auto" w:line="360"/>
        <w:ind w:start="0"/>
        <w:jc w:val="both"/>
        <w:rPr>
          <w:rFonts w:ascii="Arial" w:hAnsi="Arial"/>
          <w:b/>
          <w:bCs/>
          <w:color w:val="000000"/>
          <w:sz w:val="21"/>
          <w:szCs w:val="21"/>
        </w:rPr>
      </w:pPr>
      <w:r>
        <w:rPr>
          <w:rFonts w:cs="Times New Roman" w:ascii="Arial" w:hAnsi="Arial"/>
          <w:b/>
          <w:bCs/>
          <w:color w:val="000000"/>
          <w:sz w:val="21"/>
          <w:szCs w:val="21"/>
        </w:rPr>
        <w:t>XIII – DECLARAÇÃO DE VIABILIDADE OU NÃO DA CONTRATAÇÃO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 xml:space="preserve">Esta Câmara declara </w:t>
      </w:r>
      <w:r>
        <w:rPr>
          <w:rFonts w:cs="Times New Roman" w:ascii="Arial" w:hAnsi="Arial"/>
          <w:b/>
          <w:bCs/>
          <w:color w:val="000000"/>
          <w:kern w:val="0"/>
          <w:sz w:val="21"/>
          <w:szCs w:val="21"/>
          <w:lang w:eastAsia="pt-BR" w:bidi="ar-SA"/>
        </w:rPr>
        <w:t xml:space="preserve">viável </w:t>
      </w: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  <w:t>esta contratação.</w:t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Standard"/>
        <w:spacing w:lineRule="auto" w:line="360"/>
        <w:jc w:val="both"/>
        <w:textAlignment w:val="auto"/>
        <w:rPr>
          <w:rFonts w:ascii="Arial" w:hAnsi="Arial"/>
          <w:color w:val="000000"/>
          <w:sz w:val="21"/>
          <w:szCs w:val="21"/>
        </w:rPr>
      </w:pPr>
      <w:r>
        <w:rPr>
          <w:rFonts w:ascii="Arial" w:hAnsi="Arial"/>
          <w:color w:val="000000"/>
          <w:sz w:val="21"/>
          <w:szCs w:val="21"/>
        </w:rPr>
      </w:r>
    </w:p>
    <w:p>
      <w:pPr>
        <w:pStyle w:val="Standard"/>
        <w:spacing w:lineRule="auto" w:line="360"/>
        <w:jc w:val="both"/>
        <w:textAlignment w:val="auto"/>
        <w:rPr>
          <w:rFonts w:ascii="Arial" w:hAnsi="Arial" w:cs="Times New Roman"/>
          <w:color w:val="000000"/>
          <w:kern w:val="0"/>
          <w:sz w:val="21"/>
          <w:szCs w:val="21"/>
          <w:lang w:eastAsia="pt-BR" w:bidi="ar-SA"/>
        </w:rPr>
      </w:pPr>
      <w:r>
        <w:rPr>
          <w:rFonts w:cs="Times New Roman" w:ascii="Arial" w:hAnsi="Arial"/>
          <w:color w:val="000000"/>
          <w:kern w:val="0"/>
          <w:sz w:val="21"/>
          <w:szCs w:val="21"/>
          <w:lang w:eastAsia="pt-BR" w:bidi="ar-SA"/>
        </w:rPr>
      </w:r>
    </w:p>
    <w:p>
      <w:pPr>
        <w:pStyle w:val="ListParagraph"/>
        <w:spacing w:lineRule="auto" w:line="360"/>
        <w:ind w:start="0"/>
        <w:jc w:val="end"/>
        <w:rPr>
          <w:rFonts w:ascii="Arial" w:hAnsi="Arial"/>
          <w:color w:val="000000"/>
          <w:sz w:val="21"/>
          <w:szCs w:val="21"/>
        </w:rPr>
      </w:pPr>
      <w:r>
        <w:rPr>
          <w:rFonts w:cs="Times New Roman" w:ascii="Arial" w:hAnsi="Arial"/>
          <w:color w:val="000000"/>
          <w:sz w:val="21"/>
          <w:szCs w:val="21"/>
        </w:rPr>
        <w:t>Capivari, 06 de abril de 2026.</w:t>
      </w:r>
    </w:p>
    <w:p>
      <w:pPr>
        <w:pStyle w:val="Standard"/>
        <w:jc w:val="center"/>
        <w:rPr>
          <w:rFonts w:ascii="Arial" w:hAnsi="Arial" w:cs="Times New Roman"/>
          <w:sz w:val="21"/>
          <w:szCs w:val="21"/>
        </w:rPr>
      </w:pPr>
      <w:r>
        <w:rPr>
          <w:rFonts w:cs="Times New Roman" w:ascii="Arial" w:hAnsi="Arial"/>
          <w:sz w:val="21"/>
          <w:szCs w:val="21"/>
        </w:rPr>
      </w:r>
    </w:p>
    <w:p>
      <w:pPr>
        <w:pStyle w:val="Standard"/>
        <w:jc w:val="center"/>
        <w:rPr>
          <w:rFonts w:ascii="Arial" w:hAnsi="Arial"/>
          <w:color w:val="000000"/>
          <w:sz w:val="21"/>
          <w:szCs w:val="21"/>
          <w:shd w:fill="FFFFFF" w:val="clear"/>
        </w:rPr>
      </w:pPr>
      <w:r>
        <w:rPr>
          <w:rFonts w:ascii="Arial" w:hAnsi="Arial"/>
          <w:color w:val="000000"/>
          <w:sz w:val="21"/>
          <w:szCs w:val="21"/>
          <w:shd w:fill="FFFFFF" w:val="clear"/>
        </w:rPr>
      </w:r>
    </w:p>
    <w:p>
      <w:pPr>
        <w:pStyle w:val="Standard"/>
        <w:jc w:val="center"/>
        <w:rPr>
          <w:rFonts w:ascii="Arial" w:hAnsi="Arial"/>
          <w:color w:val="000000"/>
          <w:sz w:val="21"/>
          <w:szCs w:val="21"/>
          <w:shd w:fill="FFFFFF" w:val="clear"/>
        </w:rPr>
      </w:pPr>
      <w:r>
        <w:rPr>
          <w:rFonts w:ascii="Arial" w:hAnsi="Arial"/>
          <w:color w:val="000000"/>
          <w:sz w:val="21"/>
          <w:szCs w:val="21"/>
          <w:shd w:fill="FFFFFF" w:val="clear"/>
        </w:rPr>
      </w:r>
    </w:p>
    <w:p>
      <w:pPr>
        <w:pStyle w:val="Standard"/>
        <w:jc w:val="center"/>
        <w:rPr>
          <w:rFonts w:ascii="Arial" w:hAnsi="Arial"/>
          <w:color w:val="000000"/>
          <w:sz w:val="21"/>
          <w:szCs w:val="21"/>
          <w:shd w:fill="FFFFFF" w:val="clear"/>
        </w:rPr>
      </w:pPr>
      <w:r>
        <w:rPr>
          <w:rFonts w:ascii="Arial" w:hAnsi="Arial"/>
          <w:color w:val="000000"/>
          <w:sz w:val="21"/>
          <w:szCs w:val="21"/>
          <w:shd w:fill="FFFFFF" w:val="clear"/>
        </w:rPr>
      </w:r>
    </w:p>
    <w:p>
      <w:pPr>
        <w:pStyle w:val="Standard"/>
        <w:jc w:val="center"/>
        <w:rPr>
          <w:rFonts w:ascii="Arial" w:hAnsi="Arial"/>
          <w:color w:val="000000"/>
          <w:sz w:val="21"/>
          <w:szCs w:val="21"/>
          <w:shd w:fill="FFFFFF" w:val="clear"/>
        </w:rPr>
      </w:pPr>
      <w:r>
        <w:rPr>
          <w:rFonts w:ascii="Arial" w:hAnsi="Arial"/>
          <w:color w:val="000000"/>
          <w:sz w:val="21"/>
          <w:szCs w:val="21"/>
          <w:shd w:fill="FFFFFF" w:val="clear"/>
        </w:rPr>
      </w:r>
    </w:p>
    <w:p>
      <w:pPr>
        <w:pStyle w:val="Standard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_____________________________________</w:t>
      </w:r>
    </w:p>
    <w:p>
      <w:pPr>
        <w:pStyle w:val="Standard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Ingra de Morais</w:t>
      </w:r>
    </w:p>
    <w:p>
      <w:pPr>
        <w:pStyle w:val="Standard"/>
        <w:jc w:val="center"/>
        <w:rPr>
          <w:rFonts w:ascii="Arial" w:hAnsi="Arial"/>
          <w:sz w:val="21"/>
          <w:szCs w:val="21"/>
        </w:rPr>
      </w:pPr>
      <w:r>
        <w:rPr>
          <w:rFonts w:ascii="Arial" w:hAnsi="Arial"/>
          <w:sz w:val="21"/>
          <w:szCs w:val="21"/>
        </w:rPr>
        <w:t>Diretora Administrativa</w:t>
      </w:r>
    </w:p>
    <w:p>
      <w:pPr>
        <w:pStyle w:val="Normal"/>
        <w:spacing w:before="0" w:after="200"/>
        <w:jc w:val="center"/>
        <w:rPr>
          <w:rFonts w:ascii="Arial" w:hAnsi="Arial" w:eastAsia="Arial" w:cs="Arial"/>
          <w:b/>
          <w:bCs/>
          <w:sz w:val="21"/>
          <w:szCs w:val="21"/>
          <w:u w:val="single"/>
        </w:rPr>
      </w:pPr>
      <w:r>
        <w:rPr>
          <w:rFonts w:eastAsia="Arial" w:cs="Arial" w:ascii="Arial" w:hAnsi="Arial"/>
          <w:b/>
          <w:bCs/>
          <w:sz w:val="21"/>
          <w:szCs w:val="21"/>
          <w:u w:val="singl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2837" w:leader="none"/>
      </w:tabs>
      <w:rPr/>
    </w:pPr>
    <w:r>
      <w:drawing>
        <wp:anchor distT="0" distB="0" distL="114300" distR="114300" simplePos="0" relativeHeight="17" behindDoc="1" locked="0" layoutInCell="0" allowOverlap="1">
          <wp:simplePos x="0" y="0"/>
          <wp:positionH relativeFrom="margin">
            <wp:posOffset>-1080770</wp:posOffset>
          </wp:positionH>
          <wp:positionV relativeFrom="margin">
            <wp:posOffset>8653780</wp:posOffset>
          </wp:positionV>
          <wp:extent cx="7586345" cy="1239520"/>
          <wp:effectExtent l="0" t="0" r="0" b="0"/>
          <wp:wrapSquare wrapText="bothSides"/>
          <wp:docPr id="4" name="Fig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6345" cy="1239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tab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2837" w:leader="none"/>
      </w:tabs>
      <w:rPr/>
    </w:pPr>
    <w:r>
      <w:drawing>
        <wp:anchor distT="0" distB="0" distL="114300" distR="114300" simplePos="0" relativeHeight="17" behindDoc="1" locked="0" layoutInCell="0" allowOverlap="1">
          <wp:simplePos x="0" y="0"/>
          <wp:positionH relativeFrom="margin">
            <wp:posOffset>-1080770</wp:posOffset>
          </wp:positionH>
          <wp:positionV relativeFrom="margin">
            <wp:posOffset>8653780</wp:posOffset>
          </wp:positionV>
          <wp:extent cx="7586345" cy="1239520"/>
          <wp:effectExtent l="0" t="0" r="0" b="0"/>
          <wp:wrapSquare wrapText="bothSides"/>
          <wp:docPr id="5" name="Fig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6345" cy="1239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0" distR="0" simplePos="0" relativeHeight="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041900" cy="4955540"/>
          <wp:effectExtent l="0" t="0" r="0" b="0"/>
          <wp:wrapNone/>
          <wp:docPr id="1" name="WordPictureWatermark1388585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388585969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041900" cy="4955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114300" distR="114300" simplePos="0" relativeHeight="9" behindDoc="1" locked="0" layoutInCell="0" allowOverlap="1">
          <wp:simplePos x="0" y="0"/>
          <wp:positionH relativeFrom="column">
            <wp:posOffset>2204085</wp:posOffset>
          </wp:positionH>
          <wp:positionV relativeFrom="paragraph">
            <wp:posOffset>-46990</wp:posOffset>
          </wp:positionV>
          <wp:extent cx="999490" cy="91440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461" t="17308" r="13222" b="15623"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distT="0" distB="0" distL="114300" distR="114300" simplePos="0" relativeHeight="9" behindDoc="1" locked="0" layoutInCell="0" allowOverlap="1">
          <wp:simplePos x="0" y="0"/>
          <wp:positionH relativeFrom="column">
            <wp:posOffset>2204085</wp:posOffset>
          </wp:positionH>
          <wp:positionV relativeFrom="paragraph">
            <wp:posOffset>-46990</wp:posOffset>
          </wp:positionV>
          <wp:extent cx="999490" cy="914400"/>
          <wp:effectExtent l="0" t="0" r="0" b="0"/>
          <wp:wrapTopAndBottom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461" t="17308" r="13222" b="15623"/>
                  <a:stretch>
                    <a:fillRect/>
                  </a:stretch>
                </pic:blipFill>
                <pic:spPr bwMode="auto">
                  <a:xfrm>
                    <a:off x="0" y="0"/>
                    <a:ext cx="99949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d5175"/>
    <w:rPr/>
  </w:style>
  <w:style w:type="character" w:styleId="RodapChar" w:customStyle="1">
    <w:name w:val="Rodapé Char"/>
    <w:basedOn w:val="DefaultParagraphFont"/>
    <w:uiPriority w:val="99"/>
    <w:qFormat/>
    <w:rsid w:val="001d5175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1d5175"/>
    <w:rPr>
      <w:rFonts w:ascii="Tahoma" w:hAnsi="Tahoma" w:cs="Tahoma"/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WWCharLFO2LVL9" w:customStyle="1">
    <w:name w:val="WW_CharLFO2LVL9"/>
    <w:qFormat/>
    <w:rPr>
      <w:rFonts w:ascii="Wingdings" w:hAnsi="Wingdings"/>
    </w:rPr>
  </w:style>
  <w:style w:type="character" w:styleId="WWCharLFO2LVL8" w:customStyle="1">
    <w:name w:val="WW_CharLFO2LVL8"/>
    <w:qFormat/>
    <w:rPr>
      <w:rFonts w:ascii="Courier New" w:hAnsi="Courier New" w:cs="Courier New"/>
    </w:rPr>
  </w:style>
  <w:style w:type="character" w:styleId="WWCharLFO2LVL7" w:customStyle="1">
    <w:name w:val="WW_CharLFO2LVL7"/>
    <w:qFormat/>
    <w:rPr>
      <w:rFonts w:ascii="Symbol" w:hAnsi="Symbol"/>
    </w:rPr>
  </w:style>
  <w:style w:type="character" w:styleId="WWCharLFO2LVL6" w:customStyle="1">
    <w:name w:val="WW_CharLFO2LVL6"/>
    <w:qFormat/>
    <w:rPr>
      <w:rFonts w:ascii="Wingdings" w:hAnsi="Wingdings"/>
    </w:rPr>
  </w:style>
  <w:style w:type="character" w:styleId="WWCharLFO2LVL5" w:customStyle="1">
    <w:name w:val="WW_CharLFO2LVL5"/>
    <w:qFormat/>
    <w:rPr>
      <w:rFonts w:ascii="Courier New" w:hAnsi="Courier New" w:cs="Courier New"/>
    </w:rPr>
  </w:style>
  <w:style w:type="character" w:styleId="WWCharLFO2LVL4" w:customStyle="1">
    <w:name w:val="WW_CharLFO2LVL4"/>
    <w:qFormat/>
    <w:rPr>
      <w:rFonts w:ascii="Symbol" w:hAnsi="Symbol"/>
    </w:rPr>
  </w:style>
  <w:style w:type="character" w:styleId="WWCharLFO2LVL3" w:customStyle="1">
    <w:name w:val="WW_CharLFO2LVL3"/>
    <w:qFormat/>
    <w:rPr>
      <w:rFonts w:ascii="Wingdings" w:hAnsi="Wingdings"/>
    </w:rPr>
  </w:style>
  <w:style w:type="character" w:styleId="WWCharLFO2LVL2" w:customStyle="1">
    <w:name w:val="WW_CharLFO2LVL2"/>
    <w:qFormat/>
    <w:rPr>
      <w:rFonts w:ascii="Courier New" w:hAnsi="Courier New" w:cs="Courier New"/>
    </w:rPr>
  </w:style>
  <w:style w:type="character" w:styleId="WWCharLFO2LVL1" w:customStyle="1">
    <w:name w:val="WW_CharLFO2LVL1"/>
    <w:qFormat/>
    <w:rPr>
      <w:rFonts w:ascii="Symbol" w:hAnsi="Symbol"/>
    </w:rPr>
  </w:style>
  <w:style w:type="character" w:styleId="WWCharLFO1LVL9" w:customStyle="1">
    <w:name w:val="WW_CharLFO1LVL9"/>
    <w:qFormat/>
    <w:rPr>
      <w:rFonts w:ascii="Wingdings" w:hAnsi="Wingdings"/>
    </w:rPr>
  </w:style>
  <w:style w:type="character" w:styleId="WWCharLFO1LVL8" w:customStyle="1">
    <w:name w:val="WW_CharLFO1LVL8"/>
    <w:qFormat/>
    <w:rPr>
      <w:rFonts w:ascii="Courier New" w:hAnsi="Courier New" w:cs="Courier New"/>
    </w:rPr>
  </w:style>
  <w:style w:type="character" w:styleId="WWCharLFO1LVL7" w:customStyle="1">
    <w:name w:val="WW_CharLFO1LVL7"/>
    <w:qFormat/>
    <w:rPr>
      <w:rFonts w:ascii="Symbol" w:hAnsi="Symbol"/>
    </w:rPr>
  </w:style>
  <w:style w:type="character" w:styleId="WWCharLFO1LVL6" w:customStyle="1">
    <w:name w:val="WW_CharLFO1LVL6"/>
    <w:qFormat/>
    <w:rPr>
      <w:rFonts w:ascii="Wingdings" w:hAnsi="Wingdings"/>
    </w:rPr>
  </w:style>
  <w:style w:type="character" w:styleId="WWCharLFO1LVL5" w:customStyle="1">
    <w:name w:val="WW_CharLFO1LVL5"/>
    <w:qFormat/>
    <w:rPr>
      <w:rFonts w:ascii="Courier New" w:hAnsi="Courier New" w:cs="Courier New"/>
    </w:rPr>
  </w:style>
  <w:style w:type="character" w:styleId="WWCharLFO1LVL4" w:customStyle="1">
    <w:name w:val="WW_CharLFO1LVL4"/>
    <w:qFormat/>
    <w:rPr>
      <w:rFonts w:ascii="Symbol" w:hAnsi="Symbol"/>
    </w:rPr>
  </w:style>
  <w:style w:type="character" w:styleId="WWCharLFO1LVL3" w:customStyle="1">
    <w:name w:val="WW_CharLFO1LVL3"/>
    <w:qFormat/>
    <w:rPr>
      <w:rFonts w:ascii="Wingdings" w:hAnsi="Wingdings"/>
    </w:rPr>
  </w:style>
  <w:style w:type="character" w:styleId="WWCharLFO1LVL2" w:customStyle="1">
    <w:name w:val="WW_CharLFO1LVL2"/>
    <w:qFormat/>
    <w:rPr>
      <w:rFonts w:ascii="Courier New" w:hAnsi="Courier New" w:cs="Courier New"/>
    </w:rPr>
  </w:style>
  <w:style w:type="character" w:styleId="WWCharLFO1LVL1" w:customStyle="1">
    <w:name w:val="WW_CharLFO1LVL1"/>
    <w:qFormat/>
    <w:rPr>
      <w:rFonts w:ascii="Symbol" w:hAnsi="Symbol"/>
    </w:rPr>
  </w:style>
  <w:style w:type="character" w:styleId="BalloonTextChar" w:customStyle="1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styleId="FooterChar" w:customStyle="1">
    <w:name w:val="Footer Char"/>
    <w:basedOn w:val="DefaultParagraphFont"/>
    <w:qFormat/>
    <w:rPr/>
  </w:style>
  <w:style w:type="character" w:styleId="HeaderChar" w:customStyle="1">
    <w:name w:val="Header Char"/>
    <w:basedOn w:val="DefaultParagraphFont"/>
    <w:qFormat/>
    <w:rPr/>
  </w:style>
  <w:style w:type="character" w:styleId="Marcadoresuser" w:customStyle="1">
    <w:name w:val="Marcadores (user)"/>
    <w:qFormat/>
    <w:rPr>
      <w:rFonts w:ascii="OpenSymbol" w:hAnsi="OpenSymbol" w:eastAsia="OpenSymbol" w:cs="OpenSymbol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fd6ab9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fd6ab9"/>
    <w:rPr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 w:customStyle="1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 w:customStyle="1">
    <w:name w:val="Cabeçalho e rodapé8"/>
    <w:basedOn w:val="Normal"/>
    <w:qFormat/>
    <w:pPr/>
    <w:rPr/>
  </w:style>
  <w:style w:type="paragraph" w:styleId="Cabealhoerodap9" w:customStyle="1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d517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d517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d51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200"/>
      <w:ind w:start="720"/>
      <w:contextualSpacing/>
    </w:pPr>
    <w:rPr/>
  </w:style>
  <w:style w:type="paragraph" w:styleId="Normal1" w:customStyle="1">
    <w:name w:val="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Contedodatabelauser" w:customStyle="1">
    <w:name w:val="Conteúdo da tabela (user)"/>
    <w:basedOn w:val="Normal"/>
    <w:qFormat/>
    <w:pPr>
      <w:widowControl w:val="false"/>
      <w:suppressLineNumbers/>
    </w:pPr>
    <w:rPr/>
  </w:style>
  <w:style w:type="paragraph" w:styleId="CommentText">
    <w:name w:val="annotation text"/>
    <w:basedOn w:val="Normal"/>
    <w:link w:val="TextodecomentrioChar"/>
    <w:uiPriority w:val="99"/>
    <w:unhideWhenUsed/>
    <w:rsid w:val="00fd6ab9"/>
    <w:pPr>
      <w:spacing w:lineRule="auto" w:line="240"/>
    </w:pPr>
    <w:rPr>
      <w:sz w:val="20"/>
      <w:szCs w:val="20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A14E2-EC15-414B-8B70-685ACE295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LibreOffice/25.8.5.2$Windows_X86_64 LibreOffice_project/9c8b85f387cc00a89945a79c9e6239f32e450ac2</Application>
  <AppVersion>15.0000</AppVersion>
  <Pages>8</Pages>
  <Words>1842</Words>
  <Characters>10986</Characters>
  <CharactersWithSpaces>12761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2026-04-09T13:59:00Z</dcterms:created>
  <dc:creator>Usuario</dc:creator>
  <dc:description/>
  <dc:language>pt-BR</dc:language>
  <cp:lastModifiedBy/>
  <cp:lastPrinted>2026-04-09T11:55:44Z</cp:lastPrinted>
  <dcterms:modified xsi:type="dcterms:W3CDTF">2026-04-17T16:25:12Z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