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56CC3" w14:textId="77777777" w:rsidR="00C66C1A" w:rsidRDefault="001A378B">
      <w:pPr>
        <w:spacing w:line="360" w:lineRule="auto"/>
        <w:jc w:val="center"/>
      </w:pPr>
      <w:r>
        <w:rPr>
          <w:rFonts w:ascii="Arial" w:hAnsi="Arial"/>
          <w:b/>
          <w:bCs/>
          <w:sz w:val="21"/>
          <w:szCs w:val="21"/>
        </w:rPr>
        <w:t>TERMO DE REFERÊNCIA</w:t>
      </w:r>
    </w:p>
    <w:p w14:paraId="62EA630F" w14:textId="77777777" w:rsidR="00C66C1A" w:rsidRDefault="00C66C1A">
      <w:pPr>
        <w:spacing w:line="360" w:lineRule="auto"/>
        <w:jc w:val="center"/>
        <w:rPr>
          <w:rFonts w:ascii="Arial" w:hAnsi="Arial"/>
          <w:b/>
          <w:bCs/>
          <w:sz w:val="21"/>
          <w:szCs w:val="21"/>
        </w:rPr>
      </w:pPr>
    </w:p>
    <w:p w14:paraId="54E717B5" w14:textId="77777777" w:rsidR="00C66C1A" w:rsidRDefault="001A378B">
      <w:pPr>
        <w:spacing w:line="360" w:lineRule="auto"/>
      </w:pPr>
      <w:r>
        <w:rPr>
          <w:rFonts w:ascii="Arial" w:hAnsi="Arial"/>
          <w:b/>
          <w:bCs/>
          <w:sz w:val="21"/>
          <w:szCs w:val="21"/>
        </w:rPr>
        <w:t>1. DEFINIÇÃO DO OBJETO:</w:t>
      </w:r>
    </w:p>
    <w:p w14:paraId="40854BC0" w14:textId="77777777" w:rsidR="00C66C1A" w:rsidRDefault="001A378B">
      <w:pPr>
        <w:spacing w:line="360" w:lineRule="auto"/>
        <w:jc w:val="both"/>
      </w:pPr>
      <w:r>
        <w:rPr>
          <w:rFonts w:ascii="Arial" w:hAnsi="Arial" w:cs="Calibri"/>
          <w:b/>
          <w:bCs/>
          <w:sz w:val="21"/>
          <w:szCs w:val="21"/>
          <w:shd w:val="clear" w:color="auto" w:fill="FFFFFF"/>
        </w:rPr>
        <w:t>1.1.</w:t>
      </w:r>
      <w:r>
        <w:rPr>
          <w:rFonts w:ascii="Arial" w:hAnsi="Arial" w:cs="Calibri"/>
          <w:sz w:val="21"/>
          <w:szCs w:val="21"/>
        </w:rPr>
        <w:t xml:space="preserve"> </w:t>
      </w:r>
      <w:r>
        <w:rPr>
          <w:rFonts w:ascii="Arial" w:hAnsi="Arial" w:cs="Calibri"/>
          <w:color w:val="000000"/>
          <w:sz w:val="21"/>
          <w:szCs w:val="21"/>
          <w:lang w:eastAsia="pt-BR"/>
        </w:rPr>
        <w:t xml:space="preserve">Contratação de empresa especializada </w:t>
      </w:r>
      <w:r>
        <w:rPr>
          <w:rFonts w:ascii="Arial" w:hAnsi="Arial" w:cs="Calibri"/>
          <w:color w:val="000000"/>
          <w:sz w:val="21"/>
          <w:szCs w:val="21"/>
          <w:shd w:val="clear" w:color="auto" w:fill="FFFFFF"/>
          <w:lang w:eastAsia="pt-BR"/>
        </w:rPr>
        <w:t>para Execução</w:t>
      </w:r>
      <w:r>
        <w:rPr>
          <w:rFonts w:ascii="Arial" w:hAnsi="Arial" w:cs="Times New Roman"/>
          <w:color w:val="000000"/>
          <w:sz w:val="21"/>
          <w:szCs w:val="21"/>
          <w:shd w:val="clear" w:color="auto" w:fill="FFFFFF"/>
          <w:lang w:eastAsia="pt-BR"/>
        </w:rPr>
        <w:t xml:space="preserve"> de Serviços de Engenharia para manutenção do telhado da Câmara Municipal de Capivari. </w:t>
      </w:r>
    </w:p>
    <w:p w14:paraId="54B7EC26" w14:textId="77777777" w:rsidR="00C66C1A" w:rsidRDefault="001A378B">
      <w:pPr>
        <w:spacing w:line="360" w:lineRule="auto"/>
        <w:jc w:val="both"/>
      </w:pPr>
      <w:r>
        <w:rPr>
          <w:rFonts w:ascii="Arial" w:hAnsi="Arial" w:cs="Calibri"/>
          <w:b/>
          <w:bCs/>
          <w:sz w:val="21"/>
          <w:szCs w:val="21"/>
          <w:shd w:val="clear" w:color="auto" w:fill="FFFFFF"/>
        </w:rPr>
        <w:t>1.2.</w:t>
      </w:r>
      <w:r>
        <w:rPr>
          <w:rFonts w:ascii="Arial" w:hAnsi="Arial" w:cs="Calibri"/>
          <w:sz w:val="21"/>
          <w:szCs w:val="21"/>
          <w:shd w:val="clear" w:color="auto" w:fill="FFFFFF"/>
        </w:rPr>
        <w:t xml:space="preserve"> A CONTRATADA dará plena e total garantia do serviço pelo prazo mínimo constante no contrato, a contar da data de recebimento da Autorização de Fornecimento, responsabilizando-se, dentro desse prazo, por qualquer problema, sem que isso acarrete a cobrança de qualquer custo adiciona</w:t>
      </w:r>
      <w:r>
        <w:rPr>
          <w:rFonts w:ascii="Arial" w:hAnsi="Arial" w:cs="Calibri"/>
          <w:sz w:val="21"/>
          <w:szCs w:val="21"/>
        </w:rPr>
        <w:t xml:space="preserve">l para a contratante. </w:t>
      </w:r>
    </w:p>
    <w:p w14:paraId="2EEB611F" w14:textId="77777777" w:rsidR="00C66C1A" w:rsidRDefault="001A378B">
      <w:pPr>
        <w:spacing w:line="360" w:lineRule="auto"/>
        <w:jc w:val="both"/>
      </w:pPr>
      <w:r>
        <w:rPr>
          <w:rFonts w:ascii="Arial" w:hAnsi="Arial" w:cs="Calibri"/>
          <w:b/>
          <w:bCs/>
          <w:color w:val="000000"/>
          <w:sz w:val="21"/>
          <w:szCs w:val="21"/>
          <w:shd w:val="clear" w:color="auto" w:fill="FFFFFF"/>
        </w:rPr>
        <w:t>1.3.</w:t>
      </w:r>
      <w:r>
        <w:rPr>
          <w:rFonts w:ascii="Arial" w:hAnsi="Arial" w:cs="Calibri"/>
          <w:color w:val="000000"/>
          <w:sz w:val="21"/>
          <w:szCs w:val="21"/>
          <w:shd w:val="clear" w:color="auto" w:fill="FFFFFF"/>
        </w:rPr>
        <w:t xml:space="preserve"> A contratação após seu empenho será realizada pelo fornecedor/vencedor do processo licitatório junto a nota fiscal na </w:t>
      </w:r>
      <w:r>
        <w:rPr>
          <w:rFonts w:ascii="Arial" w:hAnsi="Arial" w:cs="Arial"/>
          <w:bCs/>
          <w:color w:val="000000"/>
          <w:sz w:val="21"/>
          <w:szCs w:val="21"/>
          <w:shd w:val="clear" w:color="auto" w:fill="FFFFFF"/>
        </w:rPr>
        <w:t xml:space="preserve">Câmara Municipal de Capivari, localizado na Avenida Tarsila de Amaral, nº 490, Distrito Industrial Dr. </w:t>
      </w:r>
      <w:proofErr w:type="spellStart"/>
      <w:r>
        <w:rPr>
          <w:rFonts w:ascii="Arial" w:hAnsi="Arial" w:cs="Arial"/>
          <w:bCs/>
          <w:color w:val="000000"/>
          <w:sz w:val="21"/>
          <w:szCs w:val="21"/>
          <w:shd w:val="clear" w:color="auto" w:fill="FFFFFF"/>
        </w:rPr>
        <w:t>Jovenil</w:t>
      </w:r>
      <w:proofErr w:type="spellEnd"/>
      <w:r>
        <w:rPr>
          <w:rFonts w:ascii="Arial" w:hAnsi="Arial" w:cs="Arial"/>
          <w:bCs/>
          <w:color w:val="000000"/>
          <w:sz w:val="21"/>
          <w:szCs w:val="21"/>
          <w:shd w:val="clear" w:color="auto" w:fill="FFFFFF"/>
        </w:rPr>
        <w:t xml:space="preserve"> Forti,</w:t>
      </w:r>
      <w:r>
        <w:rPr>
          <w:rFonts w:ascii="Arial" w:hAnsi="Arial" w:cs="Calibri"/>
          <w:color w:val="000000"/>
          <w:sz w:val="21"/>
          <w:szCs w:val="21"/>
          <w:shd w:val="clear" w:color="auto" w:fill="FFFFFF"/>
        </w:rPr>
        <w:t xml:space="preserve"> de Segunda a Sexta das 08:00 às 17:00 horas.</w:t>
      </w:r>
    </w:p>
    <w:p w14:paraId="16F9AAA5" w14:textId="77777777" w:rsidR="00C66C1A" w:rsidRDefault="00C66C1A">
      <w:pPr>
        <w:spacing w:line="360" w:lineRule="auto"/>
        <w:jc w:val="both"/>
        <w:rPr>
          <w:rFonts w:ascii="Arial" w:hAnsi="Arial" w:cs="Calibri"/>
          <w:color w:val="000000"/>
          <w:sz w:val="21"/>
          <w:szCs w:val="21"/>
          <w:shd w:val="clear" w:color="auto" w:fill="FFFFFF"/>
        </w:rPr>
      </w:pPr>
    </w:p>
    <w:p w14:paraId="03144141" w14:textId="77777777" w:rsidR="00C66C1A" w:rsidRDefault="001A378B">
      <w:pPr>
        <w:spacing w:line="360" w:lineRule="auto"/>
      </w:pPr>
      <w:r>
        <w:rPr>
          <w:rFonts w:ascii="Arial" w:hAnsi="Arial"/>
          <w:b/>
          <w:bCs/>
          <w:sz w:val="21"/>
          <w:szCs w:val="21"/>
        </w:rPr>
        <w:t>2. FUNDAMENTAÇÃO DA CONTRATAÇÃO</w:t>
      </w:r>
    </w:p>
    <w:p w14:paraId="3B180EC4" w14:textId="77777777" w:rsidR="00C66C1A" w:rsidRDefault="001A378B">
      <w:pPr>
        <w:pStyle w:val="Corpodetexto"/>
        <w:spacing w:line="360" w:lineRule="auto"/>
        <w:jc w:val="both"/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2.1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 presente contratação tem por objetivo a realização de serviços de manutenção e reparo no telhado da Câmara Municipal de Capivari, cuja construção foi iniciada no ano de 2012, encontrando-se atualmente com mais de uma década de uso contínuo, sem intervenções estruturais completas no sistema de cobertura. Com o passar dos anos, e em decorrência da ação do tempo, o telhado passou a apresentar diversos danos estruturais, sendo constatados furos, trechos abertos, partes com ferragens expostas e enferrujadas,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bem como componentes que estão se desfazendo.</w:t>
      </w:r>
    </w:p>
    <w:p w14:paraId="24FB38DE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2.2</w:t>
      </w:r>
      <w:r>
        <w:rPr>
          <w:rFonts w:ascii="Arial" w:hAnsi="Arial"/>
          <w:color w:val="000000"/>
          <w:sz w:val="21"/>
          <w:szCs w:val="21"/>
        </w:rPr>
        <w:t xml:space="preserve"> Tais deteriorações têm causado infiltrações e vazamentos frequentes, principalmente em dias de chuva, o que tem comprometido o funcionamento regular das atividades administrativas da Câmara. A água tem invadido diversas salas, provocando danos às paredes, aos móveis institucionais, aos equipamentos eletrônicos e à rede elétrica, inclusive atingindo luminárias, fiações e forros, elevando o risco de curtos-circuitos e acidentes elétricos, além de prejuízos materiais.</w:t>
      </w:r>
    </w:p>
    <w:p w14:paraId="54C167F3" w14:textId="77777777" w:rsidR="00C66C1A" w:rsidRDefault="00C66C1A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</w:p>
    <w:p w14:paraId="1ABDC42C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2.3</w:t>
      </w:r>
      <w:r>
        <w:rPr>
          <w:rFonts w:ascii="Arial" w:hAnsi="Arial"/>
          <w:color w:val="000000"/>
          <w:sz w:val="21"/>
          <w:szCs w:val="21"/>
        </w:rPr>
        <w:t xml:space="preserve"> Diante do cenário apresentado, é evidente a necessidade urgente e inadiável de intervenção especializada, de modo a garantir a integridade da estrutura física do prédio e a segurança dos servidores e visitantes. A falta de reparo imediato poderá ampliar os danos já existentes, aumentar os custos futuros com manutenção corretiva, além de comprometer o patrimônio público e a continuidade dos serviços legislativos.</w:t>
      </w:r>
    </w:p>
    <w:p w14:paraId="7D1B9F3A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 xml:space="preserve">2.4 </w:t>
      </w:r>
      <w:r>
        <w:rPr>
          <w:rFonts w:ascii="Arial" w:hAnsi="Arial"/>
          <w:color w:val="000000"/>
          <w:sz w:val="21"/>
          <w:szCs w:val="21"/>
        </w:rPr>
        <w:t xml:space="preserve">A intervenção necessária compreende a manutenção corretiva e preventiva do telhado da Câmara Municipal de Capivari, englobando a substituição de telhas, vedação de goteiras, troca de calhas, rufos e condutores pluviais, bem como a remoção de ferrugem e aplicação de tratamento anticorrosivo em estruturas metálicas, conforme detalhamento em memorial descritivo. </w:t>
      </w:r>
    </w:p>
    <w:p w14:paraId="27B86CB5" w14:textId="77777777" w:rsidR="00C66C1A" w:rsidRDefault="001A378B">
      <w:pPr>
        <w:spacing w:line="360" w:lineRule="auto"/>
        <w:jc w:val="both"/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2.5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 presente contratação se faz necessária para que seja reestabelecida o perfeito funcionamento das instalações, segurança dos servidores e munícipes, como também contribuição para a preservação do patrimônio público. Ressalta-se que as fotografias anexadas ao processo possuem caráter meramente ilustrativo e comprobatório da situação atual, não sendo utilizadas como parâmetro técnico exclusivo para a execução dos serviços. </w:t>
      </w:r>
    </w:p>
    <w:p w14:paraId="692F2050" w14:textId="77777777" w:rsidR="00C66C1A" w:rsidRDefault="00C66C1A">
      <w:pPr>
        <w:spacing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FF77E9E" w14:textId="77777777" w:rsidR="00C66C1A" w:rsidRDefault="001A378B">
      <w:pPr>
        <w:spacing w:line="360" w:lineRule="auto"/>
      </w:pPr>
      <w:r>
        <w:rPr>
          <w:rFonts w:ascii="Arial" w:hAnsi="Arial"/>
          <w:b/>
          <w:bCs/>
          <w:sz w:val="21"/>
          <w:szCs w:val="21"/>
        </w:rPr>
        <w:t>3. DESCRIÇÃO DA SOLUÇÃO</w:t>
      </w:r>
    </w:p>
    <w:p w14:paraId="64C16044" w14:textId="77777777" w:rsidR="00C66C1A" w:rsidRDefault="001A378B">
      <w:pPr>
        <w:spacing w:line="360" w:lineRule="auto"/>
        <w:jc w:val="both"/>
      </w:pPr>
      <w:r>
        <w:rPr>
          <w:rFonts w:ascii="Arial" w:hAnsi="Arial" w:cs="Arial"/>
          <w:b/>
          <w:bCs/>
          <w:color w:val="000000"/>
          <w:sz w:val="21"/>
          <w:szCs w:val="21"/>
        </w:rPr>
        <w:t>3.1</w:t>
      </w:r>
      <w:r>
        <w:rPr>
          <w:rFonts w:ascii="Arial" w:hAnsi="Arial" w:cs="Arial"/>
          <w:color w:val="000000"/>
          <w:sz w:val="21"/>
          <w:szCs w:val="21"/>
        </w:rPr>
        <w:t xml:space="preserve"> Analisando as alternativas disponíveis e que atendam à necessidade da área requisitante, considerando a viabilidade técnica e econômica, a solução indicada é a realização de concorrência </w:t>
      </w:r>
      <w:r>
        <w:rPr>
          <w:rFonts w:ascii="Arial" w:hAnsi="Arial" w:cs="Arial"/>
          <w:color w:val="000000"/>
          <w:sz w:val="21"/>
          <w:szCs w:val="21"/>
        </w:rPr>
        <w:t>eletrônica</w:t>
      </w:r>
      <w:r>
        <w:rPr>
          <w:rFonts w:ascii="Arial" w:hAnsi="Arial" w:cs="Arial"/>
          <w:color w:val="EE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 xml:space="preserve">objetivando </w:t>
      </w:r>
      <w:r>
        <w:rPr>
          <w:rFonts w:ascii="Arial" w:hAnsi="Arial" w:cs="Arial"/>
          <w:color w:val="000000"/>
          <w:sz w:val="21"/>
          <w:szCs w:val="21"/>
        </w:rPr>
        <w:t>a contratação de empresa especializada em m</w:t>
      </w:r>
      <w:r>
        <w:rPr>
          <w:rFonts w:ascii="Arial" w:hAnsi="Arial" w:cs="Calibri"/>
          <w:color w:val="000000"/>
          <w:sz w:val="21"/>
          <w:szCs w:val="21"/>
          <w:lang w:eastAsia="pt-BR"/>
        </w:rPr>
        <w:t>anutenção de telhados</w:t>
      </w:r>
      <w:r>
        <w:rPr>
          <w:rFonts w:ascii="Arial" w:hAnsi="Arial" w:cs="Arial"/>
          <w:color w:val="000000"/>
          <w:sz w:val="21"/>
          <w:szCs w:val="21"/>
        </w:rPr>
        <w:t>, de acordo com especificações comuns existentes no mercado, capazes de atender aos requisitos mínimos estabelecidos no presente termo, como fornecer com uma boa qualidade, cumprimento do prazo estabelecido e atender à solicitação confor</w:t>
      </w:r>
      <w:r>
        <w:rPr>
          <w:rFonts w:ascii="Arial" w:hAnsi="Arial" w:cs="Arial"/>
          <w:color w:val="000000"/>
          <w:sz w:val="21"/>
          <w:szCs w:val="21"/>
        </w:rPr>
        <w:t>me descrito, tendo como objetivo direto ofertar um serviço público de qualidade.</w:t>
      </w:r>
    </w:p>
    <w:p w14:paraId="69970DFB" w14:textId="77777777" w:rsidR="00C66C1A" w:rsidRDefault="001A378B">
      <w:pPr>
        <w:spacing w:line="360" w:lineRule="auto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3.2</w:t>
      </w:r>
      <w:r>
        <w:rPr>
          <w:rFonts w:ascii="Arial" w:hAnsi="Arial"/>
          <w:sz w:val="21"/>
          <w:szCs w:val="21"/>
        </w:rPr>
        <w:t xml:space="preserve"> Detalhamento do serviço: </w:t>
      </w:r>
    </w:p>
    <w:tbl>
      <w:tblPr>
        <w:tblW w:w="95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64"/>
        <w:gridCol w:w="1066"/>
        <w:gridCol w:w="855"/>
      </w:tblGrid>
      <w:tr w:rsidR="00C66C1A" w14:paraId="6AF5A4B6" w14:textId="77777777"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004AFF" w14:textId="77777777" w:rsidR="00C66C1A" w:rsidRDefault="001A378B">
            <w:pPr>
              <w:pStyle w:val="Contedodatabela"/>
              <w:spacing w:line="360" w:lineRule="auto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9F94C" w14:textId="77777777" w:rsidR="00C66C1A" w:rsidRDefault="001A378B">
            <w:pPr>
              <w:pStyle w:val="Contedodatabela"/>
              <w:spacing w:line="360" w:lineRule="auto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Times New Roman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D9839" w14:textId="77777777" w:rsidR="00C66C1A" w:rsidRDefault="001A378B">
            <w:pPr>
              <w:pStyle w:val="Contedodatabela"/>
              <w:spacing w:line="360" w:lineRule="auto"/>
              <w:jc w:val="center"/>
              <w:rPr>
                <w:rFonts w:ascii="Arial" w:hAnsi="Arial" w:cs="Times New Roman"/>
                <w:b/>
                <w:bCs/>
                <w:sz w:val="18"/>
                <w:szCs w:val="18"/>
              </w:rPr>
            </w:pPr>
            <w:r>
              <w:rPr>
                <w:rFonts w:ascii="Arial" w:hAnsi="Arial" w:cs="Times New Roman"/>
                <w:b/>
                <w:bCs/>
                <w:sz w:val="18"/>
                <w:szCs w:val="18"/>
              </w:rPr>
              <w:t>UN MED</w:t>
            </w:r>
          </w:p>
        </w:tc>
      </w:tr>
      <w:tr w:rsidR="00C66C1A" w14:paraId="7D1A6DF9" w14:textId="77777777">
        <w:tc>
          <w:tcPr>
            <w:tcW w:w="7664" w:type="dxa"/>
            <w:tcBorders>
              <w:left w:val="single" w:sz="4" w:space="0" w:color="000000"/>
              <w:bottom w:val="single" w:sz="4" w:space="0" w:color="000000"/>
            </w:tcBorders>
          </w:tcPr>
          <w:p w14:paraId="6CBCCA6F" w14:textId="77777777" w:rsidR="00C66C1A" w:rsidRDefault="001A378B">
            <w:pPr>
              <w:pStyle w:val="Corpodetexto"/>
              <w:spacing w:line="360" w:lineRule="auto"/>
              <w:ind w:left="720"/>
              <w:jc w:val="both"/>
            </w:pPr>
            <w:r>
              <w:rPr>
                <w:rFonts w:ascii="Arial" w:hAnsi="Arial"/>
                <w:color w:val="000000"/>
                <w:sz w:val="18"/>
                <w:szCs w:val="18"/>
              </w:rPr>
              <w:lastRenderedPageBreak/>
              <w:t>Serviço especializado em manutenção de telhados conforme detalhamento em memorial descritivo.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</w:tcBorders>
          </w:tcPr>
          <w:p w14:paraId="21AEE8F5" w14:textId="77777777" w:rsidR="00C66C1A" w:rsidRDefault="001A378B">
            <w:pPr>
              <w:pStyle w:val="Contedodatabela"/>
              <w:spacing w:line="360" w:lineRule="auto"/>
              <w:jc w:val="center"/>
            </w:pPr>
            <w:r>
              <w:rPr>
                <w:rFonts w:ascii="Arial" w:hAnsi="Arial"/>
                <w:sz w:val="18"/>
                <w:szCs w:val="18"/>
              </w:rPr>
              <w:t>01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BB062" w14:textId="77777777" w:rsidR="00C66C1A" w:rsidRDefault="001A378B">
            <w:pPr>
              <w:pStyle w:val="Contedodatabela"/>
              <w:spacing w:line="360" w:lineRule="auto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Serviço</w:t>
            </w:r>
          </w:p>
        </w:tc>
      </w:tr>
    </w:tbl>
    <w:p w14:paraId="79F9E982" w14:textId="77777777" w:rsidR="00C66C1A" w:rsidRDefault="00C66C1A">
      <w:pPr>
        <w:spacing w:line="360" w:lineRule="auto"/>
        <w:rPr>
          <w:rFonts w:ascii="Arial" w:hAnsi="Arial"/>
          <w:sz w:val="21"/>
          <w:szCs w:val="21"/>
        </w:rPr>
      </w:pPr>
    </w:p>
    <w:p w14:paraId="03800A67" w14:textId="77777777" w:rsidR="00C66C1A" w:rsidRDefault="001A378B">
      <w:pPr>
        <w:spacing w:line="360" w:lineRule="auto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4. REQUISITOS DA CONTRATAÇÃO</w:t>
      </w:r>
    </w:p>
    <w:p w14:paraId="621BD3BA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4.1</w:t>
      </w:r>
      <w:r>
        <w:rPr>
          <w:rFonts w:ascii="Arial" w:hAnsi="Arial"/>
          <w:color w:val="000000"/>
          <w:sz w:val="21"/>
          <w:szCs w:val="21"/>
        </w:rPr>
        <w:t xml:space="preserve"> A empresa contratada deverá comprovar, no ato da contratação, que:</w:t>
      </w:r>
    </w:p>
    <w:p w14:paraId="60967D41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4.1.1</w:t>
      </w:r>
      <w:r>
        <w:rPr>
          <w:rFonts w:ascii="Arial" w:hAnsi="Arial"/>
          <w:color w:val="000000"/>
          <w:sz w:val="21"/>
          <w:szCs w:val="21"/>
        </w:rPr>
        <w:t xml:space="preserve"> Possui registro ativo no CNPJ com atividade compatível com a prestação de serviços;</w:t>
      </w:r>
    </w:p>
    <w:p w14:paraId="08501C08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4.1.2</w:t>
      </w:r>
      <w:r>
        <w:rPr>
          <w:rFonts w:ascii="Arial" w:hAnsi="Arial"/>
          <w:color w:val="000000"/>
          <w:sz w:val="21"/>
          <w:szCs w:val="21"/>
        </w:rPr>
        <w:t xml:space="preserve"> Está regular perante os órgãos fiscalizadores (Receita Federal, Estadual e Municipal);</w:t>
      </w:r>
    </w:p>
    <w:p w14:paraId="04500439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4.1.3</w:t>
      </w:r>
      <w:r>
        <w:rPr>
          <w:rFonts w:ascii="Arial" w:hAnsi="Arial"/>
          <w:color w:val="000000"/>
          <w:sz w:val="21"/>
          <w:szCs w:val="21"/>
        </w:rPr>
        <w:t xml:space="preserve"> Apresenta certidões negativas ou positivas com efeito de negativas quanto a débitos trabalhistas, tributários e previdenciários;</w:t>
      </w:r>
    </w:p>
    <w:p w14:paraId="0CBEC3B8" w14:textId="77777777" w:rsidR="00C66C1A" w:rsidRDefault="001A378B">
      <w:pPr>
        <w:pStyle w:val="Corpodetexto"/>
        <w:spacing w:after="180" w:line="360" w:lineRule="auto"/>
        <w:jc w:val="both"/>
        <w:rPr>
          <w:color w:val="000000"/>
          <w:sz w:val="21"/>
          <w:szCs w:val="21"/>
        </w:rPr>
      </w:pPr>
      <w:r>
        <w:rPr>
          <w:rStyle w:val="Forte"/>
          <w:rFonts w:ascii="Arial" w:hAnsi="Arial"/>
          <w:color w:val="000000"/>
          <w:sz w:val="21"/>
          <w:szCs w:val="21"/>
        </w:rPr>
        <w:t>4.1.4</w:t>
      </w:r>
      <w:r>
        <w:rPr>
          <w:rStyle w:val="Forte"/>
          <w:rFonts w:ascii="Arial" w:hAnsi="Arial"/>
          <w:b w:val="0"/>
          <w:bCs w:val="0"/>
          <w:color w:val="000000"/>
          <w:sz w:val="21"/>
          <w:szCs w:val="21"/>
        </w:rPr>
        <w:t xml:space="preserve"> </w:t>
      </w:r>
      <w:r>
        <w:rPr>
          <w:rFonts w:ascii="Arial" w:hAnsi="Arial"/>
          <w:color w:val="000000"/>
          <w:sz w:val="21"/>
          <w:szCs w:val="21"/>
        </w:rPr>
        <w:t>Que dispõe de equipe qualificada e equipamentos necessários para a execução completa dos serviços contratados;</w:t>
      </w:r>
    </w:p>
    <w:p w14:paraId="0D67287D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4.1.5</w:t>
      </w:r>
      <w:r>
        <w:rPr>
          <w:rFonts w:ascii="Arial" w:hAnsi="Arial"/>
          <w:color w:val="000000"/>
          <w:sz w:val="21"/>
          <w:szCs w:val="21"/>
        </w:rPr>
        <w:t xml:space="preserve"> Que possui infraestrutura adequada para atendimento dos prazos e padrões exigidos pela Câmara Municipal.</w:t>
      </w:r>
    </w:p>
    <w:p w14:paraId="4988F131" w14:textId="77777777" w:rsidR="00C66C1A" w:rsidRDefault="00C66C1A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</w:p>
    <w:p w14:paraId="2599BDF8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4.2</w:t>
      </w:r>
      <w:r>
        <w:rPr>
          <w:rFonts w:ascii="Arial" w:hAnsi="Arial"/>
          <w:color w:val="000000"/>
          <w:sz w:val="21"/>
          <w:szCs w:val="21"/>
        </w:rPr>
        <w:t xml:space="preserve"> Habilitação Técnica:</w:t>
      </w:r>
    </w:p>
    <w:p w14:paraId="16198C6B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4.2.1</w:t>
      </w:r>
      <w:r>
        <w:rPr>
          <w:rFonts w:ascii="Arial" w:hAnsi="Arial"/>
          <w:color w:val="000000"/>
          <w:sz w:val="21"/>
          <w:szCs w:val="21"/>
        </w:rPr>
        <w:t xml:space="preserve"> Prova de Registro da licitante na entidade profissional competente que se dará pela apresentação da Certidão de Registro no Conselho Regional de Engenharia, Arquitetura e Agronomia – CREA da empresa licitante, conforme Resolução 266/79, em pleno vigor, demonstrando situação regular na data de apresentação da proposta; </w:t>
      </w:r>
    </w:p>
    <w:p w14:paraId="6D2C969F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4.2.2</w:t>
      </w:r>
      <w:r>
        <w:rPr>
          <w:rFonts w:ascii="Arial" w:hAnsi="Arial"/>
          <w:color w:val="000000"/>
          <w:sz w:val="21"/>
          <w:szCs w:val="21"/>
        </w:rPr>
        <w:t xml:space="preserve"> A empresa com sede fora do Estado de São Paulo, caso seja declarada vencedora do certame, deverá providenciar o visto junto ao CREA/SP como condição indispensável para a assinatura do contrato, nos termos da legislação em vigor. </w:t>
      </w:r>
    </w:p>
    <w:p w14:paraId="629B42FA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4.2.3</w:t>
      </w:r>
      <w:r>
        <w:rPr>
          <w:rFonts w:ascii="Arial" w:hAnsi="Arial"/>
          <w:color w:val="000000"/>
          <w:sz w:val="21"/>
          <w:szCs w:val="21"/>
        </w:rPr>
        <w:t xml:space="preserve"> Atestado(s) ou Certidão(</w:t>
      </w:r>
      <w:proofErr w:type="spellStart"/>
      <w:r>
        <w:rPr>
          <w:rFonts w:ascii="Arial" w:hAnsi="Arial"/>
          <w:color w:val="000000"/>
          <w:sz w:val="21"/>
          <w:szCs w:val="21"/>
        </w:rPr>
        <w:t>ões</w:t>
      </w:r>
      <w:proofErr w:type="spellEnd"/>
      <w:r>
        <w:rPr>
          <w:rFonts w:ascii="Arial" w:hAnsi="Arial"/>
          <w:color w:val="000000"/>
          <w:sz w:val="21"/>
          <w:szCs w:val="21"/>
        </w:rPr>
        <w:t xml:space="preserve">) de Capacidade Operacional, fornecido(s) por pessoa(s) jurídica(s) de direito público ou privado, necessariamente em nome do licitante, devidamente registrado(s) no órgão competente – CREA, no(s) qual(ais) se indique(m) 50% (cinquenta por cento) de execução de serviços similares de complexidade tecnológica e operacional </w:t>
      </w:r>
      <w:r>
        <w:rPr>
          <w:rFonts w:ascii="Arial" w:hAnsi="Arial"/>
          <w:color w:val="000000"/>
          <w:sz w:val="21"/>
          <w:szCs w:val="21"/>
        </w:rPr>
        <w:lastRenderedPageBreak/>
        <w:t xml:space="preserve">equivalente ou superior ao objeto licitado, em conformidade com a Súmula n.º 24 do Tribunal de Contas do Estado de São Paulo – TCESP. </w:t>
      </w:r>
    </w:p>
    <w:p w14:paraId="79655C57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 xml:space="preserve">4.2.4 </w:t>
      </w:r>
      <w:r>
        <w:rPr>
          <w:rFonts w:ascii="Arial" w:hAnsi="Arial"/>
          <w:color w:val="000000"/>
          <w:sz w:val="21"/>
          <w:szCs w:val="21"/>
        </w:rPr>
        <w:t>Capacidade técnico-profissional que se dará através da comprovação de que o licitante possui um profissional de nível superior ou outro devidamente Página 13 de 52 reconhecido pela entidade competente, conforme a Súmula n.º 25 do TCESP, bem como nos termos da Resolução 218/73 do CONFEA, que será o responsável técnico pela execução dos serviços, devidamente registrado no Conselho de Engenharia, Arquitetura e Agronomia – CREA, detentor de atestado de responsabilidade técnica por execução de obra ou serviço de</w:t>
      </w:r>
      <w:r>
        <w:rPr>
          <w:rFonts w:ascii="Arial" w:hAnsi="Arial"/>
          <w:color w:val="000000"/>
          <w:sz w:val="21"/>
          <w:szCs w:val="21"/>
        </w:rPr>
        <w:t xml:space="preserve"> características semelhantes ao do objeto desta licitação, devidamente registrado (certidão de acervo técnico - CAT) no CREA, que atenda independente do seu quantitativo. </w:t>
      </w:r>
    </w:p>
    <w:p w14:paraId="4094688C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4.2.5</w:t>
      </w:r>
      <w:r>
        <w:rPr>
          <w:rFonts w:ascii="Arial" w:hAnsi="Arial"/>
          <w:color w:val="000000"/>
          <w:sz w:val="21"/>
          <w:szCs w:val="21"/>
        </w:rPr>
        <w:t xml:space="preserve"> A comprovação do registro do profissional junto ao CREA far-se-á através da apresentação de Certidão de Registro de Pessoa Física no Conselho Regional de Engenharia em pleno vigor. </w:t>
      </w:r>
    </w:p>
    <w:p w14:paraId="187B8EEA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4.2.6</w:t>
      </w:r>
      <w:r>
        <w:rPr>
          <w:rFonts w:ascii="Arial" w:hAnsi="Arial"/>
          <w:b/>
          <w:bCs/>
          <w:color w:val="000000"/>
          <w:sz w:val="21"/>
          <w:szCs w:val="21"/>
        </w:rPr>
        <w:t xml:space="preserve"> </w:t>
      </w:r>
      <w:r>
        <w:rPr>
          <w:rFonts w:ascii="Arial" w:hAnsi="Arial"/>
          <w:color w:val="000000"/>
          <w:sz w:val="21"/>
          <w:szCs w:val="21"/>
        </w:rPr>
        <w:t>A comprovação de vínculo profissional pode se dar mediante contrato social, registro na carteira profissional, ficha de empregado ou contrato de trabalho, sendo possível a contratação de profissional autônomo que preencha os requisitos e se responsabilize tecnicamente pela execução dos serviços (SÚMULA 25 DO TCESP), o qual deverá firmar declaração assumindo o compromisso de que se responsabilizará pela execução dos serviços objeto do edital em apreço, se porventura a licitante sagrar-se vencedora do proces</w:t>
      </w:r>
      <w:r>
        <w:rPr>
          <w:rFonts w:ascii="Arial" w:hAnsi="Arial"/>
          <w:color w:val="000000"/>
          <w:sz w:val="21"/>
          <w:szCs w:val="21"/>
        </w:rPr>
        <w:t>so licitatório.</w:t>
      </w:r>
    </w:p>
    <w:p w14:paraId="5726687E" w14:textId="77777777" w:rsidR="00C66C1A" w:rsidRDefault="001A378B">
      <w:pPr>
        <w:pStyle w:val="Corpodetexto"/>
        <w:spacing w:after="180" w:line="360" w:lineRule="auto"/>
        <w:jc w:val="both"/>
      </w:pPr>
      <w:r>
        <w:rPr>
          <w:rFonts w:ascii="Arial" w:hAnsi="Arial"/>
          <w:b/>
          <w:bCs/>
          <w:color w:val="000000"/>
          <w:sz w:val="21"/>
          <w:szCs w:val="21"/>
        </w:rPr>
        <w:t>4.2.7</w:t>
      </w:r>
      <w:r>
        <w:rPr>
          <w:rFonts w:ascii="Arial" w:hAnsi="Arial"/>
          <w:color w:val="000000"/>
          <w:sz w:val="21"/>
          <w:szCs w:val="21"/>
        </w:rPr>
        <w:t xml:space="preserve"> Os atestados mencionados nos itens anteriores, apresentados pelas licitantes, serão submetidos à análise conjunta de equipe de Compras e da equipe técnica designada por meio da Portaria 116/2026 (anexo), a qual designa o engenheiro responsável Arthur Sousa Alves Santiago para acompanhamento dos procedimentos licitatórios, fiscalizações e medições da obra. A análise dos atestados terá por finalidade verificar a compatibilidade com o objeto licitado, especialmente quanto às características, complexidade e pe</w:t>
      </w:r>
      <w:r>
        <w:rPr>
          <w:rFonts w:ascii="Arial" w:hAnsi="Arial"/>
          <w:color w:val="000000"/>
          <w:sz w:val="21"/>
          <w:szCs w:val="21"/>
        </w:rPr>
        <w:t xml:space="preserve">rtinência técnica, de modo a assegurar que a licitante possui capacidade técnico-operacional para a adequada execução dos serviços. </w:t>
      </w:r>
    </w:p>
    <w:p w14:paraId="7783A088" w14:textId="6E0991B7" w:rsidR="00C66C1A" w:rsidRDefault="001A378B">
      <w:pPr>
        <w:pStyle w:val="Corpodetexto"/>
        <w:spacing w:after="180" w:line="360" w:lineRule="auto"/>
        <w:jc w:val="both"/>
      </w:pPr>
      <w:r>
        <w:rPr>
          <w:rFonts w:ascii="Arial" w:hAnsi="Arial"/>
          <w:b/>
          <w:bCs/>
          <w:color w:val="000000"/>
          <w:sz w:val="21"/>
          <w:szCs w:val="21"/>
        </w:rPr>
        <w:t>4.2.7</w:t>
      </w:r>
      <w:r>
        <w:rPr>
          <w:rFonts w:ascii="Arial" w:hAnsi="Arial"/>
          <w:bCs/>
          <w:color w:val="000000"/>
          <w:sz w:val="21"/>
          <w:szCs w:val="21"/>
        </w:rPr>
        <w:t xml:space="preserve"> Da visita técnica ao local: a visita técnica ao local da execução dos serviços será </w:t>
      </w:r>
      <w:r w:rsidR="00812AD3">
        <w:rPr>
          <w:rFonts w:ascii="Arial" w:hAnsi="Arial"/>
          <w:bCs/>
          <w:color w:val="000000"/>
          <w:sz w:val="21"/>
          <w:szCs w:val="21"/>
        </w:rPr>
        <w:t>Obrigatória</w:t>
      </w:r>
      <w:r>
        <w:rPr>
          <w:rFonts w:ascii="Arial" w:hAnsi="Arial"/>
          <w:bCs/>
          <w:color w:val="000000"/>
          <w:sz w:val="21"/>
          <w:szCs w:val="21"/>
        </w:rPr>
        <w:t xml:space="preserve">, devendo ser realizada por representante legal ou profissional habilitado da </w:t>
      </w:r>
      <w:r>
        <w:rPr>
          <w:rFonts w:ascii="Arial" w:hAnsi="Arial"/>
          <w:bCs/>
          <w:color w:val="000000"/>
          <w:sz w:val="21"/>
          <w:szCs w:val="21"/>
        </w:rPr>
        <w:lastRenderedPageBreak/>
        <w:t xml:space="preserve">licitante, com o objetivo de conhecimento pleno das condições do local e das </w:t>
      </w:r>
      <w:proofErr w:type="spellStart"/>
      <w:r>
        <w:rPr>
          <w:rFonts w:ascii="Arial" w:hAnsi="Arial"/>
          <w:bCs/>
          <w:color w:val="000000"/>
          <w:sz w:val="21"/>
          <w:szCs w:val="21"/>
        </w:rPr>
        <w:t>especifidades</w:t>
      </w:r>
      <w:proofErr w:type="spellEnd"/>
      <w:r>
        <w:rPr>
          <w:rFonts w:ascii="Arial" w:hAnsi="Arial"/>
          <w:bCs/>
          <w:color w:val="000000"/>
          <w:sz w:val="21"/>
          <w:szCs w:val="21"/>
        </w:rPr>
        <w:t xml:space="preserve"> do objeto, após a realização da visita, será emitido atestado de visita técnica pela administração, a não realização da visita não implicará a inabilitação da licitante, sendo admitidas sua substituição por declaração de conhecimento e responsabilidade das condições legais. </w:t>
      </w:r>
    </w:p>
    <w:p w14:paraId="0FB27DCA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4.2.8</w:t>
      </w:r>
      <w:r>
        <w:rPr>
          <w:rFonts w:ascii="Arial" w:hAnsi="Arial"/>
          <w:color w:val="000000"/>
          <w:sz w:val="21"/>
          <w:szCs w:val="21"/>
        </w:rPr>
        <w:t xml:space="preserve"> Em se tratando de obra e serviços comuns de engenharia, entende-se por necessário a comprovação de aptidão técnica da licitante, compatível ao objeto da licitação, para que seja devidamente demonstrada a sua capacidade operacional e gerencial, a fim de que não sejam conferidos riscos à Administração na execução da obra, sendo:</w:t>
      </w:r>
    </w:p>
    <w:p w14:paraId="4D9075F0" w14:textId="77777777" w:rsidR="00C66C1A" w:rsidRDefault="00C66C1A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</w:p>
    <w:p w14:paraId="3A0963EF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4.3</w:t>
      </w:r>
      <w:r>
        <w:rPr>
          <w:rFonts w:ascii="Arial" w:hAnsi="Arial"/>
          <w:color w:val="000000"/>
          <w:sz w:val="21"/>
          <w:szCs w:val="21"/>
        </w:rPr>
        <w:t xml:space="preserve"> Fornecimento de Materiais e Responsabilidades:</w:t>
      </w:r>
    </w:p>
    <w:p w14:paraId="154BA94F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4.3.1</w:t>
      </w:r>
      <w:r>
        <w:rPr>
          <w:rFonts w:ascii="Arial" w:hAnsi="Arial"/>
          <w:color w:val="000000"/>
          <w:sz w:val="21"/>
          <w:szCs w:val="21"/>
        </w:rPr>
        <w:t xml:space="preserve"> Todos os materiais a serem utilizados na execução da obra serão de responsabilidade da contratada, de primeira qualidade, com garantia de fábrica e em conformidade com as normas técnicas da ABNT;</w:t>
      </w:r>
    </w:p>
    <w:p w14:paraId="12AAFB3E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4.3.2</w:t>
      </w:r>
      <w:r>
        <w:rPr>
          <w:rFonts w:ascii="Arial" w:hAnsi="Arial"/>
          <w:color w:val="000000"/>
          <w:sz w:val="21"/>
          <w:szCs w:val="21"/>
        </w:rPr>
        <w:t xml:space="preserve"> A contratada deverá providenciar o transporte, armazenamento e manuseio dos materiais, responsabilizando-se por eventuais perdas, extravios ou danos;</w:t>
      </w:r>
    </w:p>
    <w:p w14:paraId="44752E33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4.3.3</w:t>
      </w:r>
      <w:r>
        <w:rPr>
          <w:rFonts w:ascii="Arial" w:hAnsi="Arial"/>
          <w:color w:val="000000"/>
          <w:sz w:val="21"/>
          <w:szCs w:val="21"/>
        </w:rPr>
        <w:t xml:space="preserve"> A contratada será também responsável por toda a mão de obra, EPIs, ferramentas e equipamentos, assegurando a integridade física de seus trabalhadores e terceiros.</w:t>
      </w:r>
    </w:p>
    <w:p w14:paraId="5E7A289A" w14:textId="77777777" w:rsidR="00C66C1A" w:rsidRDefault="00C66C1A">
      <w:pPr>
        <w:pStyle w:val="Corpodetexto"/>
        <w:spacing w:after="180" w:line="360" w:lineRule="auto"/>
        <w:jc w:val="both"/>
      </w:pPr>
    </w:p>
    <w:p w14:paraId="0F748021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4.4</w:t>
      </w:r>
      <w:r>
        <w:rPr>
          <w:rFonts w:ascii="Arial" w:hAnsi="Arial"/>
          <w:color w:val="000000"/>
          <w:sz w:val="21"/>
          <w:szCs w:val="21"/>
        </w:rPr>
        <w:t xml:space="preserve"> Responsabilidade Legal e Trabalhista:</w:t>
      </w:r>
    </w:p>
    <w:p w14:paraId="03641FD9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4.4.1</w:t>
      </w:r>
      <w:r>
        <w:rPr>
          <w:rFonts w:ascii="Arial" w:hAnsi="Arial"/>
          <w:color w:val="000000"/>
          <w:sz w:val="21"/>
          <w:szCs w:val="21"/>
        </w:rPr>
        <w:t xml:space="preserve"> A contratada será inteiramente responsável pelos encargos trabalhistas, previdenciários, fiscais e comerciais decorrentes da execução do contrato, não podendo a Câmara Municipal ser responsabilizada, ainda que solidariamente, por qualquer inadimplemento.</w:t>
      </w:r>
    </w:p>
    <w:p w14:paraId="3326819A" w14:textId="77777777" w:rsidR="00C66C1A" w:rsidRDefault="00C66C1A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</w:p>
    <w:p w14:paraId="6746CC81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4.5</w:t>
      </w:r>
      <w:r>
        <w:rPr>
          <w:rFonts w:ascii="Arial" w:hAnsi="Arial"/>
          <w:color w:val="000000"/>
          <w:sz w:val="21"/>
          <w:szCs w:val="21"/>
        </w:rPr>
        <w:t xml:space="preserve"> Conformidade com Normas de Segurança e Meio Ambiente</w:t>
      </w:r>
    </w:p>
    <w:p w14:paraId="22206FB8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Durante a execução dos serviços, a contratada deverá:</w:t>
      </w:r>
    </w:p>
    <w:p w14:paraId="516AAD2D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lastRenderedPageBreak/>
        <w:t>4.5.1</w:t>
      </w:r>
      <w:r>
        <w:rPr>
          <w:rFonts w:ascii="Arial" w:hAnsi="Arial"/>
          <w:color w:val="000000"/>
          <w:sz w:val="21"/>
          <w:szCs w:val="21"/>
        </w:rPr>
        <w:t xml:space="preserve"> Adotar todas as normas de segurança do trabalho, incluindo fornecimento de EPIs e sinalização do local de obra;</w:t>
      </w:r>
    </w:p>
    <w:p w14:paraId="04826E32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4.5.2</w:t>
      </w:r>
      <w:r>
        <w:rPr>
          <w:rFonts w:ascii="Arial" w:hAnsi="Arial"/>
          <w:color w:val="000000"/>
          <w:sz w:val="21"/>
          <w:szCs w:val="21"/>
        </w:rPr>
        <w:t xml:space="preserve"> Respeitar as normas ambientais vigentes, especialmente no descarte de resíduos;</w:t>
      </w:r>
    </w:p>
    <w:p w14:paraId="1ACA1549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4.5.3</w:t>
      </w:r>
      <w:r>
        <w:rPr>
          <w:rFonts w:ascii="Arial" w:hAnsi="Arial"/>
          <w:color w:val="000000"/>
          <w:sz w:val="21"/>
          <w:szCs w:val="21"/>
        </w:rPr>
        <w:t xml:space="preserve"> Suspender os trabalhos caso haja risco iminente à integridade de pessoas, equipamentos ou da edificação, devendo comunicar imediatamente a fiscalização.</w:t>
      </w:r>
    </w:p>
    <w:p w14:paraId="559F4FEF" w14:textId="77777777" w:rsidR="00C66C1A" w:rsidRDefault="00C66C1A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</w:p>
    <w:p w14:paraId="5BCA696D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4.6</w:t>
      </w:r>
      <w:r>
        <w:rPr>
          <w:rFonts w:ascii="Arial" w:hAnsi="Arial"/>
          <w:color w:val="000000"/>
          <w:sz w:val="21"/>
          <w:szCs w:val="21"/>
        </w:rPr>
        <w:t xml:space="preserve"> Prazos e Penalidades:</w:t>
      </w:r>
    </w:p>
    <w:p w14:paraId="7F3B601F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4.6.1</w:t>
      </w:r>
      <w:r>
        <w:rPr>
          <w:rFonts w:ascii="Arial" w:hAnsi="Arial"/>
          <w:color w:val="000000"/>
          <w:sz w:val="21"/>
          <w:szCs w:val="21"/>
        </w:rPr>
        <w:t xml:space="preserve"> O prazo de execução será de 03 meses, contados a partir d</w:t>
      </w:r>
      <w:r>
        <w:rPr>
          <w:rFonts w:ascii="Arial" w:hAnsi="Arial"/>
          <w:color w:val="000000"/>
          <w:sz w:val="21"/>
          <w:szCs w:val="21"/>
        </w:rPr>
        <w:t>a emissão da o</w:t>
      </w:r>
      <w:r>
        <w:rPr>
          <w:rFonts w:ascii="Arial" w:hAnsi="Arial"/>
          <w:color w:val="000000"/>
          <w:sz w:val="21"/>
          <w:szCs w:val="21"/>
        </w:rPr>
        <w:t>rdem de serviço;</w:t>
      </w:r>
    </w:p>
    <w:p w14:paraId="23E38A30" w14:textId="77777777" w:rsidR="00C66C1A" w:rsidRDefault="001A378B">
      <w:pPr>
        <w:pStyle w:val="Corpodetexto"/>
        <w:spacing w:after="180" w:line="36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color w:val="000000"/>
          <w:sz w:val="21"/>
          <w:szCs w:val="21"/>
        </w:rPr>
        <w:t>4.6.2</w:t>
      </w:r>
      <w:r>
        <w:rPr>
          <w:rFonts w:ascii="Arial" w:hAnsi="Arial"/>
          <w:color w:val="000000"/>
          <w:sz w:val="21"/>
          <w:szCs w:val="21"/>
        </w:rPr>
        <w:t xml:space="preserve"> O descumprimento dos prazos ou das exigências técnicas poderá ensejar advertência, aplicação de multa, rescisão contratual e impedimento de contratar com a Administração Pública, conforme previsto na Lei nº 14.133/2021.</w:t>
      </w:r>
    </w:p>
    <w:p w14:paraId="6B390FE7" w14:textId="77777777" w:rsidR="00C66C1A" w:rsidRDefault="00C66C1A">
      <w:pPr>
        <w:pStyle w:val="PargrafodaLista"/>
        <w:spacing w:line="360" w:lineRule="auto"/>
        <w:ind w:left="0"/>
        <w:jc w:val="both"/>
        <w:rPr>
          <w:rFonts w:ascii="Arial" w:hAnsi="Arial"/>
          <w:sz w:val="21"/>
          <w:szCs w:val="21"/>
        </w:rPr>
      </w:pPr>
    </w:p>
    <w:p w14:paraId="0724012A" w14:textId="77777777" w:rsidR="00C66C1A" w:rsidRDefault="001A378B">
      <w:pPr>
        <w:spacing w:line="360" w:lineRule="auto"/>
      </w:pPr>
      <w:r>
        <w:rPr>
          <w:rFonts w:ascii="Arial" w:hAnsi="Arial"/>
          <w:b/>
          <w:bCs/>
          <w:sz w:val="21"/>
          <w:szCs w:val="21"/>
        </w:rPr>
        <w:t>5. MODELO DE GESTÃO DO CONTRATO E CRITÉRIOS DE MEDIÇÃO DE PAGAMENTO</w:t>
      </w:r>
    </w:p>
    <w:p w14:paraId="0B4D5FA2" w14:textId="77777777" w:rsidR="00C66C1A" w:rsidRDefault="001A378B">
      <w:pPr>
        <w:spacing w:line="360" w:lineRule="auto"/>
        <w:jc w:val="both"/>
      </w:pPr>
      <w:r>
        <w:rPr>
          <w:rFonts w:ascii="Arial" w:hAnsi="Arial" w:cs="Calibri"/>
          <w:b/>
          <w:bCs/>
          <w:color w:val="000000"/>
          <w:sz w:val="21"/>
          <w:szCs w:val="21"/>
        </w:rPr>
        <w:t>5.1.</w:t>
      </w:r>
      <w:r>
        <w:rPr>
          <w:rFonts w:ascii="Arial" w:hAnsi="Arial" w:cs="Calibri"/>
          <w:color w:val="000000"/>
          <w:sz w:val="21"/>
          <w:szCs w:val="21"/>
        </w:rPr>
        <w:t xml:space="preserve"> O pagamento será efetuado pela Contratante</w:t>
      </w:r>
      <w:r>
        <w:rPr>
          <w:rFonts w:ascii="Arial" w:hAnsi="Arial" w:cs="Calibri"/>
          <w:color w:val="000000"/>
          <w:sz w:val="21"/>
          <w:szCs w:val="21"/>
        </w:rPr>
        <w:t>, conforme cronograma físico-financeiro,</w:t>
      </w:r>
      <w:r>
        <w:rPr>
          <w:rFonts w:ascii="Arial" w:hAnsi="Arial" w:cs="Calibri"/>
          <w:color w:val="000000"/>
          <w:sz w:val="21"/>
          <w:szCs w:val="21"/>
        </w:rPr>
        <w:t xml:space="preserve"> através de TRANSFERÊNCIA BANCÁRIA à Contratada, mediante apresentação da Nota Fiscal, o</w:t>
      </w:r>
      <w:r>
        <w:rPr>
          <w:rFonts w:ascii="Arial" w:hAnsi="Arial" w:cs="Times New Roman"/>
          <w:color w:val="000000"/>
          <w:sz w:val="21"/>
          <w:szCs w:val="21"/>
        </w:rPr>
        <w:t>s mesmos serão efetuados de acordo com as condições estabelecidas pela Diretoria de Finanças, após a apresentação e aceitação da Nota Fiscal pela Diretoria Administrativa</w:t>
      </w:r>
      <w:r>
        <w:rPr>
          <w:rFonts w:ascii="Arial" w:hAnsi="Arial" w:cs="Calibri"/>
          <w:color w:val="000000"/>
          <w:sz w:val="21"/>
          <w:szCs w:val="21"/>
        </w:rPr>
        <w:t>, contendo número do Banco, Agência e Conta-Corrente;</w:t>
      </w:r>
    </w:p>
    <w:p w14:paraId="325A863F" w14:textId="77777777" w:rsidR="00C66C1A" w:rsidRDefault="001A378B">
      <w:pPr>
        <w:spacing w:line="360" w:lineRule="auto"/>
        <w:jc w:val="both"/>
      </w:pPr>
      <w:r>
        <w:rPr>
          <w:rFonts w:ascii="Arial" w:hAnsi="Arial" w:cs="Calibri"/>
          <w:b/>
          <w:bCs/>
          <w:color w:val="000000"/>
          <w:sz w:val="21"/>
          <w:szCs w:val="21"/>
          <w:lang w:eastAsia="pt-BR"/>
        </w:rPr>
        <w:t>5.2.</w:t>
      </w:r>
      <w:r>
        <w:rPr>
          <w:rFonts w:ascii="Arial" w:hAnsi="Arial" w:cs="Calibri"/>
          <w:color w:val="000000"/>
          <w:sz w:val="21"/>
          <w:szCs w:val="21"/>
          <w:lang w:eastAsia="pt-BR"/>
        </w:rPr>
        <w:t xml:space="preserve"> Havendo erro na Nota Fiscal/Fatura, não aceitação dos itens fornecidos ou outra circunstância que desaprove a liquidação da despesa a mesma ficará pendente e o pagamento sustado até que a </w:t>
      </w:r>
      <w:proofErr w:type="gramStart"/>
      <w:r>
        <w:rPr>
          <w:rFonts w:ascii="Arial" w:hAnsi="Arial" w:cs="Calibri"/>
          <w:color w:val="000000"/>
          <w:sz w:val="21"/>
          <w:szCs w:val="21"/>
          <w:lang w:eastAsia="pt-BR"/>
        </w:rPr>
        <w:t>Contratada aplique</w:t>
      </w:r>
      <w:proofErr w:type="gramEnd"/>
      <w:r>
        <w:rPr>
          <w:rFonts w:ascii="Arial" w:hAnsi="Arial" w:cs="Calibri"/>
          <w:color w:val="000000"/>
          <w:sz w:val="21"/>
          <w:szCs w:val="21"/>
          <w:lang w:eastAsia="pt-BR"/>
        </w:rPr>
        <w:t xml:space="preserve"> as medidas saneadoras necessárias;</w:t>
      </w:r>
    </w:p>
    <w:p w14:paraId="55DCE1CC" w14:textId="77777777" w:rsidR="00C66C1A" w:rsidRDefault="00C66C1A">
      <w:pPr>
        <w:spacing w:line="360" w:lineRule="auto"/>
        <w:rPr>
          <w:rFonts w:ascii="Arial" w:hAnsi="Arial"/>
          <w:sz w:val="21"/>
          <w:szCs w:val="21"/>
        </w:rPr>
      </w:pPr>
    </w:p>
    <w:p w14:paraId="15CF30D2" w14:textId="77777777" w:rsidR="00C66C1A" w:rsidRDefault="001A378B">
      <w:pPr>
        <w:spacing w:line="360" w:lineRule="auto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6. FORMA E CRITÉRIOS DE SELEÇÃO DO FORNECEDOR</w:t>
      </w:r>
    </w:p>
    <w:p w14:paraId="4890965F" w14:textId="77777777" w:rsidR="00C66C1A" w:rsidRDefault="001A378B">
      <w:pPr>
        <w:spacing w:line="360" w:lineRule="auto"/>
        <w:jc w:val="both"/>
      </w:pPr>
      <w:r>
        <w:rPr>
          <w:rFonts w:ascii="Arial" w:hAnsi="Arial" w:cs="Times New Roman"/>
          <w:b/>
          <w:bCs/>
          <w:sz w:val="21"/>
          <w:szCs w:val="21"/>
        </w:rPr>
        <w:lastRenderedPageBreak/>
        <w:t xml:space="preserve">6.1. </w:t>
      </w:r>
      <w:r>
        <w:rPr>
          <w:rFonts w:ascii="Arial" w:hAnsi="Arial" w:cs="Times New Roman"/>
          <w:sz w:val="21"/>
          <w:szCs w:val="21"/>
        </w:rPr>
        <w:t>A seleção do fornecedor será realizada por concorrên</w:t>
      </w:r>
      <w:r>
        <w:rPr>
          <w:rFonts w:ascii="Arial" w:hAnsi="Arial" w:cs="Times New Roman"/>
          <w:sz w:val="21"/>
          <w:szCs w:val="21"/>
        </w:rPr>
        <w:t>cia eletrônica, pelo menor preço global;</w:t>
      </w:r>
    </w:p>
    <w:p w14:paraId="6DE5892F" w14:textId="77777777" w:rsidR="00C66C1A" w:rsidRDefault="001A378B">
      <w:pPr>
        <w:spacing w:line="360" w:lineRule="auto"/>
        <w:jc w:val="both"/>
      </w:pPr>
      <w:r>
        <w:rPr>
          <w:rFonts w:ascii="Arial" w:hAnsi="Arial" w:cs="Times New Roman"/>
          <w:b/>
          <w:bCs/>
          <w:color w:val="000000"/>
          <w:sz w:val="21"/>
          <w:szCs w:val="21"/>
          <w:shd w:val="clear" w:color="auto" w:fill="FFFFFF"/>
        </w:rPr>
        <w:t>6.2.</w:t>
      </w:r>
      <w:r>
        <w:rPr>
          <w:rFonts w:ascii="Arial" w:hAnsi="Arial" w:cs="Times New Roman"/>
          <w:color w:val="000000"/>
          <w:sz w:val="21"/>
          <w:szCs w:val="21"/>
          <w:shd w:val="clear" w:color="auto" w:fill="FFFFFF"/>
        </w:rPr>
        <w:t xml:space="preserve"> Sobre o tratamento favorecido a microempresa, pequenas empresas e entidades equiparadas, na forma da LC nº 123/2006, optamos pelo não tratamento ao favorecido de acordo com o </w:t>
      </w:r>
      <w:r>
        <w:rPr>
          <w:rStyle w:val="Forte"/>
          <w:rFonts w:ascii="Arial" w:hAnsi="Arial" w:cs="Times New Roman"/>
          <w:b w:val="0"/>
          <w:bCs w:val="0"/>
          <w:i/>
          <w:iCs/>
          <w:color w:val="000000"/>
          <w:sz w:val="21"/>
          <w:szCs w:val="21"/>
          <w:shd w:val="clear" w:color="auto" w:fill="FFFFFF"/>
        </w:rPr>
        <w:t>“Art. 49.</w:t>
      </w:r>
      <w:r>
        <w:rPr>
          <w:rFonts w:ascii="Arial" w:hAnsi="Arial" w:cs="Times New Roman"/>
          <w:i/>
          <w:iCs/>
          <w:color w:val="000000"/>
          <w:sz w:val="21"/>
          <w:szCs w:val="21"/>
          <w:shd w:val="clear" w:color="auto" w:fill="FFFFFF"/>
        </w:rPr>
        <w:t xml:space="preserve"> Não se aplica o disposto nos </w:t>
      </w:r>
      <w:proofErr w:type="spellStart"/>
      <w:r>
        <w:rPr>
          <w:rFonts w:ascii="Arial" w:hAnsi="Arial" w:cs="Times New Roman"/>
          <w:i/>
          <w:iCs/>
          <w:color w:val="000000"/>
          <w:sz w:val="21"/>
          <w:szCs w:val="21"/>
          <w:shd w:val="clear" w:color="auto" w:fill="FFFFFF"/>
        </w:rPr>
        <w:t>arts</w:t>
      </w:r>
      <w:proofErr w:type="spellEnd"/>
      <w:r>
        <w:rPr>
          <w:rFonts w:ascii="Arial" w:hAnsi="Arial" w:cs="Times New Roman"/>
          <w:i/>
          <w:iCs/>
          <w:color w:val="000000"/>
          <w:sz w:val="21"/>
          <w:szCs w:val="21"/>
          <w:shd w:val="clear" w:color="auto" w:fill="FFFFFF"/>
        </w:rPr>
        <w:t>. 47 e 48 desta Lei Complementar quando: (Vide Lei nº 14.133, de 2021)</w:t>
      </w:r>
    </w:p>
    <w:p w14:paraId="19CCC5A4" w14:textId="77777777" w:rsidR="00C66C1A" w:rsidRDefault="001A378B">
      <w:pPr>
        <w:spacing w:line="360" w:lineRule="auto"/>
        <w:jc w:val="both"/>
      </w:pPr>
      <w:r>
        <w:rPr>
          <w:rStyle w:val="Forte"/>
          <w:rFonts w:ascii="Arial" w:hAnsi="Arial" w:cs="Times New Roman"/>
          <w:b w:val="0"/>
          <w:i/>
          <w:iCs/>
          <w:sz w:val="21"/>
          <w:szCs w:val="21"/>
        </w:rPr>
        <w:t xml:space="preserve">III – </w:t>
      </w:r>
      <w:r>
        <w:rPr>
          <w:rFonts w:ascii="Arial" w:hAnsi="Arial" w:cs="Times New Roman"/>
          <w:i/>
          <w:iCs/>
          <w:sz w:val="21"/>
          <w:szCs w:val="21"/>
        </w:rPr>
        <w:t>O tratamento diferenciado e simplificado para as microempresas e empresas de pequeno porte não for vantajoso para a administração pública ou representar prejuízo ao conjunto ou complexo do objeto a ser contratado”.</w:t>
      </w:r>
    </w:p>
    <w:p w14:paraId="5FC6D7E7" w14:textId="77777777" w:rsidR="00C66C1A" w:rsidRDefault="001A378B">
      <w:pPr>
        <w:spacing w:line="360" w:lineRule="auto"/>
        <w:jc w:val="both"/>
      </w:pPr>
      <w:r>
        <w:rPr>
          <w:rFonts w:ascii="Arial" w:hAnsi="Arial" w:cs="Times New Roman"/>
          <w:b/>
          <w:bCs/>
          <w:color w:val="000000"/>
          <w:sz w:val="21"/>
          <w:szCs w:val="21"/>
          <w:lang w:eastAsia="pt-BR"/>
        </w:rPr>
        <w:t>6.3</w:t>
      </w:r>
      <w:r>
        <w:rPr>
          <w:rFonts w:ascii="Arial" w:hAnsi="Arial" w:cs="Times New Roman"/>
          <w:color w:val="000000"/>
          <w:sz w:val="21"/>
          <w:szCs w:val="21"/>
          <w:lang w:eastAsia="pt-BR"/>
        </w:rPr>
        <w:t xml:space="preserve"> Os demais critérios de habilitação e julgamento podem ser definidos pelo Departamento de Compras e Licitações.</w:t>
      </w:r>
    </w:p>
    <w:p w14:paraId="6A55A304" w14:textId="77777777" w:rsidR="00C66C1A" w:rsidRDefault="00C66C1A">
      <w:pPr>
        <w:spacing w:line="360" w:lineRule="auto"/>
        <w:rPr>
          <w:rFonts w:ascii="Arial" w:hAnsi="Arial"/>
          <w:sz w:val="21"/>
          <w:szCs w:val="21"/>
        </w:rPr>
      </w:pPr>
    </w:p>
    <w:p w14:paraId="725BB215" w14:textId="77777777" w:rsidR="00C66C1A" w:rsidRDefault="001A378B">
      <w:pPr>
        <w:suppressAutoHyphens w:val="0"/>
        <w:spacing w:line="36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 w:cs="Times New Roman"/>
          <w:b/>
          <w:bCs/>
          <w:sz w:val="21"/>
          <w:szCs w:val="21"/>
          <w:lang w:eastAsia="pt-BR"/>
        </w:rPr>
        <w:t>7. ESTIMATIVAS DO VALOR DA CONTRATAÇÃO</w:t>
      </w:r>
    </w:p>
    <w:p w14:paraId="42CBC378" w14:textId="77777777" w:rsidR="00C66C1A" w:rsidRDefault="001A378B">
      <w:pPr>
        <w:spacing w:line="360" w:lineRule="auto"/>
        <w:jc w:val="both"/>
      </w:pPr>
      <w:r>
        <w:rPr>
          <w:rFonts w:ascii="Arial" w:hAnsi="Arial" w:cs="Calibri"/>
          <w:b/>
          <w:bCs/>
          <w:color w:val="000000"/>
          <w:sz w:val="21"/>
          <w:szCs w:val="21"/>
        </w:rPr>
        <w:t>7.1</w:t>
      </w:r>
      <w:r>
        <w:rPr>
          <w:rFonts w:ascii="Arial" w:hAnsi="Arial" w:cs="Calibri"/>
          <w:color w:val="000000"/>
          <w:sz w:val="21"/>
          <w:szCs w:val="21"/>
        </w:rPr>
        <w:t xml:space="preserve"> Conforme Planilha de Orçamento, Composições, Memorial de Cálculo, Critérios de Medição e Cronograma Físico-Financeiro o valor estimado é de </w:t>
      </w:r>
      <w:r>
        <w:rPr>
          <w:rFonts w:ascii="Arial" w:eastAsia="Arial" w:hAnsi="Arial" w:cs="Arial"/>
          <w:color w:val="000000"/>
          <w:sz w:val="21"/>
          <w:szCs w:val="21"/>
        </w:rPr>
        <w:t>R$ 628.473,47 (</w:t>
      </w:r>
      <w:r>
        <w:rPr>
          <w:rStyle w:val="Forte"/>
          <w:rFonts w:ascii="Arial" w:hAnsi="Arial" w:cs="Calibri"/>
          <w:b w:val="0"/>
          <w:color w:val="0A0A0A"/>
          <w:sz w:val="21"/>
          <w:szCs w:val="21"/>
        </w:rPr>
        <w:t xml:space="preserve">seiscentos e vinte e oito mil, quatrocentos e setenta e três reais e quarenta e sete centavos). </w:t>
      </w:r>
    </w:p>
    <w:p w14:paraId="1E16A58B" w14:textId="77777777" w:rsidR="00C66C1A" w:rsidRDefault="00C66C1A">
      <w:pPr>
        <w:spacing w:line="360" w:lineRule="auto"/>
        <w:jc w:val="both"/>
        <w:rPr>
          <w:rFonts w:ascii="Arial" w:hAnsi="Arial" w:cs="Calibri"/>
          <w:color w:val="000000"/>
          <w:sz w:val="21"/>
          <w:szCs w:val="21"/>
        </w:rPr>
      </w:pPr>
    </w:p>
    <w:p w14:paraId="65D97BE4" w14:textId="77777777" w:rsidR="00C66C1A" w:rsidRDefault="001A378B">
      <w:pPr>
        <w:spacing w:line="36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 w:cs="Times New Roman"/>
          <w:b/>
          <w:bCs/>
          <w:sz w:val="21"/>
          <w:szCs w:val="21"/>
        </w:rPr>
        <w:t>8. ADEQUAÇÃO ORÇAMENTÁRIA</w:t>
      </w:r>
    </w:p>
    <w:p w14:paraId="6372D515" w14:textId="77777777" w:rsidR="00C66C1A" w:rsidRDefault="001A378B">
      <w:pPr>
        <w:spacing w:line="360" w:lineRule="auto"/>
        <w:jc w:val="both"/>
      </w:pPr>
      <w:r>
        <w:rPr>
          <w:rFonts w:ascii="Arial" w:hAnsi="Arial" w:cs="Calibri"/>
          <w:b/>
          <w:bCs/>
          <w:color w:val="000000"/>
          <w:sz w:val="21"/>
          <w:szCs w:val="21"/>
        </w:rPr>
        <w:t xml:space="preserve">8.1 </w:t>
      </w:r>
      <w:r>
        <w:rPr>
          <w:rFonts w:ascii="Arial" w:hAnsi="Arial" w:cs="Calibri"/>
          <w:color w:val="000000"/>
          <w:sz w:val="21"/>
          <w:szCs w:val="21"/>
        </w:rPr>
        <w:t xml:space="preserve">Ficha orçamentária: </w:t>
      </w:r>
      <w:r>
        <w:rPr>
          <w:rStyle w:val="Forte"/>
          <w:rFonts w:ascii="Arial" w:hAnsi="Arial"/>
          <w:b w:val="0"/>
          <w:bCs w:val="0"/>
          <w:color w:val="000000"/>
          <w:sz w:val="21"/>
          <w:szCs w:val="21"/>
        </w:rPr>
        <w:t>0</w:t>
      </w:r>
      <w:r>
        <w:rPr>
          <w:rStyle w:val="Forte"/>
          <w:rFonts w:ascii="Arial" w:hAnsi="Arial"/>
          <w:b w:val="0"/>
          <w:color w:val="000000"/>
          <w:sz w:val="21"/>
          <w:szCs w:val="21"/>
        </w:rPr>
        <w:t>1.02.01.122.0295.1.258</w:t>
      </w:r>
      <w:r>
        <w:rPr>
          <w:rFonts w:ascii="Arial" w:hAnsi="Arial"/>
          <w:color w:val="000000"/>
          <w:sz w:val="21"/>
          <w:szCs w:val="21"/>
        </w:rPr>
        <w:t> </w:t>
      </w:r>
      <w:r>
        <w:rPr>
          <w:rStyle w:val="Forte"/>
          <w:rFonts w:ascii="Arial" w:hAnsi="Arial"/>
          <w:color w:val="000000"/>
          <w:sz w:val="21"/>
          <w:szCs w:val="21"/>
        </w:rPr>
        <w:t xml:space="preserve">– </w:t>
      </w:r>
      <w:r>
        <w:rPr>
          <w:rStyle w:val="Forte"/>
          <w:rFonts w:ascii="Arial" w:hAnsi="Arial"/>
          <w:b w:val="0"/>
          <w:color w:val="000000"/>
          <w:sz w:val="21"/>
          <w:szCs w:val="21"/>
        </w:rPr>
        <w:t>4.4.90.51-99</w:t>
      </w:r>
      <w:r>
        <w:rPr>
          <w:rStyle w:val="Forte"/>
          <w:rFonts w:ascii="Arial" w:hAnsi="Arial"/>
          <w:color w:val="000000"/>
          <w:sz w:val="21"/>
          <w:szCs w:val="21"/>
        </w:rPr>
        <w:t xml:space="preserve"> – </w:t>
      </w:r>
      <w:r>
        <w:rPr>
          <w:rStyle w:val="Forte"/>
          <w:rFonts w:ascii="Arial" w:hAnsi="Arial"/>
          <w:b w:val="0"/>
          <w:color w:val="000000"/>
          <w:sz w:val="21"/>
          <w:szCs w:val="21"/>
        </w:rPr>
        <w:t>OBRAS E INSTALAÇÕES – OUTRAS OBRAS E INSTALAÇÕES.</w:t>
      </w:r>
      <w:r>
        <w:rPr>
          <w:rFonts w:ascii="Arial" w:hAnsi="Arial"/>
          <w:color w:val="000000"/>
          <w:sz w:val="21"/>
          <w:szCs w:val="21"/>
        </w:rPr>
        <w:t xml:space="preserve"> </w:t>
      </w:r>
    </w:p>
    <w:p w14:paraId="47657F1D" w14:textId="77777777" w:rsidR="00C66C1A" w:rsidRDefault="00C66C1A">
      <w:pPr>
        <w:spacing w:line="360" w:lineRule="auto"/>
        <w:jc w:val="center"/>
        <w:rPr>
          <w:rFonts w:ascii="Arial" w:hAnsi="Arial" w:cs="Times New Roman"/>
          <w:sz w:val="21"/>
          <w:szCs w:val="21"/>
        </w:rPr>
      </w:pPr>
    </w:p>
    <w:p w14:paraId="1BCA5860" w14:textId="77777777" w:rsidR="00C66C1A" w:rsidRDefault="001A378B">
      <w:pPr>
        <w:spacing w:line="360" w:lineRule="auto"/>
        <w:jc w:val="center"/>
      </w:pPr>
      <w:r>
        <w:rPr>
          <w:rFonts w:ascii="Arial" w:hAnsi="Arial" w:cs="Times New Roman"/>
          <w:sz w:val="21"/>
          <w:szCs w:val="21"/>
        </w:rPr>
        <w:t>Capivari, 06 de abril de 2026.</w:t>
      </w:r>
    </w:p>
    <w:p w14:paraId="3CAD1060" w14:textId="77777777" w:rsidR="00C66C1A" w:rsidRDefault="00C66C1A">
      <w:pPr>
        <w:spacing w:line="360" w:lineRule="auto"/>
        <w:jc w:val="center"/>
        <w:rPr>
          <w:rFonts w:ascii="Arial" w:hAnsi="Arial"/>
          <w:sz w:val="21"/>
          <w:szCs w:val="21"/>
        </w:rPr>
      </w:pPr>
    </w:p>
    <w:p w14:paraId="565A00E0" w14:textId="77777777" w:rsidR="00C66C1A" w:rsidRDefault="00C66C1A">
      <w:pPr>
        <w:spacing w:after="0" w:line="360" w:lineRule="auto"/>
        <w:jc w:val="center"/>
        <w:rPr>
          <w:rFonts w:ascii="Arial" w:hAnsi="Arial" w:cs="Arial"/>
          <w:bCs/>
          <w:sz w:val="21"/>
          <w:szCs w:val="21"/>
        </w:rPr>
      </w:pPr>
    </w:p>
    <w:p w14:paraId="55E06E96" w14:textId="77777777" w:rsidR="00C66C1A" w:rsidRDefault="001A378B">
      <w:pPr>
        <w:spacing w:after="0" w:line="240" w:lineRule="auto"/>
        <w:jc w:val="center"/>
        <w:rPr>
          <w:rFonts w:ascii="Arial" w:hAnsi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_____________________________</w:t>
      </w:r>
    </w:p>
    <w:p w14:paraId="1DFF48D6" w14:textId="77777777" w:rsidR="00C66C1A" w:rsidRDefault="001A378B">
      <w:pPr>
        <w:spacing w:after="0" w:line="240" w:lineRule="auto"/>
        <w:jc w:val="center"/>
        <w:rPr>
          <w:rFonts w:ascii="Arial" w:hAnsi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Ingra de Morais</w:t>
      </w:r>
    </w:p>
    <w:p w14:paraId="6599F323" w14:textId="77777777" w:rsidR="00C66C1A" w:rsidRDefault="001A378B">
      <w:pPr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lastRenderedPageBreak/>
        <w:t>Diretora Administrativa </w:t>
      </w:r>
    </w:p>
    <w:sectPr w:rsidR="00C66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53BD9" w14:textId="77777777" w:rsidR="001A378B" w:rsidRDefault="001A378B">
      <w:pPr>
        <w:spacing w:after="0" w:line="240" w:lineRule="auto"/>
      </w:pPr>
      <w:r>
        <w:separator/>
      </w:r>
    </w:p>
  </w:endnote>
  <w:endnote w:type="continuationSeparator" w:id="0">
    <w:p w14:paraId="7A2BA130" w14:textId="77777777" w:rsidR="001A378B" w:rsidRDefault="001A3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38913" w14:textId="77777777" w:rsidR="00C66C1A" w:rsidRDefault="00C66C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BD587" w14:textId="77777777" w:rsidR="00C66C1A" w:rsidRDefault="001A378B">
    <w:pPr>
      <w:pStyle w:val="Rodap"/>
      <w:tabs>
        <w:tab w:val="clear" w:pos="4252"/>
        <w:tab w:val="clear" w:pos="8504"/>
        <w:tab w:val="left" w:pos="2837"/>
      </w:tabs>
    </w:pPr>
    <w:r>
      <w:rPr>
        <w:noProof/>
      </w:rPr>
      <w:drawing>
        <wp:anchor distT="0" distB="0" distL="114300" distR="114300" simplePos="0" relativeHeight="251657728" behindDoc="1" locked="0" layoutInCell="0" allowOverlap="1" wp14:anchorId="048CF360" wp14:editId="2E614D05">
          <wp:simplePos x="0" y="0"/>
          <wp:positionH relativeFrom="margin">
            <wp:posOffset>-1080770</wp:posOffset>
          </wp:positionH>
          <wp:positionV relativeFrom="margin">
            <wp:posOffset>8653780</wp:posOffset>
          </wp:positionV>
          <wp:extent cx="7586345" cy="1239520"/>
          <wp:effectExtent l="0" t="0" r="0" b="0"/>
          <wp:wrapSquare wrapText="bothSides"/>
          <wp:docPr id="4" name="Figura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6345" cy="1239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30335" w14:textId="77777777" w:rsidR="00C66C1A" w:rsidRDefault="001A378B">
    <w:pPr>
      <w:pStyle w:val="Rodap"/>
      <w:tabs>
        <w:tab w:val="clear" w:pos="4252"/>
        <w:tab w:val="clear" w:pos="8504"/>
        <w:tab w:val="left" w:pos="2837"/>
      </w:tabs>
    </w:pPr>
    <w:r>
      <w:rPr>
        <w:noProof/>
      </w:rPr>
      <w:drawing>
        <wp:anchor distT="0" distB="0" distL="114300" distR="114300" simplePos="0" relativeHeight="251658752" behindDoc="1" locked="0" layoutInCell="0" allowOverlap="1" wp14:anchorId="29341228" wp14:editId="4DA954BC">
          <wp:simplePos x="0" y="0"/>
          <wp:positionH relativeFrom="margin">
            <wp:posOffset>-1080770</wp:posOffset>
          </wp:positionH>
          <wp:positionV relativeFrom="margin">
            <wp:posOffset>8653780</wp:posOffset>
          </wp:positionV>
          <wp:extent cx="7586345" cy="1239520"/>
          <wp:effectExtent l="0" t="0" r="0" b="0"/>
          <wp:wrapSquare wrapText="bothSides"/>
          <wp:docPr id="5" name="Figura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6345" cy="1239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74F73" w14:textId="77777777" w:rsidR="001A378B" w:rsidRDefault="001A378B">
      <w:pPr>
        <w:spacing w:after="0" w:line="240" w:lineRule="auto"/>
      </w:pPr>
      <w:r>
        <w:separator/>
      </w:r>
    </w:p>
  </w:footnote>
  <w:footnote w:type="continuationSeparator" w:id="0">
    <w:p w14:paraId="28F86103" w14:textId="77777777" w:rsidR="001A378B" w:rsidRDefault="001A3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F8E89" w14:textId="77777777" w:rsidR="00C66C1A" w:rsidRDefault="001A378B">
    <w:pPr>
      <w:pStyle w:val="Cabealho"/>
    </w:pPr>
    <w:r>
      <w:rPr>
        <w:noProof/>
      </w:rPr>
      <w:drawing>
        <wp:anchor distT="0" distB="0" distL="0" distR="0" simplePos="0" relativeHeight="251659776" behindDoc="1" locked="0" layoutInCell="1" allowOverlap="1" wp14:anchorId="4DF697A5" wp14:editId="082473E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041900" cy="4955540"/>
          <wp:effectExtent l="0" t="0" r="0" b="0"/>
          <wp:wrapNone/>
          <wp:docPr id="1" name="WordPictureWatermark1388585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388585969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041900" cy="4955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4F16E" w14:textId="77777777" w:rsidR="00C66C1A" w:rsidRDefault="001A378B">
    <w:pPr>
      <w:pStyle w:val="Cabealho"/>
    </w:pPr>
    <w:r>
      <w:rPr>
        <w:noProof/>
      </w:rPr>
      <w:drawing>
        <wp:anchor distT="0" distB="0" distL="114300" distR="114300" simplePos="0" relativeHeight="251655680" behindDoc="1" locked="0" layoutInCell="0" allowOverlap="1" wp14:anchorId="797E3788" wp14:editId="7A255078">
          <wp:simplePos x="0" y="0"/>
          <wp:positionH relativeFrom="column">
            <wp:posOffset>2204085</wp:posOffset>
          </wp:positionH>
          <wp:positionV relativeFrom="paragraph">
            <wp:posOffset>-46990</wp:posOffset>
          </wp:positionV>
          <wp:extent cx="999490" cy="91440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461" t="17308" r="13222" b="15623"/>
                  <a:stretch>
                    <a:fillRect/>
                  </a:stretch>
                </pic:blipFill>
                <pic:spPr bwMode="auto">
                  <a:xfrm>
                    <a:off x="0" y="0"/>
                    <a:ext cx="99949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F2BA9" w14:textId="77777777" w:rsidR="00C66C1A" w:rsidRDefault="001A378B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65D4738F" wp14:editId="22621E60">
          <wp:simplePos x="0" y="0"/>
          <wp:positionH relativeFrom="column">
            <wp:posOffset>2204085</wp:posOffset>
          </wp:positionH>
          <wp:positionV relativeFrom="paragraph">
            <wp:posOffset>-46990</wp:posOffset>
          </wp:positionV>
          <wp:extent cx="999490" cy="914400"/>
          <wp:effectExtent l="0" t="0" r="0" b="0"/>
          <wp:wrapTopAndBottom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461" t="17308" r="13222" b="15623"/>
                  <a:stretch>
                    <a:fillRect/>
                  </a:stretch>
                </pic:blipFill>
                <pic:spPr bwMode="auto">
                  <a:xfrm>
                    <a:off x="0" y="0"/>
                    <a:ext cx="99949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C1A"/>
    <w:rsid w:val="001A378B"/>
    <w:rsid w:val="00812AD3"/>
    <w:rsid w:val="00C47A9E"/>
    <w:rsid w:val="00C6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4A45D"/>
  <w15:docId w15:val="{35E1342A-7104-4E51-AD53-9A174396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D5175"/>
  </w:style>
  <w:style w:type="character" w:customStyle="1" w:styleId="RodapChar">
    <w:name w:val="Rodapé Char"/>
    <w:basedOn w:val="Fontepargpadro"/>
    <w:link w:val="Rodap"/>
    <w:uiPriority w:val="99"/>
    <w:qFormat/>
    <w:rsid w:val="001D51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D5175"/>
    <w:rPr>
      <w:rFonts w:ascii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C2321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23219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23219"/>
    <w:rPr>
      <w:b/>
      <w:bCs/>
      <w:sz w:val="20"/>
      <w:szCs w:val="20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customStyle="1" w:styleId="Cabealhoerodap10">
    <w:name w:val="Cabeçalho e rodapé10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customStyle="1" w:styleId="Cabealhoerodap12">
    <w:name w:val="Cabeçalho e rodapé12"/>
    <w:basedOn w:val="Normal"/>
    <w:qFormat/>
  </w:style>
  <w:style w:type="paragraph" w:customStyle="1" w:styleId="Cabealhoerodap13">
    <w:name w:val="Cabeçalho e rodapé13"/>
    <w:basedOn w:val="Normal"/>
    <w:qFormat/>
  </w:style>
  <w:style w:type="paragraph" w:customStyle="1" w:styleId="Cabealhoerodap14">
    <w:name w:val="Cabeçalho e rodapé14"/>
    <w:basedOn w:val="Normal"/>
    <w:qFormat/>
  </w:style>
  <w:style w:type="paragraph" w:customStyle="1" w:styleId="Cabealhoerodap15">
    <w:name w:val="Cabeçalho e rodapé15"/>
    <w:basedOn w:val="Normal"/>
    <w:qFormat/>
  </w:style>
  <w:style w:type="paragraph" w:customStyle="1" w:styleId="Cabealhoerodap16">
    <w:name w:val="Cabeçalho e rodapé16"/>
    <w:basedOn w:val="Normal"/>
    <w:qFormat/>
  </w:style>
  <w:style w:type="paragraph" w:customStyle="1" w:styleId="Cabealhoerodap17">
    <w:name w:val="Cabeçalho e rodapé17"/>
    <w:basedOn w:val="Normal"/>
    <w:qFormat/>
  </w:style>
  <w:style w:type="paragraph" w:customStyle="1" w:styleId="Cabealhoerodap18">
    <w:name w:val="Cabeçalho e rodapé18"/>
    <w:basedOn w:val="Normal"/>
    <w:qFormat/>
  </w:style>
  <w:style w:type="paragraph" w:customStyle="1" w:styleId="Cabealhoerodap19">
    <w:name w:val="Cabeçalho e rodapé19"/>
    <w:basedOn w:val="Normal"/>
    <w:qFormat/>
  </w:style>
  <w:style w:type="paragraph" w:customStyle="1" w:styleId="Cabealhoerodap20">
    <w:name w:val="Cabeçalho e rodapé20"/>
    <w:basedOn w:val="Normal"/>
    <w:qFormat/>
  </w:style>
  <w:style w:type="paragraph" w:customStyle="1" w:styleId="Cabealhoerodap21">
    <w:name w:val="Cabeçalho e rodapé21"/>
    <w:basedOn w:val="Normal"/>
    <w:qFormat/>
  </w:style>
  <w:style w:type="paragraph" w:customStyle="1" w:styleId="Cabealhoerodap22">
    <w:name w:val="Cabeçalho e rodapé22"/>
    <w:basedOn w:val="Normal"/>
    <w:qFormat/>
  </w:style>
  <w:style w:type="paragraph" w:customStyle="1" w:styleId="Cabealhoerodap23">
    <w:name w:val="Cabeçalho e rodapé23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D517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D517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D517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C23219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23219"/>
    <w:rPr>
      <w:b/>
      <w:bCs/>
    </w:rPr>
  </w:style>
  <w:style w:type="numbering" w:customStyle="1" w:styleId="Semlista1">
    <w:name w:val="Sem lista1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A14E2-EC15-414B-8B70-685ACE295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1915</Words>
  <Characters>10342</Characters>
  <Application>Microsoft Office Word</Application>
  <DocSecurity>0</DocSecurity>
  <Lines>86</Lines>
  <Paragraphs>24</Paragraphs>
  <ScaleCrop>false</ScaleCrop>
  <Company/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Everton Bizin</cp:lastModifiedBy>
  <cp:revision>2</cp:revision>
  <cp:lastPrinted>2026-04-06T09:50:00Z</cp:lastPrinted>
  <dcterms:created xsi:type="dcterms:W3CDTF">2026-04-24T14:44:00Z</dcterms:created>
  <dcterms:modified xsi:type="dcterms:W3CDTF">2026-04-24T14:44:00Z</dcterms:modified>
  <dc:language>pt-BR</dc:language>
</cp:coreProperties>
</file>