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26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5268"/>
      </w:tblGrid>
      <w:tr w:rsidR="00B10001" w14:paraId="0A66093F" w14:textId="77777777" w:rsidTr="009E2995">
        <w:trPr>
          <w:jc w:val="center"/>
        </w:trPr>
        <w:tc>
          <w:tcPr>
            <w:tcW w:w="15268" w:type="dxa"/>
            <w:shd w:val="clear" w:color="auto" w:fill="1F3864"/>
            <w:tcMar>
              <w:top w:w="60" w:type="dxa"/>
              <w:left w:w="100" w:type="dxa"/>
              <w:bottom w:w="60" w:type="dxa"/>
              <w:right w:w="100" w:type="dxa"/>
            </w:tcMar>
            <w:vAlign w:val="center"/>
          </w:tcPr>
          <w:p w14:paraId="1F6BECBE" w14:textId="77777777" w:rsidR="00B10001" w:rsidRDefault="006B7EAD">
            <w:pPr>
              <w:spacing w:after="0"/>
              <w:jc w:val="center"/>
            </w:pPr>
            <w:r>
              <w:rPr>
                <w:b/>
                <w:bCs/>
                <w:color w:val="FFFFFF"/>
                <w:sz w:val="22"/>
              </w:rPr>
              <w:t>MUNICÍPIO DE GOIANA — PERNAMBUCO  |  Secretaria de Educação e Inovação Pedagógica</w:t>
            </w:r>
          </w:p>
        </w:tc>
      </w:tr>
      <w:tr w:rsidR="00B10001" w14:paraId="6A93AEB5" w14:textId="77777777" w:rsidTr="009E2995">
        <w:trPr>
          <w:jc w:val="center"/>
        </w:trPr>
        <w:tc>
          <w:tcPr>
            <w:tcW w:w="15268" w:type="dxa"/>
            <w:shd w:val="clear" w:color="auto" w:fill="F2F2F2"/>
            <w:tcMar>
              <w:top w:w="60" w:type="dxa"/>
              <w:left w:w="100" w:type="dxa"/>
              <w:bottom w:w="60" w:type="dxa"/>
              <w:right w:w="100" w:type="dxa"/>
            </w:tcMar>
          </w:tcPr>
          <w:p w14:paraId="077D6FA9" w14:textId="77777777" w:rsidR="00B10001" w:rsidRDefault="006B7EAD">
            <w:pPr>
              <w:spacing w:after="0"/>
              <w:jc w:val="center"/>
            </w:pPr>
            <w:r>
              <w:rPr>
                <w:b/>
                <w:bCs/>
                <w:color w:val="1F3864"/>
                <w:sz w:val="32"/>
                <w:szCs w:val="32"/>
              </w:rPr>
              <w:t>MAPA DE RISCOS E MATRIZ DE RISCOS CONTRATUAL</w:t>
            </w:r>
          </w:p>
          <w:p w14:paraId="72315B97" w14:textId="77777777" w:rsidR="00B10001" w:rsidRDefault="006B7EAD">
            <w:pPr>
              <w:spacing w:after="0"/>
              <w:jc w:val="center"/>
            </w:pPr>
            <w:r>
              <w:rPr>
                <w:i/>
                <w:color w:val="1F3864"/>
                <w:sz w:val="20"/>
                <w:szCs w:val="20"/>
              </w:rPr>
              <w:t>Reforma, Adequações e Ampliação da Escola Municipal João Gonçalves de Azevedo</w:t>
            </w:r>
          </w:p>
        </w:tc>
      </w:tr>
      <w:tr w:rsidR="00B10001" w14:paraId="7205497D" w14:textId="77777777" w:rsidTr="009E2995">
        <w:trPr>
          <w:jc w:val="center"/>
        </w:trPr>
        <w:tc>
          <w:tcPr>
            <w:tcW w:w="15268" w:type="dxa"/>
            <w:shd w:val="clear" w:color="auto" w:fill="1F3864"/>
            <w:tcMar>
              <w:top w:w="60" w:type="dxa"/>
              <w:left w:w="100" w:type="dxa"/>
              <w:bottom w:w="60" w:type="dxa"/>
              <w:right w:w="100" w:type="dxa"/>
            </w:tcMar>
            <w:vAlign w:val="center"/>
          </w:tcPr>
          <w:p w14:paraId="3EA24386" w14:textId="77777777" w:rsidR="00B10001" w:rsidRDefault="006B7EAD">
            <w:pPr>
              <w:spacing w:after="0"/>
              <w:jc w:val="center"/>
            </w:pPr>
            <w:r w:rsidRPr="00F6596C">
              <w:rPr>
                <w:color w:val="FFFFFF"/>
                <w:sz w:val="20"/>
                <w:szCs w:val="20"/>
              </w:rPr>
              <w:t>Concorrência Eletrônica  |  Contratação Semi-Integrada  |  Lei nº 14.133/2021  |  Goiana/PE, 01 de junho de 2026</w:t>
            </w:r>
          </w:p>
        </w:tc>
      </w:tr>
    </w:tbl>
    <w:p w14:paraId="4FE12A22" w14:textId="77777777" w:rsidR="00B10001" w:rsidRDefault="0056769B">
      <w:pPr>
        <w:spacing w:after="0"/>
      </w:pPr>
    </w:p>
    <w:tbl>
      <w:tblPr>
        <w:tblW w:w="1526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800"/>
        <w:gridCol w:w="12468"/>
      </w:tblGrid>
      <w:tr w:rsidR="00B10001" w14:paraId="6605F9D0" w14:textId="77777777" w:rsidTr="009E2995">
        <w:trPr>
          <w:jc w:val="center"/>
        </w:trPr>
        <w:tc>
          <w:tcPr>
            <w:tcW w:w="15268" w:type="dxa"/>
            <w:gridSpan w:val="2"/>
            <w:shd w:val="clear" w:color="auto" w:fill="1F3864"/>
            <w:tcMar>
              <w:top w:w="60" w:type="dxa"/>
              <w:left w:w="100" w:type="dxa"/>
              <w:bottom w:w="60" w:type="dxa"/>
              <w:right w:w="100" w:type="dxa"/>
            </w:tcMar>
            <w:vAlign w:val="center"/>
          </w:tcPr>
          <w:p w14:paraId="0C1A3F95" w14:textId="77777777" w:rsidR="00B10001" w:rsidRDefault="006B7EAD">
            <w:pPr>
              <w:spacing w:after="0"/>
              <w:jc w:val="center"/>
            </w:pPr>
            <w:r>
              <w:rPr>
                <w:b/>
                <w:bCs/>
                <w:color w:val="FFFFFF"/>
                <w:sz w:val="20"/>
                <w:szCs w:val="20"/>
              </w:rPr>
              <w:t>IDENTIFICAÇÃO DO PROCESSO</w:t>
            </w:r>
          </w:p>
        </w:tc>
      </w:tr>
      <w:tr w:rsidR="00B10001" w14:paraId="32D881CA" w14:textId="77777777" w:rsidTr="009E2995">
        <w:trPr>
          <w:jc w:val="center"/>
        </w:trPr>
        <w:tc>
          <w:tcPr>
            <w:tcW w:w="2800" w:type="dxa"/>
            <w:shd w:val="clear" w:color="auto" w:fill="F2F2F2"/>
            <w:tcMar>
              <w:top w:w="60" w:type="dxa"/>
              <w:left w:w="100" w:type="dxa"/>
              <w:bottom w:w="60" w:type="dxa"/>
              <w:right w:w="100" w:type="dxa"/>
            </w:tcMar>
            <w:vAlign w:val="center"/>
          </w:tcPr>
          <w:p w14:paraId="0E4D93BB" w14:textId="77777777" w:rsidR="00B10001" w:rsidRDefault="006B7EAD">
            <w:pPr>
              <w:spacing w:after="0"/>
            </w:pPr>
            <w:r>
              <w:rPr>
                <w:b/>
                <w:bCs/>
                <w:color w:val="1A1A1A"/>
                <w:sz w:val="20"/>
                <w:szCs w:val="20"/>
              </w:rPr>
              <w:t>Secretaria Demandante</w:t>
            </w:r>
          </w:p>
        </w:tc>
        <w:tc>
          <w:tcPr>
            <w:tcW w:w="12468" w:type="dxa"/>
            <w:shd w:val="clear" w:color="auto" w:fill="FFFFFF"/>
            <w:tcMar>
              <w:top w:w="60" w:type="dxa"/>
              <w:left w:w="100" w:type="dxa"/>
              <w:bottom w:w="60" w:type="dxa"/>
              <w:right w:w="100" w:type="dxa"/>
            </w:tcMar>
            <w:vAlign w:val="center"/>
          </w:tcPr>
          <w:p w14:paraId="51292760" w14:textId="77777777" w:rsidR="00B10001" w:rsidRDefault="006B7EAD">
            <w:pPr>
              <w:spacing w:after="0"/>
            </w:pPr>
            <w:r>
              <w:rPr>
                <w:color w:val="1A1A1A"/>
                <w:sz w:val="20"/>
                <w:szCs w:val="20"/>
              </w:rPr>
              <w:t>Secretaria de Educação e Inovação Pedagógica — Município de Goiana/PE</w:t>
            </w:r>
          </w:p>
        </w:tc>
      </w:tr>
      <w:tr w:rsidR="00B10001" w14:paraId="710040BC" w14:textId="77777777" w:rsidTr="009E2995">
        <w:trPr>
          <w:jc w:val="center"/>
        </w:trPr>
        <w:tc>
          <w:tcPr>
            <w:tcW w:w="2800" w:type="dxa"/>
            <w:shd w:val="clear" w:color="auto" w:fill="F2F2F2"/>
            <w:tcMar>
              <w:top w:w="60" w:type="dxa"/>
              <w:left w:w="100" w:type="dxa"/>
              <w:bottom w:w="60" w:type="dxa"/>
              <w:right w:w="100" w:type="dxa"/>
            </w:tcMar>
            <w:vAlign w:val="center"/>
          </w:tcPr>
          <w:p w14:paraId="36F7FC26" w14:textId="77777777" w:rsidR="00B10001" w:rsidRDefault="006B7EAD">
            <w:pPr>
              <w:spacing w:after="0"/>
            </w:pPr>
            <w:r>
              <w:rPr>
                <w:b/>
                <w:bCs/>
                <w:color w:val="1A1A1A"/>
                <w:sz w:val="20"/>
                <w:szCs w:val="20"/>
              </w:rPr>
              <w:t>Objeto</w:t>
            </w:r>
          </w:p>
        </w:tc>
        <w:tc>
          <w:tcPr>
            <w:tcW w:w="12468" w:type="dxa"/>
            <w:shd w:val="clear" w:color="auto" w:fill="FFFFFF"/>
            <w:tcMar>
              <w:top w:w="60" w:type="dxa"/>
              <w:left w:w="100" w:type="dxa"/>
              <w:bottom w:w="60" w:type="dxa"/>
              <w:right w:w="100" w:type="dxa"/>
            </w:tcMar>
            <w:vAlign w:val="center"/>
          </w:tcPr>
          <w:p w14:paraId="62910882" w14:textId="77777777" w:rsidR="00B10001" w:rsidRDefault="006B7EAD">
            <w:pPr>
              <w:spacing w:after="0"/>
            </w:pPr>
            <w:r>
              <w:rPr>
                <w:color w:val="1A1A1A"/>
                <w:sz w:val="20"/>
                <w:szCs w:val="20"/>
              </w:rPr>
              <w:t>Contratação de Empresa Especializada em Engenharia e Arquitetura para Reforma, Adequações e Ampliação da Escola Municipal João Gonçalves de Azevedo, Localizada na Praia de Barra de Catuama, s/n, no Município de Goiana/PE</w:t>
            </w:r>
          </w:p>
        </w:tc>
      </w:tr>
      <w:tr w:rsidR="00B10001" w14:paraId="7D84EEBC" w14:textId="77777777" w:rsidTr="009E2995">
        <w:trPr>
          <w:jc w:val="center"/>
        </w:trPr>
        <w:tc>
          <w:tcPr>
            <w:tcW w:w="2800" w:type="dxa"/>
            <w:shd w:val="clear" w:color="auto" w:fill="F2F2F2"/>
            <w:tcMar>
              <w:top w:w="60" w:type="dxa"/>
              <w:left w:w="100" w:type="dxa"/>
              <w:bottom w:w="60" w:type="dxa"/>
              <w:right w:w="100" w:type="dxa"/>
            </w:tcMar>
            <w:vAlign w:val="center"/>
          </w:tcPr>
          <w:p w14:paraId="31C06083" w14:textId="77777777" w:rsidR="00B10001" w:rsidRDefault="006B7EAD">
            <w:pPr>
              <w:spacing w:after="0"/>
            </w:pPr>
            <w:r>
              <w:rPr>
                <w:b/>
                <w:bCs/>
                <w:color w:val="1A1A1A"/>
                <w:sz w:val="20"/>
                <w:szCs w:val="20"/>
              </w:rPr>
              <w:t>Modalidade / Regime / Critério</w:t>
            </w:r>
          </w:p>
        </w:tc>
        <w:tc>
          <w:tcPr>
            <w:tcW w:w="12468" w:type="dxa"/>
            <w:shd w:val="clear" w:color="auto" w:fill="FFFFFF"/>
            <w:tcMar>
              <w:top w:w="60" w:type="dxa"/>
              <w:left w:w="100" w:type="dxa"/>
              <w:bottom w:w="60" w:type="dxa"/>
              <w:right w:w="100" w:type="dxa"/>
            </w:tcMar>
            <w:vAlign w:val="center"/>
          </w:tcPr>
          <w:p w14:paraId="3C4350F1" w14:textId="77777777" w:rsidR="00B10001" w:rsidRDefault="006B7EAD">
            <w:pPr>
              <w:spacing w:after="0"/>
            </w:pPr>
            <w:r>
              <w:rPr>
                <w:color w:val="1A1A1A"/>
                <w:sz w:val="20"/>
                <w:szCs w:val="20"/>
              </w:rPr>
              <w:t>Concorrência Eletrônica — Contratação Semi-Integrada — Menor Preço</w:t>
            </w:r>
          </w:p>
        </w:tc>
      </w:tr>
      <w:tr w:rsidR="00B10001" w14:paraId="41E84DCA" w14:textId="77777777" w:rsidTr="009E2995">
        <w:trPr>
          <w:jc w:val="center"/>
        </w:trPr>
        <w:tc>
          <w:tcPr>
            <w:tcW w:w="2800" w:type="dxa"/>
            <w:shd w:val="clear" w:color="auto" w:fill="F2F2F2"/>
            <w:tcMar>
              <w:top w:w="60" w:type="dxa"/>
              <w:left w:w="100" w:type="dxa"/>
              <w:bottom w:w="60" w:type="dxa"/>
              <w:right w:w="100" w:type="dxa"/>
            </w:tcMar>
            <w:vAlign w:val="center"/>
          </w:tcPr>
          <w:p w14:paraId="6FC7A38C" w14:textId="77777777" w:rsidR="00B10001" w:rsidRDefault="006B7EAD">
            <w:pPr>
              <w:spacing w:after="0"/>
            </w:pPr>
            <w:r>
              <w:rPr>
                <w:b/>
                <w:bCs/>
                <w:color w:val="1A1A1A"/>
                <w:sz w:val="20"/>
                <w:szCs w:val="20"/>
              </w:rPr>
              <w:t>Valor Estimado</w:t>
            </w:r>
          </w:p>
        </w:tc>
        <w:tc>
          <w:tcPr>
            <w:tcW w:w="12468" w:type="dxa"/>
            <w:shd w:val="clear" w:color="auto" w:fill="FFFFFF"/>
            <w:tcMar>
              <w:top w:w="60" w:type="dxa"/>
              <w:left w:w="100" w:type="dxa"/>
              <w:bottom w:w="60" w:type="dxa"/>
              <w:right w:w="100" w:type="dxa"/>
            </w:tcMar>
            <w:vAlign w:val="center"/>
          </w:tcPr>
          <w:p w14:paraId="58DA186F" w14:textId="77777777" w:rsidR="00B10001" w:rsidRDefault="006B7EAD">
            <w:pPr>
              <w:spacing w:after="0"/>
            </w:pPr>
            <w:r>
              <w:rPr>
                <w:color w:val="1A1A1A"/>
                <w:sz w:val="20"/>
                <w:szCs w:val="20"/>
              </w:rPr>
              <w:t>R$ 1.114.947,64 (Não Desonerado — BDI 20,91% — SINAPI/PE — Março/2026 — Acórdãos TCU nº 2.622/2013 e 950/2013-Plenário)</w:t>
            </w:r>
          </w:p>
        </w:tc>
      </w:tr>
      <w:tr w:rsidR="00B10001" w14:paraId="670835C4" w14:textId="77777777" w:rsidTr="009E2995">
        <w:trPr>
          <w:jc w:val="center"/>
        </w:trPr>
        <w:tc>
          <w:tcPr>
            <w:tcW w:w="2800" w:type="dxa"/>
            <w:shd w:val="clear" w:color="auto" w:fill="F2F2F2"/>
            <w:tcMar>
              <w:top w:w="60" w:type="dxa"/>
              <w:left w:w="100" w:type="dxa"/>
              <w:bottom w:w="60" w:type="dxa"/>
              <w:right w:w="100" w:type="dxa"/>
            </w:tcMar>
            <w:vAlign w:val="center"/>
          </w:tcPr>
          <w:p w14:paraId="07FD14B4" w14:textId="77777777" w:rsidR="00B10001" w:rsidRDefault="006B7EAD">
            <w:pPr>
              <w:spacing w:after="0"/>
            </w:pPr>
            <w:r>
              <w:rPr>
                <w:b/>
                <w:bCs/>
                <w:color w:val="1A1A1A"/>
                <w:sz w:val="20"/>
                <w:szCs w:val="20"/>
              </w:rPr>
              <w:t>Elaborado por</w:t>
            </w:r>
          </w:p>
        </w:tc>
        <w:tc>
          <w:tcPr>
            <w:tcW w:w="12468" w:type="dxa"/>
            <w:shd w:val="clear" w:color="auto" w:fill="FFFFFF"/>
            <w:tcMar>
              <w:top w:w="60" w:type="dxa"/>
              <w:left w:w="100" w:type="dxa"/>
              <w:bottom w:w="60" w:type="dxa"/>
              <w:right w:w="100" w:type="dxa"/>
            </w:tcMar>
            <w:vAlign w:val="center"/>
          </w:tcPr>
          <w:p w14:paraId="130FFA76" w14:textId="77777777" w:rsidR="00B10001" w:rsidRDefault="006B7EAD">
            <w:pPr>
              <w:spacing w:after="0"/>
            </w:pPr>
            <w:r>
              <w:rPr>
                <w:color w:val="1A1A1A"/>
                <w:sz w:val="20"/>
                <w:szCs w:val="20"/>
              </w:rPr>
              <w:t>Marcelo Ferreira da Silva Júnior — Engenheiro Civil — CREA 161.780.363-4 — Assessor Especial — Portaria nº 967/2026  |  Secretaria de Educação e Inovação Pedagógica</w:t>
            </w:r>
          </w:p>
        </w:tc>
      </w:tr>
      <w:tr w:rsidR="00B10001" w14:paraId="456CF52C" w14:textId="77777777" w:rsidTr="009E2995">
        <w:trPr>
          <w:jc w:val="center"/>
        </w:trPr>
        <w:tc>
          <w:tcPr>
            <w:tcW w:w="2800" w:type="dxa"/>
            <w:shd w:val="clear" w:color="auto" w:fill="F2F2F2"/>
            <w:tcMar>
              <w:top w:w="60" w:type="dxa"/>
              <w:left w:w="100" w:type="dxa"/>
              <w:bottom w:w="60" w:type="dxa"/>
              <w:right w:w="100" w:type="dxa"/>
            </w:tcMar>
            <w:vAlign w:val="center"/>
          </w:tcPr>
          <w:p w14:paraId="4103832F" w14:textId="77777777" w:rsidR="00B10001" w:rsidRDefault="006B7EAD">
            <w:pPr>
              <w:spacing w:after="0"/>
            </w:pPr>
            <w:r>
              <w:rPr>
                <w:b/>
                <w:bCs/>
                <w:color w:val="1A1A1A"/>
                <w:sz w:val="20"/>
                <w:szCs w:val="20"/>
              </w:rPr>
              <w:t>Data de Elaboração</w:t>
            </w:r>
          </w:p>
        </w:tc>
        <w:tc>
          <w:tcPr>
            <w:tcW w:w="12468" w:type="dxa"/>
            <w:shd w:val="clear" w:color="auto" w:fill="FFFFFF"/>
            <w:tcMar>
              <w:top w:w="60" w:type="dxa"/>
              <w:left w:w="100" w:type="dxa"/>
              <w:bottom w:w="60" w:type="dxa"/>
              <w:right w:w="100" w:type="dxa"/>
            </w:tcMar>
            <w:vAlign w:val="center"/>
          </w:tcPr>
          <w:p w14:paraId="3ECC79E4" w14:textId="77777777" w:rsidR="00B10001" w:rsidRPr="00F6596C" w:rsidRDefault="006B7EAD">
            <w:pPr>
              <w:spacing w:after="0"/>
            </w:pPr>
            <w:r w:rsidRPr="00F6596C">
              <w:rPr>
                <w:color w:val="1A1A1A"/>
                <w:sz w:val="20"/>
                <w:szCs w:val="20"/>
              </w:rPr>
              <w:t>Goiana/PE, 01 de junho de 2026</w:t>
            </w:r>
          </w:p>
        </w:tc>
      </w:tr>
    </w:tbl>
    <w:p w14:paraId="00066E8F" w14:textId="77777777" w:rsidR="00B10001" w:rsidRDefault="0056769B">
      <w:pPr>
        <w:spacing w:after="0"/>
      </w:pPr>
    </w:p>
    <w:tbl>
      <w:tblPr>
        <w:tblW w:w="1526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200"/>
        <w:gridCol w:w="4356"/>
        <w:gridCol w:w="4356"/>
        <w:gridCol w:w="4356"/>
      </w:tblGrid>
      <w:tr w:rsidR="00B10001" w14:paraId="5A69E7C6" w14:textId="77777777" w:rsidTr="009E2995">
        <w:trPr>
          <w:jc w:val="center"/>
        </w:trPr>
        <w:tc>
          <w:tcPr>
            <w:tcW w:w="15268" w:type="dxa"/>
            <w:gridSpan w:val="4"/>
            <w:shd w:val="clear" w:color="auto" w:fill="1F3864"/>
            <w:tcMar>
              <w:top w:w="60" w:type="dxa"/>
              <w:left w:w="100" w:type="dxa"/>
              <w:bottom w:w="60" w:type="dxa"/>
              <w:right w:w="100" w:type="dxa"/>
            </w:tcMar>
            <w:vAlign w:val="center"/>
          </w:tcPr>
          <w:p w14:paraId="11CC01B3" w14:textId="77777777" w:rsidR="00B10001" w:rsidRDefault="006B7EAD">
            <w:pPr>
              <w:spacing w:after="0"/>
              <w:jc w:val="center"/>
            </w:pPr>
            <w:r>
              <w:rPr>
                <w:b/>
                <w:bCs/>
                <w:color w:val="FFFFFF"/>
                <w:sz w:val="20"/>
                <w:szCs w:val="20"/>
              </w:rPr>
              <w:t>MATRIZ DE AVALIAÇÃO — PROBABILIDADE × IMPACTO</w:t>
            </w:r>
          </w:p>
        </w:tc>
      </w:tr>
      <w:tr w:rsidR="00B10001" w14:paraId="2D17740C" w14:textId="77777777" w:rsidTr="009E2995">
        <w:trPr>
          <w:jc w:val="center"/>
        </w:trPr>
        <w:tc>
          <w:tcPr>
            <w:tcW w:w="2200" w:type="dxa"/>
            <w:shd w:val="clear" w:color="auto" w:fill="1F3864"/>
            <w:tcMar>
              <w:top w:w="60" w:type="dxa"/>
              <w:left w:w="100" w:type="dxa"/>
              <w:bottom w:w="60" w:type="dxa"/>
              <w:right w:w="100" w:type="dxa"/>
            </w:tcMar>
            <w:vAlign w:val="center"/>
          </w:tcPr>
          <w:p w14:paraId="2BED83D2" w14:textId="77777777" w:rsidR="00B10001" w:rsidRDefault="0056769B">
            <w:pPr>
              <w:spacing w:after="0"/>
            </w:pPr>
          </w:p>
        </w:tc>
        <w:tc>
          <w:tcPr>
            <w:tcW w:w="4356" w:type="dxa"/>
            <w:shd w:val="clear" w:color="auto" w:fill="1F3864"/>
            <w:tcMar>
              <w:top w:w="60" w:type="dxa"/>
              <w:left w:w="100" w:type="dxa"/>
              <w:bottom w:w="60" w:type="dxa"/>
              <w:right w:w="100" w:type="dxa"/>
            </w:tcMar>
            <w:vAlign w:val="center"/>
          </w:tcPr>
          <w:p w14:paraId="51E6DE56" w14:textId="77777777" w:rsidR="00B10001" w:rsidRDefault="006B7EAD">
            <w:pPr>
              <w:spacing w:after="0"/>
              <w:jc w:val="center"/>
            </w:pPr>
            <w:r>
              <w:rPr>
                <w:b/>
                <w:bCs/>
                <w:color w:val="FFFFFF"/>
                <w:szCs w:val="18"/>
              </w:rPr>
              <w:t>Impacto Baixo</w:t>
            </w:r>
          </w:p>
        </w:tc>
        <w:tc>
          <w:tcPr>
            <w:tcW w:w="4356" w:type="dxa"/>
            <w:shd w:val="clear" w:color="auto" w:fill="1F3864"/>
            <w:tcMar>
              <w:top w:w="60" w:type="dxa"/>
              <w:left w:w="100" w:type="dxa"/>
              <w:bottom w:w="60" w:type="dxa"/>
              <w:right w:w="100" w:type="dxa"/>
            </w:tcMar>
            <w:vAlign w:val="center"/>
          </w:tcPr>
          <w:p w14:paraId="20EC7B49" w14:textId="77777777" w:rsidR="00B10001" w:rsidRDefault="006B7EAD">
            <w:pPr>
              <w:spacing w:after="0"/>
              <w:jc w:val="center"/>
            </w:pPr>
            <w:r>
              <w:rPr>
                <w:b/>
                <w:bCs/>
                <w:color w:val="FFFFFF"/>
                <w:szCs w:val="18"/>
              </w:rPr>
              <w:t>Impacto Médio</w:t>
            </w:r>
          </w:p>
        </w:tc>
        <w:tc>
          <w:tcPr>
            <w:tcW w:w="4356" w:type="dxa"/>
            <w:shd w:val="clear" w:color="auto" w:fill="1F3864"/>
            <w:tcMar>
              <w:top w:w="60" w:type="dxa"/>
              <w:left w:w="100" w:type="dxa"/>
              <w:bottom w:w="60" w:type="dxa"/>
              <w:right w:w="100" w:type="dxa"/>
            </w:tcMar>
            <w:vAlign w:val="center"/>
          </w:tcPr>
          <w:p w14:paraId="2B426488" w14:textId="77777777" w:rsidR="00B10001" w:rsidRDefault="006B7EAD">
            <w:pPr>
              <w:spacing w:after="0"/>
              <w:jc w:val="center"/>
            </w:pPr>
            <w:r>
              <w:rPr>
                <w:b/>
                <w:bCs/>
                <w:color w:val="FFFFFF"/>
                <w:szCs w:val="18"/>
              </w:rPr>
              <w:t>Impacto Alto</w:t>
            </w:r>
          </w:p>
        </w:tc>
      </w:tr>
      <w:tr w:rsidR="00B10001" w14:paraId="78BBCB38" w14:textId="77777777" w:rsidTr="009E2995">
        <w:trPr>
          <w:jc w:val="center"/>
        </w:trPr>
        <w:tc>
          <w:tcPr>
            <w:tcW w:w="2200" w:type="dxa"/>
            <w:shd w:val="clear" w:color="auto" w:fill="1F3864"/>
            <w:tcMar>
              <w:top w:w="60" w:type="dxa"/>
              <w:left w:w="100" w:type="dxa"/>
              <w:bottom w:w="60" w:type="dxa"/>
              <w:right w:w="100" w:type="dxa"/>
            </w:tcMar>
            <w:vAlign w:val="center"/>
          </w:tcPr>
          <w:p w14:paraId="77CBC480" w14:textId="77777777" w:rsidR="00B10001" w:rsidRDefault="006B7EAD">
            <w:pPr>
              <w:spacing w:after="0"/>
              <w:jc w:val="center"/>
            </w:pPr>
            <w:r>
              <w:rPr>
                <w:b/>
                <w:bCs/>
                <w:color w:val="FFFFFF"/>
                <w:szCs w:val="18"/>
              </w:rPr>
              <w:t>Prob. Alta</w:t>
            </w:r>
          </w:p>
        </w:tc>
        <w:tc>
          <w:tcPr>
            <w:tcW w:w="4356" w:type="dxa"/>
            <w:shd w:val="clear" w:color="auto" w:fill="FFF2CC"/>
            <w:tcMar>
              <w:top w:w="60" w:type="dxa"/>
              <w:left w:w="100" w:type="dxa"/>
              <w:bottom w:w="60" w:type="dxa"/>
              <w:right w:w="100" w:type="dxa"/>
            </w:tcMar>
            <w:vAlign w:val="center"/>
          </w:tcPr>
          <w:p w14:paraId="5F3E6207" w14:textId="77777777" w:rsidR="00B10001" w:rsidRDefault="006B7EAD">
            <w:pPr>
              <w:spacing w:after="0"/>
              <w:jc w:val="center"/>
            </w:pPr>
            <w:r>
              <w:rPr>
                <w:b/>
                <w:bCs/>
                <w:color w:val="1A1A1A"/>
                <w:szCs w:val="18"/>
              </w:rPr>
              <w:t>MÉDIO</w:t>
            </w:r>
          </w:p>
        </w:tc>
        <w:tc>
          <w:tcPr>
            <w:tcW w:w="4356" w:type="dxa"/>
            <w:shd w:val="clear" w:color="auto" w:fill="FAEEDA"/>
            <w:tcMar>
              <w:top w:w="60" w:type="dxa"/>
              <w:left w:w="100" w:type="dxa"/>
              <w:bottom w:w="60" w:type="dxa"/>
              <w:right w:w="100" w:type="dxa"/>
            </w:tcMar>
            <w:vAlign w:val="center"/>
          </w:tcPr>
          <w:p w14:paraId="77438660" w14:textId="77777777" w:rsidR="00B10001" w:rsidRDefault="006B7EAD">
            <w:pPr>
              <w:spacing w:after="0"/>
              <w:jc w:val="center"/>
            </w:pPr>
            <w:r>
              <w:rPr>
                <w:b/>
                <w:bCs/>
                <w:color w:val="1A1A1A"/>
                <w:szCs w:val="18"/>
              </w:rPr>
              <w:t>ALTO</w:t>
            </w:r>
          </w:p>
        </w:tc>
        <w:tc>
          <w:tcPr>
            <w:tcW w:w="4356" w:type="dxa"/>
            <w:shd w:val="clear" w:color="auto" w:fill="FDDEDE"/>
            <w:tcMar>
              <w:top w:w="60" w:type="dxa"/>
              <w:left w:w="100" w:type="dxa"/>
              <w:bottom w:w="60" w:type="dxa"/>
              <w:right w:w="100" w:type="dxa"/>
            </w:tcMar>
            <w:vAlign w:val="center"/>
          </w:tcPr>
          <w:p w14:paraId="7486F6ED" w14:textId="77777777" w:rsidR="00B10001" w:rsidRDefault="006B7EAD">
            <w:pPr>
              <w:spacing w:after="0"/>
              <w:jc w:val="center"/>
            </w:pPr>
            <w:r>
              <w:rPr>
                <w:b/>
                <w:bCs/>
                <w:color w:val="1A1A1A"/>
                <w:szCs w:val="18"/>
              </w:rPr>
              <w:t>CRÍTICO</w:t>
            </w:r>
          </w:p>
        </w:tc>
      </w:tr>
      <w:tr w:rsidR="00B10001" w14:paraId="69B7C1AE" w14:textId="77777777" w:rsidTr="009E2995">
        <w:trPr>
          <w:jc w:val="center"/>
        </w:trPr>
        <w:tc>
          <w:tcPr>
            <w:tcW w:w="2200" w:type="dxa"/>
            <w:shd w:val="clear" w:color="auto" w:fill="1F3864"/>
            <w:tcMar>
              <w:top w:w="60" w:type="dxa"/>
              <w:left w:w="100" w:type="dxa"/>
              <w:bottom w:w="60" w:type="dxa"/>
              <w:right w:w="100" w:type="dxa"/>
            </w:tcMar>
            <w:vAlign w:val="center"/>
          </w:tcPr>
          <w:p w14:paraId="57701D8D" w14:textId="77777777" w:rsidR="00B10001" w:rsidRDefault="006B7EAD">
            <w:pPr>
              <w:spacing w:after="0"/>
              <w:jc w:val="center"/>
            </w:pPr>
            <w:r>
              <w:rPr>
                <w:b/>
                <w:bCs/>
                <w:color w:val="FFFFFF"/>
                <w:szCs w:val="18"/>
              </w:rPr>
              <w:t>Prob. Média</w:t>
            </w:r>
          </w:p>
        </w:tc>
        <w:tc>
          <w:tcPr>
            <w:tcW w:w="4356" w:type="dxa"/>
            <w:shd w:val="clear" w:color="auto" w:fill="E2EFDA"/>
            <w:tcMar>
              <w:top w:w="60" w:type="dxa"/>
              <w:left w:w="100" w:type="dxa"/>
              <w:bottom w:w="60" w:type="dxa"/>
              <w:right w:w="100" w:type="dxa"/>
            </w:tcMar>
            <w:vAlign w:val="center"/>
          </w:tcPr>
          <w:p w14:paraId="032A8DF5" w14:textId="77777777" w:rsidR="00B10001" w:rsidRDefault="006B7EAD">
            <w:pPr>
              <w:spacing w:after="0"/>
              <w:jc w:val="center"/>
            </w:pPr>
            <w:r>
              <w:rPr>
                <w:b/>
                <w:bCs/>
                <w:color w:val="1A1A1A"/>
                <w:szCs w:val="18"/>
              </w:rPr>
              <w:t>BAIXO</w:t>
            </w:r>
          </w:p>
        </w:tc>
        <w:tc>
          <w:tcPr>
            <w:tcW w:w="4356" w:type="dxa"/>
            <w:shd w:val="clear" w:color="auto" w:fill="FFF2CC"/>
            <w:tcMar>
              <w:top w:w="60" w:type="dxa"/>
              <w:left w:w="100" w:type="dxa"/>
              <w:bottom w:w="60" w:type="dxa"/>
              <w:right w:w="100" w:type="dxa"/>
            </w:tcMar>
            <w:vAlign w:val="center"/>
          </w:tcPr>
          <w:p w14:paraId="12949A6B" w14:textId="77777777" w:rsidR="00B10001" w:rsidRDefault="006B7EAD">
            <w:pPr>
              <w:spacing w:after="0"/>
              <w:jc w:val="center"/>
            </w:pPr>
            <w:r>
              <w:rPr>
                <w:b/>
                <w:bCs/>
                <w:color w:val="1A1A1A"/>
                <w:szCs w:val="18"/>
              </w:rPr>
              <w:t>MÉDIO</w:t>
            </w:r>
          </w:p>
        </w:tc>
        <w:tc>
          <w:tcPr>
            <w:tcW w:w="4356" w:type="dxa"/>
            <w:shd w:val="clear" w:color="auto" w:fill="FAEEDA"/>
            <w:tcMar>
              <w:top w:w="60" w:type="dxa"/>
              <w:left w:w="100" w:type="dxa"/>
              <w:bottom w:w="60" w:type="dxa"/>
              <w:right w:w="100" w:type="dxa"/>
            </w:tcMar>
            <w:vAlign w:val="center"/>
          </w:tcPr>
          <w:p w14:paraId="69F4A701" w14:textId="77777777" w:rsidR="00B10001" w:rsidRDefault="006B7EAD">
            <w:pPr>
              <w:spacing w:after="0"/>
              <w:jc w:val="center"/>
            </w:pPr>
            <w:r>
              <w:rPr>
                <w:b/>
                <w:bCs/>
                <w:color w:val="1A1A1A"/>
                <w:szCs w:val="18"/>
              </w:rPr>
              <w:t>ALTO</w:t>
            </w:r>
          </w:p>
        </w:tc>
      </w:tr>
      <w:tr w:rsidR="00B10001" w14:paraId="074E0C15" w14:textId="77777777" w:rsidTr="009E2995">
        <w:trPr>
          <w:jc w:val="center"/>
        </w:trPr>
        <w:tc>
          <w:tcPr>
            <w:tcW w:w="2200" w:type="dxa"/>
            <w:shd w:val="clear" w:color="auto" w:fill="1F3864"/>
            <w:tcMar>
              <w:top w:w="60" w:type="dxa"/>
              <w:left w:w="100" w:type="dxa"/>
              <w:bottom w:w="60" w:type="dxa"/>
              <w:right w:w="100" w:type="dxa"/>
            </w:tcMar>
            <w:vAlign w:val="center"/>
          </w:tcPr>
          <w:p w14:paraId="498E14C4" w14:textId="77777777" w:rsidR="00B10001" w:rsidRDefault="006B7EAD">
            <w:pPr>
              <w:spacing w:after="0"/>
              <w:jc w:val="center"/>
            </w:pPr>
            <w:r>
              <w:rPr>
                <w:b/>
                <w:bCs/>
                <w:color w:val="FFFFFF"/>
                <w:szCs w:val="18"/>
              </w:rPr>
              <w:t>Prob. Baixa</w:t>
            </w:r>
          </w:p>
        </w:tc>
        <w:tc>
          <w:tcPr>
            <w:tcW w:w="4356" w:type="dxa"/>
            <w:shd w:val="clear" w:color="auto" w:fill="E2EFDA"/>
            <w:tcMar>
              <w:top w:w="60" w:type="dxa"/>
              <w:left w:w="100" w:type="dxa"/>
              <w:bottom w:w="60" w:type="dxa"/>
              <w:right w:w="100" w:type="dxa"/>
            </w:tcMar>
            <w:vAlign w:val="center"/>
          </w:tcPr>
          <w:p w14:paraId="6ABF73E6" w14:textId="77777777" w:rsidR="00B10001" w:rsidRDefault="006B7EAD">
            <w:pPr>
              <w:spacing w:after="0"/>
              <w:jc w:val="center"/>
            </w:pPr>
            <w:r>
              <w:rPr>
                <w:b/>
                <w:bCs/>
                <w:color w:val="1A1A1A"/>
                <w:szCs w:val="18"/>
              </w:rPr>
              <w:t>BAIXO</w:t>
            </w:r>
          </w:p>
        </w:tc>
        <w:tc>
          <w:tcPr>
            <w:tcW w:w="4356" w:type="dxa"/>
            <w:shd w:val="clear" w:color="auto" w:fill="E2EFDA"/>
            <w:tcMar>
              <w:top w:w="60" w:type="dxa"/>
              <w:left w:w="100" w:type="dxa"/>
              <w:bottom w:w="60" w:type="dxa"/>
              <w:right w:w="100" w:type="dxa"/>
            </w:tcMar>
            <w:vAlign w:val="center"/>
          </w:tcPr>
          <w:p w14:paraId="4DCE3072" w14:textId="77777777" w:rsidR="00B10001" w:rsidRDefault="006B7EAD">
            <w:pPr>
              <w:spacing w:after="0"/>
              <w:jc w:val="center"/>
            </w:pPr>
            <w:r>
              <w:rPr>
                <w:b/>
                <w:bCs/>
                <w:color w:val="1A1A1A"/>
                <w:szCs w:val="18"/>
              </w:rPr>
              <w:t>BAIXO</w:t>
            </w:r>
          </w:p>
        </w:tc>
        <w:tc>
          <w:tcPr>
            <w:tcW w:w="4356" w:type="dxa"/>
            <w:shd w:val="clear" w:color="auto" w:fill="FFF2CC"/>
            <w:tcMar>
              <w:top w:w="60" w:type="dxa"/>
              <w:left w:w="100" w:type="dxa"/>
              <w:bottom w:w="60" w:type="dxa"/>
              <w:right w:w="100" w:type="dxa"/>
            </w:tcMar>
            <w:vAlign w:val="center"/>
          </w:tcPr>
          <w:p w14:paraId="7A2562D9" w14:textId="77777777" w:rsidR="00B10001" w:rsidRDefault="006B7EAD">
            <w:pPr>
              <w:spacing w:after="0"/>
              <w:jc w:val="center"/>
            </w:pPr>
            <w:r>
              <w:rPr>
                <w:b/>
                <w:bCs/>
                <w:color w:val="1A1A1A"/>
                <w:szCs w:val="18"/>
              </w:rPr>
              <w:t>MÉDIO</w:t>
            </w:r>
          </w:p>
        </w:tc>
      </w:tr>
      <w:tr w:rsidR="00B10001" w14:paraId="183AA959" w14:textId="77777777" w:rsidTr="009E2995">
        <w:trPr>
          <w:jc w:val="center"/>
        </w:trPr>
        <w:tc>
          <w:tcPr>
            <w:tcW w:w="15268" w:type="dxa"/>
            <w:gridSpan w:val="4"/>
            <w:shd w:val="clear" w:color="auto" w:fill="F2F2F2"/>
            <w:tcMar>
              <w:top w:w="60" w:type="dxa"/>
              <w:left w:w="100" w:type="dxa"/>
              <w:bottom w:w="60" w:type="dxa"/>
              <w:right w:w="100" w:type="dxa"/>
            </w:tcMar>
            <w:vAlign w:val="center"/>
          </w:tcPr>
          <w:p w14:paraId="58322ECF" w14:textId="77777777" w:rsidR="00B10001" w:rsidRDefault="006B7EAD">
            <w:pPr>
              <w:spacing w:after="0"/>
            </w:pPr>
            <w:r>
              <w:rPr>
                <w:i/>
                <w:color w:val="1A1A1A"/>
                <w:sz w:val="17"/>
                <w:szCs w:val="17"/>
              </w:rPr>
              <w:t>Critérios: Probabilidade — Baixa: evento improvável no contexto desta contratação; Média: pode ocorrer em contratos desta natureza; Alta: evento esperado ou recorrente em obras de reforma. Impacto — Baixo: efeito limitado e reversível; Médio: afeta parcialmente a execução ou o valor contratual; Alto: compromete a execução ou causa dano relevante à Administração Pública.</w:t>
            </w:r>
          </w:p>
        </w:tc>
      </w:tr>
    </w:tbl>
    <w:p w14:paraId="1D7F6F43" w14:textId="77777777" w:rsidR="00B10001" w:rsidRDefault="0056769B">
      <w:pPr>
        <w:spacing w:after="0"/>
      </w:pPr>
    </w:p>
    <w:p w14:paraId="3CDC0C18" w14:textId="77777777" w:rsidR="00B10001" w:rsidRDefault="006B7EAD">
      <w:pPr>
        <w:shd w:val="clear" w:color="auto" w:fill="1F3864"/>
        <w:spacing w:before="80" w:after="40"/>
      </w:pPr>
      <w:r>
        <w:rPr>
          <w:b/>
          <w:color w:val="FFFFFF"/>
          <w:sz w:val="22"/>
        </w:rPr>
        <w:lastRenderedPageBreak/>
        <w:t xml:space="preserve">  FASE 1 — RISCOS DO PLANEJAMENTO DA CONTRATAÇÃO</w:t>
      </w:r>
    </w:p>
    <w:p w14:paraId="60C8DBBE" w14:textId="77777777" w:rsidR="00B10001" w:rsidRDefault="0056769B">
      <w:pPr>
        <w:spacing w:after="0"/>
      </w:pPr>
    </w:p>
    <w:tbl>
      <w:tblPr>
        <w:tblW w:w="1526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531"/>
        <w:gridCol w:w="1943"/>
        <w:gridCol w:w="2565"/>
        <w:gridCol w:w="711"/>
        <w:gridCol w:w="891"/>
        <w:gridCol w:w="940"/>
        <w:gridCol w:w="4457"/>
        <w:gridCol w:w="3230"/>
      </w:tblGrid>
      <w:tr w:rsidR="00B10001" w14:paraId="7AEA4C93" w14:textId="77777777" w:rsidTr="009E2995">
        <w:trPr>
          <w:tblHeader/>
          <w:jc w:val="center"/>
        </w:trPr>
        <w:tc>
          <w:tcPr>
            <w:tcW w:w="531" w:type="dxa"/>
            <w:shd w:val="clear" w:color="auto" w:fill="1F3864"/>
            <w:tcMar>
              <w:top w:w="60" w:type="dxa"/>
              <w:left w:w="100" w:type="dxa"/>
              <w:bottom w:w="60" w:type="dxa"/>
              <w:right w:w="100" w:type="dxa"/>
            </w:tcMar>
            <w:vAlign w:val="center"/>
          </w:tcPr>
          <w:p w14:paraId="14A2FEDD" w14:textId="77777777" w:rsidR="00B10001" w:rsidRDefault="006B7EAD">
            <w:pPr>
              <w:spacing w:after="0"/>
              <w:jc w:val="center"/>
            </w:pPr>
            <w:r>
              <w:rPr>
                <w:b/>
                <w:bCs/>
                <w:color w:val="FFFFFF"/>
                <w:szCs w:val="18"/>
              </w:rPr>
              <w:t>ID</w:t>
            </w:r>
          </w:p>
        </w:tc>
        <w:tc>
          <w:tcPr>
            <w:tcW w:w="1986" w:type="dxa"/>
            <w:shd w:val="clear" w:color="auto" w:fill="1F3864"/>
            <w:tcMar>
              <w:top w:w="60" w:type="dxa"/>
              <w:left w:w="100" w:type="dxa"/>
              <w:bottom w:w="60" w:type="dxa"/>
              <w:right w:w="100" w:type="dxa"/>
            </w:tcMar>
            <w:vAlign w:val="center"/>
          </w:tcPr>
          <w:p w14:paraId="4C181AE8" w14:textId="77777777" w:rsidR="00B10001" w:rsidRDefault="006B7EAD">
            <w:pPr>
              <w:spacing w:after="0"/>
            </w:pPr>
            <w:r>
              <w:rPr>
                <w:b/>
                <w:bCs/>
                <w:color w:val="FFFFFF"/>
                <w:szCs w:val="18"/>
              </w:rPr>
              <w:t>Risco</w:t>
            </w:r>
          </w:p>
        </w:tc>
        <w:tc>
          <w:tcPr>
            <w:tcW w:w="2640" w:type="dxa"/>
            <w:shd w:val="clear" w:color="auto" w:fill="1F3864"/>
            <w:tcMar>
              <w:top w:w="60" w:type="dxa"/>
              <w:left w:w="100" w:type="dxa"/>
              <w:bottom w:w="60" w:type="dxa"/>
              <w:right w:w="100" w:type="dxa"/>
            </w:tcMar>
            <w:vAlign w:val="center"/>
          </w:tcPr>
          <w:p w14:paraId="53CD2014" w14:textId="77777777" w:rsidR="00B10001" w:rsidRDefault="006B7EAD">
            <w:pPr>
              <w:spacing w:after="0"/>
            </w:pPr>
            <w:r>
              <w:rPr>
                <w:b/>
                <w:bCs/>
                <w:color w:val="FFFFFF"/>
                <w:szCs w:val="18"/>
              </w:rPr>
              <w:t>Causa Provável</w:t>
            </w:r>
          </w:p>
        </w:tc>
        <w:tc>
          <w:tcPr>
            <w:tcW w:w="244" w:type="dxa"/>
            <w:shd w:val="clear" w:color="auto" w:fill="1F3864"/>
            <w:tcMar>
              <w:top w:w="60" w:type="dxa"/>
              <w:left w:w="100" w:type="dxa"/>
              <w:bottom w:w="60" w:type="dxa"/>
              <w:right w:w="100" w:type="dxa"/>
            </w:tcMar>
            <w:vAlign w:val="center"/>
          </w:tcPr>
          <w:p w14:paraId="7F548B62" w14:textId="77777777" w:rsidR="00B10001" w:rsidRDefault="006B7EAD">
            <w:pPr>
              <w:spacing w:after="0"/>
              <w:jc w:val="center"/>
            </w:pPr>
            <w:r>
              <w:rPr>
                <w:b/>
                <w:bCs/>
                <w:color w:val="FFFFFF"/>
                <w:szCs w:val="18"/>
              </w:rPr>
              <w:t>Prob.</w:t>
            </w:r>
          </w:p>
        </w:tc>
        <w:tc>
          <w:tcPr>
            <w:tcW w:w="891" w:type="dxa"/>
            <w:shd w:val="clear" w:color="auto" w:fill="1F3864"/>
            <w:tcMar>
              <w:top w:w="60" w:type="dxa"/>
              <w:left w:w="100" w:type="dxa"/>
              <w:bottom w:w="60" w:type="dxa"/>
              <w:right w:w="100" w:type="dxa"/>
            </w:tcMar>
            <w:vAlign w:val="center"/>
          </w:tcPr>
          <w:p w14:paraId="697432EC" w14:textId="77777777" w:rsidR="00B10001" w:rsidRDefault="006B7EAD">
            <w:pPr>
              <w:spacing w:after="0"/>
              <w:jc w:val="center"/>
            </w:pPr>
            <w:r>
              <w:rPr>
                <w:b/>
                <w:bCs/>
                <w:color w:val="FFFFFF"/>
                <w:szCs w:val="18"/>
              </w:rPr>
              <w:t>Impacto</w:t>
            </w:r>
          </w:p>
        </w:tc>
        <w:tc>
          <w:tcPr>
            <w:tcW w:w="870" w:type="dxa"/>
            <w:shd w:val="clear" w:color="auto" w:fill="1F3864"/>
            <w:tcMar>
              <w:top w:w="60" w:type="dxa"/>
              <w:left w:w="100" w:type="dxa"/>
              <w:bottom w:w="60" w:type="dxa"/>
              <w:right w:w="100" w:type="dxa"/>
            </w:tcMar>
            <w:vAlign w:val="center"/>
          </w:tcPr>
          <w:p w14:paraId="29D27F8C" w14:textId="77777777" w:rsidR="00B10001" w:rsidRDefault="006B7EAD">
            <w:pPr>
              <w:spacing w:after="0"/>
              <w:jc w:val="center"/>
            </w:pPr>
            <w:r>
              <w:rPr>
                <w:b/>
                <w:bCs/>
                <w:color w:val="FFFFFF"/>
                <w:szCs w:val="18"/>
              </w:rPr>
              <w:t>Nível</w:t>
            </w:r>
          </w:p>
        </w:tc>
        <w:tc>
          <w:tcPr>
            <w:tcW w:w="4708" w:type="dxa"/>
            <w:shd w:val="clear" w:color="auto" w:fill="1F3864"/>
            <w:tcMar>
              <w:top w:w="60" w:type="dxa"/>
              <w:left w:w="100" w:type="dxa"/>
              <w:bottom w:w="60" w:type="dxa"/>
              <w:right w:w="100" w:type="dxa"/>
            </w:tcMar>
            <w:vAlign w:val="center"/>
          </w:tcPr>
          <w:p w14:paraId="0B73E259" w14:textId="77777777" w:rsidR="00B10001" w:rsidRDefault="006B7EAD">
            <w:pPr>
              <w:spacing w:after="0"/>
            </w:pPr>
            <w:r>
              <w:rPr>
                <w:b/>
                <w:bCs/>
                <w:color w:val="FFFFFF"/>
                <w:szCs w:val="18"/>
              </w:rPr>
              <w:t>Resposta / Tratamento</w:t>
            </w:r>
          </w:p>
        </w:tc>
        <w:tc>
          <w:tcPr>
            <w:tcW w:w="3398" w:type="dxa"/>
            <w:shd w:val="clear" w:color="auto" w:fill="1F3864"/>
            <w:tcMar>
              <w:top w:w="60" w:type="dxa"/>
              <w:left w:w="100" w:type="dxa"/>
              <w:bottom w:w="60" w:type="dxa"/>
              <w:right w:w="100" w:type="dxa"/>
            </w:tcMar>
            <w:vAlign w:val="center"/>
          </w:tcPr>
          <w:p w14:paraId="77BF248E" w14:textId="77777777" w:rsidR="00B10001" w:rsidRDefault="006B7EAD">
            <w:pPr>
              <w:spacing w:after="0"/>
            </w:pPr>
            <w:r>
              <w:rPr>
                <w:b/>
                <w:bCs/>
                <w:color w:val="FFFFFF"/>
                <w:szCs w:val="18"/>
              </w:rPr>
              <w:t>Responsável</w:t>
            </w:r>
          </w:p>
        </w:tc>
      </w:tr>
      <w:tr w:rsidR="00B10001" w14:paraId="77FF9EB8" w14:textId="77777777" w:rsidTr="009E2995">
        <w:trPr>
          <w:jc w:val="center"/>
        </w:trPr>
        <w:tc>
          <w:tcPr>
            <w:tcW w:w="531" w:type="dxa"/>
            <w:shd w:val="clear" w:color="auto" w:fill="FFFFFF"/>
            <w:tcMar>
              <w:top w:w="60" w:type="dxa"/>
              <w:left w:w="100" w:type="dxa"/>
              <w:bottom w:w="60" w:type="dxa"/>
              <w:right w:w="100" w:type="dxa"/>
            </w:tcMar>
            <w:vAlign w:val="center"/>
          </w:tcPr>
          <w:p w14:paraId="0988A050" w14:textId="77777777" w:rsidR="00B10001" w:rsidRDefault="006B7EAD">
            <w:pPr>
              <w:spacing w:after="0"/>
              <w:jc w:val="center"/>
            </w:pPr>
            <w:r>
              <w:rPr>
                <w:b/>
                <w:bCs/>
                <w:color w:val="1A1A1A"/>
                <w:szCs w:val="18"/>
              </w:rPr>
              <w:t>R01</w:t>
            </w:r>
          </w:p>
        </w:tc>
        <w:tc>
          <w:tcPr>
            <w:tcW w:w="1986" w:type="dxa"/>
            <w:shd w:val="clear" w:color="auto" w:fill="FFFFFF"/>
            <w:tcMar>
              <w:top w:w="60" w:type="dxa"/>
              <w:left w:w="100" w:type="dxa"/>
              <w:bottom w:w="60" w:type="dxa"/>
              <w:right w:w="100" w:type="dxa"/>
            </w:tcMar>
            <w:vAlign w:val="center"/>
          </w:tcPr>
          <w:p w14:paraId="597AC8BF" w14:textId="77777777" w:rsidR="00B10001" w:rsidRDefault="006B7EAD">
            <w:pPr>
              <w:spacing w:after="0"/>
            </w:pPr>
            <w:r>
              <w:rPr>
                <w:b/>
                <w:bCs/>
                <w:color w:val="1A1A1A"/>
                <w:szCs w:val="18"/>
              </w:rPr>
              <w:t>Incorreta identificação da demanda</w:t>
            </w:r>
          </w:p>
        </w:tc>
        <w:tc>
          <w:tcPr>
            <w:tcW w:w="2640" w:type="dxa"/>
            <w:shd w:val="clear" w:color="auto" w:fill="FFFFFF"/>
            <w:tcMar>
              <w:top w:w="60" w:type="dxa"/>
              <w:left w:w="100" w:type="dxa"/>
              <w:bottom w:w="60" w:type="dxa"/>
              <w:right w:w="100" w:type="dxa"/>
            </w:tcMar>
            <w:vAlign w:val="center"/>
          </w:tcPr>
          <w:p w14:paraId="56741D41" w14:textId="77777777" w:rsidR="00B10001" w:rsidRDefault="006B7EAD">
            <w:pPr>
              <w:spacing w:after="0"/>
            </w:pPr>
            <w:r>
              <w:rPr>
                <w:color w:val="1A1A1A"/>
                <w:szCs w:val="18"/>
              </w:rPr>
              <w:t>Levantamento superficial do estado da edificação; omissão de patologias ocultas na fase de planejamento; falta de vistoria técnica in loco durante a instrução processual.</w:t>
            </w:r>
          </w:p>
        </w:tc>
        <w:tc>
          <w:tcPr>
            <w:tcW w:w="244" w:type="dxa"/>
            <w:shd w:val="clear" w:color="auto" w:fill="E2EFDA"/>
            <w:tcMar>
              <w:top w:w="60" w:type="dxa"/>
              <w:left w:w="100" w:type="dxa"/>
              <w:bottom w:w="60" w:type="dxa"/>
              <w:right w:w="100" w:type="dxa"/>
            </w:tcMar>
            <w:vAlign w:val="center"/>
          </w:tcPr>
          <w:p w14:paraId="3F932699" w14:textId="77777777" w:rsidR="00B10001" w:rsidRDefault="006B7EAD">
            <w:pPr>
              <w:spacing w:after="0"/>
              <w:jc w:val="center"/>
            </w:pPr>
            <w:r>
              <w:rPr>
                <w:b/>
                <w:bCs/>
                <w:color w:val="1A1A1A"/>
                <w:szCs w:val="18"/>
              </w:rPr>
              <w:t>Baixa</w:t>
            </w:r>
          </w:p>
        </w:tc>
        <w:tc>
          <w:tcPr>
            <w:tcW w:w="891" w:type="dxa"/>
            <w:shd w:val="clear" w:color="auto" w:fill="FFF2CC"/>
            <w:tcMar>
              <w:top w:w="60" w:type="dxa"/>
              <w:left w:w="100" w:type="dxa"/>
              <w:bottom w:w="60" w:type="dxa"/>
              <w:right w:w="100" w:type="dxa"/>
            </w:tcMar>
            <w:vAlign w:val="center"/>
          </w:tcPr>
          <w:p w14:paraId="0B3C8936" w14:textId="77777777" w:rsidR="00B10001" w:rsidRDefault="006B7EAD">
            <w:pPr>
              <w:spacing w:after="0"/>
              <w:jc w:val="center"/>
            </w:pPr>
            <w:r>
              <w:rPr>
                <w:b/>
                <w:bCs/>
                <w:color w:val="1A1A1A"/>
                <w:szCs w:val="18"/>
              </w:rPr>
              <w:t>Médio</w:t>
            </w:r>
          </w:p>
        </w:tc>
        <w:tc>
          <w:tcPr>
            <w:tcW w:w="870" w:type="dxa"/>
            <w:shd w:val="clear" w:color="auto" w:fill="E2EFDA"/>
            <w:tcMar>
              <w:top w:w="60" w:type="dxa"/>
              <w:left w:w="100" w:type="dxa"/>
              <w:bottom w:w="60" w:type="dxa"/>
              <w:right w:w="100" w:type="dxa"/>
            </w:tcMar>
            <w:vAlign w:val="center"/>
          </w:tcPr>
          <w:p w14:paraId="2C6896FD" w14:textId="77777777" w:rsidR="00B10001" w:rsidRDefault="006B7EAD">
            <w:pPr>
              <w:spacing w:after="0"/>
              <w:jc w:val="center"/>
            </w:pPr>
            <w:r>
              <w:rPr>
                <w:b/>
                <w:bCs/>
                <w:color w:val="1A1A1A"/>
                <w:szCs w:val="18"/>
              </w:rPr>
              <w:t>BAIXO</w:t>
            </w:r>
          </w:p>
        </w:tc>
        <w:tc>
          <w:tcPr>
            <w:tcW w:w="4708" w:type="dxa"/>
            <w:shd w:val="clear" w:color="auto" w:fill="FFFFFF"/>
            <w:tcMar>
              <w:top w:w="60" w:type="dxa"/>
              <w:left w:w="100" w:type="dxa"/>
              <w:bottom w:w="60" w:type="dxa"/>
              <w:right w:w="100" w:type="dxa"/>
            </w:tcMar>
            <w:vAlign w:val="center"/>
          </w:tcPr>
          <w:p w14:paraId="43752E7E" w14:textId="77777777" w:rsidR="00B10001" w:rsidRDefault="006B7EAD">
            <w:pPr>
              <w:spacing w:after="0"/>
            </w:pPr>
            <w:r>
              <w:rPr>
                <w:color w:val="1A1A1A"/>
                <w:sz w:val="17"/>
                <w:szCs w:val="17"/>
              </w:rPr>
              <w:t>Elaborar diagnóstico técnico com vistoria in loco antes da conclusão do ETP e do Projeto Básico. Envolver equipe técnica multidisciplinar na instrução processual. — Contingência: ao detectar erro na demanda identificada, paralisar o processo e proceder com retificação dos artefatos técnicos.</w:t>
            </w:r>
          </w:p>
        </w:tc>
        <w:tc>
          <w:tcPr>
            <w:tcW w:w="3398" w:type="dxa"/>
            <w:shd w:val="clear" w:color="auto" w:fill="FFFFFF"/>
            <w:tcMar>
              <w:top w:w="60" w:type="dxa"/>
              <w:left w:w="100" w:type="dxa"/>
              <w:bottom w:w="60" w:type="dxa"/>
              <w:right w:w="100" w:type="dxa"/>
            </w:tcMar>
            <w:vAlign w:val="center"/>
          </w:tcPr>
          <w:p w14:paraId="018575AA" w14:textId="77777777" w:rsidR="00B10001" w:rsidRDefault="006B7EAD">
            <w:pPr>
              <w:spacing w:after="0"/>
            </w:pPr>
            <w:r>
              <w:rPr>
                <w:color w:val="1A1A1A"/>
                <w:sz w:val="17"/>
                <w:szCs w:val="17"/>
              </w:rPr>
              <w:t>Equipe de Planejamento / Secretaria de Educação</w:t>
            </w:r>
          </w:p>
        </w:tc>
      </w:tr>
      <w:tr w:rsidR="00B10001" w14:paraId="0EC164B9" w14:textId="77777777" w:rsidTr="009E2995">
        <w:trPr>
          <w:jc w:val="center"/>
        </w:trPr>
        <w:tc>
          <w:tcPr>
            <w:tcW w:w="531" w:type="dxa"/>
            <w:shd w:val="clear" w:color="auto" w:fill="FFFFFF"/>
            <w:tcMar>
              <w:top w:w="60" w:type="dxa"/>
              <w:left w:w="100" w:type="dxa"/>
              <w:bottom w:w="60" w:type="dxa"/>
              <w:right w:w="100" w:type="dxa"/>
            </w:tcMar>
            <w:vAlign w:val="center"/>
          </w:tcPr>
          <w:p w14:paraId="2479003E" w14:textId="77777777" w:rsidR="00B10001" w:rsidRDefault="006B7EAD">
            <w:pPr>
              <w:spacing w:after="0"/>
              <w:jc w:val="center"/>
            </w:pPr>
            <w:r>
              <w:rPr>
                <w:b/>
                <w:bCs/>
                <w:color w:val="1A1A1A"/>
                <w:szCs w:val="18"/>
              </w:rPr>
              <w:t>R02</w:t>
            </w:r>
          </w:p>
        </w:tc>
        <w:tc>
          <w:tcPr>
            <w:tcW w:w="1986" w:type="dxa"/>
            <w:shd w:val="clear" w:color="auto" w:fill="FFFFFF"/>
            <w:tcMar>
              <w:top w:w="60" w:type="dxa"/>
              <w:left w:w="100" w:type="dxa"/>
              <w:bottom w:w="60" w:type="dxa"/>
              <w:right w:w="100" w:type="dxa"/>
            </w:tcMar>
            <w:vAlign w:val="center"/>
          </w:tcPr>
          <w:p w14:paraId="510B123B" w14:textId="77777777" w:rsidR="00B10001" w:rsidRDefault="006B7EAD">
            <w:pPr>
              <w:spacing w:after="0"/>
            </w:pPr>
            <w:r>
              <w:rPr>
                <w:b/>
                <w:bCs/>
                <w:color w:val="1A1A1A"/>
                <w:szCs w:val="18"/>
              </w:rPr>
              <w:t>Ausência ou incorreção na designação de responsáveis</w:t>
            </w:r>
          </w:p>
        </w:tc>
        <w:tc>
          <w:tcPr>
            <w:tcW w:w="2640" w:type="dxa"/>
            <w:shd w:val="clear" w:color="auto" w:fill="FFFFFF"/>
            <w:tcMar>
              <w:top w:w="60" w:type="dxa"/>
              <w:left w:w="100" w:type="dxa"/>
              <w:bottom w:w="60" w:type="dxa"/>
              <w:right w:w="100" w:type="dxa"/>
            </w:tcMar>
            <w:vAlign w:val="center"/>
          </w:tcPr>
          <w:p w14:paraId="30C734C1" w14:textId="77777777" w:rsidR="00B10001" w:rsidRDefault="006B7EAD">
            <w:pPr>
              <w:spacing w:after="0"/>
            </w:pPr>
            <w:r>
              <w:rPr>
                <w:color w:val="1A1A1A"/>
                <w:szCs w:val="18"/>
              </w:rPr>
              <w:t>Omissão de portaria de designação de Gestor e Fiscais; designação de servidor sem qualificação técnica compatível com obras de engenharia e arquitetura.</w:t>
            </w:r>
          </w:p>
        </w:tc>
        <w:tc>
          <w:tcPr>
            <w:tcW w:w="244" w:type="dxa"/>
            <w:shd w:val="clear" w:color="auto" w:fill="E2EFDA"/>
            <w:tcMar>
              <w:top w:w="60" w:type="dxa"/>
              <w:left w:w="100" w:type="dxa"/>
              <w:bottom w:w="60" w:type="dxa"/>
              <w:right w:w="100" w:type="dxa"/>
            </w:tcMar>
            <w:vAlign w:val="center"/>
          </w:tcPr>
          <w:p w14:paraId="653FA95A" w14:textId="77777777" w:rsidR="00B10001" w:rsidRDefault="006B7EAD">
            <w:pPr>
              <w:spacing w:after="0"/>
              <w:jc w:val="center"/>
            </w:pPr>
            <w:r>
              <w:rPr>
                <w:b/>
                <w:bCs/>
                <w:color w:val="1A1A1A"/>
                <w:szCs w:val="18"/>
              </w:rPr>
              <w:t>Baixa</w:t>
            </w:r>
          </w:p>
        </w:tc>
        <w:tc>
          <w:tcPr>
            <w:tcW w:w="891" w:type="dxa"/>
            <w:shd w:val="clear" w:color="auto" w:fill="FAEEDA"/>
            <w:tcMar>
              <w:top w:w="60" w:type="dxa"/>
              <w:left w:w="100" w:type="dxa"/>
              <w:bottom w:w="60" w:type="dxa"/>
              <w:right w:w="100" w:type="dxa"/>
            </w:tcMar>
            <w:vAlign w:val="center"/>
          </w:tcPr>
          <w:p w14:paraId="5650C859" w14:textId="77777777" w:rsidR="00B10001" w:rsidRDefault="006B7EAD">
            <w:pPr>
              <w:spacing w:after="0"/>
              <w:jc w:val="center"/>
            </w:pPr>
            <w:r>
              <w:rPr>
                <w:b/>
                <w:bCs/>
                <w:color w:val="1A1A1A"/>
                <w:szCs w:val="18"/>
              </w:rPr>
              <w:t>Alto</w:t>
            </w:r>
          </w:p>
        </w:tc>
        <w:tc>
          <w:tcPr>
            <w:tcW w:w="870" w:type="dxa"/>
            <w:shd w:val="clear" w:color="auto" w:fill="FFF2CC"/>
            <w:tcMar>
              <w:top w:w="60" w:type="dxa"/>
              <w:left w:w="100" w:type="dxa"/>
              <w:bottom w:w="60" w:type="dxa"/>
              <w:right w:w="100" w:type="dxa"/>
            </w:tcMar>
            <w:vAlign w:val="center"/>
          </w:tcPr>
          <w:p w14:paraId="7422D253" w14:textId="77777777" w:rsidR="00B10001" w:rsidRDefault="006B7EAD">
            <w:pPr>
              <w:spacing w:after="0"/>
              <w:jc w:val="center"/>
            </w:pPr>
            <w:r>
              <w:rPr>
                <w:b/>
                <w:bCs/>
                <w:color w:val="1A1A1A"/>
                <w:szCs w:val="18"/>
              </w:rPr>
              <w:t>MÉDIO</w:t>
            </w:r>
          </w:p>
        </w:tc>
        <w:tc>
          <w:tcPr>
            <w:tcW w:w="4708" w:type="dxa"/>
            <w:shd w:val="clear" w:color="auto" w:fill="FFFFFF"/>
            <w:tcMar>
              <w:top w:w="60" w:type="dxa"/>
              <w:left w:w="100" w:type="dxa"/>
              <w:bottom w:w="60" w:type="dxa"/>
              <w:right w:w="100" w:type="dxa"/>
            </w:tcMar>
            <w:vAlign w:val="center"/>
          </w:tcPr>
          <w:p w14:paraId="76EBABBE" w14:textId="77777777" w:rsidR="00B10001" w:rsidRDefault="006B7EAD">
            <w:pPr>
              <w:spacing w:after="0"/>
            </w:pPr>
            <w:r>
              <w:rPr>
                <w:color w:val="1A1A1A"/>
                <w:sz w:val="17"/>
                <w:szCs w:val="17"/>
              </w:rPr>
              <w:t>Emitir Portaria de Designação de Fiscal Técnico (Engenheiro Civil habilitado no CREA), Fiscal Suplente e Gestor do Contrato antes da assinatura do contrato, conforme art. 117 da Lei 14.133/2021. — Contingência: verificar preventivamente a estrutura de designação antes da publicação do edital.</w:t>
            </w:r>
          </w:p>
        </w:tc>
        <w:tc>
          <w:tcPr>
            <w:tcW w:w="3398" w:type="dxa"/>
            <w:shd w:val="clear" w:color="auto" w:fill="FFFFFF"/>
            <w:tcMar>
              <w:top w:w="60" w:type="dxa"/>
              <w:left w:w="100" w:type="dxa"/>
              <w:bottom w:w="60" w:type="dxa"/>
              <w:right w:w="100" w:type="dxa"/>
            </w:tcMar>
            <w:vAlign w:val="center"/>
          </w:tcPr>
          <w:p w14:paraId="4A287FF3" w14:textId="77777777" w:rsidR="00B10001" w:rsidRDefault="006B7EAD">
            <w:pPr>
              <w:spacing w:after="0"/>
            </w:pPr>
            <w:r>
              <w:rPr>
                <w:color w:val="1A1A1A"/>
                <w:sz w:val="17"/>
                <w:szCs w:val="17"/>
              </w:rPr>
              <w:t>Ordenador de Despesa / Secretário de Educação</w:t>
            </w:r>
          </w:p>
        </w:tc>
      </w:tr>
      <w:tr w:rsidR="00B10001" w14:paraId="35B08F85" w14:textId="77777777" w:rsidTr="009E2995">
        <w:trPr>
          <w:jc w:val="center"/>
        </w:trPr>
        <w:tc>
          <w:tcPr>
            <w:tcW w:w="531" w:type="dxa"/>
            <w:shd w:val="clear" w:color="auto" w:fill="FFFFFF"/>
            <w:tcMar>
              <w:top w:w="60" w:type="dxa"/>
              <w:left w:w="100" w:type="dxa"/>
              <w:bottom w:w="60" w:type="dxa"/>
              <w:right w:w="100" w:type="dxa"/>
            </w:tcMar>
            <w:vAlign w:val="center"/>
          </w:tcPr>
          <w:p w14:paraId="2C41BFB6" w14:textId="77777777" w:rsidR="00B10001" w:rsidRDefault="006B7EAD">
            <w:pPr>
              <w:spacing w:after="0"/>
              <w:jc w:val="center"/>
            </w:pPr>
            <w:r>
              <w:rPr>
                <w:b/>
                <w:bCs/>
                <w:color w:val="1A1A1A"/>
                <w:szCs w:val="18"/>
              </w:rPr>
              <w:t>R03</w:t>
            </w:r>
          </w:p>
        </w:tc>
        <w:tc>
          <w:tcPr>
            <w:tcW w:w="1986" w:type="dxa"/>
            <w:shd w:val="clear" w:color="auto" w:fill="FFFFFF"/>
            <w:tcMar>
              <w:top w:w="60" w:type="dxa"/>
              <w:left w:w="100" w:type="dxa"/>
              <w:bottom w:w="60" w:type="dxa"/>
              <w:right w:w="100" w:type="dxa"/>
            </w:tcMar>
            <w:vAlign w:val="center"/>
          </w:tcPr>
          <w:p w14:paraId="71646CED" w14:textId="77777777" w:rsidR="00B10001" w:rsidRDefault="006B7EAD">
            <w:pPr>
              <w:spacing w:after="0"/>
            </w:pPr>
            <w:r>
              <w:rPr>
                <w:b/>
                <w:bCs/>
                <w:color w:val="1A1A1A"/>
                <w:szCs w:val="18"/>
              </w:rPr>
              <w:t>Estimativa orçamentária inadequada ou desatualizada</w:t>
            </w:r>
          </w:p>
        </w:tc>
        <w:tc>
          <w:tcPr>
            <w:tcW w:w="2640" w:type="dxa"/>
            <w:shd w:val="clear" w:color="auto" w:fill="FFFFFF"/>
            <w:tcMar>
              <w:top w:w="60" w:type="dxa"/>
              <w:left w:w="100" w:type="dxa"/>
              <w:bottom w:w="60" w:type="dxa"/>
              <w:right w:w="100" w:type="dxa"/>
            </w:tcMar>
            <w:vAlign w:val="center"/>
          </w:tcPr>
          <w:p w14:paraId="34B3A8B3" w14:textId="77777777" w:rsidR="00B10001" w:rsidRDefault="006B7EAD">
            <w:pPr>
              <w:spacing w:after="0"/>
            </w:pPr>
            <w:r>
              <w:rPr>
                <w:color w:val="1A1A1A"/>
                <w:szCs w:val="18"/>
              </w:rPr>
              <w:t>Utilização de tabela SINAPI desatualizada; ausência de composições próprias para serviços não contemplados; BDI incompatível com o perfil da obra (Acórdãos TCU nº 2.622/2013 e 950/2013-Plenário).</w:t>
            </w:r>
          </w:p>
        </w:tc>
        <w:tc>
          <w:tcPr>
            <w:tcW w:w="244" w:type="dxa"/>
            <w:shd w:val="clear" w:color="auto" w:fill="FFF2CC"/>
            <w:tcMar>
              <w:top w:w="60" w:type="dxa"/>
              <w:left w:w="100" w:type="dxa"/>
              <w:bottom w:w="60" w:type="dxa"/>
              <w:right w:w="100" w:type="dxa"/>
            </w:tcMar>
            <w:vAlign w:val="center"/>
          </w:tcPr>
          <w:p w14:paraId="6B5BA461" w14:textId="77777777" w:rsidR="00B10001" w:rsidRDefault="006B7EAD">
            <w:pPr>
              <w:spacing w:after="0"/>
              <w:jc w:val="center"/>
            </w:pPr>
            <w:r>
              <w:rPr>
                <w:b/>
                <w:bCs/>
                <w:color w:val="1A1A1A"/>
                <w:szCs w:val="18"/>
              </w:rPr>
              <w:t>Média</w:t>
            </w:r>
          </w:p>
        </w:tc>
        <w:tc>
          <w:tcPr>
            <w:tcW w:w="891" w:type="dxa"/>
            <w:shd w:val="clear" w:color="auto" w:fill="FAEEDA"/>
            <w:tcMar>
              <w:top w:w="60" w:type="dxa"/>
              <w:left w:w="100" w:type="dxa"/>
              <w:bottom w:w="60" w:type="dxa"/>
              <w:right w:w="100" w:type="dxa"/>
            </w:tcMar>
            <w:vAlign w:val="center"/>
          </w:tcPr>
          <w:p w14:paraId="35BE16C6" w14:textId="77777777" w:rsidR="00B10001" w:rsidRDefault="006B7EAD">
            <w:pPr>
              <w:spacing w:after="0"/>
              <w:jc w:val="center"/>
            </w:pPr>
            <w:r>
              <w:rPr>
                <w:b/>
                <w:bCs/>
                <w:color w:val="1A1A1A"/>
                <w:szCs w:val="18"/>
              </w:rPr>
              <w:t>Alto</w:t>
            </w:r>
          </w:p>
        </w:tc>
        <w:tc>
          <w:tcPr>
            <w:tcW w:w="870" w:type="dxa"/>
            <w:shd w:val="clear" w:color="auto" w:fill="FAEEDA"/>
            <w:tcMar>
              <w:top w:w="60" w:type="dxa"/>
              <w:left w:w="100" w:type="dxa"/>
              <w:bottom w:w="60" w:type="dxa"/>
              <w:right w:w="100" w:type="dxa"/>
            </w:tcMar>
            <w:vAlign w:val="center"/>
          </w:tcPr>
          <w:p w14:paraId="587C7562" w14:textId="77777777" w:rsidR="00B10001" w:rsidRDefault="006B7EAD">
            <w:pPr>
              <w:spacing w:after="0"/>
              <w:jc w:val="center"/>
            </w:pPr>
            <w:r>
              <w:rPr>
                <w:b/>
                <w:bCs/>
                <w:color w:val="1A1A1A"/>
                <w:szCs w:val="18"/>
              </w:rPr>
              <w:t>ALTO</w:t>
            </w:r>
          </w:p>
        </w:tc>
        <w:tc>
          <w:tcPr>
            <w:tcW w:w="4708" w:type="dxa"/>
            <w:shd w:val="clear" w:color="auto" w:fill="FFFFFF"/>
            <w:tcMar>
              <w:top w:w="60" w:type="dxa"/>
              <w:left w:w="100" w:type="dxa"/>
              <w:bottom w:w="60" w:type="dxa"/>
              <w:right w:w="100" w:type="dxa"/>
            </w:tcMar>
            <w:vAlign w:val="center"/>
          </w:tcPr>
          <w:p w14:paraId="39B00712" w14:textId="77777777" w:rsidR="00B10001" w:rsidRDefault="006B7EAD">
            <w:pPr>
              <w:spacing w:after="0"/>
            </w:pPr>
            <w:r>
              <w:rPr>
                <w:color w:val="1A1A1A"/>
                <w:sz w:val="17"/>
                <w:szCs w:val="17"/>
              </w:rPr>
              <w:t>Elaborar orçamento com base em SINAPI vigente (PE — Não Desonerado), atualizado para o mês de referência. BDI calculado conforme Acórdãos TCU nº 2.622/2013 e 950/2013-Plenário. Composições próprias para itens não contemplados (art. 23, §2º, Lei 14.133/2021). — Contingência: reavaliar aditivo de acréscimo dentro dos limites do art. 125 da Lei 14.133/2021.</w:t>
            </w:r>
          </w:p>
        </w:tc>
        <w:tc>
          <w:tcPr>
            <w:tcW w:w="3398" w:type="dxa"/>
            <w:shd w:val="clear" w:color="auto" w:fill="FFFFFF"/>
            <w:tcMar>
              <w:top w:w="60" w:type="dxa"/>
              <w:left w:w="100" w:type="dxa"/>
              <w:bottom w:w="60" w:type="dxa"/>
              <w:right w:w="100" w:type="dxa"/>
            </w:tcMar>
            <w:vAlign w:val="center"/>
          </w:tcPr>
          <w:p w14:paraId="310C088B" w14:textId="77777777" w:rsidR="00B10001" w:rsidRDefault="006B7EAD">
            <w:pPr>
              <w:spacing w:after="0"/>
            </w:pPr>
            <w:r>
              <w:rPr>
                <w:color w:val="1A1A1A"/>
                <w:sz w:val="17"/>
                <w:szCs w:val="17"/>
              </w:rPr>
              <w:t>Responsável pela Estimativa Orçamentária</w:t>
            </w:r>
          </w:p>
        </w:tc>
      </w:tr>
      <w:tr w:rsidR="00B10001" w14:paraId="551DB07B" w14:textId="77777777" w:rsidTr="009E2995">
        <w:trPr>
          <w:jc w:val="center"/>
        </w:trPr>
        <w:tc>
          <w:tcPr>
            <w:tcW w:w="531" w:type="dxa"/>
            <w:shd w:val="clear" w:color="auto" w:fill="FFFFFF"/>
            <w:tcMar>
              <w:top w:w="60" w:type="dxa"/>
              <w:left w:w="100" w:type="dxa"/>
              <w:bottom w:w="60" w:type="dxa"/>
              <w:right w:w="100" w:type="dxa"/>
            </w:tcMar>
            <w:vAlign w:val="center"/>
          </w:tcPr>
          <w:p w14:paraId="517E9EAF" w14:textId="77777777" w:rsidR="00B10001" w:rsidRDefault="006B7EAD">
            <w:pPr>
              <w:spacing w:after="0"/>
              <w:jc w:val="center"/>
            </w:pPr>
            <w:r>
              <w:rPr>
                <w:b/>
                <w:bCs/>
                <w:color w:val="1A1A1A"/>
                <w:szCs w:val="18"/>
              </w:rPr>
              <w:t>R04</w:t>
            </w:r>
          </w:p>
        </w:tc>
        <w:tc>
          <w:tcPr>
            <w:tcW w:w="1986" w:type="dxa"/>
            <w:shd w:val="clear" w:color="auto" w:fill="FFFFFF"/>
            <w:tcMar>
              <w:top w:w="60" w:type="dxa"/>
              <w:left w:w="100" w:type="dxa"/>
              <w:bottom w:w="60" w:type="dxa"/>
              <w:right w:w="100" w:type="dxa"/>
            </w:tcMar>
            <w:vAlign w:val="center"/>
          </w:tcPr>
          <w:p w14:paraId="019A705A" w14:textId="77777777" w:rsidR="00B10001" w:rsidRDefault="006B7EAD">
            <w:pPr>
              <w:spacing w:after="0"/>
            </w:pPr>
            <w:r>
              <w:rPr>
                <w:b/>
                <w:bCs/>
                <w:color w:val="1A1A1A"/>
                <w:szCs w:val="18"/>
              </w:rPr>
              <w:t>Fracasso da licitação por ausência de propostas válidas</w:t>
            </w:r>
          </w:p>
        </w:tc>
        <w:tc>
          <w:tcPr>
            <w:tcW w:w="2640" w:type="dxa"/>
            <w:shd w:val="clear" w:color="auto" w:fill="FFFFFF"/>
            <w:tcMar>
              <w:top w:w="60" w:type="dxa"/>
              <w:left w:w="100" w:type="dxa"/>
              <w:bottom w:w="60" w:type="dxa"/>
              <w:right w:w="100" w:type="dxa"/>
            </w:tcMar>
            <w:vAlign w:val="center"/>
          </w:tcPr>
          <w:p w14:paraId="1CD4D8D5" w14:textId="77777777" w:rsidR="00B10001" w:rsidRDefault="006B7EAD">
            <w:pPr>
              <w:spacing w:after="0"/>
            </w:pPr>
            <w:r>
              <w:rPr>
                <w:color w:val="1A1A1A"/>
                <w:szCs w:val="18"/>
              </w:rPr>
              <w:t xml:space="preserve">Exigências de qualificação técnica desproporcionais ao objeto; valor estimado incompatível com o mercado regional; divulgação </w:t>
            </w:r>
            <w:r>
              <w:rPr>
                <w:color w:val="1A1A1A"/>
                <w:szCs w:val="18"/>
              </w:rPr>
              <w:lastRenderedPageBreak/>
              <w:t>insuficiente; objeto com características que afastam empresas de porte adequado.</w:t>
            </w:r>
          </w:p>
        </w:tc>
        <w:tc>
          <w:tcPr>
            <w:tcW w:w="244" w:type="dxa"/>
            <w:shd w:val="clear" w:color="auto" w:fill="E2EFDA"/>
            <w:tcMar>
              <w:top w:w="60" w:type="dxa"/>
              <w:left w:w="100" w:type="dxa"/>
              <w:bottom w:w="60" w:type="dxa"/>
              <w:right w:w="100" w:type="dxa"/>
            </w:tcMar>
            <w:vAlign w:val="center"/>
          </w:tcPr>
          <w:p w14:paraId="2C8F1655" w14:textId="77777777" w:rsidR="00B10001" w:rsidRDefault="006B7EAD">
            <w:pPr>
              <w:spacing w:after="0"/>
              <w:jc w:val="center"/>
            </w:pPr>
            <w:r>
              <w:rPr>
                <w:b/>
                <w:bCs/>
                <w:color w:val="1A1A1A"/>
                <w:szCs w:val="18"/>
              </w:rPr>
              <w:lastRenderedPageBreak/>
              <w:t>Baixa</w:t>
            </w:r>
          </w:p>
        </w:tc>
        <w:tc>
          <w:tcPr>
            <w:tcW w:w="891" w:type="dxa"/>
            <w:shd w:val="clear" w:color="auto" w:fill="FAEEDA"/>
            <w:tcMar>
              <w:top w:w="60" w:type="dxa"/>
              <w:left w:w="100" w:type="dxa"/>
              <w:bottom w:w="60" w:type="dxa"/>
              <w:right w:w="100" w:type="dxa"/>
            </w:tcMar>
            <w:vAlign w:val="center"/>
          </w:tcPr>
          <w:p w14:paraId="08588DA4" w14:textId="77777777" w:rsidR="00B10001" w:rsidRDefault="006B7EAD">
            <w:pPr>
              <w:spacing w:after="0"/>
              <w:jc w:val="center"/>
            </w:pPr>
            <w:r>
              <w:rPr>
                <w:b/>
                <w:bCs/>
                <w:color w:val="1A1A1A"/>
                <w:szCs w:val="18"/>
              </w:rPr>
              <w:t>Alto</w:t>
            </w:r>
          </w:p>
        </w:tc>
        <w:tc>
          <w:tcPr>
            <w:tcW w:w="870" w:type="dxa"/>
            <w:shd w:val="clear" w:color="auto" w:fill="FFF2CC"/>
            <w:tcMar>
              <w:top w:w="60" w:type="dxa"/>
              <w:left w:w="100" w:type="dxa"/>
              <w:bottom w:w="60" w:type="dxa"/>
              <w:right w:w="100" w:type="dxa"/>
            </w:tcMar>
            <w:vAlign w:val="center"/>
          </w:tcPr>
          <w:p w14:paraId="483E84BD" w14:textId="77777777" w:rsidR="00B10001" w:rsidRDefault="006B7EAD">
            <w:pPr>
              <w:spacing w:after="0"/>
              <w:jc w:val="center"/>
            </w:pPr>
            <w:r>
              <w:rPr>
                <w:b/>
                <w:bCs/>
                <w:color w:val="1A1A1A"/>
                <w:szCs w:val="18"/>
              </w:rPr>
              <w:t>MÉDIO</w:t>
            </w:r>
          </w:p>
        </w:tc>
        <w:tc>
          <w:tcPr>
            <w:tcW w:w="4708" w:type="dxa"/>
            <w:shd w:val="clear" w:color="auto" w:fill="FFFFFF"/>
            <w:tcMar>
              <w:top w:w="60" w:type="dxa"/>
              <w:left w:w="100" w:type="dxa"/>
              <w:bottom w:w="60" w:type="dxa"/>
              <w:right w:w="100" w:type="dxa"/>
            </w:tcMar>
            <w:vAlign w:val="center"/>
          </w:tcPr>
          <w:p w14:paraId="217712AD" w14:textId="77777777" w:rsidR="00B10001" w:rsidRDefault="006B7EAD">
            <w:pPr>
              <w:spacing w:after="0"/>
            </w:pPr>
            <w:r>
              <w:rPr>
                <w:color w:val="1A1A1A"/>
                <w:sz w:val="17"/>
                <w:szCs w:val="17"/>
              </w:rPr>
              <w:t xml:space="preserve">Calibrar exigências de habilitação ao objeto — especialmente atestados de capacidade técnica — dentro dos limites do art. 67 da Lei 14.133/2021 e da jurisprudência do TCU. Ampla divulgação no PNCP. Verificar compatibilidade do valor estimado com pesquisa de mercado. — Contingência: rever condições </w:t>
            </w:r>
            <w:r>
              <w:rPr>
                <w:color w:val="1A1A1A"/>
                <w:sz w:val="17"/>
                <w:szCs w:val="17"/>
              </w:rPr>
              <w:lastRenderedPageBreak/>
              <w:t>do edital antes de novo processo; realizar nova pesquisa de mercado.</w:t>
            </w:r>
          </w:p>
        </w:tc>
        <w:tc>
          <w:tcPr>
            <w:tcW w:w="3398" w:type="dxa"/>
            <w:shd w:val="clear" w:color="auto" w:fill="FFFFFF"/>
            <w:tcMar>
              <w:top w:w="60" w:type="dxa"/>
              <w:left w:w="100" w:type="dxa"/>
              <w:bottom w:w="60" w:type="dxa"/>
              <w:right w:w="100" w:type="dxa"/>
            </w:tcMar>
            <w:vAlign w:val="center"/>
          </w:tcPr>
          <w:p w14:paraId="70144811" w14:textId="77777777" w:rsidR="00B10001" w:rsidRDefault="006B7EAD">
            <w:pPr>
              <w:spacing w:after="0"/>
            </w:pPr>
            <w:r>
              <w:rPr>
                <w:color w:val="1A1A1A"/>
                <w:sz w:val="17"/>
                <w:szCs w:val="17"/>
              </w:rPr>
              <w:lastRenderedPageBreak/>
              <w:t>Pregoeiro / Comissão de Contratação</w:t>
            </w:r>
          </w:p>
        </w:tc>
      </w:tr>
      <w:tr w:rsidR="00B10001" w14:paraId="4887BD4C" w14:textId="77777777" w:rsidTr="009E2995">
        <w:trPr>
          <w:jc w:val="center"/>
        </w:trPr>
        <w:tc>
          <w:tcPr>
            <w:tcW w:w="531" w:type="dxa"/>
            <w:shd w:val="clear" w:color="auto" w:fill="FFFFFF"/>
            <w:tcMar>
              <w:top w:w="60" w:type="dxa"/>
              <w:left w:w="100" w:type="dxa"/>
              <w:bottom w:w="60" w:type="dxa"/>
              <w:right w:w="100" w:type="dxa"/>
            </w:tcMar>
            <w:vAlign w:val="center"/>
          </w:tcPr>
          <w:p w14:paraId="6F0845B5" w14:textId="77777777" w:rsidR="00B10001" w:rsidRDefault="006B7EAD">
            <w:pPr>
              <w:spacing w:after="0"/>
              <w:jc w:val="center"/>
            </w:pPr>
            <w:r>
              <w:rPr>
                <w:b/>
                <w:bCs/>
                <w:color w:val="1A1A1A"/>
                <w:szCs w:val="18"/>
              </w:rPr>
              <w:t>R05</w:t>
            </w:r>
          </w:p>
        </w:tc>
        <w:tc>
          <w:tcPr>
            <w:tcW w:w="1986" w:type="dxa"/>
            <w:shd w:val="clear" w:color="auto" w:fill="FFFFFF"/>
            <w:tcMar>
              <w:top w:w="60" w:type="dxa"/>
              <w:left w:w="100" w:type="dxa"/>
              <w:bottom w:w="60" w:type="dxa"/>
              <w:right w:w="100" w:type="dxa"/>
            </w:tcMar>
            <w:vAlign w:val="center"/>
          </w:tcPr>
          <w:p w14:paraId="2B672797" w14:textId="77777777" w:rsidR="00B10001" w:rsidRDefault="006B7EAD">
            <w:pPr>
              <w:spacing w:after="0"/>
            </w:pPr>
            <w:r>
              <w:rPr>
                <w:b/>
                <w:bCs/>
                <w:color w:val="1A1A1A"/>
                <w:szCs w:val="18"/>
              </w:rPr>
              <w:t>Impugnação ou suspensão judicial do edital</w:t>
            </w:r>
          </w:p>
        </w:tc>
        <w:tc>
          <w:tcPr>
            <w:tcW w:w="2640" w:type="dxa"/>
            <w:shd w:val="clear" w:color="auto" w:fill="FFFFFF"/>
            <w:tcMar>
              <w:top w:w="60" w:type="dxa"/>
              <w:left w:w="100" w:type="dxa"/>
              <w:bottom w:w="60" w:type="dxa"/>
              <w:right w:w="100" w:type="dxa"/>
            </w:tcMar>
            <w:vAlign w:val="center"/>
          </w:tcPr>
          <w:p w14:paraId="2F66A8FE" w14:textId="77777777" w:rsidR="00B10001" w:rsidRDefault="006B7EAD">
            <w:pPr>
              <w:spacing w:after="0"/>
            </w:pPr>
            <w:r>
              <w:rPr>
                <w:color w:val="1A1A1A"/>
                <w:szCs w:val="18"/>
              </w:rPr>
              <w:t>Inconsistências entre Edital, Projeto Básico e Planilha Orçamentária; exigências restritivas à competição sem fundamentação técnica; ausência de justificativa para requisitos de habilitação.</w:t>
            </w:r>
          </w:p>
        </w:tc>
        <w:tc>
          <w:tcPr>
            <w:tcW w:w="244" w:type="dxa"/>
            <w:shd w:val="clear" w:color="auto" w:fill="E2EFDA"/>
            <w:tcMar>
              <w:top w:w="60" w:type="dxa"/>
              <w:left w:w="100" w:type="dxa"/>
              <w:bottom w:w="60" w:type="dxa"/>
              <w:right w:w="100" w:type="dxa"/>
            </w:tcMar>
            <w:vAlign w:val="center"/>
          </w:tcPr>
          <w:p w14:paraId="106DE9A6" w14:textId="77777777" w:rsidR="00B10001" w:rsidRDefault="006B7EAD">
            <w:pPr>
              <w:spacing w:after="0"/>
              <w:jc w:val="center"/>
            </w:pPr>
            <w:r>
              <w:rPr>
                <w:b/>
                <w:bCs/>
                <w:color w:val="1A1A1A"/>
                <w:szCs w:val="18"/>
              </w:rPr>
              <w:t>Baixa</w:t>
            </w:r>
          </w:p>
        </w:tc>
        <w:tc>
          <w:tcPr>
            <w:tcW w:w="891" w:type="dxa"/>
            <w:shd w:val="clear" w:color="auto" w:fill="FFF2CC"/>
            <w:tcMar>
              <w:top w:w="60" w:type="dxa"/>
              <w:left w:w="100" w:type="dxa"/>
              <w:bottom w:w="60" w:type="dxa"/>
              <w:right w:w="100" w:type="dxa"/>
            </w:tcMar>
            <w:vAlign w:val="center"/>
          </w:tcPr>
          <w:p w14:paraId="63A942D2" w14:textId="77777777" w:rsidR="00B10001" w:rsidRDefault="006B7EAD">
            <w:pPr>
              <w:spacing w:after="0"/>
              <w:jc w:val="center"/>
            </w:pPr>
            <w:r>
              <w:rPr>
                <w:b/>
                <w:bCs/>
                <w:color w:val="1A1A1A"/>
                <w:szCs w:val="18"/>
              </w:rPr>
              <w:t>Médio</w:t>
            </w:r>
          </w:p>
        </w:tc>
        <w:tc>
          <w:tcPr>
            <w:tcW w:w="870" w:type="dxa"/>
            <w:shd w:val="clear" w:color="auto" w:fill="E2EFDA"/>
            <w:tcMar>
              <w:top w:w="60" w:type="dxa"/>
              <w:left w:w="100" w:type="dxa"/>
              <w:bottom w:w="60" w:type="dxa"/>
              <w:right w:w="100" w:type="dxa"/>
            </w:tcMar>
            <w:vAlign w:val="center"/>
          </w:tcPr>
          <w:p w14:paraId="6F7550FF" w14:textId="77777777" w:rsidR="00B10001" w:rsidRDefault="006B7EAD">
            <w:pPr>
              <w:spacing w:after="0"/>
              <w:jc w:val="center"/>
            </w:pPr>
            <w:r>
              <w:rPr>
                <w:b/>
                <w:bCs/>
                <w:color w:val="1A1A1A"/>
                <w:szCs w:val="18"/>
              </w:rPr>
              <w:t>BAIXO</w:t>
            </w:r>
          </w:p>
        </w:tc>
        <w:tc>
          <w:tcPr>
            <w:tcW w:w="4708" w:type="dxa"/>
            <w:shd w:val="clear" w:color="auto" w:fill="FFFFFF"/>
            <w:tcMar>
              <w:top w:w="60" w:type="dxa"/>
              <w:left w:w="100" w:type="dxa"/>
              <w:bottom w:w="60" w:type="dxa"/>
              <w:right w:w="100" w:type="dxa"/>
            </w:tcMar>
            <w:vAlign w:val="center"/>
          </w:tcPr>
          <w:p w14:paraId="02B13742" w14:textId="77777777" w:rsidR="00B10001" w:rsidRDefault="006B7EAD">
            <w:pPr>
              <w:spacing w:after="0"/>
            </w:pPr>
            <w:r>
              <w:rPr>
                <w:color w:val="1A1A1A"/>
                <w:sz w:val="17"/>
                <w:szCs w:val="17"/>
              </w:rPr>
              <w:t>Revisão jurídica do edital antes da publicação. Compatibilizar Edital com Projeto Básico, Memorial e Planilha Orçamentária. Garantir que as exigências de habilitação sejam estritamente vinculadas ao objeto. — Contingência: analisar impugnação no prazo legal; corrigir e republicar se procedente.</w:t>
            </w:r>
          </w:p>
        </w:tc>
        <w:tc>
          <w:tcPr>
            <w:tcW w:w="3398" w:type="dxa"/>
            <w:shd w:val="clear" w:color="auto" w:fill="FFFFFF"/>
            <w:tcMar>
              <w:top w:w="60" w:type="dxa"/>
              <w:left w:w="100" w:type="dxa"/>
              <w:bottom w:w="60" w:type="dxa"/>
              <w:right w:w="100" w:type="dxa"/>
            </w:tcMar>
            <w:vAlign w:val="center"/>
          </w:tcPr>
          <w:p w14:paraId="63A192C0" w14:textId="77777777" w:rsidR="00B10001" w:rsidRDefault="006B7EAD">
            <w:pPr>
              <w:spacing w:after="0"/>
            </w:pPr>
            <w:r>
              <w:rPr>
                <w:color w:val="1A1A1A"/>
                <w:sz w:val="17"/>
                <w:szCs w:val="17"/>
              </w:rPr>
              <w:t>Assessoria Jurídica / Pregoeiro</w:t>
            </w:r>
          </w:p>
        </w:tc>
      </w:tr>
      <w:tr w:rsidR="00B10001" w14:paraId="4D01705F" w14:textId="77777777" w:rsidTr="009E2995">
        <w:trPr>
          <w:jc w:val="center"/>
        </w:trPr>
        <w:tc>
          <w:tcPr>
            <w:tcW w:w="531" w:type="dxa"/>
            <w:shd w:val="clear" w:color="auto" w:fill="FFFFFF"/>
            <w:tcMar>
              <w:top w:w="60" w:type="dxa"/>
              <w:left w:w="100" w:type="dxa"/>
              <w:bottom w:w="60" w:type="dxa"/>
              <w:right w:w="100" w:type="dxa"/>
            </w:tcMar>
            <w:vAlign w:val="center"/>
          </w:tcPr>
          <w:p w14:paraId="1A75EC85" w14:textId="77777777" w:rsidR="00B10001" w:rsidRDefault="006B7EAD">
            <w:pPr>
              <w:spacing w:after="0"/>
              <w:jc w:val="center"/>
            </w:pPr>
            <w:r>
              <w:rPr>
                <w:b/>
                <w:bCs/>
                <w:color w:val="1A1A1A"/>
                <w:szCs w:val="18"/>
              </w:rPr>
              <w:t>R06</w:t>
            </w:r>
          </w:p>
        </w:tc>
        <w:tc>
          <w:tcPr>
            <w:tcW w:w="1986" w:type="dxa"/>
            <w:shd w:val="clear" w:color="auto" w:fill="FFFFFF"/>
            <w:tcMar>
              <w:top w:w="60" w:type="dxa"/>
              <w:left w:w="100" w:type="dxa"/>
              <w:bottom w:w="60" w:type="dxa"/>
              <w:right w:w="100" w:type="dxa"/>
            </w:tcMar>
            <w:vAlign w:val="center"/>
          </w:tcPr>
          <w:p w14:paraId="38FF70F9" w14:textId="77777777" w:rsidR="00B10001" w:rsidRDefault="006B7EAD">
            <w:pPr>
              <w:spacing w:after="0"/>
            </w:pPr>
            <w:r>
              <w:rPr>
                <w:b/>
                <w:bCs/>
                <w:color w:val="1A1A1A"/>
                <w:szCs w:val="18"/>
              </w:rPr>
              <w:t>Proposta inexequível aceita sem verificação de exequibilidade</w:t>
            </w:r>
          </w:p>
        </w:tc>
        <w:tc>
          <w:tcPr>
            <w:tcW w:w="2640" w:type="dxa"/>
            <w:shd w:val="clear" w:color="auto" w:fill="FFFFFF"/>
            <w:tcMar>
              <w:top w:w="60" w:type="dxa"/>
              <w:left w:w="100" w:type="dxa"/>
              <w:bottom w:w="60" w:type="dxa"/>
              <w:right w:w="100" w:type="dxa"/>
            </w:tcMar>
            <w:vAlign w:val="center"/>
          </w:tcPr>
          <w:p w14:paraId="3A9DE550" w14:textId="77777777" w:rsidR="00B10001" w:rsidRDefault="006B7EAD">
            <w:pPr>
              <w:spacing w:after="0"/>
            </w:pPr>
            <w:r>
              <w:rPr>
                <w:color w:val="1A1A1A"/>
                <w:szCs w:val="18"/>
              </w:rPr>
              <w:t>Desconto excessivo da proposta vencedora sem demonstração técnica e financeira da exequibilidade; risco de abandono da obra ou de medições superestimadas para compensar o deságio. Histórico documentado: na Concorrência Eletrônica nº 050/2024 (PA 575/2024), a proposta adjudicada (R$ 625.000,00 — 30,21% de desconto) ficou 39,29% abaixo do valor de mercado atualizado (INCC-DI, jun/2026), sendo o principal fator que motivou a revogação do processo.</w:t>
            </w:r>
          </w:p>
        </w:tc>
        <w:tc>
          <w:tcPr>
            <w:tcW w:w="244" w:type="dxa"/>
            <w:shd w:val="clear" w:color="auto" w:fill="FDDEDE"/>
            <w:tcMar>
              <w:top w:w="60" w:type="dxa"/>
              <w:left w:w="100" w:type="dxa"/>
              <w:bottom w:w="60" w:type="dxa"/>
              <w:right w:w="100" w:type="dxa"/>
            </w:tcMar>
            <w:vAlign w:val="center"/>
          </w:tcPr>
          <w:p w14:paraId="5672F445" w14:textId="77777777" w:rsidR="00B10001" w:rsidRDefault="006B7EAD">
            <w:pPr>
              <w:spacing w:after="0"/>
              <w:jc w:val="center"/>
            </w:pPr>
            <w:r>
              <w:rPr>
                <w:b/>
                <w:bCs/>
                <w:color w:val="1A1A1A"/>
                <w:szCs w:val="18"/>
              </w:rPr>
              <w:t>Alta</w:t>
            </w:r>
          </w:p>
        </w:tc>
        <w:tc>
          <w:tcPr>
            <w:tcW w:w="891" w:type="dxa"/>
            <w:shd w:val="clear" w:color="auto" w:fill="FAEEDA"/>
            <w:tcMar>
              <w:top w:w="60" w:type="dxa"/>
              <w:left w:w="100" w:type="dxa"/>
              <w:bottom w:w="60" w:type="dxa"/>
              <w:right w:w="100" w:type="dxa"/>
            </w:tcMar>
            <w:vAlign w:val="center"/>
          </w:tcPr>
          <w:p w14:paraId="1311DC7A" w14:textId="77777777" w:rsidR="00B10001" w:rsidRDefault="006B7EAD">
            <w:pPr>
              <w:spacing w:after="0"/>
              <w:jc w:val="center"/>
            </w:pPr>
            <w:r>
              <w:rPr>
                <w:b/>
                <w:bCs/>
                <w:color w:val="1A1A1A"/>
                <w:szCs w:val="18"/>
              </w:rPr>
              <w:t>Alto</w:t>
            </w:r>
          </w:p>
        </w:tc>
        <w:tc>
          <w:tcPr>
            <w:tcW w:w="870" w:type="dxa"/>
            <w:shd w:val="clear" w:color="auto" w:fill="FDDEDE"/>
            <w:tcMar>
              <w:top w:w="60" w:type="dxa"/>
              <w:left w:w="100" w:type="dxa"/>
              <w:bottom w:w="60" w:type="dxa"/>
              <w:right w:w="100" w:type="dxa"/>
            </w:tcMar>
            <w:vAlign w:val="center"/>
          </w:tcPr>
          <w:p w14:paraId="2F43ECE4" w14:textId="77777777" w:rsidR="00B10001" w:rsidRDefault="006B7EAD">
            <w:pPr>
              <w:spacing w:after="0"/>
              <w:jc w:val="center"/>
            </w:pPr>
            <w:r>
              <w:rPr>
                <w:b/>
                <w:bCs/>
                <w:color w:val="1A1A1A"/>
                <w:szCs w:val="18"/>
              </w:rPr>
              <w:t>CRÍTICO</w:t>
            </w:r>
          </w:p>
        </w:tc>
        <w:tc>
          <w:tcPr>
            <w:tcW w:w="4708" w:type="dxa"/>
            <w:shd w:val="clear" w:color="auto" w:fill="FFFFFF"/>
            <w:tcMar>
              <w:top w:w="60" w:type="dxa"/>
              <w:left w:w="100" w:type="dxa"/>
              <w:bottom w:w="60" w:type="dxa"/>
              <w:right w:w="100" w:type="dxa"/>
            </w:tcMar>
            <w:vAlign w:val="center"/>
          </w:tcPr>
          <w:p w14:paraId="5BE3C5FC" w14:textId="77777777" w:rsidR="00B10001" w:rsidRDefault="006B7EAD">
            <w:pPr>
              <w:spacing w:after="0"/>
            </w:pPr>
            <w:r>
              <w:rPr>
                <w:color w:val="1A1A1A"/>
                <w:sz w:val="17"/>
                <w:szCs w:val="17"/>
              </w:rPr>
              <w:t>Estabelecer no edital critério objetivo de exequibilidade: proposta com desconto superior a 15% sobre o valor de referência deverá apresentar planilha analítica de custos; desconto acima de 25% acarreta análise obrigatória pela Comissão antes da adjudicação (art. 59, Lei 14.133/2021). Lição aprendida: no processo anterior (Concorrência 050/2024), desconto de 30,21% foi homologado sem análise de exequibilidade, resultando em revogação por falsa economicidade. — Contingência: desclassificar proposta reconhecidamente inexequível; convocar licitante seguinte.</w:t>
            </w:r>
          </w:p>
        </w:tc>
        <w:tc>
          <w:tcPr>
            <w:tcW w:w="3398" w:type="dxa"/>
            <w:shd w:val="clear" w:color="auto" w:fill="FFFFFF"/>
            <w:tcMar>
              <w:top w:w="60" w:type="dxa"/>
              <w:left w:w="100" w:type="dxa"/>
              <w:bottom w:w="60" w:type="dxa"/>
              <w:right w:w="100" w:type="dxa"/>
            </w:tcMar>
            <w:vAlign w:val="center"/>
          </w:tcPr>
          <w:p w14:paraId="4C2F489C" w14:textId="77777777" w:rsidR="00B10001" w:rsidRDefault="006B7EAD">
            <w:pPr>
              <w:spacing w:after="0"/>
            </w:pPr>
            <w:r>
              <w:rPr>
                <w:color w:val="1A1A1A"/>
                <w:sz w:val="17"/>
                <w:szCs w:val="17"/>
              </w:rPr>
              <w:t>Comissão de Contratação / Assessoria Técnica</w:t>
            </w:r>
          </w:p>
        </w:tc>
      </w:tr>
      <w:tr w:rsidR="00B10001" w14:paraId="4D00FA97" w14:textId="77777777" w:rsidTr="009E2995">
        <w:trPr>
          <w:jc w:val="center"/>
        </w:trPr>
        <w:tc>
          <w:tcPr>
            <w:tcW w:w="531" w:type="dxa"/>
            <w:shd w:val="clear" w:color="auto" w:fill="FFFFFF"/>
            <w:tcMar>
              <w:top w:w="60" w:type="dxa"/>
              <w:left w:w="100" w:type="dxa"/>
              <w:bottom w:w="60" w:type="dxa"/>
              <w:right w:w="100" w:type="dxa"/>
            </w:tcMar>
            <w:vAlign w:val="center"/>
          </w:tcPr>
          <w:p w14:paraId="4B40D556" w14:textId="77777777" w:rsidR="00B10001" w:rsidRDefault="006B7EAD">
            <w:pPr>
              <w:spacing w:after="0"/>
              <w:jc w:val="center"/>
            </w:pPr>
            <w:r>
              <w:rPr>
                <w:b/>
                <w:bCs/>
                <w:color w:val="1A1A1A"/>
                <w:szCs w:val="18"/>
              </w:rPr>
              <w:lastRenderedPageBreak/>
              <w:t>R07</w:t>
            </w:r>
          </w:p>
        </w:tc>
        <w:tc>
          <w:tcPr>
            <w:tcW w:w="1986" w:type="dxa"/>
            <w:shd w:val="clear" w:color="auto" w:fill="FFFFFF"/>
            <w:tcMar>
              <w:top w:w="60" w:type="dxa"/>
              <w:left w:w="100" w:type="dxa"/>
              <w:bottom w:w="60" w:type="dxa"/>
              <w:right w:w="100" w:type="dxa"/>
            </w:tcMar>
            <w:vAlign w:val="center"/>
          </w:tcPr>
          <w:p w14:paraId="11452281" w14:textId="77777777" w:rsidR="00B10001" w:rsidRDefault="006B7EAD">
            <w:pPr>
              <w:spacing w:after="0"/>
            </w:pPr>
            <w:r>
              <w:rPr>
                <w:b/>
                <w:bCs/>
                <w:color w:val="1A1A1A"/>
                <w:szCs w:val="18"/>
              </w:rPr>
              <w:t>Irregularidade ou insuficiência na fonte de recursos</w:t>
            </w:r>
          </w:p>
        </w:tc>
        <w:tc>
          <w:tcPr>
            <w:tcW w:w="2640" w:type="dxa"/>
            <w:shd w:val="clear" w:color="auto" w:fill="FFFFFF"/>
            <w:tcMar>
              <w:top w:w="60" w:type="dxa"/>
              <w:left w:w="100" w:type="dxa"/>
              <w:bottom w:w="60" w:type="dxa"/>
              <w:right w:w="100" w:type="dxa"/>
            </w:tcMar>
            <w:vAlign w:val="center"/>
          </w:tcPr>
          <w:p w14:paraId="244975AC" w14:textId="77777777" w:rsidR="00B10001" w:rsidRDefault="006B7EAD">
            <w:pPr>
              <w:spacing w:after="0"/>
            </w:pPr>
            <w:r>
              <w:rPr>
                <w:color w:val="1A1A1A"/>
                <w:szCs w:val="18"/>
              </w:rPr>
              <w:t>Dotação orçamentária insuficiente para cobrir o valor total da obra; ausência de empenho prévio; contingenciamento orçamentário municipal; recursos do Fundo Municipal de Educação não formalizados.</w:t>
            </w:r>
          </w:p>
        </w:tc>
        <w:tc>
          <w:tcPr>
            <w:tcW w:w="244" w:type="dxa"/>
            <w:shd w:val="clear" w:color="auto" w:fill="FFF2CC"/>
            <w:tcMar>
              <w:top w:w="60" w:type="dxa"/>
              <w:left w:w="100" w:type="dxa"/>
              <w:bottom w:w="60" w:type="dxa"/>
              <w:right w:w="100" w:type="dxa"/>
            </w:tcMar>
            <w:vAlign w:val="center"/>
          </w:tcPr>
          <w:p w14:paraId="313413EA" w14:textId="77777777" w:rsidR="00B10001" w:rsidRDefault="006B7EAD">
            <w:pPr>
              <w:spacing w:after="0"/>
              <w:jc w:val="center"/>
            </w:pPr>
            <w:r>
              <w:rPr>
                <w:b/>
                <w:bCs/>
                <w:color w:val="1A1A1A"/>
                <w:szCs w:val="18"/>
              </w:rPr>
              <w:t>Média</w:t>
            </w:r>
          </w:p>
        </w:tc>
        <w:tc>
          <w:tcPr>
            <w:tcW w:w="891" w:type="dxa"/>
            <w:shd w:val="clear" w:color="auto" w:fill="FAEEDA"/>
            <w:tcMar>
              <w:top w:w="60" w:type="dxa"/>
              <w:left w:w="100" w:type="dxa"/>
              <w:bottom w:w="60" w:type="dxa"/>
              <w:right w:w="100" w:type="dxa"/>
            </w:tcMar>
            <w:vAlign w:val="center"/>
          </w:tcPr>
          <w:p w14:paraId="35ECB5F9" w14:textId="77777777" w:rsidR="00B10001" w:rsidRDefault="006B7EAD">
            <w:pPr>
              <w:spacing w:after="0"/>
              <w:jc w:val="center"/>
            </w:pPr>
            <w:r>
              <w:rPr>
                <w:b/>
                <w:bCs/>
                <w:color w:val="1A1A1A"/>
                <w:szCs w:val="18"/>
              </w:rPr>
              <w:t>Alto</w:t>
            </w:r>
          </w:p>
        </w:tc>
        <w:tc>
          <w:tcPr>
            <w:tcW w:w="870" w:type="dxa"/>
            <w:shd w:val="clear" w:color="auto" w:fill="FAEEDA"/>
            <w:tcMar>
              <w:top w:w="60" w:type="dxa"/>
              <w:left w:w="100" w:type="dxa"/>
              <w:bottom w:w="60" w:type="dxa"/>
              <w:right w:w="100" w:type="dxa"/>
            </w:tcMar>
            <w:vAlign w:val="center"/>
          </w:tcPr>
          <w:p w14:paraId="550DF39D" w14:textId="77777777" w:rsidR="00B10001" w:rsidRDefault="006B7EAD">
            <w:pPr>
              <w:spacing w:after="0"/>
              <w:jc w:val="center"/>
            </w:pPr>
            <w:r>
              <w:rPr>
                <w:b/>
                <w:bCs/>
                <w:color w:val="1A1A1A"/>
                <w:szCs w:val="18"/>
              </w:rPr>
              <w:t>ALTO</w:t>
            </w:r>
          </w:p>
        </w:tc>
        <w:tc>
          <w:tcPr>
            <w:tcW w:w="4708" w:type="dxa"/>
            <w:shd w:val="clear" w:color="auto" w:fill="FFFFFF"/>
            <w:tcMar>
              <w:top w:w="60" w:type="dxa"/>
              <w:left w:w="100" w:type="dxa"/>
              <w:bottom w:w="60" w:type="dxa"/>
              <w:right w:w="100" w:type="dxa"/>
            </w:tcMar>
            <w:vAlign w:val="center"/>
          </w:tcPr>
          <w:p w14:paraId="1347A5EE" w14:textId="77777777" w:rsidR="00B10001" w:rsidRDefault="006B7EAD">
            <w:pPr>
              <w:spacing w:after="0"/>
            </w:pPr>
            <w:r>
              <w:rPr>
                <w:color w:val="1A1A1A"/>
                <w:sz w:val="17"/>
                <w:szCs w:val="17"/>
              </w:rPr>
              <w:t>Confirmar disponibilidade orçamentária e emissão de nota de reserva antes da publicação do edital. Verificar dotação, elemento de despesa, ficha e fonte no Fundo Municipal de Educação. — Contingência: suspender abertura do processo até regularização da dotação orçamentária.</w:t>
            </w:r>
          </w:p>
        </w:tc>
        <w:tc>
          <w:tcPr>
            <w:tcW w:w="3398" w:type="dxa"/>
            <w:shd w:val="clear" w:color="auto" w:fill="FFFFFF"/>
            <w:tcMar>
              <w:top w:w="60" w:type="dxa"/>
              <w:left w:w="100" w:type="dxa"/>
              <w:bottom w:w="60" w:type="dxa"/>
              <w:right w:w="100" w:type="dxa"/>
            </w:tcMar>
            <w:vAlign w:val="center"/>
          </w:tcPr>
          <w:p w14:paraId="3EB55169" w14:textId="77777777" w:rsidR="00B10001" w:rsidRDefault="006B7EAD">
            <w:pPr>
              <w:spacing w:after="0"/>
            </w:pPr>
            <w:r>
              <w:rPr>
                <w:color w:val="1A1A1A"/>
                <w:sz w:val="17"/>
                <w:szCs w:val="17"/>
              </w:rPr>
              <w:t>Secretaria de Finanças / Ordenador de Despesa</w:t>
            </w:r>
          </w:p>
        </w:tc>
      </w:tr>
    </w:tbl>
    <w:p w14:paraId="399A5DB4" w14:textId="77777777" w:rsidR="00B10001" w:rsidRDefault="0056769B">
      <w:pPr>
        <w:spacing w:after="0"/>
      </w:pPr>
    </w:p>
    <w:p w14:paraId="72099CFA" w14:textId="77777777" w:rsidR="00B10001" w:rsidRDefault="006B7EAD">
      <w:pPr>
        <w:shd w:val="clear" w:color="auto" w:fill="1F3864"/>
        <w:spacing w:before="80" w:after="40"/>
      </w:pPr>
      <w:r>
        <w:rPr>
          <w:b/>
          <w:color w:val="FFFFFF"/>
          <w:sz w:val="22"/>
        </w:rPr>
        <w:t xml:space="preserve">  FASE 2 — RISCOS DA GESTÃO CONTRATUAL E EXECUÇÃO DA OBRA</w:t>
      </w:r>
    </w:p>
    <w:p w14:paraId="75D813CF" w14:textId="77777777" w:rsidR="00B10001" w:rsidRDefault="0056769B">
      <w:pPr>
        <w:spacing w:after="0"/>
      </w:pPr>
    </w:p>
    <w:tbl>
      <w:tblPr>
        <w:tblW w:w="1526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532"/>
        <w:gridCol w:w="1939"/>
        <w:gridCol w:w="2736"/>
        <w:gridCol w:w="711"/>
        <w:gridCol w:w="891"/>
        <w:gridCol w:w="940"/>
        <w:gridCol w:w="4355"/>
        <w:gridCol w:w="3164"/>
      </w:tblGrid>
      <w:tr w:rsidR="00B10001" w14:paraId="035A9775" w14:textId="77777777" w:rsidTr="009E2995">
        <w:trPr>
          <w:tblHeader/>
          <w:jc w:val="center"/>
        </w:trPr>
        <w:tc>
          <w:tcPr>
            <w:tcW w:w="531" w:type="dxa"/>
            <w:shd w:val="clear" w:color="auto" w:fill="1F3864"/>
            <w:tcMar>
              <w:top w:w="60" w:type="dxa"/>
              <w:left w:w="100" w:type="dxa"/>
              <w:bottom w:w="60" w:type="dxa"/>
              <w:right w:w="100" w:type="dxa"/>
            </w:tcMar>
            <w:vAlign w:val="center"/>
          </w:tcPr>
          <w:p w14:paraId="7D7CE91A" w14:textId="77777777" w:rsidR="00B10001" w:rsidRDefault="006B7EAD">
            <w:pPr>
              <w:spacing w:after="0"/>
              <w:jc w:val="center"/>
            </w:pPr>
            <w:r>
              <w:rPr>
                <w:b/>
                <w:bCs/>
                <w:color w:val="FFFFFF"/>
                <w:szCs w:val="18"/>
              </w:rPr>
              <w:t>ID</w:t>
            </w:r>
          </w:p>
        </w:tc>
        <w:tc>
          <w:tcPr>
            <w:tcW w:w="1949" w:type="dxa"/>
            <w:shd w:val="clear" w:color="auto" w:fill="1F3864"/>
            <w:tcMar>
              <w:top w:w="60" w:type="dxa"/>
              <w:left w:w="100" w:type="dxa"/>
              <w:bottom w:w="60" w:type="dxa"/>
              <w:right w:w="100" w:type="dxa"/>
            </w:tcMar>
            <w:vAlign w:val="center"/>
          </w:tcPr>
          <w:p w14:paraId="3C0782DB" w14:textId="77777777" w:rsidR="00B10001" w:rsidRDefault="006B7EAD">
            <w:pPr>
              <w:spacing w:after="0"/>
            </w:pPr>
            <w:r>
              <w:rPr>
                <w:b/>
                <w:bCs/>
                <w:color w:val="FFFFFF"/>
                <w:szCs w:val="18"/>
              </w:rPr>
              <w:t>Risco</w:t>
            </w:r>
          </w:p>
        </w:tc>
        <w:tc>
          <w:tcPr>
            <w:tcW w:w="2760" w:type="dxa"/>
            <w:shd w:val="clear" w:color="auto" w:fill="1F3864"/>
            <w:tcMar>
              <w:top w:w="60" w:type="dxa"/>
              <w:left w:w="100" w:type="dxa"/>
              <w:bottom w:w="60" w:type="dxa"/>
              <w:right w:w="100" w:type="dxa"/>
            </w:tcMar>
            <w:vAlign w:val="center"/>
          </w:tcPr>
          <w:p w14:paraId="0733E181" w14:textId="77777777" w:rsidR="00B10001" w:rsidRDefault="006B7EAD">
            <w:pPr>
              <w:spacing w:after="0"/>
            </w:pPr>
            <w:r>
              <w:rPr>
                <w:b/>
                <w:bCs/>
                <w:color w:val="FFFFFF"/>
                <w:szCs w:val="18"/>
              </w:rPr>
              <w:t>Causa Provável</w:t>
            </w:r>
          </w:p>
        </w:tc>
        <w:tc>
          <w:tcPr>
            <w:tcW w:w="543" w:type="dxa"/>
            <w:shd w:val="clear" w:color="auto" w:fill="1F3864"/>
            <w:tcMar>
              <w:top w:w="60" w:type="dxa"/>
              <w:left w:w="100" w:type="dxa"/>
              <w:bottom w:w="60" w:type="dxa"/>
              <w:right w:w="100" w:type="dxa"/>
            </w:tcMar>
            <w:vAlign w:val="center"/>
          </w:tcPr>
          <w:p w14:paraId="6C5ED273" w14:textId="77777777" w:rsidR="00B10001" w:rsidRDefault="006B7EAD">
            <w:pPr>
              <w:spacing w:after="0"/>
              <w:jc w:val="center"/>
            </w:pPr>
            <w:r>
              <w:rPr>
                <w:b/>
                <w:bCs/>
                <w:color w:val="FFFFFF"/>
                <w:szCs w:val="18"/>
              </w:rPr>
              <w:t>Prob.</w:t>
            </w:r>
          </w:p>
        </w:tc>
        <w:tc>
          <w:tcPr>
            <w:tcW w:w="891" w:type="dxa"/>
            <w:shd w:val="clear" w:color="auto" w:fill="1F3864"/>
            <w:tcMar>
              <w:top w:w="60" w:type="dxa"/>
              <w:left w:w="100" w:type="dxa"/>
              <w:bottom w:w="60" w:type="dxa"/>
              <w:right w:w="100" w:type="dxa"/>
            </w:tcMar>
            <w:vAlign w:val="center"/>
          </w:tcPr>
          <w:p w14:paraId="0CBC75A6" w14:textId="77777777" w:rsidR="00B10001" w:rsidRDefault="006B7EAD">
            <w:pPr>
              <w:spacing w:after="0"/>
              <w:jc w:val="center"/>
            </w:pPr>
            <w:r>
              <w:rPr>
                <w:b/>
                <w:bCs/>
                <w:color w:val="FFFFFF"/>
                <w:szCs w:val="18"/>
              </w:rPr>
              <w:t>Impacto</w:t>
            </w:r>
          </w:p>
        </w:tc>
        <w:tc>
          <w:tcPr>
            <w:tcW w:w="940" w:type="dxa"/>
            <w:shd w:val="clear" w:color="auto" w:fill="1F3864"/>
            <w:tcMar>
              <w:top w:w="60" w:type="dxa"/>
              <w:left w:w="100" w:type="dxa"/>
              <w:bottom w:w="60" w:type="dxa"/>
              <w:right w:w="100" w:type="dxa"/>
            </w:tcMar>
            <w:vAlign w:val="center"/>
          </w:tcPr>
          <w:p w14:paraId="34FA1C20" w14:textId="77777777" w:rsidR="00B10001" w:rsidRDefault="006B7EAD">
            <w:pPr>
              <w:spacing w:after="0"/>
              <w:jc w:val="center"/>
            </w:pPr>
            <w:r>
              <w:rPr>
                <w:b/>
                <w:bCs/>
                <w:color w:val="FFFFFF"/>
                <w:szCs w:val="18"/>
              </w:rPr>
              <w:t>Nível</w:t>
            </w:r>
          </w:p>
        </w:tc>
        <w:tc>
          <w:tcPr>
            <w:tcW w:w="4438" w:type="dxa"/>
            <w:shd w:val="clear" w:color="auto" w:fill="1F3864"/>
            <w:tcMar>
              <w:top w:w="60" w:type="dxa"/>
              <w:left w:w="100" w:type="dxa"/>
              <w:bottom w:w="60" w:type="dxa"/>
              <w:right w:w="100" w:type="dxa"/>
            </w:tcMar>
            <w:vAlign w:val="center"/>
          </w:tcPr>
          <w:p w14:paraId="7A15C1A7" w14:textId="77777777" w:rsidR="00B10001" w:rsidRDefault="006B7EAD">
            <w:pPr>
              <w:spacing w:after="0"/>
            </w:pPr>
            <w:r>
              <w:rPr>
                <w:b/>
                <w:bCs/>
                <w:color w:val="FFFFFF"/>
                <w:szCs w:val="18"/>
              </w:rPr>
              <w:t>Resposta / Tratamento</w:t>
            </w:r>
          </w:p>
        </w:tc>
        <w:tc>
          <w:tcPr>
            <w:tcW w:w="3216" w:type="dxa"/>
            <w:shd w:val="clear" w:color="auto" w:fill="1F3864"/>
            <w:tcMar>
              <w:top w:w="60" w:type="dxa"/>
              <w:left w:w="100" w:type="dxa"/>
              <w:bottom w:w="60" w:type="dxa"/>
              <w:right w:w="100" w:type="dxa"/>
            </w:tcMar>
            <w:vAlign w:val="center"/>
          </w:tcPr>
          <w:p w14:paraId="2FB30F31" w14:textId="77777777" w:rsidR="00B10001" w:rsidRDefault="006B7EAD">
            <w:pPr>
              <w:spacing w:after="0"/>
            </w:pPr>
            <w:r>
              <w:rPr>
                <w:b/>
                <w:bCs/>
                <w:color w:val="FFFFFF"/>
                <w:szCs w:val="18"/>
              </w:rPr>
              <w:t>Responsável</w:t>
            </w:r>
          </w:p>
        </w:tc>
      </w:tr>
      <w:tr w:rsidR="00B10001" w14:paraId="0E118516" w14:textId="77777777" w:rsidTr="009E2995">
        <w:trPr>
          <w:jc w:val="center"/>
        </w:trPr>
        <w:tc>
          <w:tcPr>
            <w:tcW w:w="531" w:type="dxa"/>
            <w:shd w:val="clear" w:color="auto" w:fill="FFFFFF"/>
            <w:tcMar>
              <w:top w:w="60" w:type="dxa"/>
              <w:left w:w="100" w:type="dxa"/>
              <w:bottom w:w="60" w:type="dxa"/>
              <w:right w:w="100" w:type="dxa"/>
            </w:tcMar>
            <w:vAlign w:val="center"/>
          </w:tcPr>
          <w:p w14:paraId="45711003" w14:textId="77777777" w:rsidR="00B10001" w:rsidRDefault="006B7EAD">
            <w:pPr>
              <w:spacing w:after="0"/>
              <w:jc w:val="center"/>
            </w:pPr>
            <w:r>
              <w:rPr>
                <w:b/>
                <w:bCs/>
                <w:color w:val="1A1A1A"/>
                <w:szCs w:val="18"/>
              </w:rPr>
              <w:t>R08</w:t>
            </w:r>
          </w:p>
        </w:tc>
        <w:tc>
          <w:tcPr>
            <w:tcW w:w="1949" w:type="dxa"/>
            <w:shd w:val="clear" w:color="auto" w:fill="FFFFFF"/>
            <w:tcMar>
              <w:top w:w="60" w:type="dxa"/>
              <w:left w:w="100" w:type="dxa"/>
              <w:bottom w:w="60" w:type="dxa"/>
              <w:right w:w="100" w:type="dxa"/>
            </w:tcMar>
            <w:vAlign w:val="center"/>
          </w:tcPr>
          <w:p w14:paraId="1D8018E3" w14:textId="77777777" w:rsidR="00B10001" w:rsidRDefault="006B7EAD">
            <w:pPr>
              <w:spacing w:after="0"/>
            </w:pPr>
            <w:r>
              <w:rPr>
                <w:b/>
                <w:bCs/>
                <w:color w:val="1A1A1A"/>
                <w:szCs w:val="18"/>
              </w:rPr>
              <w:t>Descoberta de condições ocultas na edificação durante demolições seletivas</w:t>
            </w:r>
          </w:p>
        </w:tc>
        <w:tc>
          <w:tcPr>
            <w:tcW w:w="2760" w:type="dxa"/>
            <w:shd w:val="clear" w:color="auto" w:fill="FFFFFF"/>
            <w:tcMar>
              <w:top w:w="60" w:type="dxa"/>
              <w:left w:w="100" w:type="dxa"/>
              <w:bottom w:w="60" w:type="dxa"/>
              <w:right w:w="100" w:type="dxa"/>
            </w:tcMar>
            <w:vAlign w:val="center"/>
          </w:tcPr>
          <w:p w14:paraId="56476F1E" w14:textId="77777777" w:rsidR="00B10001" w:rsidRDefault="006B7EAD">
            <w:pPr>
              <w:spacing w:after="0"/>
            </w:pPr>
            <w:r>
              <w:rPr>
                <w:color w:val="1A1A1A"/>
                <w:szCs w:val="18"/>
              </w:rPr>
              <w:t>Passivos construtivos não identificados no projeto: reforço estrutural insuficiente, instalações clandestinas, problemas fundacionais, umidade ascensional, assentamento diferencial em edificação existente.</w:t>
            </w:r>
          </w:p>
        </w:tc>
        <w:tc>
          <w:tcPr>
            <w:tcW w:w="543" w:type="dxa"/>
            <w:shd w:val="clear" w:color="auto" w:fill="FDDEDE"/>
            <w:tcMar>
              <w:top w:w="60" w:type="dxa"/>
              <w:left w:w="100" w:type="dxa"/>
              <w:bottom w:w="60" w:type="dxa"/>
              <w:right w:w="100" w:type="dxa"/>
            </w:tcMar>
            <w:vAlign w:val="center"/>
          </w:tcPr>
          <w:p w14:paraId="0D7EA3A6" w14:textId="77777777" w:rsidR="00B10001" w:rsidRDefault="006B7EAD">
            <w:pPr>
              <w:spacing w:after="0"/>
              <w:jc w:val="center"/>
            </w:pPr>
            <w:r>
              <w:rPr>
                <w:b/>
                <w:bCs/>
                <w:color w:val="1A1A1A"/>
                <w:szCs w:val="18"/>
              </w:rPr>
              <w:t>Alta</w:t>
            </w:r>
          </w:p>
        </w:tc>
        <w:tc>
          <w:tcPr>
            <w:tcW w:w="891" w:type="dxa"/>
            <w:shd w:val="clear" w:color="auto" w:fill="FAEEDA"/>
            <w:tcMar>
              <w:top w:w="60" w:type="dxa"/>
              <w:left w:w="100" w:type="dxa"/>
              <w:bottom w:w="60" w:type="dxa"/>
              <w:right w:w="100" w:type="dxa"/>
            </w:tcMar>
            <w:vAlign w:val="center"/>
          </w:tcPr>
          <w:p w14:paraId="4E58D14C" w14:textId="77777777" w:rsidR="00B10001" w:rsidRDefault="006B7EAD">
            <w:pPr>
              <w:spacing w:after="0"/>
              <w:jc w:val="center"/>
            </w:pPr>
            <w:r>
              <w:rPr>
                <w:b/>
                <w:bCs/>
                <w:color w:val="1A1A1A"/>
                <w:szCs w:val="18"/>
              </w:rPr>
              <w:t>Alto</w:t>
            </w:r>
          </w:p>
        </w:tc>
        <w:tc>
          <w:tcPr>
            <w:tcW w:w="940" w:type="dxa"/>
            <w:shd w:val="clear" w:color="auto" w:fill="FDDEDE"/>
            <w:tcMar>
              <w:top w:w="60" w:type="dxa"/>
              <w:left w:w="100" w:type="dxa"/>
              <w:bottom w:w="60" w:type="dxa"/>
              <w:right w:w="100" w:type="dxa"/>
            </w:tcMar>
            <w:vAlign w:val="center"/>
          </w:tcPr>
          <w:p w14:paraId="40624114" w14:textId="77777777" w:rsidR="00B10001" w:rsidRDefault="006B7EAD">
            <w:pPr>
              <w:spacing w:after="0"/>
              <w:jc w:val="center"/>
            </w:pPr>
            <w:r>
              <w:rPr>
                <w:b/>
                <w:bCs/>
                <w:color w:val="1A1A1A"/>
                <w:szCs w:val="18"/>
              </w:rPr>
              <w:t>CRÍTICO</w:t>
            </w:r>
          </w:p>
        </w:tc>
        <w:tc>
          <w:tcPr>
            <w:tcW w:w="4438" w:type="dxa"/>
            <w:shd w:val="clear" w:color="auto" w:fill="FFFFFF"/>
            <w:tcMar>
              <w:top w:w="60" w:type="dxa"/>
              <w:left w:w="100" w:type="dxa"/>
              <w:bottom w:w="60" w:type="dxa"/>
              <w:right w:w="100" w:type="dxa"/>
            </w:tcMar>
            <w:vAlign w:val="center"/>
          </w:tcPr>
          <w:p w14:paraId="14676865" w14:textId="77777777" w:rsidR="00B10001" w:rsidRDefault="006B7EAD">
            <w:pPr>
              <w:spacing w:after="0"/>
            </w:pPr>
            <w:r>
              <w:rPr>
                <w:color w:val="1A1A1A"/>
                <w:sz w:val="17"/>
                <w:szCs w:val="17"/>
              </w:rPr>
              <w:t>Exigir relatório de diagnóstico in loco antes da OS de demolições seletivas. Fiscalização técnica contínua e obrigatória nas frentes de demolição. Registro fotográfico de cada etapa. — Contingência: paralisar frente afetada imediatamente; emitir O.S. complementar fundamentada; processar aditivo dentro dos limites do art. 125 da Lei 14.133/2021 se necessário.</w:t>
            </w:r>
          </w:p>
        </w:tc>
        <w:tc>
          <w:tcPr>
            <w:tcW w:w="3216" w:type="dxa"/>
            <w:shd w:val="clear" w:color="auto" w:fill="FFFFFF"/>
            <w:tcMar>
              <w:top w:w="60" w:type="dxa"/>
              <w:left w:w="100" w:type="dxa"/>
              <w:bottom w:w="60" w:type="dxa"/>
              <w:right w:w="100" w:type="dxa"/>
            </w:tcMar>
            <w:vAlign w:val="center"/>
          </w:tcPr>
          <w:p w14:paraId="5E1CB325" w14:textId="77777777" w:rsidR="00B10001" w:rsidRDefault="006B7EAD">
            <w:pPr>
              <w:spacing w:after="0"/>
            </w:pPr>
            <w:r>
              <w:rPr>
                <w:color w:val="1A1A1A"/>
                <w:sz w:val="17"/>
                <w:szCs w:val="17"/>
              </w:rPr>
              <w:t>Fiscal Técnico / Resp. Técnico da Contratada</w:t>
            </w:r>
          </w:p>
        </w:tc>
      </w:tr>
      <w:tr w:rsidR="00B10001" w14:paraId="27373511" w14:textId="77777777" w:rsidTr="009E2995">
        <w:trPr>
          <w:jc w:val="center"/>
        </w:trPr>
        <w:tc>
          <w:tcPr>
            <w:tcW w:w="531" w:type="dxa"/>
            <w:shd w:val="clear" w:color="auto" w:fill="FFFFFF"/>
            <w:tcMar>
              <w:top w:w="60" w:type="dxa"/>
              <w:left w:w="100" w:type="dxa"/>
              <w:bottom w:w="60" w:type="dxa"/>
              <w:right w:w="100" w:type="dxa"/>
            </w:tcMar>
            <w:vAlign w:val="center"/>
          </w:tcPr>
          <w:p w14:paraId="512B4D05" w14:textId="77777777" w:rsidR="00B10001" w:rsidRDefault="006B7EAD">
            <w:pPr>
              <w:spacing w:after="0"/>
              <w:jc w:val="center"/>
            </w:pPr>
            <w:r>
              <w:rPr>
                <w:b/>
                <w:bCs/>
                <w:color w:val="1A1A1A"/>
                <w:szCs w:val="18"/>
              </w:rPr>
              <w:t>R09</w:t>
            </w:r>
          </w:p>
        </w:tc>
        <w:tc>
          <w:tcPr>
            <w:tcW w:w="1949" w:type="dxa"/>
            <w:shd w:val="clear" w:color="auto" w:fill="FFFFFF"/>
            <w:tcMar>
              <w:top w:w="60" w:type="dxa"/>
              <w:left w:w="100" w:type="dxa"/>
              <w:bottom w:w="60" w:type="dxa"/>
              <w:right w:w="100" w:type="dxa"/>
            </w:tcMar>
            <w:vAlign w:val="center"/>
          </w:tcPr>
          <w:p w14:paraId="0536A338" w14:textId="77777777" w:rsidR="00B10001" w:rsidRDefault="006B7EAD">
            <w:pPr>
              <w:spacing w:after="0"/>
            </w:pPr>
            <w:r>
              <w:rPr>
                <w:b/>
                <w:bCs/>
                <w:color w:val="1A1A1A"/>
                <w:szCs w:val="18"/>
              </w:rPr>
              <w:t>Execução em desacordo com o projeto e as especificações técnicas</w:t>
            </w:r>
          </w:p>
        </w:tc>
        <w:tc>
          <w:tcPr>
            <w:tcW w:w="2760" w:type="dxa"/>
            <w:shd w:val="clear" w:color="auto" w:fill="FFFFFF"/>
            <w:tcMar>
              <w:top w:w="60" w:type="dxa"/>
              <w:left w:w="100" w:type="dxa"/>
              <w:bottom w:w="60" w:type="dxa"/>
              <w:right w:w="100" w:type="dxa"/>
            </w:tcMar>
            <w:vAlign w:val="center"/>
          </w:tcPr>
          <w:p w14:paraId="1C204C20" w14:textId="77777777" w:rsidR="00B10001" w:rsidRDefault="006B7EAD">
            <w:pPr>
              <w:spacing w:after="0"/>
            </w:pPr>
            <w:r>
              <w:rPr>
                <w:color w:val="1A1A1A"/>
                <w:szCs w:val="18"/>
              </w:rPr>
              <w:t>Uso de materiais inferiores ao especificado; execução sem acompanhamento do responsável técnico; omissão de ensaios de controle tecnológico para laje pré-moldada, revestimento cerâmico e impermeabilização.</w:t>
            </w:r>
          </w:p>
        </w:tc>
        <w:tc>
          <w:tcPr>
            <w:tcW w:w="543" w:type="dxa"/>
            <w:shd w:val="clear" w:color="auto" w:fill="FFF2CC"/>
            <w:tcMar>
              <w:top w:w="60" w:type="dxa"/>
              <w:left w:w="100" w:type="dxa"/>
              <w:bottom w:w="60" w:type="dxa"/>
              <w:right w:w="100" w:type="dxa"/>
            </w:tcMar>
            <w:vAlign w:val="center"/>
          </w:tcPr>
          <w:p w14:paraId="1E15249E" w14:textId="77777777" w:rsidR="00B10001" w:rsidRDefault="006B7EAD">
            <w:pPr>
              <w:spacing w:after="0"/>
              <w:jc w:val="center"/>
            </w:pPr>
            <w:r>
              <w:rPr>
                <w:b/>
                <w:bCs/>
                <w:color w:val="1A1A1A"/>
                <w:szCs w:val="18"/>
              </w:rPr>
              <w:t>Média</w:t>
            </w:r>
          </w:p>
        </w:tc>
        <w:tc>
          <w:tcPr>
            <w:tcW w:w="891" w:type="dxa"/>
            <w:shd w:val="clear" w:color="auto" w:fill="FAEEDA"/>
            <w:tcMar>
              <w:top w:w="60" w:type="dxa"/>
              <w:left w:w="100" w:type="dxa"/>
              <w:bottom w:w="60" w:type="dxa"/>
              <w:right w:w="100" w:type="dxa"/>
            </w:tcMar>
            <w:vAlign w:val="center"/>
          </w:tcPr>
          <w:p w14:paraId="2C2A95B2" w14:textId="77777777" w:rsidR="00B10001" w:rsidRDefault="006B7EAD">
            <w:pPr>
              <w:spacing w:after="0"/>
              <w:jc w:val="center"/>
            </w:pPr>
            <w:r>
              <w:rPr>
                <w:b/>
                <w:bCs/>
                <w:color w:val="1A1A1A"/>
                <w:szCs w:val="18"/>
              </w:rPr>
              <w:t>Alto</w:t>
            </w:r>
          </w:p>
        </w:tc>
        <w:tc>
          <w:tcPr>
            <w:tcW w:w="940" w:type="dxa"/>
            <w:shd w:val="clear" w:color="auto" w:fill="FAEEDA"/>
            <w:tcMar>
              <w:top w:w="60" w:type="dxa"/>
              <w:left w:w="100" w:type="dxa"/>
              <w:bottom w:w="60" w:type="dxa"/>
              <w:right w:w="100" w:type="dxa"/>
            </w:tcMar>
            <w:vAlign w:val="center"/>
          </w:tcPr>
          <w:p w14:paraId="78BD8E66" w14:textId="77777777" w:rsidR="00B10001" w:rsidRDefault="006B7EAD">
            <w:pPr>
              <w:spacing w:after="0"/>
              <w:jc w:val="center"/>
            </w:pPr>
            <w:r>
              <w:rPr>
                <w:b/>
                <w:bCs/>
                <w:color w:val="1A1A1A"/>
                <w:szCs w:val="18"/>
              </w:rPr>
              <w:t>ALTO</w:t>
            </w:r>
          </w:p>
        </w:tc>
        <w:tc>
          <w:tcPr>
            <w:tcW w:w="4438" w:type="dxa"/>
            <w:shd w:val="clear" w:color="auto" w:fill="FFFFFF"/>
            <w:tcMar>
              <w:top w:w="60" w:type="dxa"/>
              <w:left w:w="100" w:type="dxa"/>
              <w:bottom w:w="60" w:type="dxa"/>
              <w:right w:w="100" w:type="dxa"/>
            </w:tcMar>
            <w:vAlign w:val="center"/>
          </w:tcPr>
          <w:p w14:paraId="1B0CDCDD" w14:textId="77777777" w:rsidR="00B10001" w:rsidRDefault="006B7EAD">
            <w:pPr>
              <w:spacing w:after="0"/>
            </w:pPr>
            <w:r>
              <w:rPr>
                <w:color w:val="1A1A1A"/>
                <w:sz w:val="17"/>
                <w:szCs w:val="17"/>
              </w:rPr>
              <w:t>Fiscalização técnica sistemática in loco. Exigir laudos de controle tecnológico para laje pré-moldada (resistência), revestimento cerâmico (planeza, durabilidade) e impermeabilização com manta asfáltica (teste de inundação 72 horas). Vedado atestar medição com serviços pendentes de ensaio. Registro fotográfico por etapa. — Contingência: notificação formal; exigir correção ou refazimento; instaurar processo de inadimplência (art. 155, Lei 14.133/2021).</w:t>
            </w:r>
          </w:p>
        </w:tc>
        <w:tc>
          <w:tcPr>
            <w:tcW w:w="3216" w:type="dxa"/>
            <w:shd w:val="clear" w:color="auto" w:fill="FFFFFF"/>
            <w:tcMar>
              <w:top w:w="60" w:type="dxa"/>
              <w:left w:w="100" w:type="dxa"/>
              <w:bottom w:w="60" w:type="dxa"/>
              <w:right w:w="100" w:type="dxa"/>
            </w:tcMar>
            <w:vAlign w:val="center"/>
          </w:tcPr>
          <w:p w14:paraId="5781BCDC" w14:textId="77777777" w:rsidR="00B10001" w:rsidRDefault="006B7EAD">
            <w:pPr>
              <w:spacing w:after="0"/>
            </w:pPr>
            <w:r>
              <w:rPr>
                <w:color w:val="1A1A1A"/>
                <w:sz w:val="17"/>
                <w:szCs w:val="17"/>
              </w:rPr>
              <w:t>Fiscal Técnico</w:t>
            </w:r>
          </w:p>
        </w:tc>
      </w:tr>
      <w:tr w:rsidR="00B10001" w14:paraId="225A0CBF" w14:textId="77777777" w:rsidTr="009E2995">
        <w:trPr>
          <w:jc w:val="center"/>
        </w:trPr>
        <w:tc>
          <w:tcPr>
            <w:tcW w:w="531" w:type="dxa"/>
            <w:shd w:val="clear" w:color="auto" w:fill="FFFFFF"/>
            <w:tcMar>
              <w:top w:w="60" w:type="dxa"/>
              <w:left w:w="100" w:type="dxa"/>
              <w:bottom w:w="60" w:type="dxa"/>
              <w:right w:w="100" w:type="dxa"/>
            </w:tcMar>
            <w:vAlign w:val="center"/>
          </w:tcPr>
          <w:p w14:paraId="0BFB8B4B" w14:textId="77777777" w:rsidR="00B10001" w:rsidRDefault="006B7EAD">
            <w:pPr>
              <w:spacing w:after="0"/>
              <w:jc w:val="center"/>
            </w:pPr>
            <w:r>
              <w:rPr>
                <w:b/>
                <w:bCs/>
                <w:color w:val="1A1A1A"/>
                <w:szCs w:val="18"/>
              </w:rPr>
              <w:lastRenderedPageBreak/>
              <w:t>R10</w:t>
            </w:r>
          </w:p>
        </w:tc>
        <w:tc>
          <w:tcPr>
            <w:tcW w:w="1949" w:type="dxa"/>
            <w:shd w:val="clear" w:color="auto" w:fill="FFFFFF"/>
            <w:tcMar>
              <w:top w:w="60" w:type="dxa"/>
              <w:left w:w="100" w:type="dxa"/>
              <w:bottom w:w="60" w:type="dxa"/>
              <w:right w:w="100" w:type="dxa"/>
            </w:tcMar>
            <w:vAlign w:val="center"/>
          </w:tcPr>
          <w:p w14:paraId="4C1B85FA" w14:textId="77777777" w:rsidR="00B10001" w:rsidRDefault="006B7EAD">
            <w:pPr>
              <w:spacing w:after="0"/>
            </w:pPr>
            <w:r>
              <w:rPr>
                <w:b/>
                <w:bCs/>
                <w:color w:val="1A1A1A"/>
                <w:szCs w:val="18"/>
              </w:rPr>
              <w:t>Atrasos injustificados no cronograma — prazo: 240 dias corridos</w:t>
            </w:r>
          </w:p>
        </w:tc>
        <w:tc>
          <w:tcPr>
            <w:tcW w:w="2760" w:type="dxa"/>
            <w:shd w:val="clear" w:color="auto" w:fill="FFFFFF"/>
            <w:tcMar>
              <w:top w:w="60" w:type="dxa"/>
              <w:left w:w="100" w:type="dxa"/>
              <w:bottom w:w="60" w:type="dxa"/>
              <w:right w:w="100" w:type="dxa"/>
            </w:tcMar>
            <w:vAlign w:val="center"/>
          </w:tcPr>
          <w:p w14:paraId="56EF9778" w14:textId="77777777" w:rsidR="00B10001" w:rsidRDefault="006B7EAD">
            <w:pPr>
              <w:spacing w:after="0"/>
            </w:pPr>
            <w:r>
              <w:rPr>
                <w:color w:val="1A1A1A"/>
                <w:szCs w:val="18"/>
              </w:rPr>
              <w:t>Subdimensionamento de equipe técnica e operacional; desabastecimento de materiais; dificuldades de acesso ao canteiro em Barra de Catuama; intercorrências climáticas; baixa produtividade da contratada.</w:t>
            </w:r>
          </w:p>
        </w:tc>
        <w:tc>
          <w:tcPr>
            <w:tcW w:w="543" w:type="dxa"/>
            <w:shd w:val="clear" w:color="auto" w:fill="FFF2CC"/>
            <w:tcMar>
              <w:top w:w="60" w:type="dxa"/>
              <w:left w:w="100" w:type="dxa"/>
              <w:bottom w:w="60" w:type="dxa"/>
              <w:right w:w="100" w:type="dxa"/>
            </w:tcMar>
            <w:vAlign w:val="center"/>
          </w:tcPr>
          <w:p w14:paraId="4092B3A8" w14:textId="77777777" w:rsidR="00B10001" w:rsidRDefault="006B7EAD">
            <w:pPr>
              <w:spacing w:after="0"/>
              <w:jc w:val="center"/>
            </w:pPr>
            <w:r>
              <w:rPr>
                <w:b/>
                <w:bCs/>
                <w:color w:val="1A1A1A"/>
                <w:szCs w:val="18"/>
              </w:rPr>
              <w:t>Média</w:t>
            </w:r>
          </w:p>
        </w:tc>
        <w:tc>
          <w:tcPr>
            <w:tcW w:w="891" w:type="dxa"/>
            <w:shd w:val="clear" w:color="auto" w:fill="FAEEDA"/>
            <w:tcMar>
              <w:top w:w="60" w:type="dxa"/>
              <w:left w:w="100" w:type="dxa"/>
              <w:bottom w:w="60" w:type="dxa"/>
              <w:right w:w="100" w:type="dxa"/>
            </w:tcMar>
            <w:vAlign w:val="center"/>
          </w:tcPr>
          <w:p w14:paraId="5702FE6F" w14:textId="77777777" w:rsidR="00B10001" w:rsidRDefault="006B7EAD">
            <w:pPr>
              <w:spacing w:after="0"/>
              <w:jc w:val="center"/>
            </w:pPr>
            <w:r>
              <w:rPr>
                <w:b/>
                <w:bCs/>
                <w:color w:val="1A1A1A"/>
                <w:szCs w:val="18"/>
              </w:rPr>
              <w:t>Alto</w:t>
            </w:r>
          </w:p>
        </w:tc>
        <w:tc>
          <w:tcPr>
            <w:tcW w:w="940" w:type="dxa"/>
            <w:shd w:val="clear" w:color="auto" w:fill="FAEEDA"/>
            <w:tcMar>
              <w:top w:w="60" w:type="dxa"/>
              <w:left w:w="100" w:type="dxa"/>
              <w:bottom w:w="60" w:type="dxa"/>
              <w:right w:w="100" w:type="dxa"/>
            </w:tcMar>
            <w:vAlign w:val="center"/>
          </w:tcPr>
          <w:p w14:paraId="28E7D054" w14:textId="77777777" w:rsidR="00B10001" w:rsidRDefault="006B7EAD">
            <w:pPr>
              <w:spacing w:after="0"/>
              <w:jc w:val="center"/>
            </w:pPr>
            <w:r>
              <w:rPr>
                <w:b/>
                <w:bCs/>
                <w:color w:val="1A1A1A"/>
                <w:szCs w:val="18"/>
              </w:rPr>
              <w:t>ALTO</w:t>
            </w:r>
          </w:p>
        </w:tc>
        <w:tc>
          <w:tcPr>
            <w:tcW w:w="4438" w:type="dxa"/>
            <w:shd w:val="clear" w:color="auto" w:fill="FFFFFF"/>
            <w:tcMar>
              <w:top w:w="60" w:type="dxa"/>
              <w:left w:w="100" w:type="dxa"/>
              <w:bottom w:w="60" w:type="dxa"/>
              <w:right w:w="100" w:type="dxa"/>
            </w:tcMar>
            <w:vAlign w:val="center"/>
          </w:tcPr>
          <w:p w14:paraId="602FDE7C" w14:textId="77777777" w:rsidR="00B10001" w:rsidRDefault="006B7EAD">
            <w:pPr>
              <w:spacing w:after="0"/>
            </w:pPr>
            <w:r>
              <w:rPr>
                <w:color w:val="1A1A1A"/>
                <w:sz w:val="17"/>
                <w:szCs w:val="17"/>
              </w:rPr>
              <w:t>Exigir cronograma físico-financeiro detalhado antes da OS inicial. Fiscalização mensal do avanço físico real versus programado. Aplicar multa por atraso (art. 162, Lei 14.133/2021). Exigir Plano de Aceleração formal em caso de atraso superior a 10% das etapas previstas. — Contingência: formalizar aditivo de prazo apenas para eventos não imputáveis à Contratada, com comprovação documental (força maior ou caso fortuito).</w:t>
            </w:r>
          </w:p>
        </w:tc>
        <w:tc>
          <w:tcPr>
            <w:tcW w:w="3216" w:type="dxa"/>
            <w:shd w:val="clear" w:color="auto" w:fill="FFFFFF"/>
            <w:tcMar>
              <w:top w:w="60" w:type="dxa"/>
              <w:left w:w="100" w:type="dxa"/>
              <w:bottom w:w="60" w:type="dxa"/>
              <w:right w:w="100" w:type="dxa"/>
            </w:tcMar>
            <w:vAlign w:val="center"/>
          </w:tcPr>
          <w:p w14:paraId="27772F30" w14:textId="77777777" w:rsidR="00B10001" w:rsidRDefault="006B7EAD">
            <w:pPr>
              <w:spacing w:after="0"/>
            </w:pPr>
            <w:r>
              <w:rPr>
                <w:color w:val="1A1A1A"/>
                <w:sz w:val="17"/>
                <w:szCs w:val="17"/>
              </w:rPr>
              <w:t>Fiscal Técnico / Gestor do Contrato</w:t>
            </w:r>
          </w:p>
        </w:tc>
      </w:tr>
      <w:tr w:rsidR="00B10001" w14:paraId="7EDE6E74" w14:textId="77777777" w:rsidTr="009E2995">
        <w:trPr>
          <w:jc w:val="center"/>
        </w:trPr>
        <w:tc>
          <w:tcPr>
            <w:tcW w:w="531" w:type="dxa"/>
            <w:shd w:val="clear" w:color="auto" w:fill="FFFFFF"/>
            <w:tcMar>
              <w:top w:w="60" w:type="dxa"/>
              <w:left w:w="100" w:type="dxa"/>
              <w:bottom w:w="60" w:type="dxa"/>
              <w:right w:w="100" w:type="dxa"/>
            </w:tcMar>
            <w:vAlign w:val="center"/>
          </w:tcPr>
          <w:p w14:paraId="73A7B9B9" w14:textId="77777777" w:rsidR="00B10001" w:rsidRDefault="006B7EAD">
            <w:pPr>
              <w:spacing w:after="0"/>
              <w:jc w:val="center"/>
            </w:pPr>
            <w:r>
              <w:rPr>
                <w:b/>
                <w:bCs/>
                <w:color w:val="1A1A1A"/>
                <w:szCs w:val="18"/>
              </w:rPr>
              <w:t>R11</w:t>
            </w:r>
          </w:p>
        </w:tc>
        <w:tc>
          <w:tcPr>
            <w:tcW w:w="1949" w:type="dxa"/>
            <w:shd w:val="clear" w:color="auto" w:fill="FFFFFF"/>
            <w:tcMar>
              <w:top w:w="60" w:type="dxa"/>
              <w:left w:w="100" w:type="dxa"/>
              <w:bottom w:w="60" w:type="dxa"/>
              <w:right w:w="100" w:type="dxa"/>
            </w:tcMar>
            <w:vAlign w:val="center"/>
          </w:tcPr>
          <w:p w14:paraId="048CF335" w14:textId="77777777" w:rsidR="00B10001" w:rsidRDefault="006B7EAD">
            <w:pPr>
              <w:spacing w:after="0"/>
            </w:pPr>
            <w:r>
              <w:rPr>
                <w:b/>
                <w:bCs/>
                <w:color w:val="1A1A1A"/>
                <w:szCs w:val="18"/>
              </w:rPr>
              <w:t>Acidente de trabalho grave na obra</w:t>
            </w:r>
          </w:p>
        </w:tc>
        <w:tc>
          <w:tcPr>
            <w:tcW w:w="2760" w:type="dxa"/>
            <w:shd w:val="clear" w:color="auto" w:fill="FFFFFF"/>
            <w:tcMar>
              <w:top w:w="60" w:type="dxa"/>
              <w:left w:w="100" w:type="dxa"/>
              <w:bottom w:w="60" w:type="dxa"/>
              <w:right w:w="100" w:type="dxa"/>
            </w:tcMar>
            <w:vAlign w:val="center"/>
          </w:tcPr>
          <w:p w14:paraId="2E5AFB9E" w14:textId="77777777" w:rsidR="00B10001" w:rsidRDefault="006B7EAD">
            <w:pPr>
              <w:spacing w:after="0"/>
            </w:pPr>
            <w:r>
              <w:rPr>
                <w:color w:val="1A1A1A"/>
                <w:szCs w:val="18"/>
              </w:rPr>
              <w:t>Descumprimento das NR-18 (canteiro de obras) e NR-35 (trabalho em altura); ausência de EPI/EPC adequados; trabalho em cobertura sem linha de vida; ausência de Técnico de Segurança do Trabalho.</w:t>
            </w:r>
          </w:p>
        </w:tc>
        <w:tc>
          <w:tcPr>
            <w:tcW w:w="543" w:type="dxa"/>
            <w:shd w:val="clear" w:color="auto" w:fill="FFF2CC"/>
            <w:tcMar>
              <w:top w:w="60" w:type="dxa"/>
              <w:left w:w="100" w:type="dxa"/>
              <w:bottom w:w="60" w:type="dxa"/>
              <w:right w:w="100" w:type="dxa"/>
            </w:tcMar>
            <w:vAlign w:val="center"/>
          </w:tcPr>
          <w:p w14:paraId="73739B2F" w14:textId="77777777" w:rsidR="00B10001" w:rsidRDefault="006B7EAD">
            <w:pPr>
              <w:spacing w:after="0"/>
              <w:jc w:val="center"/>
            </w:pPr>
            <w:r>
              <w:rPr>
                <w:b/>
                <w:bCs/>
                <w:color w:val="1A1A1A"/>
                <w:szCs w:val="18"/>
              </w:rPr>
              <w:t>Média</w:t>
            </w:r>
          </w:p>
        </w:tc>
        <w:tc>
          <w:tcPr>
            <w:tcW w:w="891" w:type="dxa"/>
            <w:shd w:val="clear" w:color="auto" w:fill="FAEEDA"/>
            <w:tcMar>
              <w:top w:w="60" w:type="dxa"/>
              <w:left w:w="100" w:type="dxa"/>
              <w:bottom w:w="60" w:type="dxa"/>
              <w:right w:w="100" w:type="dxa"/>
            </w:tcMar>
            <w:vAlign w:val="center"/>
          </w:tcPr>
          <w:p w14:paraId="35156285" w14:textId="77777777" w:rsidR="00B10001" w:rsidRDefault="006B7EAD">
            <w:pPr>
              <w:spacing w:after="0"/>
              <w:jc w:val="center"/>
            </w:pPr>
            <w:r>
              <w:rPr>
                <w:b/>
                <w:bCs/>
                <w:color w:val="1A1A1A"/>
                <w:szCs w:val="18"/>
              </w:rPr>
              <w:t>Alto</w:t>
            </w:r>
          </w:p>
        </w:tc>
        <w:tc>
          <w:tcPr>
            <w:tcW w:w="940" w:type="dxa"/>
            <w:shd w:val="clear" w:color="auto" w:fill="FAEEDA"/>
            <w:tcMar>
              <w:top w:w="60" w:type="dxa"/>
              <w:left w:w="100" w:type="dxa"/>
              <w:bottom w:w="60" w:type="dxa"/>
              <w:right w:w="100" w:type="dxa"/>
            </w:tcMar>
            <w:vAlign w:val="center"/>
          </w:tcPr>
          <w:p w14:paraId="10715951" w14:textId="77777777" w:rsidR="00B10001" w:rsidRDefault="006B7EAD">
            <w:pPr>
              <w:spacing w:after="0"/>
              <w:jc w:val="center"/>
            </w:pPr>
            <w:r>
              <w:rPr>
                <w:b/>
                <w:bCs/>
                <w:color w:val="1A1A1A"/>
                <w:szCs w:val="18"/>
              </w:rPr>
              <w:t>ALTO</w:t>
            </w:r>
          </w:p>
        </w:tc>
        <w:tc>
          <w:tcPr>
            <w:tcW w:w="4438" w:type="dxa"/>
            <w:shd w:val="clear" w:color="auto" w:fill="FFFFFF"/>
            <w:tcMar>
              <w:top w:w="60" w:type="dxa"/>
              <w:left w:w="100" w:type="dxa"/>
              <w:bottom w:w="60" w:type="dxa"/>
              <w:right w:w="100" w:type="dxa"/>
            </w:tcMar>
            <w:vAlign w:val="center"/>
          </w:tcPr>
          <w:p w14:paraId="677C3976" w14:textId="77777777" w:rsidR="00B10001" w:rsidRDefault="006B7EAD">
            <w:pPr>
              <w:spacing w:after="0"/>
            </w:pPr>
            <w:r>
              <w:rPr>
                <w:color w:val="1A1A1A"/>
                <w:sz w:val="17"/>
                <w:szCs w:val="17"/>
              </w:rPr>
              <w:t>Exigir PCMAT aprovado por Engenheiro de Segurança do Trabalho antes do início da obra. Inspeção quinzenal de segurança pela Fiscalização. Paralisar imediatamente frente de trabalho com condição insegura. Exigir presença de Técnico de Segurança do Trabalho no canteiro. — Contingência: registrar ocorrência; acionar MTE; apurar responsabilidades; instaurar processo sancionatório.</w:t>
            </w:r>
          </w:p>
        </w:tc>
        <w:tc>
          <w:tcPr>
            <w:tcW w:w="3216" w:type="dxa"/>
            <w:shd w:val="clear" w:color="auto" w:fill="FFFFFF"/>
            <w:tcMar>
              <w:top w:w="60" w:type="dxa"/>
              <w:left w:w="100" w:type="dxa"/>
              <w:bottom w:w="60" w:type="dxa"/>
              <w:right w:w="100" w:type="dxa"/>
            </w:tcMar>
            <w:vAlign w:val="center"/>
          </w:tcPr>
          <w:p w14:paraId="23B5572F" w14:textId="77777777" w:rsidR="00B10001" w:rsidRDefault="006B7EAD">
            <w:pPr>
              <w:spacing w:after="0"/>
            </w:pPr>
            <w:r>
              <w:rPr>
                <w:color w:val="1A1A1A"/>
                <w:sz w:val="17"/>
                <w:szCs w:val="17"/>
              </w:rPr>
              <w:t>Fiscal Técnico / Técnico de Segurança do Trabalho</w:t>
            </w:r>
          </w:p>
        </w:tc>
      </w:tr>
      <w:tr w:rsidR="00B10001" w14:paraId="0C7D5A5F" w14:textId="77777777" w:rsidTr="009E2995">
        <w:trPr>
          <w:jc w:val="center"/>
        </w:trPr>
        <w:tc>
          <w:tcPr>
            <w:tcW w:w="531" w:type="dxa"/>
            <w:shd w:val="clear" w:color="auto" w:fill="FFFFFF"/>
            <w:tcMar>
              <w:top w:w="60" w:type="dxa"/>
              <w:left w:w="100" w:type="dxa"/>
              <w:bottom w:w="60" w:type="dxa"/>
              <w:right w:w="100" w:type="dxa"/>
            </w:tcMar>
            <w:vAlign w:val="center"/>
          </w:tcPr>
          <w:p w14:paraId="364043D0" w14:textId="77777777" w:rsidR="00B10001" w:rsidRDefault="006B7EAD">
            <w:pPr>
              <w:spacing w:after="0"/>
              <w:jc w:val="center"/>
            </w:pPr>
            <w:r>
              <w:rPr>
                <w:b/>
                <w:bCs/>
                <w:color w:val="1A1A1A"/>
                <w:szCs w:val="18"/>
              </w:rPr>
              <w:t>R12</w:t>
            </w:r>
          </w:p>
        </w:tc>
        <w:tc>
          <w:tcPr>
            <w:tcW w:w="1949" w:type="dxa"/>
            <w:shd w:val="clear" w:color="auto" w:fill="FFFFFF"/>
            <w:tcMar>
              <w:top w:w="60" w:type="dxa"/>
              <w:left w:w="100" w:type="dxa"/>
              <w:bottom w:w="60" w:type="dxa"/>
              <w:right w:w="100" w:type="dxa"/>
            </w:tcMar>
            <w:vAlign w:val="center"/>
          </w:tcPr>
          <w:p w14:paraId="5A765D26" w14:textId="77777777" w:rsidR="00B10001" w:rsidRDefault="006B7EAD">
            <w:pPr>
              <w:spacing w:after="0"/>
            </w:pPr>
            <w:r>
              <w:rPr>
                <w:b/>
                <w:bCs/>
                <w:color w:val="1A1A1A"/>
                <w:szCs w:val="18"/>
              </w:rPr>
              <w:t>Condições climáticas adversas em zona costeira</w:t>
            </w:r>
          </w:p>
        </w:tc>
        <w:tc>
          <w:tcPr>
            <w:tcW w:w="2760" w:type="dxa"/>
            <w:shd w:val="clear" w:color="auto" w:fill="FFFFFF"/>
            <w:tcMar>
              <w:top w:w="60" w:type="dxa"/>
              <w:left w:w="100" w:type="dxa"/>
              <w:bottom w:w="60" w:type="dxa"/>
              <w:right w:w="100" w:type="dxa"/>
            </w:tcMar>
            <w:vAlign w:val="center"/>
          </w:tcPr>
          <w:p w14:paraId="09E06BCD" w14:textId="77777777" w:rsidR="00B10001" w:rsidRDefault="006B7EAD">
            <w:pPr>
              <w:spacing w:after="0"/>
            </w:pPr>
            <w:r>
              <w:rPr>
                <w:color w:val="1A1A1A"/>
                <w:szCs w:val="18"/>
              </w:rPr>
              <w:t>Localização na Praia de Barra de Catuama: precipitações intensas na quadra chuvosa (fev.–maio em PE); umidade marítima elevada com impacto em revestimentos, cura do concreto e impermeabilização.</w:t>
            </w:r>
          </w:p>
        </w:tc>
        <w:tc>
          <w:tcPr>
            <w:tcW w:w="543" w:type="dxa"/>
            <w:shd w:val="clear" w:color="auto" w:fill="FFF2CC"/>
            <w:tcMar>
              <w:top w:w="60" w:type="dxa"/>
              <w:left w:w="100" w:type="dxa"/>
              <w:bottom w:w="60" w:type="dxa"/>
              <w:right w:w="100" w:type="dxa"/>
            </w:tcMar>
            <w:vAlign w:val="center"/>
          </w:tcPr>
          <w:p w14:paraId="019447A8" w14:textId="77777777" w:rsidR="00B10001" w:rsidRDefault="006B7EAD">
            <w:pPr>
              <w:spacing w:after="0"/>
              <w:jc w:val="center"/>
            </w:pPr>
            <w:r>
              <w:rPr>
                <w:b/>
                <w:bCs/>
                <w:color w:val="1A1A1A"/>
                <w:szCs w:val="18"/>
              </w:rPr>
              <w:t>Média</w:t>
            </w:r>
          </w:p>
        </w:tc>
        <w:tc>
          <w:tcPr>
            <w:tcW w:w="891" w:type="dxa"/>
            <w:shd w:val="clear" w:color="auto" w:fill="FFF2CC"/>
            <w:tcMar>
              <w:top w:w="60" w:type="dxa"/>
              <w:left w:w="100" w:type="dxa"/>
              <w:bottom w:w="60" w:type="dxa"/>
              <w:right w:w="100" w:type="dxa"/>
            </w:tcMar>
            <w:vAlign w:val="center"/>
          </w:tcPr>
          <w:p w14:paraId="308DA3A4" w14:textId="77777777" w:rsidR="00B10001" w:rsidRDefault="006B7EAD">
            <w:pPr>
              <w:spacing w:after="0"/>
              <w:jc w:val="center"/>
            </w:pPr>
            <w:r>
              <w:rPr>
                <w:b/>
                <w:bCs/>
                <w:color w:val="1A1A1A"/>
                <w:szCs w:val="18"/>
              </w:rPr>
              <w:t>Médio</w:t>
            </w:r>
          </w:p>
        </w:tc>
        <w:tc>
          <w:tcPr>
            <w:tcW w:w="940" w:type="dxa"/>
            <w:shd w:val="clear" w:color="auto" w:fill="FFF2CC"/>
            <w:tcMar>
              <w:top w:w="60" w:type="dxa"/>
              <w:left w:w="100" w:type="dxa"/>
              <w:bottom w:w="60" w:type="dxa"/>
              <w:right w:w="100" w:type="dxa"/>
            </w:tcMar>
            <w:vAlign w:val="center"/>
          </w:tcPr>
          <w:p w14:paraId="44CB997B" w14:textId="77777777" w:rsidR="00B10001" w:rsidRDefault="006B7EAD">
            <w:pPr>
              <w:spacing w:after="0"/>
              <w:jc w:val="center"/>
            </w:pPr>
            <w:r>
              <w:rPr>
                <w:b/>
                <w:bCs/>
                <w:color w:val="1A1A1A"/>
                <w:szCs w:val="18"/>
              </w:rPr>
              <w:t>MÉDIO</w:t>
            </w:r>
          </w:p>
        </w:tc>
        <w:tc>
          <w:tcPr>
            <w:tcW w:w="4438" w:type="dxa"/>
            <w:shd w:val="clear" w:color="auto" w:fill="FFFFFF"/>
            <w:tcMar>
              <w:top w:w="60" w:type="dxa"/>
              <w:left w:w="100" w:type="dxa"/>
              <w:bottom w:w="60" w:type="dxa"/>
              <w:right w:w="100" w:type="dxa"/>
            </w:tcMar>
            <w:vAlign w:val="center"/>
          </w:tcPr>
          <w:p w14:paraId="51CBCCED" w14:textId="77777777" w:rsidR="00B10001" w:rsidRDefault="006B7EAD">
            <w:pPr>
              <w:spacing w:after="0"/>
            </w:pPr>
            <w:r>
              <w:rPr>
                <w:color w:val="1A1A1A"/>
                <w:sz w:val="17"/>
                <w:szCs w:val="17"/>
              </w:rPr>
              <w:t>Chuvas ordinárias (regime histórico normal) são risco ordinário da Contratada, embutido no BDI. Exigir cronograma que contemple a sazonalidade regional. — Contingência: eventos climáticos excepcionais comprovados (INMET/APAC) poderão ser objeto de análise pela Fiscalização nos termos do art. 124, II, 'd', da Lei 14.133/2021. Paralisação registrada no Diário de Obra.</w:t>
            </w:r>
          </w:p>
        </w:tc>
        <w:tc>
          <w:tcPr>
            <w:tcW w:w="3216" w:type="dxa"/>
            <w:shd w:val="clear" w:color="auto" w:fill="FFFFFF"/>
            <w:tcMar>
              <w:top w:w="60" w:type="dxa"/>
              <w:left w:w="100" w:type="dxa"/>
              <w:bottom w:w="60" w:type="dxa"/>
              <w:right w:w="100" w:type="dxa"/>
            </w:tcMar>
            <w:vAlign w:val="center"/>
          </w:tcPr>
          <w:p w14:paraId="12817BF6" w14:textId="77777777" w:rsidR="00B10001" w:rsidRDefault="006B7EAD">
            <w:pPr>
              <w:spacing w:after="0"/>
            </w:pPr>
            <w:r>
              <w:rPr>
                <w:color w:val="1A1A1A"/>
                <w:sz w:val="17"/>
                <w:szCs w:val="17"/>
              </w:rPr>
              <w:t>Fiscal Técnico</w:t>
            </w:r>
          </w:p>
        </w:tc>
      </w:tr>
      <w:tr w:rsidR="00B10001" w14:paraId="04341E42" w14:textId="77777777" w:rsidTr="009E2995">
        <w:trPr>
          <w:jc w:val="center"/>
        </w:trPr>
        <w:tc>
          <w:tcPr>
            <w:tcW w:w="531" w:type="dxa"/>
            <w:shd w:val="clear" w:color="auto" w:fill="FFFFFF"/>
            <w:tcMar>
              <w:top w:w="60" w:type="dxa"/>
              <w:left w:w="100" w:type="dxa"/>
              <w:bottom w:w="60" w:type="dxa"/>
              <w:right w:w="100" w:type="dxa"/>
            </w:tcMar>
            <w:vAlign w:val="center"/>
          </w:tcPr>
          <w:p w14:paraId="4000A55C" w14:textId="77777777" w:rsidR="00B10001" w:rsidRDefault="006B7EAD">
            <w:pPr>
              <w:spacing w:after="0"/>
              <w:jc w:val="center"/>
            </w:pPr>
            <w:r>
              <w:rPr>
                <w:b/>
                <w:bCs/>
                <w:color w:val="1A1A1A"/>
                <w:szCs w:val="18"/>
              </w:rPr>
              <w:t>R13</w:t>
            </w:r>
          </w:p>
        </w:tc>
        <w:tc>
          <w:tcPr>
            <w:tcW w:w="1949" w:type="dxa"/>
            <w:shd w:val="clear" w:color="auto" w:fill="FFFFFF"/>
            <w:tcMar>
              <w:top w:w="60" w:type="dxa"/>
              <w:left w:w="100" w:type="dxa"/>
              <w:bottom w:w="60" w:type="dxa"/>
              <w:right w:w="100" w:type="dxa"/>
            </w:tcMar>
            <w:vAlign w:val="center"/>
          </w:tcPr>
          <w:p w14:paraId="73D492C2" w14:textId="77777777" w:rsidR="00B10001" w:rsidRDefault="006B7EAD">
            <w:pPr>
              <w:spacing w:after="0"/>
            </w:pPr>
            <w:r>
              <w:rPr>
                <w:b/>
                <w:bCs/>
                <w:color w:val="1A1A1A"/>
                <w:szCs w:val="18"/>
              </w:rPr>
              <w:t>Subcontratação irregular de parcelas relevantes da obra</w:t>
            </w:r>
          </w:p>
        </w:tc>
        <w:tc>
          <w:tcPr>
            <w:tcW w:w="2760" w:type="dxa"/>
            <w:shd w:val="clear" w:color="auto" w:fill="FFFFFF"/>
            <w:tcMar>
              <w:top w:w="60" w:type="dxa"/>
              <w:left w:w="100" w:type="dxa"/>
              <w:bottom w:w="60" w:type="dxa"/>
              <w:right w:w="100" w:type="dxa"/>
            </w:tcMar>
            <w:vAlign w:val="center"/>
          </w:tcPr>
          <w:p w14:paraId="3D0F2299" w14:textId="77777777" w:rsidR="00B10001" w:rsidRDefault="006B7EAD">
            <w:pPr>
              <w:spacing w:after="0"/>
            </w:pPr>
            <w:r>
              <w:rPr>
                <w:color w:val="1A1A1A"/>
                <w:szCs w:val="18"/>
              </w:rPr>
              <w:t xml:space="preserve">Contratada terceiriza execução das lajes pré-moldadas, revestimento cerâmico, impermeabilização com manta asfáltica ou outras parcelas relevantes sem autorização </w:t>
            </w:r>
            <w:r>
              <w:rPr>
                <w:color w:val="1A1A1A"/>
                <w:szCs w:val="18"/>
              </w:rPr>
              <w:lastRenderedPageBreak/>
              <w:t>prévia e expressa da Administração.</w:t>
            </w:r>
          </w:p>
        </w:tc>
        <w:tc>
          <w:tcPr>
            <w:tcW w:w="543" w:type="dxa"/>
            <w:shd w:val="clear" w:color="auto" w:fill="E2EFDA"/>
            <w:tcMar>
              <w:top w:w="60" w:type="dxa"/>
              <w:left w:w="100" w:type="dxa"/>
              <w:bottom w:w="60" w:type="dxa"/>
              <w:right w:w="100" w:type="dxa"/>
            </w:tcMar>
            <w:vAlign w:val="center"/>
          </w:tcPr>
          <w:p w14:paraId="08AF26D2" w14:textId="77777777" w:rsidR="00B10001" w:rsidRDefault="006B7EAD">
            <w:pPr>
              <w:spacing w:after="0"/>
              <w:jc w:val="center"/>
            </w:pPr>
            <w:r>
              <w:rPr>
                <w:b/>
                <w:bCs/>
                <w:color w:val="1A1A1A"/>
                <w:szCs w:val="18"/>
              </w:rPr>
              <w:lastRenderedPageBreak/>
              <w:t>Baixa</w:t>
            </w:r>
          </w:p>
        </w:tc>
        <w:tc>
          <w:tcPr>
            <w:tcW w:w="891" w:type="dxa"/>
            <w:shd w:val="clear" w:color="auto" w:fill="FFF2CC"/>
            <w:tcMar>
              <w:top w:w="60" w:type="dxa"/>
              <w:left w:w="100" w:type="dxa"/>
              <w:bottom w:w="60" w:type="dxa"/>
              <w:right w:w="100" w:type="dxa"/>
            </w:tcMar>
            <w:vAlign w:val="center"/>
          </w:tcPr>
          <w:p w14:paraId="4270F498" w14:textId="77777777" w:rsidR="00B10001" w:rsidRDefault="006B7EAD">
            <w:pPr>
              <w:spacing w:after="0"/>
              <w:jc w:val="center"/>
            </w:pPr>
            <w:r>
              <w:rPr>
                <w:b/>
                <w:bCs/>
                <w:color w:val="1A1A1A"/>
                <w:szCs w:val="18"/>
              </w:rPr>
              <w:t>Médio</w:t>
            </w:r>
          </w:p>
        </w:tc>
        <w:tc>
          <w:tcPr>
            <w:tcW w:w="940" w:type="dxa"/>
            <w:shd w:val="clear" w:color="auto" w:fill="E2EFDA"/>
            <w:tcMar>
              <w:top w:w="60" w:type="dxa"/>
              <w:left w:w="100" w:type="dxa"/>
              <w:bottom w:w="60" w:type="dxa"/>
              <w:right w:w="100" w:type="dxa"/>
            </w:tcMar>
            <w:vAlign w:val="center"/>
          </w:tcPr>
          <w:p w14:paraId="02644ECD" w14:textId="77777777" w:rsidR="00B10001" w:rsidRDefault="006B7EAD">
            <w:pPr>
              <w:spacing w:after="0"/>
              <w:jc w:val="center"/>
            </w:pPr>
            <w:r>
              <w:rPr>
                <w:b/>
                <w:bCs/>
                <w:color w:val="1A1A1A"/>
                <w:szCs w:val="18"/>
              </w:rPr>
              <w:t>BAIXO</w:t>
            </w:r>
          </w:p>
        </w:tc>
        <w:tc>
          <w:tcPr>
            <w:tcW w:w="4438" w:type="dxa"/>
            <w:shd w:val="clear" w:color="auto" w:fill="FFFFFF"/>
            <w:tcMar>
              <w:top w:w="60" w:type="dxa"/>
              <w:left w:w="100" w:type="dxa"/>
              <w:bottom w:w="60" w:type="dxa"/>
              <w:right w:w="100" w:type="dxa"/>
            </w:tcMar>
            <w:vAlign w:val="center"/>
          </w:tcPr>
          <w:p w14:paraId="5D2FD14F" w14:textId="77777777" w:rsidR="00B10001" w:rsidRDefault="006B7EAD">
            <w:pPr>
              <w:spacing w:after="0"/>
            </w:pPr>
            <w:r>
              <w:rPr>
                <w:color w:val="1A1A1A"/>
                <w:sz w:val="17"/>
                <w:szCs w:val="17"/>
              </w:rPr>
              <w:t>Cláusula contratual expressa de vedação de subcontratação sem anuência formal prévia da Fiscalização. Verificação in loco da equipe de trabalho e confronto com ART/RRT do responsável técnico. — Contingência: notificação formal; exigência de regularização em 5 dias úteis; processo sancionatório em caso de reincidência.</w:t>
            </w:r>
          </w:p>
        </w:tc>
        <w:tc>
          <w:tcPr>
            <w:tcW w:w="3216" w:type="dxa"/>
            <w:shd w:val="clear" w:color="auto" w:fill="FFFFFF"/>
            <w:tcMar>
              <w:top w:w="60" w:type="dxa"/>
              <w:left w:w="100" w:type="dxa"/>
              <w:bottom w:w="60" w:type="dxa"/>
              <w:right w:w="100" w:type="dxa"/>
            </w:tcMar>
            <w:vAlign w:val="center"/>
          </w:tcPr>
          <w:p w14:paraId="0E7D9E71" w14:textId="77777777" w:rsidR="00B10001" w:rsidRDefault="006B7EAD">
            <w:pPr>
              <w:spacing w:after="0"/>
            </w:pPr>
            <w:r>
              <w:rPr>
                <w:color w:val="1A1A1A"/>
                <w:sz w:val="17"/>
                <w:szCs w:val="17"/>
              </w:rPr>
              <w:t>Fiscal Técnico</w:t>
            </w:r>
          </w:p>
        </w:tc>
      </w:tr>
      <w:tr w:rsidR="00B10001" w14:paraId="29066EAF" w14:textId="77777777" w:rsidTr="009E2995">
        <w:trPr>
          <w:jc w:val="center"/>
        </w:trPr>
        <w:tc>
          <w:tcPr>
            <w:tcW w:w="531" w:type="dxa"/>
            <w:shd w:val="clear" w:color="auto" w:fill="FFFFFF"/>
            <w:tcMar>
              <w:top w:w="60" w:type="dxa"/>
              <w:left w:w="100" w:type="dxa"/>
              <w:bottom w:w="60" w:type="dxa"/>
              <w:right w:w="100" w:type="dxa"/>
            </w:tcMar>
            <w:vAlign w:val="center"/>
          </w:tcPr>
          <w:p w14:paraId="5E798F35" w14:textId="77777777" w:rsidR="00B10001" w:rsidRDefault="006B7EAD">
            <w:pPr>
              <w:spacing w:after="0"/>
              <w:jc w:val="center"/>
            </w:pPr>
            <w:r>
              <w:rPr>
                <w:b/>
                <w:bCs/>
                <w:color w:val="1A1A1A"/>
                <w:szCs w:val="18"/>
              </w:rPr>
              <w:t>R14</w:t>
            </w:r>
          </w:p>
        </w:tc>
        <w:tc>
          <w:tcPr>
            <w:tcW w:w="1949" w:type="dxa"/>
            <w:shd w:val="clear" w:color="auto" w:fill="FFFFFF"/>
            <w:tcMar>
              <w:top w:w="60" w:type="dxa"/>
              <w:left w:w="100" w:type="dxa"/>
              <w:bottom w:w="60" w:type="dxa"/>
              <w:right w:w="100" w:type="dxa"/>
            </w:tcMar>
            <w:vAlign w:val="center"/>
          </w:tcPr>
          <w:p w14:paraId="7877DE29" w14:textId="77777777" w:rsidR="00B10001" w:rsidRDefault="006B7EAD">
            <w:pPr>
              <w:spacing w:after="0"/>
            </w:pPr>
            <w:r>
              <w:rPr>
                <w:b/>
                <w:bCs/>
                <w:color w:val="1A1A1A"/>
                <w:szCs w:val="18"/>
              </w:rPr>
              <w:t>Inexecução parcial ou abandono da obra</w:t>
            </w:r>
          </w:p>
        </w:tc>
        <w:tc>
          <w:tcPr>
            <w:tcW w:w="2760" w:type="dxa"/>
            <w:shd w:val="clear" w:color="auto" w:fill="FFFFFF"/>
            <w:tcMar>
              <w:top w:w="60" w:type="dxa"/>
              <w:left w:w="100" w:type="dxa"/>
              <w:bottom w:w="60" w:type="dxa"/>
              <w:right w:w="100" w:type="dxa"/>
            </w:tcMar>
            <w:vAlign w:val="center"/>
          </w:tcPr>
          <w:p w14:paraId="2992B90A" w14:textId="77777777" w:rsidR="00B10001" w:rsidRDefault="006B7EAD">
            <w:pPr>
              <w:spacing w:after="0"/>
            </w:pPr>
            <w:r>
              <w:rPr>
                <w:color w:val="1A1A1A"/>
                <w:szCs w:val="18"/>
              </w:rPr>
              <w:t>Dificuldades financeiras da Contratada; desequilíbrio econômico não gerenciado; falência ou recuperação judicial; baixa capacidade operacional com subdimensionamento grave.</w:t>
            </w:r>
          </w:p>
        </w:tc>
        <w:tc>
          <w:tcPr>
            <w:tcW w:w="543" w:type="dxa"/>
            <w:shd w:val="clear" w:color="auto" w:fill="E2EFDA"/>
            <w:tcMar>
              <w:top w:w="60" w:type="dxa"/>
              <w:left w:w="100" w:type="dxa"/>
              <w:bottom w:w="60" w:type="dxa"/>
              <w:right w:w="100" w:type="dxa"/>
            </w:tcMar>
            <w:vAlign w:val="center"/>
          </w:tcPr>
          <w:p w14:paraId="7CD18F11" w14:textId="77777777" w:rsidR="00B10001" w:rsidRDefault="006B7EAD">
            <w:pPr>
              <w:spacing w:after="0"/>
              <w:jc w:val="center"/>
            </w:pPr>
            <w:r>
              <w:rPr>
                <w:b/>
                <w:bCs/>
                <w:color w:val="1A1A1A"/>
                <w:szCs w:val="18"/>
              </w:rPr>
              <w:t>Baixa</w:t>
            </w:r>
          </w:p>
        </w:tc>
        <w:tc>
          <w:tcPr>
            <w:tcW w:w="891" w:type="dxa"/>
            <w:shd w:val="clear" w:color="auto" w:fill="FAEEDA"/>
            <w:tcMar>
              <w:top w:w="60" w:type="dxa"/>
              <w:left w:w="100" w:type="dxa"/>
              <w:bottom w:w="60" w:type="dxa"/>
              <w:right w:w="100" w:type="dxa"/>
            </w:tcMar>
            <w:vAlign w:val="center"/>
          </w:tcPr>
          <w:p w14:paraId="0E6A8899" w14:textId="77777777" w:rsidR="00B10001" w:rsidRDefault="006B7EAD">
            <w:pPr>
              <w:spacing w:after="0"/>
              <w:jc w:val="center"/>
            </w:pPr>
            <w:r>
              <w:rPr>
                <w:b/>
                <w:bCs/>
                <w:color w:val="1A1A1A"/>
                <w:szCs w:val="18"/>
              </w:rPr>
              <w:t>Alto</w:t>
            </w:r>
          </w:p>
        </w:tc>
        <w:tc>
          <w:tcPr>
            <w:tcW w:w="940" w:type="dxa"/>
            <w:shd w:val="clear" w:color="auto" w:fill="FFF2CC"/>
            <w:tcMar>
              <w:top w:w="60" w:type="dxa"/>
              <w:left w:w="100" w:type="dxa"/>
              <w:bottom w:w="60" w:type="dxa"/>
              <w:right w:w="100" w:type="dxa"/>
            </w:tcMar>
            <w:vAlign w:val="center"/>
          </w:tcPr>
          <w:p w14:paraId="28070E28" w14:textId="77777777" w:rsidR="00B10001" w:rsidRDefault="006B7EAD">
            <w:pPr>
              <w:spacing w:after="0"/>
              <w:jc w:val="center"/>
            </w:pPr>
            <w:r>
              <w:rPr>
                <w:b/>
                <w:bCs/>
                <w:color w:val="1A1A1A"/>
                <w:szCs w:val="18"/>
              </w:rPr>
              <w:t>MÉDIO</w:t>
            </w:r>
          </w:p>
        </w:tc>
        <w:tc>
          <w:tcPr>
            <w:tcW w:w="4438" w:type="dxa"/>
            <w:shd w:val="clear" w:color="auto" w:fill="FFFFFF"/>
            <w:tcMar>
              <w:top w:w="60" w:type="dxa"/>
              <w:left w:w="100" w:type="dxa"/>
              <w:bottom w:w="60" w:type="dxa"/>
              <w:right w:w="100" w:type="dxa"/>
            </w:tcMar>
            <w:vAlign w:val="center"/>
          </w:tcPr>
          <w:p w14:paraId="31B6CD54" w14:textId="77777777" w:rsidR="00B10001" w:rsidRDefault="006B7EAD">
            <w:pPr>
              <w:spacing w:after="0"/>
            </w:pPr>
            <w:r>
              <w:rPr>
                <w:color w:val="1A1A1A"/>
                <w:sz w:val="17"/>
                <w:szCs w:val="17"/>
              </w:rPr>
              <w:t>Exigir garantia contratual conforme art. 98 da Lei 14.133/2021. Acompanhar regularidade do FGTS (matrícula CNO) e GPS mensalmente. Monitorar velocidade de execução desde os primeiros meses. — Contingência: acionar garantia contratual; extinção unilateral com convocação do segundo classificado (art. 90, §2º, Lei 14.133/2021); registrar para fins sancionatórios.</w:t>
            </w:r>
          </w:p>
        </w:tc>
        <w:tc>
          <w:tcPr>
            <w:tcW w:w="3216" w:type="dxa"/>
            <w:shd w:val="clear" w:color="auto" w:fill="FFFFFF"/>
            <w:tcMar>
              <w:top w:w="60" w:type="dxa"/>
              <w:left w:w="100" w:type="dxa"/>
              <w:bottom w:w="60" w:type="dxa"/>
              <w:right w:w="100" w:type="dxa"/>
            </w:tcMar>
            <w:vAlign w:val="center"/>
          </w:tcPr>
          <w:p w14:paraId="4CEFDD37" w14:textId="77777777" w:rsidR="00B10001" w:rsidRDefault="006B7EAD">
            <w:pPr>
              <w:spacing w:after="0"/>
            </w:pPr>
            <w:r>
              <w:rPr>
                <w:color w:val="1A1A1A"/>
                <w:sz w:val="17"/>
                <w:szCs w:val="17"/>
              </w:rPr>
              <w:t>Gestor do Contrato</w:t>
            </w:r>
          </w:p>
        </w:tc>
      </w:tr>
      <w:tr w:rsidR="00B10001" w14:paraId="68416F58" w14:textId="77777777" w:rsidTr="009E2995">
        <w:trPr>
          <w:jc w:val="center"/>
        </w:trPr>
        <w:tc>
          <w:tcPr>
            <w:tcW w:w="531" w:type="dxa"/>
            <w:shd w:val="clear" w:color="auto" w:fill="FFFFFF"/>
            <w:tcMar>
              <w:top w:w="60" w:type="dxa"/>
              <w:left w:w="100" w:type="dxa"/>
              <w:bottom w:w="60" w:type="dxa"/>
              <w:right w:w="100" w:type="dxa"/>
            </w:tcMar>
            <w:vAlign w:val="center"/>
          </w:tcPr>
          <w:p w14:paraId="76D0F208" w14:textId="77777777" w:rsidR="00B10001" w:rsidRDefault="006B7EAD">
            <w:pPr>
              <w:spacing w:after="0"/>
              <w:jc w:val="center"/>
            </w:pPr>
            <w:r>
              <w:rPr>
                <w:b/>
                <w:bCs/>
                <w:color w:val="1A1A1A"/>
                <w:szCs w:val="18"/>
              </w:rPr>
              <w:t>R15</w:t>
            </w:r>
          </w:p>
        </w:tc>
        <w:tc>
          <w:tcPr>
            <w:tcW w:w="1949" w:type="dxa"/>
            <w:shd w:val="clear" w:color="auto" w:fill="FFFFFF"/>
            <w:tcMar>
              <w:top w:w="60" w:type="dxa"/>
              <w:left w:w="100" w:type="dxa"/>
              <w:bottom w:w="60" w:type="dxa"/>
              <w:right w:w="100" w:type="dxa"/>
            </w:tcMar>
            <w:vAlign w:val="center"/>
          </w:tcPr>
          <w:p w14:paraId="48E22187" w14:textId="77777777" w:rsidR="00B10001" w:rsidRDefault="006B7EAD">
            <w:pPr>
              <w:spacing w:after="0"/>
            </w:pPr>
            <w:r>
              <w:rPr>
                <w:b/>
                <w:bCs/>
                <w:color w:val="1A1A1A"/>
                <w:szCs w:val="18"/>
              </w:rPr>
              <w:t>Sobrepreço em medições ou pagamento de serviços não executados</w:t>
            </w:r>
          </w:p>
        </w:tc>
        <w:tc>
          <w:tcPr>
            <w:tcW w:w="2760" w:type="dxa"/>
            <w:shd w:val="clear" w:color="auto" w:fill="FFFFFF"/>
            <w:tcMar>
              <w:top w:w="60" w:type="dxa"/>
              <w:left w:w="100" w:type="dxa"/>
              <w:bottom w:w="60" w:type="dxa"/>
              <w:right w:w="100" w:type="dxa"/>
            </w:tcMar>
            <w:vAlign w:val="center"/>
          </w:tcPr>
          <w:p w14:paraId="262D255E" w14:textId="77777777" w:rsidR="00B10001" w:rsidRDefault="006B7EAD">
            <w:pPr>
              <w:spacing w:after="0"/>
            </w:pPr>
            <w:r>
              <w:rPr>
                <w:color w:val="1A1A1A"/>
                <w:szCs w:val="18"/>
              </w:rPr>
              <w:t>Ateste de medição sem verificação in loco; itens medidos a maior que o executado; serviços considerados concluídos sem comprovação fotográfica ou técnica.</w:t>
            </w:r>
          </w:p>
        </w:tc>
        <w:tc>
          <w:tcPr>
            <w:tcW w:w="543" w:type="dxa"/>
            <w:shd w:val="clear" w:color="auto" w:fill="E2EFDA"/>
            <w:tcMar>
              <w:top w:w="60" w:type="dxa"/>
              <w:left w:w="100" w:type="dxa"/>
              <w:bottom w:w="60" w:type="dxa"/>
              <w:right w:w="100" w:type="dxa"/>
            </w:tcMar>
            <w:vAlign w:val="center"/>
          </w:tcPr>
          <w:p w14:paraId="2CFF3B26" w14:textId="77777777" w:rsidR="00B10001" w:rsidRDefault="006B7EAD">
            <w:pPr>
              <w:spacing w:after="0"/>
              <w:jc w:val="center"/>
            </w:pPr>
            <w:r>
              <w:rPr>
                <w:b/>
                <w:bCs/>
                <w:color w:val="1A1A1A"/>
                <w:szCs w:val="18"/>
              </w:rPr>
              <w:t>Baixa</w:t>
            </w:r>
          </w:p>
        </w:tc>
        <w:tc>
          <w:tcPr>
            <w:tcW w:w="891" w:type="dxa"/>
            <w:shd w:val="clear" w:color="auto" w:fill="FAEEDA"/>
            <w:tcMar>
              <w:top w:w="60" w:type="dxa"/>
              <w:left w:w="100" w:type="dxa"/>
              <w:bottom w:w="60" w:type="dxa"/>
              <w:right w:w="100" w:type="dxa"/>
            </w:tcMar>
            <w:vAlign w:val="center"/>
          </w:tcPr>
          <w:p w14:paraId="568CFCE4" w14:textId="77777777" w:rsidR="00B10001" w:rsidRDefault="006B7EAD">
            <w:pPr>
              <w:spacing w:after="0"/>
              <w:jc w:val="center"/>
            </w:pPr>
            <w:r>
              <w:rPr>
                <w:b/>
                <w:bCs/>
                <w:color w:val="1A1A1A"/>
                <w:szCs w:val="18"/>
              </w:rPr>
              <w:t>Alto</w:t>
            </w:r>
          </w:p>
        </w:tc>
        <w:tc>
          <w:tcPr>
            <w:tcW w:w="940" w:type="dxa"/>
            <w:shd w:val="clear" w:color="auto" w:fill="FFF2CC"/>
            <w:tcMar>
              <w:top w:w="60" w:type="dxa"/>
              <w:left w:w="100" w:type="dxa"/>
              <w:bottom w:w="60" w:type="dxa"/>
              <w:right w:w="100" w:type="dxa"/>
            </w:tcMar>
            <w:vAlign w:val="center"/>
          </w:tcPr>
          <w:p w14:paraId="79CE99BB" w14:textId="77777777" w:rsidR="00B10001" w:rsidRDefault="006B7EAD">
            <w:pPr>
              <w:spacing w:after="0"/>
              <w:jc w:val="center"/>
            </w:pPr>
            <w:r>
              <w:rPr>
                <w:b/>
                <w:bCs/>
                <w:color w:val="1A1A1A"/>
                <w:szCs w:val="18"/>
              </w:rPr>
              <w:t>MÉDIO</w:t>
            </w:r>
          </w:p>
        </w:tc>
        <w:tc>
          <w:tcPr>
            <w:tcW w:w="4438" w:type="dxa"/>
            <w:shd w:val="clear" w:color="auto" w:fill="FFFFFF"/>
            <w:tcMar>
              <w:top w:w="60" w:type="dxa"/>
              <w:left w:w="100" w:type="dxa"/>
              <w:bottom w:w="60" w:type="dxa"/>
              <w:right w:w="100" w:type="dxa"/>
            </w:tcMar>
            <w:vAlign w:val="center"/>
          </w:tcPr>
          <w:p w14:paraId="05EC9226" w14:textId="77777777" w:rsidR="00B10001" w:rsidRDefault="006B7EAD">
            <w:pPr>
              <w:spacing w:after="0"/>
            </w:pPr>
            <w:r>
              <w:rPr>
                <w:color w:val="1A1A1A"/>
                <w:sz w:val="17"/>
                <w:szCs w:val="17"/>
              </w:rPr>
              <w:t>Medição obrigatoriamente in loco, com confronto ao projeto executivo e ao cronograma físico-financeiro. Registro fotográfico obrigatório por boletim de medição. Vedado atestar serviço sem verificação presencial. — Contingência: glosa dos valores indevidos; apuração de irregularidade; comunicação ao Controle Interno.</w:t>
            </w:r>
          </w:p>
        </w:tc>
        <w:tc>
          <w:tcPr>
            <w:tcW w:w="3216" w:type="dxa"/>
            <w:shd w:val="clear" w:color="auto" w:fill="FFFFFF"/>
            <w:tcMar>
              <w:top w:w="60" w:type="dxa"/>
              <w:left w:w="100" w:type="dxa"/>
              <w:bottom w:w="60" w:type="dxa"/>
              <w:right w:w="100" w:type="dxa"/>
            </w:tcMar>
            <w:vAlign w:val="center"/>
          </w:tcPr>
          <w:p w14:paraId="5FAF6EFB" w14:textId="77777777" w:rsidR="00B10001" w:rsidRDefault="006B7EAD">
            <w:pPr>
              <w:spacing w:after="0"/>
            </w:pPr>
            <w:r>
              <w:rPr>
                <w:color w:val="1A1A1A"/>
                <w:sz w:val="17"/>
                <w:szCs w:val="17"/>
              </w:rPr>
              <w:t>Fiscal Técnico / Gestor do Contrato</w:t>
            </w:r>
          </w:p>
        </w:tc>
      </w:tr>
      <w:tr w:rsidR="00B10001" w14:paraId="102BE359" w14:textId="77777777" w:rsidTr="009E2995">
        <w:trPr>
          <w:jc w:val="center"/>
        </w:trPr>
        <w:tc>
          <w:tcPr>
            <w:tcW w:w="531" w:type="dxa"/>
            <w:shd w:val="clear" w:color="auto" w:fill="FFFFFF"/>
            <w:tcMar>
              <w:top w:w="60" w:type="dxa"/>
              <w:left w:w="100" w:type="dxa"/>
              <w:bottom w:w="60" w:type="dxa"/>
              <w:right w:w="100" w:type="dxa"/>
            </w:tcMar>
            <w:vAlign w:val="center"/>
          </w:tcPr>
          <w:p w14:paraId="31596CD8" w14:textId="77777777" w:rsidR="00B10001" w:rsidRDefault="006B7EAD">
            <w:pPr>
              <w:spacing w:after="0"/>
              <w:jc w:val="center"/>
            </w:pPr>
            <w:r>
              <w:rPr>
                <w:b/>
                <w:bCs/>
                <w:color w:val="1A1A1A"/>
                <w:szCs w:val="18"/>
              </w:rPr>
              <w:t>R16</w:t>
            </w:r>
          </w:p>
        </w:tc>
        <w:tc>
          <w:tcPr>
            <w:tcW w:w="1949" w:type="dxa"/>
            <w:shd w:val="clear" w:color="auto" w:fill="FFFFFF"/>
            <w:tcMar>
              <w:top w:w="60" w:type="dxa"/>
              <w:left w:w="100" w:type="dxa"/>
              <w:bottom w:w="60" w:type="dxa"/>
              <w:right w:w="100" w:type="dxa"/>
            </w:tcMar>
            <w:vAlign w:val="center"/>
          </w:tcPr>
          <w:p w14:paraId="4EB16732" w14:textId="77777777" w:rsidR="00B10001" w:rsidRDefault="006B7EAD">
            <w:pPr>
              <w:spacing w:after="0"/>
            </w:pPr>
            <w:r>
              <w:rPr>
                <w:b/>
                <w:bCs/>
                <w:color w:val="1A1A1A"/>
                <w:szCs w:val="18"/>
              </w:rPr>
              <w:t>Trabalho análogo à escravidão — Portaria Interministerial nº 18/2024</w:t>
            </w:r>
          </w:p>
        </w:tc>
        <w:tc>
          <w:tcPr>
            <w:tcW w:w="2760" w:type="dxa"/>
            <w:shd w:val="clear" w:color="auto" w:fill="FFFFFF"/>
            <w:tcMar>
              <w:top w:w="60" w:type="dxa"/>
              <w:left w:w="100" w:type="dxa"/>
              <w:bottom w:w="60" w:type="dxa"/>
              <w:right w:w="100" w:type="dxa"/>
            </w:tcMar>
            <w:vAlign w:val="center"/>
          </w:tcPr>
          <w:p w14:paraId="06D0C302" w14:textId="77777777" w:rsidR="00B10001" w:rsidRDefault="006B7EAD">
            <w:pPr>
              <w:spacing w:after="0"/>
            </w:pPr>
            <w:r>
              <w:rPr>
                <w:color w:val="1A1A1A"/>
                <w:szCs w:val="18"/>
              </w:rPr>
              <w:t>Contratada ou subcontratada inscrita no Cadastro de Empregadores do MTE (Lista Suja), com registro de exploração de trabalho análogo à escravidão.</w:t>
            </w:r>
          </w:p>
        </w:tc>
        <w:tc>
          <w:tcPr>
            <w:tcW w:w="543" w:type="dxa"/>
            <w:shd w:val="clear" w:color="auto" w:fill="E2EFDA"/>
            <w:tcMar>
              <w:top w:w="60" w:type="dxa"/>
              <w:left w:w="100" w:type="dxa"/>
              <w:bottom w:w="60" w:type="dxa"/>
              <w:right w:w="100" w:type="dxa"/>
            </w:tcMar>
            <w:vAlign w:val="center"/>
          </w:tcPr>
          <w:p w14:paraId="11D5CF0A" w14:textId="77777777" w:rsidR="00B10001" w:rsidRDefault="006B7EAD">
            <w:pPr>
              <w:spacing w:after="0"/>
              <w:jc w:val="center"/>
            </w:pPr>
            <w:r>
              <w:rPr>
                <w:b/>
                <w:bCs/>
                <w:color w:val="1A1A1A"/>
                <w:szCs w:val="18"/>
              </w:rPr>
              <w:t>Baixa</w:t>
            </w:r>
          </w:p>
        </w:tc>
        <w:tc>
          <w:tcPr>
            <w:tcW w:w="891" w:type="dxa"/>
            <w:shd w:val="clear" w:color="auto" w:fill="FAEEDA"/>
            <w:tcMar>
              <w:top w:w="60" w:type="dxa"/>
              <w:left w:w="100" w:type="dxa"/>
              <w:bottom w:w="60" w:type="dxa"/>
              <w:right w:w="100" w:type="dxa"/>
            </w:tcMar>
            <w:vAlign w:val="center"/>
          </w:tcPr>
          <w:p w14:paraId="527465A8" w14:textId="77777777" w:rsidR="00B10001" w:rsidRDefault="006B7EAD">
            <w:pPr>
              <w:spacing w:after="0"/>
              <w:jc w:val="center"/>
            </w:pPr>
            <w:r>
              <w:rPr>
                <w:b/>
                <w:bCs/>
                <w:color w:val="1A1A1A"/>
                <w:szCs w:val="18"/>
              </w:rPr>
              <w:t>Alto</w:t>
            </w:r>
          </w:p>
        </w:tc>
        <w:tc>
          <w:tcPr>
            <w:tcW w:w="940" w:type="dxa"/>
            <w:shd w:val="clear" w:color="auto" w:fill="FFF2CC"/>
            <w:tcMar>
              <w:top w:w="60" w:type="dxa"/>
              <w:left w:w="100" w:type="dxa"/>
              <w:bottom w:w="60" w:type="dxa"/>
              <w:right w:w="100" w:type="dxa"/>
            </w:tcMar>
            <w:vAlign w:val="center"/>
          </w:tcPr>
          <w:p w14:paraId="566CD29E" w14:textId="77777777" w:rsidR="00B10001" w:rsidRDefault="006B7EAD">
            <w:pPr>
              <w:spacing w:after="0"/>
              <w:jc w:val="center"/>
            </w:pPr>
            <w:r>
              <w:rPr>
                <w:b/>
                <w:bCs/>
                <w:color w:val="1A1A1A"/>
                <w:szCs w:val="18"/>
              </w:rPr>
              <w:t>MÉDIO</w:t>
            </w:r>
          </w:p>
        </w:tc>
        <w:tc>
          <w:tcPr>
            <w:tcW w:w="4438" w:type="dxa"/>
            <w:shd w:val="clear" w:color="auto" w:fill="FFFFFF"/>
            <w:tcMar>
              <w:top w:w="60" w:type="dxa"/>
              <w:left w:w="100" w:type="dxa"/>
              <w:bottom w:w="60" w:type="dxa"/>
              <w:right w:w="100" w:type="dxa"/>
            </w:tcMar>
            <w:vAlign w:val="center"/>
          </w:tcPr>
          <w:p w14:paraId="27D8E984" w14:textId="77777777" w:rsidR="00B10001" w:rsidRDefault="006B7EAD">
            <w:pPr>
              <w:spacing w:after="0"/>
            </w:pPr>
            <w:r>
              <w:rPr>
                <w:color w:val="1A1A1A"/>
                <w:sz w:val="17"/>
                <w:szCs w:val="17"/>
              </w:rPr>
              <w:t>Verificação de ofício do Cadastro MTE pela Comissão de Contratação na abertura da sessão pública. Obrigação contratual conforme seção 4.1 do Projeto Básico. Verificação a cada medição pelo Fiscal Técnico. — Contingência: inabilitação se detectada na licitação; rescisão unilateral se detectada na execução (art. 137, I c/c art. 139, Lei 14.133/2021); comunicação ao MPT/MTE (CF/88, art. 7º, XXXIII).</w:t>
            </w:r>
          </w:p>
        </w:tc>
        <w:tc>
          <w:tcPr>
            <w:tcW w:w="3216" w:type="dxa"/>
            <w:shd w:val="clear" w:color="auto" w:fill="FFFFFF"/>
            <w:tcMar>
              <w:top w:w="60" w:type="dxa"/>
              <w:left w:w="100" w:type="dxa"/>
              <w:bottom w:w="60" w:type="dxa"/>
              <w:right w:w="100" w:type="dxa"/>
            </w:tcMar>
            <w:vAlign w:val="center"/>
          </w:tcPr>
          <w:p w14:paraId="478338EE" w14:textId="77777777" w:rsidR="00B10001" w:rsidRDefault="006B7EAD">
            <w:pPr>
              <w:spacing w:after="0"/>
            </w:pPr>
            <w:r>
              <w:rPr>
                <w:color w:val="1A1A1A"/>
                <w:sz w:val="17"/>
                <w:szCs w:val="17"/>
              </w:rPr>
              <w:t>Comissão de Contratação / Fiscal Técnico</w:t>
            </w:r>
          </w:p>
        </w:tc>
      </w:tr>
      <w:tr w:rsidR="00B10001" w14:paraId="1A2F731E" w14:textId="77777777" w:rsidTr="009E2995">
        <w:trPr>
          <w:jc w:val="center"/>
        </w:trPr>
        <w:tc>
          <w:tcPr>
            <w:tcW w:w="531" w:type="dxa"/>
            <w:shd w:val="clear" w:color="auto" w:fill="FFFFFF"/>
            <w:tcMar>
              <w:top w:w="60" w:type="dxa"/>
              <w:left w:w="100" w:type="dxa"/>
              <w:bottom w:w="60" w:type="dxa"/>
              <w:right w:w="100" w:type="dxa"/>
            </w:tcMar>
            <w:vAlign w:val="center"/>
          </w:tcPr>
          <w:p w14:paraId="7EBD7B7C" w14:textId="77777777" w:rsidR="00B10001" w:rsidRDefault="006B7EAD">
            <w:pPr>
              <w:spacing w:after="0"/>
              <w:jc w:val="center"/>
            </w:pPr>
            <w:r>
              <w:rPr>
                <w:b/>
                <w:bCs/>
                <w:color w:val="1A1A1A"/>
                <w:szCs w:val="18"/>
              </w:rPr>
              <w:t>R17</w:t>
            </w:r>
          </w:p>
        </w:tc>
        <w:tc>
          <w:tcPr>
            <w:tcW w:w="1949" w:type="dxa"/>
            <w:shd w:val="clear" w:color="auto" w:fill="FFFFFF"/>
            <w:tcMar>
              <w:top w:w="60" w:type="dxa"/>
              <w:left w:w="100" w:type="dxa"/>
              <w:bottom w:w="60" w:type="dxa"/>
              <w:right w:w="100" w:type="dxa"/>
            </w:tcMar>
            <w:vAlign w:val="center"/>
          </w:tcPr>
          <w:p w14:paraId="4637400E" w14:textId="77777777" w:rsidR="00B10001" w:rsidRDefault="006B7EAD">
            <w:pPr>
              <w:spacing w:after="0"/>
            </w:pPr>
            <w:r>
              <w:rPr>
                <w:b/>
                <w:bCs/>
                <w:color w:val="1A1A1A"/>
                <w:szCs w:val="18"/>
              </w:rPr>
              <w:t>Falha no controle tecnológico dos serviços críticos</w:t>
            </w:r>
          </w:p>
        </w:tc>
        <w:tc>
          <w:tcPr>
            <w:tcW w:w="2760" w:type="dxa"/>
            <w:shd w:val="clear" w:color="auto" w:fill="FFFFFF"/>
            <w:tcMar>
              <w:top w:w="60" w:type="dxa"/>
              <w:left w:w="100" w:type="dxa"/>
              <w:bottom w:w="60" w:type="dxa"/>
              <w:right w:w="100" w:type="dxa"/>
            </w:tcMar>
            <w:vAlign w:val="center"/>
          </w:tcPr>
          <w:p w14:paraId="50A1243D" w14:textId="77777777" w:rsidR="00B10001" w:rsidRDefault="006B7EAD">
            <w:pPr>
              <w:spacing w:after="0"/>
            </w:pPr>
            <w:r>
              <w:rPr>
                <w:color w:val="1A1A1A"/>
                <w:szCs w:val="18"/>
              </w:rPr>
              <w:t xml:space="preserve">Ausência de ensaios para laje pré-moldada (resistência), revestimento cerâmico (planeza, durabilidade) e impermeabilização com manta asfáltica (teste de inundação </w:t>
            </w:r>
            <w:r>
              <w:rPr>
                <w:color w:val="1A1A1A"/>
                <w:szCs w:val="18"/>
              </w:rPr>
              <w:lastRenderedPageBreak/>
              <w:t>72h); aprovação de serviços sem laudos emitidos por laboratório habilitado.</w:t>
            </w:r>
          </w:p>
        </w:tc>
        <w:tc>
          <w:tcPr>
            <w:tcW w:w="543" w:type="dxa"/>
            <w:shd w:val="clear" w:color="auto" w:fill="FFF2CC"/>
            <w:tcMar>
              <w:top w:w="60" w:type="dxa"/>
              <w:left w:w="100" w:type="dxa"/>
              <w:bottom w:w="60" w:type="dxa"/>
              <w:right w:w="100" w:type="dxa"/>
            </w:tcMar>
            <w:vAlign w:val="center"/>
          </w:tcPr>
          <w:p w14:paraId="50F8191E" w14:textId="77777777" w:rsidR="00B10001" w:rsidRDefault="006B7EAD">
            <w:pPr>
              <w:spacing w:after="0"/>
              <w:jc w:val="center"/>
            </w:pPr>
            <w:r>
              <w:rPr>
                <w:b/>
                <w:bCs/>
                <w:color w:val="1A1A1A"/>
                <w:szCs w:val="18"/>
              </w:rPr>
              <w:lastRenderedPageBreak/>
              <w:t>Média</w:t>
            </w:r>
          </w:p>
        </w:tc>
        <w:tc>
          <w:tcPr>
            <w:tcW w:w="891" w:type="dxa"/>
            <w:shd w:val="clear" w:color="auto" w:fill="FAEEDA"/>
            <w:tcMar>
              <w:top w:w="60" w:type="dxa"/>
              <w:left w:w="100" w:type="dxa"/>
              <w:bottom w:w="60" w:type="dxa"/>
              <w:right w:w="100" w:type="dxa"/>
            </w:tcMar>
            <w:vAlign w:val="center"/>
          </w:tcPr>
          <w:p w14:paraId="58E86F62" w14:textId="77777777" w:rsidR="00B10001" w:rsidRDefault="006B7EAD">
            <w:pPr>
              <w:spacing w:after="0"/>
              <w:jc w:val="center"/>
            </w:pPr>
            <w:r>
              <w:rPr>
                <w:b/>
                <w:bCs/>
                <w:color w:val="1A1A1A"/>
                <w:szCs w:val="18"/>
              </w:rPr>
              <w:t>Alto</w:t>
            </w:r>
          </w:p>
        </w:tc>
        <w:tc>
          <w:tcPr>
            <w:tcW w:w="940" w:type="dxa"/>
            <w:shd w:val="clear" w:color="auto" w:fill="FAEEDA"/>
            <w:tcMar>
              <w:top w:w="60" w:type="dxa"/>
              <w:left w:w="100" w:type="dxa"/>
              <w:bottom w:w="60" w:type="dxa"/>
              <w:right w:w="100" w:type="dxa"/>
            </w:tcMar>
            <w:vAlign w:val="center"/>
          </w:tcPr>
          <w:p w14:paraId="6805FA7C" w14:textId="77777777" w:rsidR="00B10001" w:rsidRDefault="006B7EAD">
            <w:pPr>
              <w:spacing w:after="0"/>
              <w:jc w:val="center"/>
            </w:pPr>
            <w:r>
              <w:rPr>
                <w:b/>
                <w:bCs/>
                <w:color w:val="1A1A1A"/>
                <w:szCs w:val="18"/>
              </w:rPr>
              <w:t>ALTO</w:t>
            </w:r>
          </w:p>
        </w:tc>
        <w:tc>
          <w:tcPr>
            <w:tcW w:w="4438" w:type="dxa"/>
            <w:shd w:val="clear" w:color="auto" w:fill="FFFFFF"/>
            <w:tcMar>
              <w:top w:w="60" w:type="dxa"/>
              <w:left w:w="100" w:type="dxa"/>
              <w:bottom w:w="60" w:type="dxa"/>
              <w:right w:w="100" w:type="dxa"/>
            </w:tcMar>
            <w:vAlign w:val="center"/>
          </w:tcPr>
          <w:p w14:paraId="486758DD" w14:textId="77777777" w:rsidR="00B10001" w:rsidRDefault="006B7EAD">
            <w:pPr>
              <w:spacing w:after="0"/>
            </w:pPr>
            <w:r>
              <w:rPr>
                <w:color w:val="1A1A1A"/>
                <w:sz w:val="17"/>
                <w:szCs w:val="17"/>
              </w:rPr>
              <w:t>Exigir indicação de laboratório de controle tecnológico habilitado antes do início dos serviços críticos. Ensaios mínimos definidos na seção 22.7 do Projeto Básico. Vedado atestar medição de serviço com laudo pendente. — Contingência: exigir refazimento do serviço à conta da Contratada; descontar da medição o período de não conformidade.</w:t>
            </w:r>
          </w:p>
        </w:tc>
        <w:tc>
          <w:tcPr>
            <w:tcW w:w="3216" w:type="dxa"/>
            <w:shd w:val="clear" w:color="auto" w:fill="FFFFFF"/>
            <w:tcMar>
              <w:top w:w="60" w:type="dxa"/>
              <w:left w:w="100" w:type="dxa"/>
              <w:bottom w:w="60" w:type="dxa"/>
              <w:right w:w="100" w:type="dxa"/>
            </w:tcMar>
            <w:vAlign w:val="center"/>
          </w:tcPr>
          <w:p w14:paraId="3FC8ECC1" w14:textId="77777777" w:rsidR="00B10001" w:rsidRDefault="006B7EAD">
            <w:pPr>
              <w:spacing w:after="0"/>
            </w:pPr>
            <w:r>
              <w:rPr>
                <w:color w:val="1A1A1A"/>
                <w:sz w:val="17"/>
                <w:szCs w:val="17"/>
              </w:rPr>
              <w:t>Fiscal Técnico / Resp. Técnico da Contratada</w:t>
            </w:r>
          </w:p>
        </w:tc>
      </w:tr>
      <w:tr w:rsidR="00B10001" w14:paraId="57965A0E" w14:textId="77777777" w:rsidTr="009E2995">
        <w:trPr>
          <w:jc w:val="center"/>
        </w:trPr>
        <w:tc>
          <w:tcPr>
            <w:tcW w:w="531" w:type="dxa"/>
            <w:shd w:val="clear" w:color="auto" w:fill="FFFFFF"/>
            <w:tcMar>
              <w:top w:w="60" w:type="dxa"/>
              <w:left w:w="100" w:type="dxa"/>
              <w:bottom w:w="60" w:type="dxa"/>
              <w:right w:w="100" w:type="dxa"/>
            </w:tcMar>
            <w:vAlign w:val="center"/>
          </w:tcPr>
          <w:p w14:paraId="296018EC" w14:textId="77777777" w:rsidR="00B10001" w:rsidRDefault="006B7EAD">
            <w:pPr>
              <w:spacing w:after="0"/>
              <w:jc w:val="center"/>
            </w:pPr>
            <w:r>
              <w:rPr>
                <w:b/>
                <w:bCs/>
                <w:color w:val="1A1A1A"/>
                <w:szCs w:val="18"/>
              </w:rPr>
              <w:t>R18</w:t>
            </w:r>
          </w:p>
        </w:tc>
        <w:tc>
          <w:tcPr>
            <w:tcW w:w="1949" w:type="dxa"/>
            <w:shd w:val="clear" w:color="auto" w:fill="FFFFFF"/>
            <w:tcMar>
              <w:top w:w="60" w:type="dxa"/>
              <w:left w:w="100" w:type="dxa"/>
              <w:bottom w:w="60" w:type="dxa"/>
              <w:right w:w="100" w:type="dxa"/>
            </w:tcMar>
            <w:vAlign w:val="center"/>
          </w:tcPr>
          <w:p w14:paraId="66A8D319" w14:textId="77777777" w:rsidR="00B10001" w:rsidRDefault="006B7EAD">
            <w:pPr>
              <w:spacing w:after="0"/>
            </w:pPr>
            <w:r>
              <w:rPr>
                <w:b/>
                <w:bCs/>
                <w:color w:val="1A1A1A"/>
                <w:szCs w:val="18"/>
              </w:rPr>
              <w:t>Desequilíbrio econômico-financeiro do contrato</w:t>
            </w:r>
          </w:p>
        </w:tc>
        <w:tc>
          <w:tcPr>
            <w:tcW w:w="2760" w:type="dxa"/>
            <w:shd w:val="clear" w:color="auto" w:fill="FFFFFF"/>
            <w:tcMar>
              <w:top w:w="60" w:type="dxa"/>
              <w:left w:w="100" w:type="dxa"/>
              <w:bottom w:w="60" w:type="dxa"/>
              <w:right w:w="100" w:type="dxa"/>
            </w:tcMar>
            <w:vAlign w:val="center"/>
          </w:tcPr>
          <w:p w14:paraId="75B75D37" w14:textId="77777777" w:rsidR="00B10001" w:rsidRDefault="006B7EAD">
            <w:pPr>
              <w:spacing w:after="0"/>
            </w:pPr>
            <w:r>
              <w:rPr>
                <w:color w:val="1A1A1A"/>
                <w:szCs w:val="18"/>
              </w:rPr>
              <w:t>Variação significativa de preços de insumos (aço, cimento, manta asfáltica, revestimento cerâmico, telha de fibrocimento) durante os 240 dias corridos além do risco ordinário embutido no BDI.</w:t>
            </w:r>
          </w:p>
        </w:tc>
        <w:tc>
          <w:tcPr>
            <w:tcW w:w="543" w:type="dxa"/>
            <w:shd w:val="clear" w:color="auto" w:fill="E2EFDA"/>
            <w:tcMar>
              <w:top w:w="60" w:type="dxa"/>
              <w:left w:w="100" w:type="dxa"/>
              <w:bottom w:w="60" w:type="dxa"/>
              <w:right w:w="100" w:type="dxa"/>
            </w:tcMar>
            <w:vAlign w:val="center"/>
          </w:tcPr>
          <w:p w14:paraId="167FFFD8" w14:textId="77777777" w:rsidR="00B10001" w:rsidRDefault="006B7EAD">
            <w:pPr>
              <w:spacing w:after="0"/>
              <w:jc w:val="center"/>
            </w:pPr>
            <w:r>
              <w:rPr>
                <w:b/>
                <w:bCs/>
                <w:color w:val="1A1A1A"/>
                <w:szCs w:val="18"/>
              </w:rPr>
              <w:t>Baixa</w:t>
            </w:r>
          </w:p>
        </w:tc>
        <w:tc>
          <w:tcPr>
            <w:tcW w:w="891" w:type="dxa"/>
            <w:shd w:val="clear" w:color="auto" w:fill="FFF2CC"/>
            <w:tcMar>
              <w:top w:w="60" w:type="dxa"/>
              <w:left w:w="100" w:type="dxa"/>
              <w:bottom w:w="60" w:type="dxa"/>
              <w:right w:w="100" w:type="dxa"/>
            </w:tcMar>
            <w:vAlign w:val="center"/>
          </w:tcPr>
          <w:p w14:paraId="4786B47F" w14:textId="77777777" w:rsidR="00B10001" w:rsidRDefault="006B7EAD">
            <w:pPr>
              <w:spacing w:after="0"/>
              <w:jc w:val="center"/>
            </w:pPr>
            <w:r>
              <w:rPr>
                <w:b/>
                <w:bCs/>
                <w:color w:val="1A1A1A"/>
                <w:szCs w:val="18"/>
              </w:rPr>
              <w:t>Médio</w:t>
            </w:r>
          </w:p>
        </w:tc>
        <w:tc>
          <w:tcPr>
            <w:tcW w:w="940" w:type="dxa"/>
            <w:shd w:val="clear" w:color="auto" w:fill="E2EFDA"/>
            <w:tcMar>
              <w:top w:w="60" w:type="dxa"/>
              <w:left w:w="100" w:type="dxa"/>
              <w:bottom w:w="60" w:type="dxa"/>
              <w:right w:w="100" w:type="dxa"/>
            </w:tcMar>
            <w:vAlign w:val="center"/>
          </w:tcPr>
          <w:p w14:paraId="15C73A5D" w14:textId="77777777" w:rsidR="00B10001" w:rsidRDefault="006B7EAD">
            <w:pPr>
              <w:spacing w:after="0"/>
              <w:jc w:val="center"/>
            </w:pPr>
            <w:r>
              <w:rPr>
                <w:b/>
                <w:bCs/>
                <w:color w:val="1A1A1A"/>
                <w:szCs w:val="18"/>
              </w:rPr>
              <w:t>BAIXO</w:t>
            </w:r>
          </w:p>
        </w:tc>
        <w:tc>
          <w:tcPr>
            <w:tcW w:w="4438" w:type="dxa"/>
            <w:shd w:val="clear" w:color="auto" w:fill="FFFFFF"/>
            <w:tcMar>
              <w:top w:w="60" w:type="dxa"/>
              <w:left w:w="100" w:type="dxa"/>
              <w:bottom w:w="60" w:type="dxa"/>
              <w:right w:w="100" w:type="dxa"/>
            </w:tcMar>
            <w:vAlign w:val="center"/>
          </w:tcPr>
          <w:p w14:paraId="1716CD8A" w14:textId="77777777" w:rsidR="00B10001" w:rsidRDefault="006B7EAD">
            <w:pPr>
              <w:spacing w:after="0"/>
            </w:pPr>
            <w:r>
              <w:rPr>
                <w:color w:val="1A1A1A"/>
                <w:sz w:val="17"/>
                <w:szCs w:val="17"/>
              </w:rPr>
              <w:t>Acompanhar índices setoriais mensalmente (SINAPI, INCC, INPC). Processar reequilíbrio econômico-financeiro somente nas hipóteses estritas do art. 124 da Lei 14.133/2021, com demonstração documentada da álea extraordinária e imprevisível. — Contingência: análise técnica e jurídica criteriosa do pleito da Contratada antes de qualquer ajuste.</w:t>
            </w:r>
          </w:p>
        </w:tc>
        <w:tc>
          <w:tcPr>
            <w:tcW w:w="3216" w:type="dxa"/>
            <w:shd w:val="clear" w:color="auto" w:fill="FFFFFF"/>
            <w:tcMar>
              <w:top w:w="60" w:type="dxa"/>
              <w:left w:w="100" w:type="dxa"/>
              <w:bottom w:w="60" w:type="dxa"/>
              <w:right w:w="100" w:type="dxa"/>
            </w:tcMar>
            <w:vAlign w:val="center"/>
          </w:tcPr>
          <w:p w14:paraId="60D7F31C" w14:textId="77777777" w:rsidR="00B10001" w:rsidRDefault="006B7EAD">
            <w:pPr>
              <w:spacing w:after="0"/>
            </w:pPr>
            <w:r>
              <w:rPr>
                <w:color w:val="1A1A1A"/>
                <w:sz w:val="17"/>
                <w:szCs w:val="17"/>
              </w:rPr>
              <w:t>Gestor do Contrato / Assessoria Jurídica</w:t>
            </w:r>
          </w:p>
        </w:tc>
      </w:tr>
      <w:tr w:rsidR="00B10001" w14:paraId="5CE4B9E7" w14:textId="77777777" w:rsidTr="009E2995">
        <w:trPr>
          <w:jc w:val="center"/>
        </w:trPr>
        <w:tc>
          <w:tcPr>
            <w:tcW w:w="531" w:type="dxa"/>
            <w:shd w:val="clear" w:color="auto" w:fill="FFFFFF"/>
            <w:tcMar>
              <w:top w:w="60" w:type="dxa"/>
              <w:left w:w="100" w:type="dxa"/>
              <w:bottom w:w="60" w:type="dxa"/>
              <w:right w:w="100" w:type="dxa"/>
            </w:tcMar>
            <w:vAlign w:val="center"/>
          </w:tcPr>
          <w:p w14:paraId="3E099F9B" w14:textId="77777777" w:rsidR="00B10001" w:rsidRDefault="006B7EAD">
            <w:pPr>
              <w:spacing w:after="0"/>
              <w:jc w:val="center"/>
            </w:pPr>
            <w:r>
              <w:rPr>
                <w:b/>
                <w:bCs/>
                <w:color w:val="1A1A1A"/>
                <w:szCs w:val="18"/>
              </w:rPr>
              <w:t>R19</w:t>
            </w:r>
          </w:p>
        </w:tc>
        <w:tc>
          <w:tcPr>
            <w:tcW w:w="1949" w:type="dxa"/>
            <w:shd w:val="clear" w:color="auto" w:fill="FFFFFF"/>
            <w:tcMar>
              <w:top w:w="60" w:type="dxa"/>
              <w:left w:w="100" w:type="dxa"/>
              <w:bottom w:w="60" w:type="dxa"/>
              <w:right w:w="100" w:type="dxa"/>
            </w:tcMar>
            <w:vAlign w:val="center"/>
          </w:tcPr>
          <w:p w14:paraId="123CD2F4" w14:textId="77777777" w:rsidR="00B10001" w:rsidRDefault="006B7EAD">
            <w:pPr>
              <w:spacing w:after="0"/>
            </w:pPr>
            <w:r>
              <w:rPr>
                <w:b/>
                <w:bCs/>
                <w:color w:val="1A1A1A"/>
                <w:szCs w:val="18"/>
              </w:rPr>
              <w:t>Dano ao patrimônio, à vizinhança ou ao meio ambiente</w:t>
            </w:r>
          </w:p>
        </w:tc>
        <w:tc>
          <w:tcPr>
            <w:tcW w:w="2760" w:type="dxa"/>
            <w:shd w:val="clear" w:color="auto" w:fill="FFFFFF"/>
            <w:tcMar>
              <w:top w:w="60" w:type="dxa"/>
              <w:left w:w="100" w:type="dxa"/>
              <w:bottom w:w="60" w:type="dxa"/>
              <w:right w:w="100" w:type="dxa"/>
            </w:tcMar>
            <w:vAlign w:val="center"/>
          </w:tcPr>
          <w:p w14:paraId="4275A5B8" w14:textId="77777777" w:rsidR="00B10001" w:rsidRDefault="006B7EAD">
            <w:pPr>
              <w:spacing w:after="0"/>
            </w:pPr>
            <w:r>
              <w:rPr>
                <w:color w:val="1A1A1A"/>
                <w:szCs w:val="18"/>
              </w:rPr>
              <w:t>Descarte irregular de resíduos de demolição em local inadequado; dano ao solo ou vegetação em zona costeira; geração de poeira, ruído e vibração sem controle adequado em área residencial.</w:t>
            </w:r>
          </w:p>
        </w:tc>
        <w:tc>
          <w:tcPr>
            <w:tcW w:w="543" w:type="dxa"/>
            <w:shd w:val="clear" w:color="auto" w:fill="E2EFDA"/>
            <w:tcMar>
              <w:top w:w="60" w:type="dxa"/>
              <w:left w:w="100" w:type="dxa"/>
              <w:bottom w:w="60" w:type="dxa"/>
              <w:right w:w="100" w:type="dxa"/>
            </w:tcMar>
            <w:vAlign w:val="center"/>
          </w:tcPr>
          <w:p w14:paraId="36635DD5" w14:textId="77777777" w:rsidR="00B10001" w:rsidRDefault="006B7EAD">
            <w:pPr>
              <w:spacing w:after="0"/>
              <w:jc w:val="center"/>
            </w:pPr>
            <w:r>
              <w:rPr>
                <w:b/>
                <w:bCs/>
                <w:color w:val="1A1A1A"/>
                <w:szCs w:val="18"/>
              </w:rPr>
              <w:t>Baixa</w:t>
            </w:r>
          </w:p>
        </w:tc>
        <w:tc>
          <w:tcPr>
            <w:tcW w:w="891" w:type="dxa"/>
            <w:shd w:val="clear" w:color="auto" w:fill="FFF2CC"/>
            <w:tcMar>
              <w:top w:w="60" w:type="dxa"/>
              <w:left w:w="100" w:type="dxa"/>
              <w:bottom w:w="60" w:type="dxa"/>
              <w:right w:w="100" w:type="dxa"/>
            </w:tcMar>
            <w:vAlign w:val="center"/>
          </w:tcPr>
          <w:p w14:paraId="1D1393FD" w14:textId="77777777" w:rsidR="00B10001" w:rsidRDefault="006B7EAD">
            <w:pPr>
              <w:spacing w:after="0"/>
              <w:jc w:val="center"/>
            </w:pPr>
            <w:r>
              <w:rPr>
                <w:b/>
                <w:bCs/>
                <w:color w:val="1A1A1A"/>
                <w:szCs w:val="18"/>
              </w:rPr>
              <w:t>Médio</w:t>
            </w:r>
          </w:p>
        </w:tc>
        <w:tc>
          <w:tcPr>
            <w:tcW w:w="940" w:type="dxa"/>
            <w:shd w:val="clear" w:color="auto" w:fill="E2EFDA"/>
            <w:tcMar>
              <w:top w:w="60" w:type="dxa"/>
              <w:left w:w="100" w:type="dxa"/>
              <w:bottom w:w="60" w:type="dxa"/>
              <w:right w:w="100" w:type="dxa"/>
            </w:tcMar>
            <w:vAlign w:val="center"/>
          </w:tcPr>
          <w:p w14:paraId="13212210" w14:textId="77777777" w:rsidR="00B10001" w:rsidRDefault="006B7EAD">
            <w:pPr>
              <w:spacing w:after="0"/>
              <w:jc w:val="center"/>
            </w:pPr>
            <w:r>
              <w:rPr>
                <w:b/>
                <w:bCs/>
                <w:color w:val="1A1A1A"/>
                <w:szCs w:val="18"/>
              </w:rPr>
              <w:t>BAIXO</w:t>
            </w:r>
          </w:p>
        </w:tc>
        <w:tc>
          <w:tcPr>
            <w:tcW w:w="4438" w:type="dxa"/>
            <w:shd w:val="clear" w:color="auto" w:fill="FFFFFF"/>
            <w:tcMar>
              <w:top w:w="60" w:type="dxa"/>
              <w:left w:w="100" w:type="dxa"/>
              <w:bottom w:w="60" w:type="dxa"/>
              <w:right w:w="100" w:type="dxa"/>
            </w:tcMar>
            <w:vAlign w:val="center"/>
          </w:tcPr>
          <w:p w14:paraId="7924686C" w14:textId="77777777" w:rsidR="00B10001" w:rsidRDefault="006B7EAD">
            <w:pPr>
              <w:spacing w:after="0"/>
            </w:pPr>
            <w:r>
              <w:rPr>
                <w:color w:val="1A1A1A"/>
                <w:sz w:val="17"/>
                <w:szCs w:val="17"/>
              </w:rPr>
              <w:t>Exigir Plano de Gerenciamento de Resíduos da Construção Civil (PGRCC), conforme Resolução CONAMA 307/2002 e ABNT NBR 15112. Exigir ART de responsabilidade técnica pela gestão ambiental do canteiro. Sinalização e isolamento conforme NR-18. — Contingência: embargo da frente geradora de resíduo irregular; comunicação ao órgão ambiental municipal.</w:t>
            </w:r>
          </w:p>
        </w:tc>
        <w:tc>
          <w:tcPr>
            <w:tcW w:w="3216" w:type="dxa"/>
            <w:shd w:val="clear" w:color="auto" w:fill="FFFFFF"/>
            <w:tcMar>
              <w:top w:w="60" w:type="dxa"/>
              <w:left w:w="100" w:type="dxa"/>
              <w:bottom w:w="60" w:type="dxa"/>
              <w:right w:w="100" w:type="dxa"/>
            </w:tcMar>
            <w:vAlign w:val="center"/>
          </w:tcPr>
          <w:p w14:paraId="04C6E250" w14:textId="77777777" w:rsidR="00B10001" w:rsidRDefault="006B7EAD">
            <w:pPr>
              <w:spacing w:after="0"/>
            </w:pPr>
            <w:r>
              <w:rPr>
                <w:color w:val="1A1A1A"/>
                <w:sz w:val="17"/>
                <w:szCs w:val="17"/>
              </w:rPr>
              <w:t>Fiscal Técnico / Contratada</w:t>
            </w:r>
          </w:p>
        </w:tc>
      </w:tr>
      <w:tr w:rsidR="00B10001" w14:paraId="258AAFE3" w14:textId="77777777" w:rsidTr="009E2995">
        <w:trPr>
          <w:jc w:val="center"/>
        </w:trPr>
        <w:tc>
          <w:tcPr>
            <w:tcW w:w="531" w:type="dxa"/>
            <w:shd w:val="clear" w:color="auto" w:fill="FFFFFF"/>
            <w:tcMar>
              <w:top w:w="60" w:type="dxa"/>
              <w:left w:w="100" w:type="dxa"/>
              <w:bottom w:w="60" w:type="dxa"/>
              <w:right w:w="100" w:type="dxa"/>
            </w:tcMar>
            <w:vAlign w:val="center"/>
          </w:tcPr>
          <w:p w14:paraId="4DBCBE84" w14:textId="77777777" w:rsidR="00B10001" w:rsidRDefault="006B7EAD">
            <w:pPr>
              <w:spacing w:after="0"/>
              <w:jc w:val="center"/>
            </w:pPr>
            <w:r>
              <w:rPr>
                <w:b/>
                <w:bCs/>
                <w:color w:val="1A1A1A"/>
                <w:szCs w:val="18"/>
              </w:rPr>
              <w:t>R20</w:t>
            </w:r>
          </w:p>
        </w:tc>
        <w:tc>
          <w:tcPr>
            <w:tcW w:w="1949" w:type="dxa"/>
            <w:shd w:val="clear" w:color="auto" w:fill="FFFFFF"/>
            <w:tcMar>
              <w:top w:w="60" w:type="dxa"/>
              <w:left w:w="100" w:type="dxa"/>
              <w:bottom w:w="60" w:type="dxa"/>
              <w:right w:w="100" w:type="dxa"/>
            </w:tcMar>
            <w:vAlign w:val="center"/>
          </w:tcPr>
          <w:p w14:paraId="5CE5A17F" w14:textId="77777777" w:rsidR="00B10001" w:rsidRDefault="006B7EAD">
            <w:pPr>
              <w:spacing w:after="0"/>
            </w:pPr>
            <w:r>
              <w:rPr>
                <w:b/>
                <w:bCs/>
                <w:color w:val="1A1A1A"/>
                <w:szCs w:val="18"/>
              </w:rPr>
              <w:t>Inadimplência trabalhista e previdenciária da Contratada</w:t>
            </w:r>
          </w:p>
        </w:tc>
        <w:tc>
          <w:tcPr>
            <w:tcW w:w="2760" w:type="dxa"/>
            <w:shd w:val="clear" w:color="auto" w:fill="FFFFFF"/>
            <w:tcMar>
              <w:top w:w="60" w:type="dxa"/>
              <w:left w:w="100" w:type="dxa"/>
              <w:bottom w:w="60" w:type="dxa"/>
              <w:right w:w="100" w:type="dxa"/>
            </w:tcMar>
            <w:vAlign w:val="center"/>
          </w:tcPr>
          <w:p w14:paraId="70717347" w14:textId="77777777" w:rsidR="00B10001" w:rsidRDefault="006B7EAD">
            <w:pPr>
              <w:spacing w:after="0"/>
            </w:pPr>
            <w:r>
              <w:rPr>
                <w:color w:val="1A1A1A"/>
                <w:szCs w:val="18"/>
              </w:rPr>
              <w:t>Dificuldades financeiras da empresa; descumprimento das obrigações com FGTS (CNO), INSS ou pagamento de salários dos trabalhadores alocados na obra.</w:t>
            </w:r>
          </w:p>
        </w:tc>
        <w:tc>
          <w:tcPr>
            <w:tcW w:w="543" w:type="dxa"/>
            <w:shd w:val="clear" w:color="auto" w:fill="E2EFDA"/>
            <w:tcMar>
              <w:top w:w="60" w:type="dxa"/>
              <w:left w:w="100" w:type="dxa"/>
              <w:bottom w:w="60" w:type="dxa"/>
              <w:right w:w="100" w:type="dxa"/>
            </w:tcMar>
            <w:vAlign w:val="center"/>
          </w:tcPr>
          <w:p w14:paraId="4B606B72" w14:textId="77777777" w:rsidR="00B10001" w:rsidRDefault="006B7EAD">
            <w:pPr>
              <w:spacing w:after="0"/>
              <w:jc w:val="center"/>
            </w:pPr>
            <w:r>
              <w:rPr>
                <w:b/>
                <w:bCs/>
                <w:color w:val="1A1A1A"/>
                <w:szCs w:val="18"/>
              </w:rPr>
              <w:t>Baixa</w:t>
            </w:r>
          </w:p>
        </w:tc>
        <w:tc>
          <w:tcPr>
            <w:tcW w:w="891" w:type="dxa"/>
            <w:shd w:val="clear" w:color="auto" w:fill="FFF2CC"/>
            <w:tcMar>
              <w:top w:w="60" w:type="dxa"/>
              <w:left w:w="100" w:type="dxa"/>
              <w:bottom w:w="60" w:type="dxa"/>
              <w:right w:w="100" w:type="dxa"/>
            </w:tcMar>
            <w:vAlign w:val="center"/>
          </w:tcPr>
          <w:p w14:paraId="4D06C99B" w14:textId="77777777" w:rsidR="00B10001" w:rsidRDefault="006B7EAD">
            <w:pPr>
              <w:spacing w:after="0"/>
              <w:jc w:val="center"/>
            </w:pPr>
            <w:r>
              <w:rPr>
                <w:b/>
                <w:bCs/>
                <w:color w:val="1A1A1A"/>
                <w:szCs w:val="18"/>
              </w:rPr>
              <w:t>Médio</w:t>
            </w:r>
          </w:p>
        </w:tc>
        <w:tc>
          <w:tcPr>
            <w:tcW w:w="940" w:type="dxa"/>
            <w:shd w:val="clear" w:color="auto" w:fill="E2EFDA"/>
            <w:tcMar>
              <w:top w:w="60" w:type="dxa"/>
              <w:left w:w="100" w:type="dxa"/>
              <w:bottom w:w="60" w:type="dxa"/>
              <w:right w:w="100" w:type="dxa"/>
            </w:tcMar>
            <w:vAlign w:val="center"/>
          </w:tcPr>
          <w:p w14:paraId="18712D4E" w14:textId="77777777" w:rsidR="00B10001" w:rsidRDefault="006B7EAD">
            <w:pPr>
              <w:spacing w:after="0"/>
              <w:jc w:val="center"/>
            </w:pPr>
            <w:r>
              <w:rPr>
                <w:b/>
                <w:bCs/>
                <w:color w:val="1A1A1A"/>
                <w:szCs w:val="18"/>
              </w:rPr>
              <w:t>BAIXO</w:t>
            </w:r>
          </w:p>
        </w:tc>
        <w:tc>
          <w:tcPr>
            <w:tcW w:w="4438" w:type="dxa"/>
            <w:shd w:val="clear" w:color="auto" w:fill="FFFFFF"/>
            <w:tcMar>
              <w:top w:w="60" w:type="dxa"/>
              <w:left w:w="100" w:type="dxa"/>
              <w:bottom w:w="60" w:type="dxa"/>
              <w:right w:w="100" w:type="dxa"/>
            </w:tcMar>
            <w:vAlign w:val="center"/>
          </w:tcPr>
          <w:p w14:paraId="48E3D5B0" w14:textId="77777777" w:rsidR="00B10001" w:rsidRDefault="006B7EAD">
            <w:pPr>
              <w:spacing w:after="0"/>
            </w:pPr>
            <w:r>
              <w:rPr>
                <w:color w:val="1A1A1A"/>
                <w:sz w:val="17"/>
                <w:szCs w:val="17"/>
              </w:rPr>
              <w:t>Verificar mensalmente: folha de pagamento, guias de FGTS (CNO) e INSS. Matrícula da obra no CNO exigida para pagamento da primeira medição. — Contingência: em caso de inadimplência comprovada, reter o valor e efetuar o recolhimento diretamente ao órgão competente (art. 121, Lei 14.133/2021).</w:t>
            </w:r>
          </w:p>
        </w:tc>
        <w:tc>
          <w:tcPr>
            <w:tcW w:w="3216" w:type="dxa"/>
            <w:shd w:val="clear" w:color="auto" w:fill="FFFFFF"/>
            <w:tcMar>
              <w:top w:w="60" w:type="dxa"/>
              <w:left w:w="100" w:type="dxa"/>
              <w:bottom w:w="60" w:type="dxa"/>
              <w:right w:w="100" w:type="dxa"/>
            </w:tcMar>
            <w:vAlign w:val="center"/>
          </w:tcPr>
          <w:p w14:paraId="67899E4C" w14:textId="77777777" w:rsidR="00B10001" w:rsidRDefault="006B7EAD">
            <w:pPr>
              <w:spacing w:after="0"/>
            </w:pPr>
            <w:r>
              <w:rPr>
                <w:color w:val="1A1A1A"/>
                <w:sz w:val="17"/>
                <w:szCs w:val="17"/>
              </w:rPr>
              <w:t>Fiscal Técnico / Gestor do Contrato</w:t>
            </w:r>
          </w:p>
        </w:tc>
      </w:tr>
      <w:tr w:rsidR="00B10001" w14:paraId="4B9402BF" w14:textId="77777777" w:rsidTr="009E2995">
        <w:trPr>
          <w:jc w:val="center"/>
        </w:trPr>
        <w:tc>
          <w:tcPr>
            <w:tcW w:w="531" w:type="dxa"/>
            <w:shd w:val="clear" w:color="auto" w:fill="FFFFFF"/>
            <w:tcMar>
              <w:top w:w="60" w:type="dxa"/>
              <w:left w:w="100" w:type="dxa"/>
              <w:bottom w:w="60" w:type="dxa"/>
              <w:right w:w="100" w:type="dxa"/>
            </w:tcMar>
            <w:vAlign w:val="center"/>
          </w:tcPr>
          <w:p w14:paraId="548A6EFB" w14:textId="77777777" w:rsidR="00B10001" w:rsidRDefault="006075B4">
            <w:pPr>
              <w:spacing w:after="0"/>
              <w:jc w:val="center"/>
            </w:pPr>
            <w:r>
              <w:rPr>
                <w:rFonts w:eastAsia="Arial" w:cs="Arial"/>
                <w:b/>
                <w:bCs/>
                <w:szCs w:val="18"/>
              </w:rPr>
              <w:t>R21</w:t>
            </w:r>
          </w:p>
        </w:tc>
        <w:tc>
          <w:tcPr>
            <w:tcW w:w="1949" w:type="dxa"/>
            <w:shd w:val="clear" w:color="auto" w:fill="FFFFFF"/>
            <w:tcMar>
              <w:top w:w="60" w:type="dxa"/>
              <w:left w:w="100" w:type="dxa"/>
              <w:bottom w:w="60" w:type="dxa"/>
              <w:right w:w="100" w:type="dxa"/>
            </w:tcMar>
            <w:vAlign w:val="center"/>
          </w:tcPr>
          <w:p w14:paraId="5DD07304" w14:textId="77777777" w:rsidR="00B10001" w:rsidRDefault="006075B4">
            <w:pPr>
              <w:spacing w:after="0"/>
            </w:pPr>
            <w:r>
              <w:rPr>
                <w:rFonts w:eastAsia="Arial" w:cs="Arial"/>
                <w:sz w:val="17"/>
                <w:szCs w:val="17"/>
              </w:rPr>
              <w:t xml:space="preserve">Morosidade pós-homologação — lapso excessivo entre a homologação e a assinatura contratual, com nova defasagem orçamentária e risco </w:t>
            </w:r>
            <w:r>
              <w:rPr>
                <w:rFonts w:eastAsia="Arial" w:cs="Arial"/>
                <w:sz w:val="17"/>
                <w:szCs w:val="17"/>
              </w:rPr>
              <w:lastRenderedPageBreak/>
              <w:t>de inexequibilidade da proposta adjudicada</w:t>
            </w:r>
          </w:p>
        </w:tc>
        <w:tc>
          <w:tcPr>
            <w:tcW w:w="2760" w:type="dxa"/>
            <w:shd w:val="clear" w:color="auto" w:fill="FFFFFF"/>
            <w:tcMar>
              <w:top w:w="60" w:type="dxa"/>
              <w:left w:w="100" w:type="dxa"/>
              <w:bottom w:w="60" w:type="dxa"/>
              <w:right w:w="100" w:type="dxa"/>
            </w:tcMar>
            <w:vAlign w:val="center"/>
          </w:tcPr>
          <w:p w14:paraId="20D94682" w14:textId="77777777" w:rsidR="00B10001" w:rsidRDefault="006075B4">
            <w:pPr>
              <w:spacing w:after="0"/>
            </w:pPr>
            <w:r>
              <w:rPr>
                <w:rFonts w:eastAsia="Arial" w:cs="Arial"/>
                <w:sz w:val="17"/>
                <w:szCs w:val="17"/>
              </w:rPr>
              <w:lastRenderedPageBreak/>
              <w:t xml:space="preserve">Histórico documentado na Concorrência Eletrônica nº 050/2024 (PA 575/2024): lapso de 26+ meses entre o orçamento-base (março/2024) e a tentativa de contratação (junho/2026), sem assinatura contratual ou Ordem de Serviço. </w:t>
            </w:r>
            <w:r>
              <w:rPr>
                <w:rFonts w:eastAsia="Arial" w:cs="Arial"/>
                <w:sz w:val="17"/>
                <w:szCs w:val="17"/>
              </w:rPr>
              <w:lastRenderedPageBreak/>
              <w:t>Defasagem de 14,959% pelo INCC-DI/FGV resultou em proposta adjudicada (R$ 625.000,00) 39,29% abaixo do valor de mercado atualizado (R$ 1.029.445,95). Causa: ausência de protocolo formal de assinatura pós-homologação e inércia na transição político-administrativa.</w:t>
            </w:r>
          </w:p>
        </w:tc>
        <w:tc>
          <w:tcPr>
            <w:tcW w:w="543" w:type="dxa"/>
            <w:shd w:val="clear" w:color="auto" w:fill="FDDEDE"/>
            <w:tcMar>
              <w:top w:w="60" w:type="dxa"/>
              <w:left w:w="100" w:type="dxa"/>
              <w:bottom w:w="60" w:type="dxa"/>
              <w:right w:w="100" w:type="dxa"/>
            </w:tcMar>
            <w:vAlign w:val="center"/>
          </w:tcPr>
          <w:p w14:paraId="4A72ABD6" w14:textId="77777777" w:rsidR="00B10001" w:rsidRDefault="006075B4">
            <w:pPr>
              <w:spacing w:after="0"/>
              <w:jc w:val="center"/>
            </w:pPr>
            <w:r>
              <w:rPr>
                <w:rFonts w:eastAsia="Arial" w:cs="Arial"/>
                <w:b/>
                <w:bCs/>
                <w:sz w:val="17"/>
                <w:szCs w:val="17"/>
              </w:rPr>
              <w:lastRenderedPageBreak/>
              <w:t>Alta</w:t>
            </w:r>
          </w:p>
        </w:tc>
        <w:tc>
          <w:tcPr>
            <w:tcW w:w="891" w:type="dxa"/>
            <w:shd w:val="clear" w:color="auto" w:fill="FAEEDA"/>
            <w:tcMar>
              <w:top w:w="60" w:type="dxa"/>
              <w:left w:w="100" w:type="dxa"/>
              <w:bottom w:w="60" w:type="dxa"/>
              <w:right w:w="100" w:type="dxa"/>
            </w:tcMar>
            <w:vAlign w:val="center"/>
          </w:tcPr>
          <w:p w14:paraId="2C371CF1" w14:textId="77777777" w:rsidR="00B10001" w:rsidRDefault="006075B4">
            <w:pPr>
              <w:spacing w:after="0"/>
              <w:jc w:val="center"/>
            </w:pPr>
            <w:r>
              <w:rPr>
                <w:rFonts w:eastAsia="Arial" w:cs="Arial"/>
                <w:b/>
                <w:bCs/>
                <w:sz w:val="17"/>
                <w:szCs w:val="17"/>
              </w:rPr>
              <w:t>Alto</w:t>
            </w:r>
          </w:p>
        </w:tc>
        <w:tc>
          <w:tcPr>
            <w:tcW w:w="940" w:type="dxa"/>
            <w:shd w:val="clear" w:color="auto" w:fill="FDDEDE"/>
            <w:tcMar>
              <w:top w:w="60" w:type="dxa"/>
              <w:left w:w="100" w:type="dxa"/>
              <w:bottom w:w="60" w:type="dxa"/>
              <w:right w:w="100" w:type="dxa"/>
            </w:tcMar>
            <w:vAlign w:val="center"/>
          </w:tcPr>
          <w:p w14:paraId="595E081D" w14:textId="77777777" w:rsidR="00B10001" w:rsidRDefault="006075B4">
            <w:pPr>
              <w:spacing w:after="0"/>
              <w:jc w:val="center"/>
            </w:pPr>
            <w:r>
              <w:rPr>
                <w:rFonts w:eastAsia="Arial" w:cs="Arial"/>
                <w:b/>
                <w:bCs/>
                <w:sz w:val="17"/>
                <w:szCs w:val="17"/>
              </w:rPr>
              <w:t>CRÍTICO</w:t>
            </w:r>
          </w:p>
        </w:tc>
        <w:tc>
          <w:tcPr>
            <w:tcW w:w="4438" w:type="dxa"/>
            <w:shd w:val="clear" w:color="auto" w:fill="FFFFFF"/>
            <w:tcMar>
              <w:top w:w="60" w:type="dxa"/>
              <w:left w:w="100" w:type="dxa"/>
              <w:bottom w:w="60" w:type="dxa"/>
              <w:right w:w="100" w:type="dxa"/>
            </w:tcMar>
            <w:vAlign w:val="center"/>
          </w:tcPr>
          <w:p w14:paraId="076A3414" w14:textId="77777777" w:rsidR="00B10001" w:rsidRDefault="006075B4">
            <w:pPr>
              <w:spacing w:after="0"/>
            </w:pPr>
            <w:r>
              <w:rPr>
                <w:rFonts w:eastAsia="Arial" w:cs="Arial"/>
                <w:sz w:val="17"/>
                <w:szCs w:val="17"/>
              </w:rPr>
              <w:t xml:space="preserve">Definir prazo máximo de 30 (trinta) dias para assinatura contratual após a homologação, com monitoramento formal pelo Gestor do Contrato. Se o prazo for ultrapassado: atualizar o orçamento pelo INCC-DI antes da assinatura e revisar a exequibilidade da proposta adjudicada. Elaborar nota técnica comparativa (orçamento × proposta × mercado atual) como instrução obrigatória dos autos. — Contingência: </w:t>
            </w:r>
            <w:r>
              <w:rPr>
                <w:rFonts w:eastAsia="Arial" w:cs="Arial"/>
                <w:sz w:val="17"/>
                <w:szCs w:val="17"/>
              </w:rPr>
              <w:lastRenderedPageBreak/>
              <w:t>lapso superior a 6 meses sem assinatura → revisão completa do orçamento SINAPI e nova análise de exequibilidade; se a proposta não refletir condição exequível, iniciar novo processo licitatório.</w:t>
            </w:r>
          </w:p>
        </w:tc>
        <w:tc>
          <w:tcPr>
            <w:tcW w:w="3216" w:type="dxa"/>
            <w:shd w:val="clear" w:color="auto" w:fill="FFFFFF"/>
            <w:tcMar>
              <w:top w:w="60" w:type="dxa"/>
              <w:left w:w="100" w:type="dxa"/>
              <w:bottom w:w="60" w:type="dxa"/>
              <w:right w:w="100" w:type="dxa"/>
            </w:tcMar>
            <w:vAlign w:val="center"/>
          </w:tcPr>
          <w:p w14:paraId="105C9A31" w14:textId="77777777" w:rsidR="00B10001" w:rsidRDefault="006075B4">
            <w:pPr>
              <w:spacing w:after="0"/>
            </w:pPr>
            <w:r>
              <w:rPr>
                <w:rFonts w:eastAsia="Arial" w:cs="Arial"/>
                <w:sz w:val="17"/>
                <w:szCs w:val="17"/>
              </w:rPr>
              <w:lastRenderedPageBreak/>
              <w:t>Gestor do Contrato / Secretário de Educação</w:t>
            </w:r>
          </w:p>
        </w:tc>
      </w:tr>
      <w:tr w:rsidR="00BB0022" w14:paraId="53BD770C" w14:textId="77777777" w:rsidTr="009E2995">
        <w:trPr>
          <w:jc w:val="center"/>
        </w:trPr>
        <w:tc>
          <w:tcPr>
            <w:tcW w:w="531" w:type="dxa"/>
            <w:shd w:val="clear" w:color="auto" w:fill="FFFFFF"/>
            <w:tcMar>
              <w:top w:w="60" w:type="dxa"/>
              <w:left w:w="100" w:type="dxa"/>
              <w:bottom w:w="60" w:type="dxa"/>
              <w:right w:w="100" w:type="dxa"/>
            </w:tcMar>
            <w:vAlign w:val="center"/>
          </w:tcPr>
          <w:p w14:paraId="083A3507" w14:textId="77777777" w:rsidR="00BB0022" w:rsidRDefault="006B7EAD">
            <w:pPr>
              <w:spacing w:after="0"/>
              <w:jc w:val="center"/>
            </w:pPr>
            <w:r>
              <w:rPr>
                <w:b/>
                <w:bCs/>
                <w:color w:val="1A1A1A"/>
                <w:szCs w:val="18"/>
              </w:rPr>
              <w:t>R22</w:t>
            </w:r>
          </w:p>
        </w:tc>
        <w:tc>
          <w:tcPr>
            <w:tcW w:w="1949" w:type="dxa"/>
            <w:shd w:val="clear" w:color="auto" w:fill="FFFFFF"/>
            <w:tcMar>
              <w:top w:w="60" w:type="dxa"/>
              <w:left w:w="100" w:type="dxa"/>
              <w:bottom w:w="60" w:type="dxa"/>
              <w:right w:w="100" w:type="dxa"/>
            </w:tcMar>
            <w:vAlign w:val="center"/>
          </w:tcPr>
          <w:p w14:paraId="3C1106A4" w14:textId="77777777" w:rsidR="00BB0022" w:rsidRDefault="006B7EAD">
            <w:pPr>
              <w:spacing w:after="0"/>
            </w:pPr>
            <w:r>
              <w:rPr>
                <w:b/>
                <w:bCs/>
                <w:color w:val="1A1A1A"/>
                <w:szCs w:val="18"/>
              </w:rPr>
              <w:t>Dificuldades logísticas de acesso e abastecimento em Barra de Catuama</w:t>
            </w:r>
          </w:p>
        </w:tc>
        <w:tc>
          <w:tcPr>
            <w:tcW w:w="2760" w:type="dxa"/>
            <w:shd w:val="clear" w:color="auto" w:fill="FFFFFF"/>
            <w:tcMar>
              <w:top w:w="60" w:type="dxa"/>
              <w:left w:w="100" w:type="dxa"/>
              <w:bottom w:w="60" w:type="dxa"/>
              <w:right w:w="100" w:type="dxa"/>
            </w:tcMar>
            <w:vAlign w:val="center"/>
          </w:tcPr>
          <w:p w14:paraId="743884C9" w14:textId="77777777" w:rsidR="00BB0022" w:rsidRDefault="006B7EAD">
            <w:pPr>
              <w:spacing w:after="0"/>
            </w:pPr>
            <w:r>
              <w:rPr>
                <w:color w:val="1A1A1A"/>
                <w:szCs w:val="18"/>
              </w:rPr>
              <w:t>Localidade de difícil acesso ao centro urbano de Goiana, com oferta limitada de fornecedores locais; transporte de materiais especiais (manta asfáltica, telha de fibrocimento, estrutura metálica de cobertura) sujeito a condições de estrada e distância; ausência de canteiro fixo com espaço adequado de estocagem.</w:t>
            </w:r>
          </w:p>
        </w:tc>
        <w:tc>
          <w:tcPr>
            <w:tcW w:w="543" w:type="dxa"/>
            <w:shd w:val="clear" w:color="auto" w:fill="FDDEDE"/>
            <w:tcMar>
              <w:top w:w="60" w:type="dxa"/>
              <w:left w:w="100" w:type="dxa"/>
              <w:bottom w:w="60" w:type="dxa"/>
              <w:right w:w="100" w:type="dxa"/>
            </w:tcMar>
            <w:vAlign w:val="center"/>
          </w:tcPr>
          <w:p w14:paraId="374B109A" w14:textId="77777777" w:rsidR="00BB0022" w:rsidRDefault="006B7EAD">
            <w:pPr>
              <w:spacing w:after="0"/>
              <w:jc w:val="center"/>
            </w:pPr>
            <w:r>
              <w:rPr>
                <w:b/>
                <w:bCs/>
                <w:color w:val="1A1A1A"/>
                <w:szCs w:val="18"/>
              </w:rPr>
              <w:t>Alta</w:t>
            </w:r>
          </w:p>
        </w:tc>
        <w:tc>
          <w:tcPr>
            <w:tcW w:w="891" w:type="dxa"/>
            <w:shd w:val="clear" w:color="auto" w:fill="FFF2CC"/>
            <w:tcMar>
              <w:top w:w="60" w:type="dxa"/>
              <w:left w:w="100" w:type="dxa"/>
              <w:bottom w:w="60" w:type="dxa"/>
              <w:right w:w="100" w:type="dxa"/>
            </w:tcMar>
            <w:vAlign w:val="center"/>
          </w:tcPr>
          <w:p w14:paraId="55C8A7E7" w14:textId="77777777" w:rsidR="00BB0022" w:rsidRDefault="006B7EAD">
            <w:pPr>
              <w:spacing w:after="0"/>
              <w:jc w:val="center"/>
            </w:pPr>
            <w:r>
              <w:rPr>
                <w:b/>
                <w:bCs/>
                <w:color w:val="1A1A1A"/>
                <w:szCs w:val="18"/>
              </w:rPr>
              <w:t>Médio</w:t>
            </w:r>
          </w:p>
        </w:tc>
        <w:tc>
          <w:tcPr>
            <w:tcW w:w="940" w:type="dxa"/>
            <w:shd w:val="clear" w:color="auto" w:fill="FAEEDA"/>
            <w:tcMar>
              <w:top w:w="60" w:type="dxa"/>
              <w:left w:w="100" w:type="dxa"/>
              <w:bottom w:w="60" w:type="dxa"/>
              <w:right w:w="100" w:type="dxa"/>
            </w:tcMar>
            <w:vAlign w:val="center"/>
          </w:tcPr>
          <w:p w14:paraId="0DDE3F75" w14:textId="77777777" w:rsidR="00BB0022" w:rsidRDefault="006B7EAD">
            <w:pPr>
              <w:spacing w:after="0"/>
              <w:jc w:val="center"/>
            </w:pPr>
            <w:r>
              <w:rPr>
                <w:b/>
                <w:bCs/>
                <w:color w:val="1A1A1A"/>
                <w:szCs w:val="18"/>
              </w:rPr>
              <w:t>ALTO</w:t>
            </w:r>
          </w:p>
        </w:tc>
        <w:tc>
          <w:tcPr>
            <w:tcW w:w="4438" w:type="dxa"/>
            <w:shd w:val="clear" w:color="auto" w:fill="FFFFFF"/>
            <w:tcMar>
              <w:top w:w="60" w:type="dxa"/>
              <w:left w:w="100" w:type="dxa"/>
              <w:bottom w:w="60" w:type="dxa"/>
              <w:right w:w="100" w:type="dxa"/>
            </w:tcMar>
            <w:vAlign w:val="center"/>
          </w:tcPr>
          <w:p w14:paraId="22352C9E" w14:textId="77777777" w:rsidR="00BB0022" w:rsidRDefault="006B7EAD">
            <w:pPr>
              <w:spacing w:after="0"/>
            </w:pPr>
            <w:r>
              <w:rPr>
                <w:color w:val="1A1A1A"/>
                <w:sz w:val="17"/>
                <w:szCs w:val="17"/>
              </w:rPr>
              <w:t>Exigir Plano Logístico de Abastecimento na proposta, com identificação de fornecedores, meios de transporte e prazos de entrega dos insumos críticos. O cronograma físico-financeiro deve contemplar margem adicional para transporte e entrega em localidade costeira isolada. — Contingência: atrasos logísticos imputáveis exclusivamente à Contratada não justificam aditivo de prazo; apenas eventos extraordinários devidamente comprovados admitem análise nos termos do art. 124, II, da Lei nº 14.133/2021.</w:t>
            </w:r>
          </w:p>
        </w:tc>
        <w:tc>
          <w:tcPr>
            <w:tcW w:w="3216" w:type="dxa"/>
            <w:shd w:val="clear" w:color="auto" w:fill="FFFFFF"/>
            <w:tcMar>
              <w:top w:w="60" w:type="dxa"/>
              <w:left w:w="100" w:type="dxa"/>
              <w:bottom w:w="60" w:type="dxa"/>
              <w:right w:w="100" w:type="dxa"/>
            </w:tcMar>
            <w:vAlign w:val="center"/>
          </w:tcPr>
          <w:p w14:paraId="6CFD7D51" w14:textId="77777777" w:rsidR="00BB0022" w:rsidRDefault="006B7EAD">
            <w:pPr>
              <w:spacing w:after="0"/>
            </w:pPr>
            <w:r>
              <w:rPr>
                <w:color w:val="1A1A1A"/>
                <w:sz w:val="17"/>
                <w:szCs w:val="17"/>
              </w:rPr>
              <w:t>Resp. Técnico da Contratada / Fiscal Técnico</w:t>
            </w:r>
          </w:p>
        </w:tc>
      </w:tr>
      <w:tr w:rsidR="00BB0023" w14:paraId="3AED742B" w14:textId="77777777" w:rsidTr="009E2995">
        <w:trPr>
          <w:jc w:val="center"/>
        </w:trPr>
        <w:tc>
          <w:tcPr>
            <w:tcW w:w="531" w:type="dxa"/>
            <w:shd w:val="clear" w:color="auto" w:fill="FFFFFF"/>
            <w:tcMar>
              <w:top w:w="60" w:type="dxa"/>
              <w:left w:w="100" w:type="dxa"/>
              <w:bottom w:w="60" w:type="dxa"/>
              <w:right w:w="100" w:type="dxa"/>
            </w:tcMar>
            <w:vAlign w:val="center"/>
          </w:tcPr>
          <w:p w14:paraId="268CF37C" w14:textId="77777777" w:rsidR="00BB0023" w:rsidRDefault="006B7EAD">
            <w:pPr>
              <w:spacing w:after="0"/>
              <w:jc w:val="center"/>
            </w:pPr>
            <w:r>
              <w:rPr>
                <w:b/>
                <w:bCs/>
                <w:color w:val="1A1A1A"/>
                <w:szCs w:val="18"/>
              </w:rPr>
              <w:t>R23</w:t>
            </w:r>
          </w:p>
        </w:tc>
        <w:tc>
          <w:tcPr>
            <w:tcW w:w="1949" w:type="dxa"/>
            <w:shd w:val="clear" w:color="auto" w:fill="FFFFFF"/>
            <w:tcMar>
              <w:top w:w="60" w:type="dxa"/>
              <w:left w:w="100" w:type="dxa"/>
              <w:bottom w:w="60" w:type="dxa"/>
              <w:right w:w="100" w:type="dxa"/>
            </w:tcMar>
            <w:vAlign w:val="center"/>
          </w:tcPr>
          <w:p w14:paraId="086593A6" w14:textId="77777777" w:rsidR="00BB0023" w:rsidRDefault="006B7EAD">
            <w:pPr>
              <w:spacing w:after="0"/>
            </w:pPr>
            <w:r>
              <w:rPr>
                <w:b/>
                <w:bCs/>
                <w:color w:val="1A1A1A"/>
                <w:szCs w:val="18"/>
              </w:rPr>
              <w:t>Deterioração acelerada por agressividade do ambiente salino marinho (corrosão marinha)</w:t>
            </w:r>
          </w:p>
        </w:tc>
        <w:tc>
          <w:tcPr>
            <w:tcW w:w="2760" w:type="dxa"/>
            <w:shd w:val="clear" w:color="auto" w:fill="FFFFFF"/>
            <w:tcMar>
              <w:top w:w="60" w:type="dxa"/>
              <w:left w:w="100" w:type="dxa"/>
              <w:bottom w:w="60" w:type="dxa"/>
              <w:right w:w="100" w:type="dxa"/>
            </w:tcMar>
            <w:vAlign w:val="center"/>
          </w:tcPr>
          <w:p w14:paraId="3BDDF23D" w14:textId="77777777" w:rsidR="00BB0023" w:rsidRDefault="006B7EAD">
            <w:pPr>
              <w:spacing w:after="0"/>
            </w:pPr>
            <w:r>
              <w:rPr>
                <w:color w:val="1A1A1A"/>
                <w:szCs w:val="18"/>
              </w:rPr>
              <w:t xml:space="preserve">Localização na Praia de Barra de Catuama expõe a edificação a aerossol marinho com alto teor de cloretos — Classe III de agressividade ambiental conforme ABNT NBR 6118:2014. Risco de corrosão precoce em estrutura metálica de cobertura, instalações elétricas, esquadrias e ferragens, com redução significativa da vida útil se </w:t>
            </w:r>
            <w:r>
              <w:rPr>
                <w:color w:val="1A1A1A"/>
                <w:szCs w:val="18"/>
              </w:rPr>
              <w:lastRenderedPageBreak/>
              <w:t>especificados materiais incompatíveis com o ambiente.</w:t>
            </w:r>
          </w:p>
        </w:tc>
        <w:tc>
          <w:tcPr>
            <w:tcW w:w="543" w:type="dxa"/>
            <w:shd w:val="clear" w:color="auto" w:fill="FDDEDE"/>
            <w:tcMar>
              <w:top w:w="60" w:type="dxa"/>
              <w:left w:w="100" w:type="dxa"/>
              <w:bottom w:w="60" w:type="dxa"/>
              <w:right w:w="100" w:type="dxa"/>
            </w:tcMar>
            <w:vAlign w:val="center"/>
          </w:tcPr>
          <w:p w14:paraId="4CA2EB12" w14:textId="77777777" w:rsidR="00BB0023" w:rsidRDefault="006B7EAD">
            <w:pPr>
              <w:spacing w:after="0"/>
              <w:jc w:val="center"/>
            </w:pPr>
            <w:r>
              <w:rPr>
                <w:b/>
                <w:bCs/>
                <w:color w:val="1A1A1A"/>
                <w:szCs w:val="18"/>
              </w:rPr>
              <w:lastRenderedPageBreak/>
              <w:t>Alta</w:t>
            </w:r>
          </w:p>
        </w:tc>
        <w:tc>
          <w:tcPr>
            <w:tcW w:w="891" w:type="dxa"/>
            <w:shd w:val="clear" w:color="auto" w:fill="FAEEDA"/>
            <w:tcMar>
              <w:top w:w="60" w:type="dxa"/>
              <w:left w:w="100" w:type="dxa"/>
              <w:bottom w:w="60" w:type="dxa"/>
              <w:right w:w="100" w:type="dxa"/>
            </w:tcMar>
            <w:vAlign w:val="center"/>
          </w:tcPr>
          <w:p w14:paraId="2120F45F" w14:textId="77777777" w:rsidR="00BB0023" w:rsidRDefault="006B7EAD">
            <w:pPr>
              <w:spacing w:after="0"/>
              <w:jc w:val="center"/>
            </w:pPr>
            <w:r>
              <w:rPr>
                <w:b/>
                <w:bCs/>
                <w:color w:val="1A1A1A"/>
                <w:szCs w:val="18"/>
              </w:rPr>
              <w:t>Alto</w:t>
            </w:r>
          </w:p>
        </w:tc>
        <w:tc>
          <w:tcPr>
            <w:tcW w:w="940" w:type="dxa"/>
            <w:shd w:val="clear" w:color="auto" w:fill="FDDEDE"/>
            <w:tcMar>
              <w:top w:w="60" w:type="dxa"/>
              <w:left w:w="100" w:type="dxa"/>
              <w:bottom w:w="60" w:type="dxa"/>
              <w:right w:w="100" w:type="dxa"/>
            </w:tcMar>
            <w:vAlign w:val="center"/>
          </w:tcPr>
          <w:p w14:paraId="084BAA65" w14:textId="77777777" w:rsidR="00BB0023" w:rsidRDefault="006B7EAD">
            <w:pPr>
              <w:spacing w:after="0"/>
              <w:jc w:val="center"/>
            </w:pPr>
            <w:r>
              <w:rPr>
                <w:b/>
                <w:bCs/>
                <w:color w:val="1A1A1A"/>
                <w:szCs w:val="18"/>
              </w:rPr>
              <w:t>CRÍTICO</w:t>
            </w:r>
          </w:p>
        </w:tc>
        <w:tc>
          <w:tcPr>
            <w:tcW w:w="4438" w:type="dxa"/>
            <w:shd w:val="clear" w:color="auto" w:fill="FFFFFF"/>
            <w:tcMar>
              <w:top w:w="60" w:type="dxa"/>
              <w:left w:w="100" w:type="dxa"/>
              <w:bottom w:w="60" w:type="dxa"/>
              <w:right w:w="100" w:type="dxa"/>
            </w:tcMar>
            <w:vAlign w:val="center"/>
          </w:tcPr>
          <w:p w14:paraId="59D49BEA" w14:textId="77777777" w:rsidR="00BB0023" w:rsidRDefault="006B7EAD">
            <w:pPr>
              <w:spacing w:after="0"/>
            </w:pPr>
            <w:r>
              <w:rPr>
                <w:color w:val="1A1A1A"/>
                <w:sz w:val="17"/>
                <w:szCs w:val="17"/>
              </w:rPr>
              <w:t>Exigir especificação de materiais compatíveis com Classe III de agressividade (NBR 6118): estrutura metálica galvanizada a fogo ou em aço inoxidável; tintas anticorrosivas de alto desempenho para ambientes marinhos; esquadrias em alumínio anodizado ou PVC; impermeabilização com reforço mínimo de 20% nas fachadas expostas. A Fiscalização deverá verificar conformidade dos materiais com o Projeto Executivo antes da aprovação de cada etapa. — Contingência: substituição de materiais inadequados às expensas exclusivas da Contratada, sem direito a prazo adicional.</w:t>
            </w:r>
          </w:p>
        </w:tc>
        <w:tc>
          <w:tcPr>
            <w:tcW w:w="3216" w:type="dxa"/>
            <w:shd w:val="clear" w:color="auto" w:fill="FFFFFF"/>
            <w:tcMar>
              <w:top w:w="60" w:type="dxa"/>
              <w:left w:w="100" w:type="dxa"/>
              <w:bottom w:w="60" w:type="dxa"/>
              <w:right w:w="100" w:type="dxa"/>
            </w:tcMar>
            <w:vAlign w:val="center"/>
          </w:tcPr>
          <w:p w14:paraId="4C6E34D4" w14:textId="77777777" w:rsidR="00BB0023" w:rsidRDefault="006B7EAD">
            <w:pPr>
              <w:spacing w:after="0"/>
            </w:pPr>
            <w:r>
              <w:rPr>
                <w:color w:val="1A1A1A"/>
                <w:sz w:val="17"/>
                <w:szCs w:val="17"/>
              </w:rPr>
              <w:t>Fiscal Técnico / Resp. Técnico da Contratada</w:t>
            </w:r>
          </w:p>
        </w:tc>
      </w:tr>
      <w:tr w:rsidR="00BB0024" w14:paraId="7A701E52" w14:textId="77777777" w:rsidTr="009E2995">
        <w:trPr>
          <w:jc w:val="center"/>
        </w:trPr>
        <w:tc>
          <w:tcPr>
            <w:tcW w:w="531" w:type="dxa"/>
            <w:shd w:val="clear" w:color="auto" w:fill="FFFFFF"/>
            <w:tcMar>
              <w:top w:w="60" w:type="dxa"/>
              <w:left w:w="100" w:type="dxa"/>
              <w:bottom w:w="60" w:type="dxa"/>
              <w:right w:w="100" w:type="dxa"/>
            </w:tcMar>
            <w:vAlign w:val="center"/>
          </w:tcPr>
          <w:p w14:paraId="428E7694" w14:textId="77777777" w:rsidR="00BB0024" w:rsidRDefault="006B7EAD">
            <w:pPr>
              <w:spacing w:after="0"/>
              <w:jc w:val="center"/>
            </w:pPr>
            <w:r>
              <w:rPr>
                <w:b/>
                <w:bCs/>
                <w:color w:val="1A1A1A"/>
                <w:szCs w:val="18"/>
              </w:rPr>
              <w:t>R24</w:t>
            </w:r>
          </w:p>
        </w:tc>
        <w:tc>
          <w:tcPr>
            <w:tcW w:w="1949" w:type="dxa"/>
            <w:shd w:val="clear" w:color="auto" w:fill="FFFFFF"/>
            <w:tcMar>
              <w:top w:w="60" w:type="dxa"/>
              <w:left w:w="100" w:type="dxa"/>
              <w:bottom w:w="60" w:type="dxa"/>
              <w:right w:w="100" w:type="dxa"/>
            </w:tcMar>
            <w:vAlign w:val="center"/>
          </w:tcPr>
          <w:p w14:paraId="6E67E740" w14:textId="77777777" w:rsidR="00BB0024" w:rsidRDefault="006B7EAD">
            <w:pPr>
              <w:spacing w:after="0"/>
            </w:pPr>
            <w:r>
              <w:rPr>
                <w:b/>
                <w:bCs/>
                <w:color w:val="1A1A1A"/>
                <w:szCs w:val="18"/>
              </w:rPr>
              <w:t>Interferência da obra com redes de concessionárias (energia elétrica, água e esgoto)</w:t>
            </w:r>
          </w:p>
        </w:tc>
        <w:tc>
          <w:tcPr>
            <w:tcW w:w="2760" w:type="dxa"/>
            <w:shd w:val="clear" w:color="auto" w:fill="FFFFFF"/>
            <w:tcMar>
              <w:top w:w="60" w:type="dxa"/>
              <w:left w:w="100" w:type="dxa"/>
              <w:bottom w:w="60" w:type="dxa"/>
              <w:right w:w="100" w:type="dxa"/>
            </w:tcMar>
            <w:vAlign w:val="center"/>
          </w:tcPr>
          <w:p w14:paraId="231F7A23" w14:textId="77777777" w:rsidR="00BB0024" w:rsidRDefault="006B7EAD">
            <w:pPr>
              <w:spacing w:after="0"/>
            </w:pPr>
            <w:r>
              <w:rPr>
                <w:color w:val="1A1A1A"/>
                <w:szCs w:val="18"/>
              </w:rPr>
              <w:t>Ausência de cadastro preciso das redes enterradas e aéreas das concessionárias locais (Celpe/Enel e Compesa) na área da edificação; serviços de demolição, escavação ou instalação de infraestrutura predial podem atingir redes ocultas não identificadas, causando interrupção de serviços, dano às redes e eventual responsabilidade civil da contratante.</w:t>
            </w:r>
          </w:p>
        </w:tc>
        <w:tc>
          <w:tcPr>
            <w:tcW w:w="543" w:type="dxa"/>
            <w:shd w:val="clear" w:color="auto" w:fill="FFF2CC"/>
            <w:tcMar>
              <w:top w:w="60" w:type="dxa"/>
              <w:left w:w="100" w:type="dxa"/>
              <w:bottom w:w="60" w:type="dxa"/>
              <w:right w:w="100" w:type="dxa"/>
            </w:tcMar>
            <w:vAlign w:val="center"/>
          </w:tcPr>
          <w:p w14:paraId="099D5C2C" w14:textId="77777777" w:rsidR="00BB0024" w:rsidRDefault="006B7EAD">
            <w:pPr>
              <w:spacing w:after="0"/>
              <w:jc w:val="center"/>
            </w:pPr>
            <w:r>
              <w:rPr>
                <w:b/>
                <w:bCs/>
                <w:color w:val="1A1A1A"/>
                <w:szCs w:val="18"/>
              </w:rPr>
              <w:t>Média</w:t>
            </w:r>
          </w:p>
        </w:tc>
        <w:tc>
          <w:tcPr>
            <w:tcW w:w="891" w:type="dxa"/>
            <w:shd w:val="clear" w:color="auto" w:fill="FFF2CC"/>
            <w:tcMar>
              <w:top w:w="60" w:type="dxa"/>
              <w:left w:w="100" w:type="dxa"/>
              <w:bottom w:w="60" w:type="dxa"/>
              <w:right w:w="100" w:type="dxa"/>
            </w:tcMar>
            <w:vAlign w:val="center"/>
          </w:tcPr>
          <w:p w14:paraId="74E5B416" w14:textId="77777777" w:rsidR="00BB0024" w:rsidRDefault="006B7EAD">
            <w:pPr>
              <w:spacing w:after="0"/>
              <w:jc w:val="center"/>
            </w:pPr>
            <w:r>
              <w:rPr>
                <w:b/>
                <w:bCs/>
                <w:color w:val="1A1A1A"/>
                <w:szCs w:val="18"/>
              </w:rPr>
              <w:t>Médio</w:t>
            </w:r>
          </w:p>
        </w:tc>
        <w:tc>
          <w:tcPr>
            <w:tcW w:w="940" w:type="dxa"/>
            <w:shd w:val="clear" w:color="auto" w:fill="FFF2CC"/>
            <w:tcMar>
              <w:top w:w="60" w:type="dxa"/>
              <w:left w:w="100" w:type="dxa"/>
              <w:bottom w:w="60" w:type="dxa"/>
              <w:right w:w="100" w:type="dxa"/>
            </w:tcMar>
            <w:vAlign w:val="center"/>
          </w:tcPr>
          <w:p w14:paraId="2B3AA15C" w14:textId="77777777" w:rsidR="00BB0024" w:rsidRDefault="006B7EAD">
            <w:pPr>
              <w:spacing w:after="0"/>
              <w:jc w:val="center"/>
            </w:pPr>
            <w:r>
              <w:rPr>
                <w:b/>
                <w:bCs/>
                <w:color w:val="1A1A1A"/>
                <w:szCs w:val="18"/>
              </w:rPr>
              <w:t>MÉDIO</w:t>
            </w:r>
          </w:p>
        </w:tc>
        <w:tc>
          <w:tcPr>
            <w:tcW w:w="4438" w:type="dxa"/>
            <w:shd w:val="clear" w:color="auto" w:fill="FFFFFF"/>
            <w:tcMar>
              <w:top w:w="60" w:type="dxa"/>
              <w:left w:w="100" w:type="dxa"/>
              <w:bottom w:w="60" w:type="dxa"/>
              <w:right w:w="100" w:type="dxa"/>
            </w:tcMar>
            <w:vAlign w:val="center"/>
          </w:tcPr>
          <w:p w14:paraId="034D1985" w14:textId="77777777" w:rsidR="00BB0024" w:rsidRDefault="006B7EAD">
            <w:pPr>
              <w:spacing w:after="0"/>
            </w:pPr>
            <w:r>
              <w:rPr>
                <w:color w:val="1A1A1A"/>
                <w:sz w:val="17"/>
                <w:szCs w:val="17"/>
              </w:rPr>
              <w:t>Exigir levantamento prévio de redes junto às concessionárias (Celpe/Enel e Compesa) como condição para emissão da OS de demolições e escavações. Paralisar imediatamente qualquer frente de serviço que possa interferir em redes não identificadas. Redes existentes devem ser sinalizadas no Projeto Executivo antes das etapas de interferência. — Contingência: em caso de dano, registrar no Diário de Obra e acionar o seguro de responsabilidade civil da Contratada; comunicar à Fiscalização e à concessionária afetada no prazo de 24 horas.</w:t>
            </w:r>
          </w:p>
        </w:tc>
        <w:tc>
          <w:tcPr>
            <w:tcW w:w="3216" w:type="dxa"/>
            <w:shd w:val="clear" w:color="auto" w:fill="FFFFFF"/>
            <w:tcMar>
              <w:top w:w="60" w:type="dxa"/>
              <w:left w:w="100" w:type="dxa"/>
              <w:bottom w:w="60" w:type="dxa"/>
              <w:right w:w="100" w:type="dxa"/>
            </w:tcMar>
            <w:vAlign w:val="center"/>
          </w:tcPr>
          <w:p w14:paraId="3FD8C7A7" w14:textId="77777777" w:rsidR="00BB0024" w:rsidRDefault="006B7EAD">
            <w:pPr>
              <w:spacing w:after="0"/>
            </w:pPr>
            <w:r>
              <w:rPr>
                <w:color w:val="1A1A1A"/>
                <w:sz w:val="17"/>
                <w:szCs w:val="17"/>
              </w:rPr>
              <w:t>Fiscal Técnico / Contratada / Concessionárias</w:t>
            </w:r>
          </w:p>
        </w:tc>
      </w:tr>
    </w:tbl>
    <w:p w14:paraId="3A4819AA" w14:textId="77777777" w:rsidR="00B10001" w:rsidRDefault="0056769B">
      <w:pPr>
        <w:spacing w:after="0"/>
      </w:pPr>
    </w:p>
    <w:p w14:paraId="7B0D5B8E" w14:textId="77777777" w:rsidR="00CC37C8" w:rsidRDefault="00FA2179">
      <w:pPr>
        <w:shd w:val="clear" w:color="auto" w:fill="1F3864"/>
        <w:spacing w:before="80" w:after="40"/>
      </w:pPr>
      <w:r>
        <w:rPr>
          <w:b/>
          <w:color w:val="FFFFFF"/>
          <w:sz w:val="22"/>
        </w:rPr>
        <w:t xml:space="preserve">  FASE 3 — MATRIZ DE RISCOS CONTRATUAL (ART. 103, LEI Nº 14.133/2021)</w:t>
      </w:r>
    </w:p>
    <w:p w14:paraId="4A7E5DC2" w14:textId="77777777" w:rsidR="00CC37C8" w:rsidRDefault="00CC37C8"/>
    <w:tbl>
      <w:tblPr>
        <w:tblW w:w="15268"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firstRow="1" w:lastRow="0" w:firstColumn="1" w:lastColumn="0" w:noHBand="0" w:noVBand="1"/>
      </w:tblPr>
      <w:tblGrid>
        <w:gridCol w:w="682"/>
        <w:gridCol w:w="3244"/>
        <w:gridCol w:w="2280"/>
        <w:gridCol w:w="2294"/>
        <w:gridCol w:w="3234"/>
        <w:gridCol w:w="3534"/>
      </w:tblGrid>
      <w:tr w:rsidR="00CC37C8" w14:paraId="5D186CAB" w14:textId="77777777">
        <w:tc>
          <w:tcPr>
            <w:tcW w:w="5089" w:type="dxa"/>
            <w:gridSpan w:val="2"/>
            <w:shd w:val="clear" w:color="auto" w:fill="DAE8FC"/>
            <w:tcMar>
              <w:top w:w="60" w:type="dxa"/>
              <w:left w:w="100" w:type="dxa"/>
              <w:bottom w:w="60" w:type="dxa"/>
              <w:right w:w="100" w:type="dxa"/>
            </w:tcMar>
            <w:vAlign w:val="center"/>
          </w:tcPr>
          <w:p w14:paraId="6CDFA906" w14:textId="77777777" w:rsidR="00CC37C8" w:rsidRDefault="00FA2179">
            <w:pPr>
              <w:spacing w:after="0"/>
              <w:jc w:val="center"/>
              <w:rPr>
                <w:rFonts w:eastAsia="Arial" w:cs="Arial"/>
                <w:b/>
                <w:bCs/>
                <w:color w:val="1A1A1A"/>
                <w:sz w:val="16"/>
                <w:szCs w:val="16"/>
              </w:rPr>
            </w:pPr>
            <w:r>
              <w:rPr>
                <w:rFonts w:eastAsia="Arial" w:cs="Arial"/>
                <w:b/>
                <w:bCs/>
                <w:color w:val="1A1A1A"/>
                <w:sz w:val="16"/>
                <w:szCs w:val="16"/>
              </w:rPr>
              <w:t>CONTRATANTE — risco suportado pela Administração Pública</w:t>
            </w:r>
          </w:p>
        </w:tc>
        <w:tc>
          <w:tcPr>
            <w:tcW w:w="5089" w:type="dxa"/>
            <w:gridSpan w:val="2"/>
            <w:shd w:val="clear" w:color="auto" w:fill="FFF2CC"/>
            <w:tcMar>
              <w:top w:w="60" w:type="dxa"/>
              <w:left w:w="100" w:type="dxa"/>
              <w:bottom w:w="60" w:type="dxa"/>
              <w:right w:w="100" w:type="dxa"/>
            </w:tcMar>
            <w:vAlign w:val="center"/>
          </w:tcPr>
          <w:p w14:paraId="5B644B4E" w14:textId="77777777" w:rsidR="00CC37C8" w:rsidRDefault="00FA2179">
            <w:pPr>
              <w:spacing w:after="0"/>
              <w:jc w:val="center"/>
              <w:rPr>
                <w:rFonts w:eastAsia="Arial" w:cs="Arial"/>
                <w:b/>
                <w:bCs/>
                <w:color w:val="1A1A1A"/>
                <w:sz w:val="16"/>
                <w:szCs w:val="16"/>
              </w:rPr>
            </w:pPr>
            <w:r>
              <w:rPr>
                <w:rFonts w:eastAsia="Arial" w:cs="Arial"/>
                <w:b/>
                <w:bCs/>
                <w:color w:val="1A1A1A"/>
                <w:sz w:val="16"/>
                <w:szCs w:val="16"/>
              </w:rPr>
              <w:t>CONTRATADA — risco suportado pela empresa contratada</w:t>
            </w:r>
          </w:p>
        </w:tc>
        <w:tc>
          <w:tcPr>
            <w:tcW w:w="5089" w:type="dxa"/>
            <w:gridSpan w:val="2"/>
            <w:shd w:val="clear" w:color="auto" w:fill="E2EFDA"/>
            <w:tcMar>
              <w:top w:w="60" w:type="dxa"/>
              <w:left w:w="100" w:type="dxa"/>
              <w:bottom w:w="60" w:type="dxa"/>
              <w:right w:w="100" w:type="dxa"/>
            </w:tcMar>
            <w:vAlign w:val="center"/>
          </w:tcPr>
          <w:p w14:paraId="31A9E08E" w14:textId="77777777" w:rsidR="00CC37C8" w:rsidRDefault="00FA2179">
            <w:pPr>
              <w:spacing w:after="0"/>
              <w:jc w:val="center"/>
              <w:rPr>
                <w:rFonts w:eastAsia="Arial" w:cs="Arial"/>
                <w:b/>
                <w:bCs/>
                <w:color w:val="1A1A1A"/>
                <w:sz w:val="16"/>
                <w:szCs w:val="16"/>
              </w:rPr>
            </w:pPr>
            <w:r>
              <w:rPr>
                <w:rFonts w:eastAsia="Arial" w:cs="Arial"/>
                <w:b/>
                <w:bCs/>
                <w:color w:val="1A1A1A"/>
                <w:sz w:val="16"/>
                <w:szCs w:val="16"/>
              </w:rPr>
              <w:t>COMPARTILHADO — risco partilhado entre as partes</w:t>
            </w:r>
          </w:p>
        </w:tc>
      </w:tr>
      <w:tr w:rsidR="00CC37C8" w14:paraId="00703286" w14:textId="77777777">
        <w:tblPrEx>
          <w:jc w:val="center"/>
        </w:tblPrEx>
        <w:trPr>
          <w:jc w:val="center"/>
        </w:trPr>
        <w:tc>
          <w:tcPr>
            <w:tcW w:w="532" w:type="dxa"/>
            <w:shd w:val="clear" w:color="auto" w:fill="1F3864"/>
            <w:tcMar>
              <w:top w:w="60" w:type="dxa"/>
              <w:left w:w="100" w:type="dxa"/>
              <w:bottom w:w="60" w:type="dxa"/>
              <w:right w:w="100" w:type="dxa"/>
            </w:tcMar>
            <w:vAlign w:val="center"/>
          </w:tcPr>
          <w:p w14:paraId="0D0DC819" w14:textId="77777777" w:rsidR="00CC37C8" w:rsidRDefault="00FA2179">
            <w:pPr>
              <w:spacing w:after="0"/>
              <w:jc w:val="center"/>
              <w:rPr>
                <w:rFonts w:eastAsia="Arial" w:cs="Arial"/>
                <w:b/>
                <w:bCs/>
                <w:color w:val="FFFFFF"/>
                <w:szCs w:val="18"/>
              </w:rPr>
            </w:pPr>
            <w:r>
              <w:rPr>
                <w:rFonts w:eastAsia="Arial" w:cs="Arial"/>
                <w:b/>
                <w:bCs/>
                <w:color w:val="FFFFFF"/>
                <w:szCs w:val="18"/>
              </w:rPr>
              <w:t>ID</w:t>
            </w:r>
          </w:p>
        </w:tc>
        <w:tc>
          <w:tcPr>
            <w:tcW w:w="2400" w:type="dxa"/>
            <w:shd w:val="clear" w:color="auto" w:fill="1F3864"/>
            <w:tcMar>
              <w:top w:w="60" w:type="dxa"/>
              <w:left w:w="100" w:type="dxa"/>
              <w:bottom w:w="60" w:type="dxa"/>
              <w:right w:w="100" w:type="dxa"/>
            </w:tcMar>
            <w:vAlign w:val="center"/>
          </w:tcPr>
          <w:p w14:paraId="64C210BE" w14:textId="77777777" w:rsidR="00CC37C8" w:rsidRDefault="00FA2179">
            <w:pPr>
              <w:spacing w:after="0"/>
              <w:jc w:val="center"/>
              <w:rPr>
                <w:rFonts w:eastAsia="Arial" w:cs="Arial"/>
                <w:b/>
                <w:bCs/>
                <w:color w:val="FFFFFF"/>
                <w:szCs w:val="18"/>
              </w:rPr>
            </w:pPr>
            <w:r>
              <w:rPr>
                <w:rFonts w:eastAsia="Arial" w:cs="Arial"/>
                <w:b/>
                <w:bCs/>
                <w:color w:val="FFFFFF"/>
                <w:szCs w:val="18"/>
              </w:rPr>
              <w:t>Evento de Risco</w:t>
            </w:r>
          </w:p>
        </w:tc>
        <w:tc>
          <w:tcPr>
            <w:tcW w:w="2400" w:type="dxa"/>
            <w:shd w:val="clear" w:color="auto" w:fill="1F3864"/>
            <w:tcMar>
              <w:top w:w="60" w:type="dxa"/>
              <w:left w:w="100" w:type="dxa"/>
              <w:bottom w:w="60" w:type="dxa"/>
              <w:right w:w="100" w:type="dxa"/>
            </w:tcMar>
            <w:vAlign w:val="center"/>
          </w:tcPr>
          <w:p w14:paraId="04092291" w14:textId="77777777" w:rsidR="00CC37C8" w:rsidRDefault="00FA2179">
            <w:pPr>
              <w:spacing w:after="0"/>
              <w:jc w:val="center"/>
              <w:rPr>
                <w:rFonts w:eastAsia="Arial" w:cs="Arial"/>
                <w:b/>
                <w:bCs/>
                <w:color w:val="FFFFFF"/>
                <w:szCs w:val="18"/>
              </w:rPr>
            </w:pPr>
            <w:r>
              <w:rPr>
                <w:rFonts w:eastAsia="Arial" w:cs="Arial"/>
                <w:b/>
                <w:bCs/>
                <w:color w:val="FFFFFF"/>
                <w:szCs w:val="18"/>
              </w:rPr>
              <w:t>Causa / Contexto</w:t>
            </w:r>
          </w:p>
        </w:tc>
        <w:tc>
          <w:tcPr>
            <w:tcW w:w="1100" w:type="dxa"/>
            <w:shd w:val="clear" w:color="auto" w:fill="1F3864"/>
            <w:tcMar>
              <w:top w:w="60" w:type="dxa"/>
              <w:left w:w="100" w:type="dxa"/>
              <w:bottom w:w="60" w:type="dxa"/>
              <w:right w:w="100" w:type="dxa"/>
            </w:tcMar>
            <w:vAlign w:val="center"/>
          </w:tcPr>
          <w:p w14:paraId="6D7FCA79" w14:textId="77777777" w:rsidR="00CC37C8" w:rsidRDefault="00FA2179">
            <w:pPr>
              <w:spacing w:after="0"/>
              <w:jc w:val="center"/>
              <w:rPr>
                <w:rFonts w:eastAsia="Arial" w:cs="Arial"/>
                <w:b/>
                <w:bCs/>
                <w:color w:val="FFFFFF"/>
                <w:szCs w:val="18"/>
              </w:rPr>
            </w:pPr>
            <w:r>
              <w:rPr>
                <w:rFonts w:eastAsia="Arial" w:cs="Arial"/>
                <w:b/>
                <w:bCs/>
                <w:color w:val="FFFFFF"/>
                <w:szCs w:val="18"/>
              </w:rPr>
              <w:t>Alocação</w:t>
            </w:r>
          </w:p>
        </w:tc>
        <w:tc>
          <w:tcPr>
            <w:tcW w:w="3868" w:type="dxa"/>
            <w:shd w:val="clear" w:color="auto" w:fill="1F3864"/>
            <w:tcMar>
              <w:top w:w="60" w:type="dxa"/>
              <w:left w:w="100" w:type="dxa"/>
              <w:bottom w:w="60" w:type="dxa"/>
              <w:right w:w="100" w:type="dxa"/>
            </w:tcMar>
            <w:vAlign w:val="center"/>
          </w:tcPr>
          <w:p w14:paraId="5A876DD4" w14:textId="77777777" w:rsidR="00CC37C8" w:rsidRDefault="00FA2179">
            <w:pPr>
              <w:spacing w:after="0"/>
              <w:jc w:val="center"/>
              <w:rPr>
                <w:rFonts w:eastAsia="Arial" w:cs="Arial"/>
                <w:b/>
                <w:bCs/>
                <w:color w:val="FFFFFF"/>
                <w:szCs w:val="18"/>
              </w:rPr>
            </w:pPr>
            <w:r>
              <w:rPr>
                <w:rFonts w:eastAsia="Arial" w:cs="Arial"/>
                <w:b/>
                <w:bCs/>
                <w:color w:val="FFFFFF"/>
                <w:szCs w:val="18"/>
              </w:rPr>
              <w:t>Fundamento Legal</w:t>
            </w:r>
          </w:p>
        </w:tc>
        <w:tc>
          <w:tcPr>
            <w:tcW w:w="4968" w:type="dxa"/>
            <w:shd w:val="clear" w:color="auto" w:fill="1F3864"/>
            <w:tcMar>
              <w:top w:w="60" w:type="dxa"/>
              <w:left w:w="100" w:type="dxa"/>
              <w:bottom w:w="60" w:type="dxa"/>
              <w:right w:w="100" w:type="dxa"/>
            </w:tcMar>
            <w:vAlign w:val="center"/>
          </w:tcPr>
          <w:p w14:paraId="188D512F" w14:textId="77777777" w:rsidR="00CC37C8" w:rsidRDefault="00FA2179">
            <w:pPr>
              <w:spacing w:after="0"/>
              <w:jc w:val="center"/>
              <w:rPr>
                <w:rFonts w:eastAsia="Arial" w:cs="Arial"/>
                <w:b/>
                <w:bCs/>
                <w:color w:val="FFFFFF"/>
                <w:szCs w:val="18"/>
              </w:rPr>
            </w:pPr>
            <w:r>
              <w:rPr>
                <w:rFonts w:eastAsia="Arial" w:cs="Arial"/>
                <w:b/>
                <w:bCs/>
                <w:color w:val="FFFFFF"/>
                <w:szCs w:val="18"/>
              </w:rPr>
              <w:t>Tratamento em Caso de Materialização</w:t>
            </w:r>
          </w:p>
        </w:tc>
      </w:tr>
      <w:tr w:rsidR="00CC37C8" w14:paraId="4CD54F6A" w14:textId="77777777">
        <w:tc>
          <w:tcPr>
            <w:tcW w:w="15268" w:type="dxa"/>
            <w:gridSpan w:val="6"/>
            <w:shd w:val="clear" w:color="auto" w:fill="2E4A7A"/>
            <w:tcMar>
              <w:top w:w="60" w:type="dxa"/>
              <w:left w:w="100" w:type="dxa"/>
              <w:bottom w:w="60" w:type="dxa"/>
              <w:right w:w="100" w:type="dxa"/>
            </w:tcMar>
            <w:vAlign w:val="center"/>
          </w:tcPr>
          <w:p w14:paraId="6B4EE5DD" w14:textId="77777777" w:rsidR="00CC37C8" w:rsidRDefault="00FA2179">
            <w:pPr>
              <w:spacing w:after="0"/>
              <w:jc w:val="center"/>
              <w:rPr>
                <w:rFonts w:eastAsia="Arial" w:cs="Arial"/>
                <w:b/>
                <w:bCs/>
                <w:color w:val="FFFFFF"/>
                <w:szCs w:val="18"/>
              </w:rPr>
            </w:pPr>
            <w:r>
              <w:rPr>
                <w:rFonts w:eastAsia="Arial" w:cs="Arial"/>
                <w:b/>
                <w:bCs/>
                <w:color w:val="FFFFFF"/>
                <w:szCs w:val="18"/>
              </w:rPr>
              <w:t>GRUPO I — RISCOS DE PROJETO E ESCOPO</w:t>
            </w:r>
          </w:p>
        </w:tc>
      </w:tr>
      <w:tr w:rsidR="00CC37C8" w14:paraId="012F80BB"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2E546BC0" w14:textId="77777777" w:rsidR="00CC37C8" w:rsidRDefault="00FA2179">
            <w:pPr>
              <w:spacing w:after="0"/>
              <w:jc w:val="center"/>
              <w:rPr>
                <w:rFonts w:eastAsia="Arial" w:cs="Arial"/>
                <w:b/>
                <w:bCs/>
                <w:color w:val="1A1A1A"/>
                <w:szCs w:val="18"/>
              </w:rPr>
            </w:pPr>
            <w:r>
              <w:rPr>
                <w:rFonts w:eastAsia="Arial" w:cs="Arial"/>
                <w:b/>
                <w:bCs/>
                <w:color w:val="1A1A1A"/>
                <w:szCs w:val="18"/>
              </w:rPr>
              <w:t>MR01</w:t>
            </w:r>
          </w:p>
        </w:tc>
        <w:tc>
          <w:tcPr>
            <w:tcW w:w="2400" w:type="dxa"/>
            <w:shd w:val="clear" w:color="auto" w:fill="FFFFFF"/>
            <w:tcMar>
              <w:top w:w="60" w:type="dxa"/>
              <w:left w:w="100" w:type="dxa"/>
              <w:bottom w:w="60" w:type="dxa"/>
              <w:right w:w="100" w:type="dxa"/>
            </w:tcMar>
            <w:vAlign w:val="center"/>
          </w:tcPr>
          <w:p w14:paraId="77B68135" w14:textId="77777777" w:rsidR="00CC37C8" w:rsidRDefault="00FA2179">
            <w:pPr>
              <w:spacing w:after="0"/>
              <w:rPr>
                <w:rFonts w:eastAsia="Arial" w:cs="Arial"/>
                <w:color w:val="1A1A1A"/>
                <w:szCs w:val="18"/>
              </w:rPr>
            </w:pPr>
            <w:r>
              <w:rPr>
                <w:rFonts w:eastAsia="Arial" w:cs="Arial"/>
                <w:color w:val="1A1A1A"/>
                <w:szCs w:val="18"/>
              </w:rPr>
              <w:t>Erros ou omissões no Projeto Básico fornecido pela Administração</w:t>
            </w:r>
          </w:p>
        </w:tc>
        <w:tc>
          <w:tcPr>
            <w:tcW w:w="2400" w:type="dxa"/>
            <w:shd w:val="clear" w:color="auto" w:fill="FFFFFF"/>
            <w:tcMar>
              <w:top w:w="60" w:type="dxa"/>
              <w:left w:w="100" w:type="dxa"/>
              <w:bottom w:w="60" w:type="dxa"/>
              <w:right w:w="100" w:type="dxa"/>
            </w:tcMar>
            <w:vAlign w:val="center"/>
          </w:tcPr>
          <w:p w14:paraId="2F87D401" w14:textId="77777777" w:rsidR="00CC37C8" w:rsidRDefault="00FA2179">
            <w:pPr>
              <w:spacing w:after="0"/>
              <w:rPr>
                <w:rFonts w:eastAsia="Arial" w:cs="Arial"/>
                <w:color w:val="1A1A1A"/>
                <w:szCs w:val="18"/>
              </w:rPr>
            </w:pPr>
            <w:r>
              <w:rPr>
                <w:rFonts w:eastAsia="Arial" w:cs="Arial"/>
                <w:color w:val="1A1A1A"/>
                <w:szCs w:val="18"/>
              </w:rPr>
              <w:t>Levantamento insuficiente da edificação; omissão de condições estruturais, dimensões ou especificações na fase de planejamento.</w:t>
            </w:r>
          </w:p>
        </w:tc>
        <w:tc>
          <w:tcPr>
            <w:tcW w:w="1100" w:type="dxa"/>
            <w:shd w:val="clear" w:color="auto" w:fill="DAE8FC"/>
            <w:tcMar>
              <w:top w:w="60" w:type="dxa"/>
              <w:left w:w="100" w:type="dxa"/>
              <w:bottom w:w="60" w:type="dxa"/>
              <w:right w:w="100" w:type="dxa"/>
            </w:tcMar>
            <w:vAlign w:val="center"/>
          </w:tcPr>
          <w:p w14:paraId="08DCE6AF" w14:textId="77777777" w:rsidR="00CC37C8" w:rsidRDefault="00FA2179">
            <w:pPr>
              <w:spacing w:after="0"/>
              <w:jc w:val="center"/>
              <w:rPr>
                <w:rFonts w:eastAsia="Arial" w:cs="Arial"/>
                <w:b/>
                <w:bCs/>
                <w:color w:val="1A1A1A"/>
                <w:szCs w:val="18"/>
              </w:rPr>
            </w:pPr>
            <w:r>
              <w:rPr>
                <w:rFonts w:eastAsia="Arial" w:cs="Arial"/>
                <w:b/>
                <w:bCs/>
                <w:color w:val="1A1A1A"/>
                <w:szCs w:val="18"/>
              </w:rPr>
              <w:t>CONTRATANTE</w:t>
            </w:r>
          </w:p>
        </w:tc>
        <w:tc>
          <w:tcPr>
            <w:tcW w:w="3868" w:type="dxa"/>
            <w:shd w:val="clear" w:color="auto" w:fill="FFFFFF"/>
            <w:tcMar>
              <w:top w:w="60" w:type="dxa"/>
              <w:left w:w="100" w:type="dxa"/>
              <w:bottom w:w="60" w:type="dxa"/>
              <w:right w:w="100" w:type="dxa"/>
            </w:tcMar>
            <w:vAlign w:val="center"/>
          </w:tcPr>
          <w:p w14:paraId="1D8A8385" w14:textId="77777777" w:rsidR="00CC37C8" w:rsidRDefault="00FA2179">
            <w:pPr>
              <w:spacing w:after="0"/>
              <w:rPr>
                <w:rFonts w:eastAsia="Arial" w:cs="Arial"/>
                <w:color w:val="1A1A1A"/>
                <w:szCs w:val="18"/>
              </w:rPr>
            </w:pPr>
            <w:r>
              <w:rPr>
                <w:rFonts w:eastAsia="Arial" w:cs="Arial"/>
                <w:color w:val="1A1A1A"/>
                <w:szCs w:val="18"/>
              </w:rPr>
              <w:t>Art. 46, §3°, Lei 14.133/2021 — o PB é responsabilidade da Administração no regime Semi-Integrado.</w:t>
            </w:r>
          </w:p>
        </w:tc>
        <w:tc>
          <w:tcPr>
            <w:tcW w:w="4968" w:type="dxa"/>
            <w:shd w:val="clear" w:color="auto" w:fill="FFFFFF"/>
            <w:tcMar>
              <w:top w:w="60" w:type="dxa"/>
              <w:left w:w="100" w:type="dxa"/>
              <w:bottom w:w="60" w:type="dxa"/>
              <w:right w:w="100" w:type="dxa"/>
            </w:tcMar>
            <w:vAlign w:val="center"/>
          </w:tcPr>
          <w:p w14:paraId="65E444C7" w14:textId="77777777" w:rsidR="00CC37C8" w:rsidRDefault="00FA2179">
            <w:pPr>
              <w:spacing w:after="0"/>
              <w:rPr>
                <w:rFonts w:eastAsia="Arial" w:cs="Arial"/>
                <w:color w:val="1A1A1A"/>
                <w:szCs w:val="18"/>
              </w:rPr>
            </w:pPr>
            <w:r>
              <w:rPr>
                <w:rFonts w:eastAsia="Arial" w:cs="Arial"/>
                <w:color w:val="1A1A1A"/>
                <w:szCs w:val="18"/>
              </w:rPr>
              <w:t>Revisão de escopo, prazo e valor mediante aditivo (art. 124, II, d). Prazo prorrogado proporcionalmente.</w:t>
            </w:r>
          </w:p>
        </w:tc>
      </w:tr>
      <w:tr w:rsidR="00CC37C8" w14:paraId="20DF4E60"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166A31C5" w14:textId="77777777" w:rsidR="00CC37C8" w:rsidRDefault="00FA2179">
            <w:pPr>
              <w:spacing w:after="0"/>
              <w:jc w:val="center"/>
              <w:rPr>
                <w:rFonts w:eastAsia="Arial" w:cs="Arial"/>
                <w:b/>
                <w:bCs/>
                <w:color w:val="1A1A1A"/>
                <w:szCs w:val="18"/>
              </w:rPr>
            </w:pPr>
            <w:r>
              <w:rPr>
                <w:rFonts w:eastAsia="Arial" w:cs="Arial"/>
                <w:b/>
                <w:bCs/>
                <w:color w:val="1A1A1A"/>
                <w:szCs w:val="18"/>
              </w:rPr>
              <w:lastRenderedPageBreak/>
              <w:t>MR02</w:t>
            </w:r>
          </w:p>
        </w:tc>
        <w:tc>
          <w:tcPr>
            <w:tcW w:w="2400" w:type="dxa"/>
            <w:shd w:val="clear" w:color="auto" w:fill="FFFFFF"/>
            <w:tcMar>
              <w:top w:w="60" w:type="dxa"/>
              <w:left w:w="100" w:type="dxa"/>
              <w:bottom w:w="60" w:type="dxa"/>
              <w:right w:w="100" w:type="dxa"/>
            </w:tcMar>
            <w:vAlign w:val="center"/>
          </w:tcPr>
          <w:p w14:paraId="03041003" w14:textId="77777777" w:rsidR="00CC37C8" w:rsidRDefault="00FA2179">
            <w:pPr>
              <w:spacing w:after="0"/>
              <w:rPr>
                <w:rFonts w:eastAsia="Arial" w:cs="Arial"/>
                <w:color w:val="1A1A1A"/>
                <w:szCs w:val="18"/>
              </w:rPr>
            </w:pPr>
            <w:r>
              <w:rPr>
                <w:rFonts w:eastAsia="Arial" w:cs="Arial"/>
                <w:color w:val="1A1A1A"/>
                <w:szCs w:val="18"/>
              </w:rPr>
              <w:t>Erros ou omissões nos Projetos Executivos elaborados pela Contratada</w:t>
            </w:r>
          </w:p>
        </w:tc>
        <w:tc>
          <w:tcPr>
            <w:tcW w:w="2400" w:type="dxa"/>
            <w:shd w:val="clear" w:color="auto" w:fill="FFFFFF"/>
            <w:tcMar>
              <w:top w:w="60" w:type="dxa"/>
              <w:left w:w="100" w:type="dxa"/>
              <w:bottom w:w="60" w:type="dxa"/>
              <w:right w:w="100" w:type="dxa"/>
            </w:tcMar>
            <w:vAlign w:val="center"/>
          </w:tcPr>
          <w:p w14:paraId="4DE6FFF8" w14:textId="77777777" w:rsidR="00CC37C8" w:rsidRDefault="00FA2179">
            <w:pPr>
              <w:spacing w:after="0"/>
              <w:rPr>
                <w:rFonts w:eastAsia="Arial" w:cs="Arial"/>
                <w:color w:val="1A1A1A"/>
                <w:szCs w:val="18"/>
              </w:rPr>
            </w:pPr>
            <w:r>
              <w:rPr>
                <w:rFonts w:eastAsia="Arial" w:cs="Arial"/>
                <w:color w:val="1A1A1A"/>
                <w:szCs w:val="18"/>
              </w:rPr>
              <w:t>Falha técnica no detalhamento, dimensionamento inadequado ou descumprimento de normas técnicas aplicáveis.</w:t>
            </w:r>
          </w:p>
        </w:tc>
        <w:tc>
          <w:tcPr>
            <w:tcW w:w="1100" w:type="dxa"/>
            <w:shd w:val="clear" w:color="auto" w:fill="FFF2CC"/>
            <w:tcMar>
              <w:top w:w="60" w:type="dxa"/>
              <w:left w:w="100" w:type="dxa"/>
              <w:bottom w:w="60" w:type="dxa"/>
              <w:right w:w="100" w:type="dxa"/>
            </w:tcMar>
            <w:vAlign w:val="center"/>
          </w:tcPr>
          <w:p w14:paraId="31F6AA1F" w14:textId="77777777" w:rsidR="00CC37C8" w:rsidRDefault="00FA2179">
            <w:pPr>
              <w:spacing w:after="0"/>
              <w:jc w:val="center"/>
              <w:rPr>
                <w:rFonts w:eastAsia="Arial" w:cs="Arial"/>
                <w:b/>
                <w:bCs/>
                <w:color w:val="1A1A1A"/>
                <w:szCs w:val="18"/>
              </w:rPr>
            </w:pPr>
            <w:r>
              <w:rPr>
                <w:rFonts w:eastAsia="Arial" w:cs="Arial"/>
                <w:b/>
                <w:bCs/>
                <w:color w:val="1A1A1A"/>
                <w:szCs w:val="18"/>
              </w:rPr>
              <w:t>CONTRATADA</w:t>
            </w:r>
          </w:p>
        </w:tc>
        <w:tc>
          <w:tcPr>
            <w:tcW w:w="3868" w:type="dxa"/>
            <w:shd w:val="clear" w:color="auto" w:fill="FFFFFF"/>
            <w:tcMar>
              <w:top w:w="60" w:type="dxa"/>
              <w:left w:w="100" w:type="dxa"/>
              <w:bottom w:w="60" w:type="dxa"/>
              <w:right w:w="100" w:type="dxa"/>
            </w:tcMar>
            <w:vAlign w:val="center"/>
          </w:tcPr>
          <w:p w14:paraId="5EE931F7" w14:textId="77777777" w:rsidR="00CC37C8" w:rsidRDefault="00FA2179">
            <w:pPr>
              <w:spacing w:after="0"/>
              <w:rPr>
                <w:rFonts w:eastAsia="Arial" w:cs="Arial"/>
                <w:color w:val="1A1A1A"/>
                <w:szCs w:val="18"/>
              </w:rPr>
            </w:pPr>
            <w:r>
              <w:rPr>
                <w:rFonts w:eastAsia="Arial" w:cs="Arial"/>
                <w:color w:val="1A1A1A"/>
                <w:szCs w:val="18"/>
              </w:rPr>
              <w:t>Art. 46, VII e §4°, Lei 14.133/2021 — responsabilidade integral da Contratada pelos Projetos Executivos.</w:t>
            </w:r>
          </w:p>
        </w:tc>
        <w:tc>
          <w:tcPr>
            <w:tcW w:w="4968" w:type="dxa"/>
            <w:shd w:val="clear" w:color="auto" w:fill="FFFFFF"/>
            <w:tcMar>
              <w:top w:w="60" w:type="dxa"/>
              <w:left w:w="100" w:type="dxa"/>
              <w:bottom w:w="60" w:type="dxa"/>
              <w:right w:w="100" w:type="dxa"/>
            </w:tcMar>
            <w:vAlign w:val="center"/>
          </w:tcPr>
          <w:p w14:paraId="332EAE3E" w14:textId="77777777" w:rsidR="00CC37C8" w:rsidRDefault="00FA2179">
            <w:pPr>
              <w:spacing w:after="0"/>
              <w:rPr>
                <w:rFonts w:eastAsia="Arial" w:cs="Arial"/>
                <w:color w:val="1A1A1A"/>
                <w:szCs w:val="18"/>
              </w:rPr>
            </w:pPr>
            <w:r>
              <w:rPr>
                <w:rFonts w:eastAsia="Arial" w:cs="Arial"/>
                <w:color w:val="1A1A1A"/>
                <w:szCs w:val="18"/>
              </w:rPr>
              <w:t>Correção sem ônus à Administração. Prazo não prorrogado. Penalidades aplicáveis em caso de prejuízo.</w:t>
            </w:r>
          </w:p>
        </w:tc>
      </w:tr>
      <w:tr w:rsidR="00CC37C8" w14:paraId="22D93657"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31CE8826" w14:textId="77777777" w:rsidR="00CC37C8" w:rsidRDefault="00FA2179">
            <w:pPr>
              <w:spacing w:after="0"/>
              <w:jc w:val="center"/>
              <w:rPr>
                <w:rFonts w:eastAsia="Arial" w:cs="Arial"/>
                <w:b/>
                <w:bCs/>
                <w:color w:val="1A1A1A"/>
                <w:szCs w:val="18"/>
              </w:rPr>
            </w:pPr>
            <w:r>
              <w:rPr>
                <w:rFonts w:eastAsia="Arial" w:cs="Arial"/>
                <w:b/>
                <w:bCs/>
                <w:color w:val="1A1A1A"/>
                <w:szCs w:val="18"/>
              </w:rPr>
              <w:t>MR03</w:t>
            </w:r>
          </w:p>
        </w:tc>
        <w:tc>
          <w:tcPr>
            <w:tcW w:w="2400" w:type="dxa"/>
            <w:shd w:val="clear" w:color="auto" w:fill="FFFFFF"/>
            <w:tcMar>
              <w:top w:w="60" w:type="dxa"/>
              <w:left w:w="100" w:type="dxa"/>
              <w:bottom w:w="60" w:type="dxa"/>
              <w:right w:w="100" w:type="dxa"/>
            </w:tcMar>
            <w:vAlign w:val="center"/>
          </w:tcPr>
          <w:p w14:paraId="5B49FA63" w14:textId="77777777" w:rsidR="00CC37C8" w:rsidRDefault="00FA2179">
            <w:pPr>
              <w:spacing w:after="0"/>
              <w:rPr>
                <w:rFonts w:eastAsia="Arial" w:cs="Arial"/>
                <w:color w:val="1A1A1A"/>
                <w:szCs w:val="18"/>
              </w:rPr>
            </w:pPr>
            <w:r>
              <w:rPr>
                <w:rFonts w:eastAsia="Arial" w:cs="Arial"/>
                <w:color w:val="1A1A1A"/>
                <w:szCs w:val="18"/>
              </w:rPr>
              <w:t>Incompatibilidade entre disciplinas dos Projetos Executivos</w:t>
            </w:r>
          </w:p>
        </w:tc>
        <w:tc>
          <w:tcPr>
            <w:tcW w:w="2400" w:type="dxa"/>
            <w:shd w:val="clear" w:color="auto" w:fill="FFFFFF"/>
            <w:tcMar>
              <w:top w:w="60" w:type="dxa"/>
              <w:left w:w="100" w:type="dxa"/>
              <w:bottom w:w="60" w:type="dxa"/>
              <w:right w:w="100" w:type="dxa"/>
            </w:tcMar>
            <w:vAlign w:val="center"/>
          </w:tcPr>
          <w:p w14:paraId="401786F9" w14:textId="77777777" w:rsidR="00CC37C8" w:rsidRDefault="00FA2179">
            <w:pPr>
              <w:spacing w:after="0"/>
              <w:rPr>
                <w:rFonts w:eastAsia="Arial" w:cs="Arial"/>
                <w:color w:val="1A1A1A"/>
                <w:szCs w:val="18"/>
              </w:rPr>
            </w:pPr>
            <w:r>
              <w:rPr>
                <w:rFonts w:eastAsia="Arial" w:cs="Arial"/>
                <w:color w:val="1A1A1A"/>
                <w:szCs w:val="18"/>
              </w:rPr>
              <w:t>Ausência de coordenação entre os projetos estrutural, arquitetônico, hidrossanitário e elétrico antes da submissão.</w:t>
            </w:r>
          </w:p>
        </w:tc>
        <w:tc>
          <w:tcPr>
            <w:tcW w:w="1100" w:type="dxa"/>
            <w:shd w:val="clear" w:color="auto" w:fill="FFF2CC"/>
            <w:tcMar>
              <w:top w:w="60" w:type="dxa"/>
              <w:left w:w="100" w:type="dxa"/>
              <w:bottom w:w="60" w:type="dxa"/>
              <w:right w:w="100" w:type="dxa"/>
            </w:tcMar>
            <w:vAlign w:val="center"/>
          </w:tcPr>
          <w:p w14:paraId="61A1E495" w14:textId="77777777" w:rsidR="00CC37C8" w:rsidRDefault="00FA2179">
            <w:pPr>
              <w:spacing w:after="0"/>
              <w:jc w:val="center"/>
              <w:rPr>
                <w:rFonts w:eastAsia="Arial" w:cs="Arial"/>
                <w:b/>
                <w:bCs/>
                <w:color w:val="1A1A1A"/>
                <w:szCs w:val="18"/>
              </w:rPr>
            </w:pPr>
            <w:r>
              <w:rPr>
                <w:rFonts w:eastAsia="Arial" w:cs="Arial"/>
                <w:b/>
                <w:bCs/>
                <w:color w:val="1A1A1A"/>
                <w:szCs w:val="18"/>
              </w:rPr>
              <w:t>CONTRATADA</w:t>
            </w:r>
          </w:p>
        </w:tc>
        <w:tc>
          <w:tcPr>
            <w:tcW w:w="3868" w:type="dxa"/>
            <w:shd w:val="clear" w:color="auto" w:fill="FFFFFF"/>
            <w:tcMar>
              <w:top w:w="60" w:type="dxa"/>
              <w:left w:w="100" w:type="dxa"/>
              <w:bottom w:w="60" w:type="dxa"/>
              <w:right w:w="100" w:type="dxa"/>
            </w:tcMar>
            <w:vAlign w:val="center"/>
          </w:tcPr>
          <w:p w14:paraId="1ACB1813" w14:textId="77777777" w:rsidR="00CC37C8" w:rsidRDefault="00FA2179">
            <w:pPr>
              <w:spacing w:after="0"/>
              <w:rPr>
                <w:rFonts w:eastAsia="Arial" w:cs="Arial"/>
                <w:color w:val="1A1A1A"/>
                <w:szCs w:val="18"/>
              </w:rPr>
            </w:pPr>
            <w:r>
              <w:rPr>
                <w:rFonts w:eastAsia="Arial" w:cs="Arial"/>
                <w:color w:val="1A1A1A"/>
                <w:szCs w:val="18"/>
              </w:rPr>
              <w:t>Art. 46, VII — a Contratada integra e compatibiliza todos os PE; coordenação é parte do escopo.</w:t>
            </w:r>
          </w:p>
        </w:tc>
        <w:tc>
          <w:tcPr>
            <w:tcW w:w="4968" w:type="dxa"/>
            <w:shd w:val="clear" w:color="auto" w:fill="FFFFFF"/>
            <w:tcMar>
              <w:top w:w="60" w:type="dxa"/>
              <w:left w:w="100" w:type="dxa"/>
              <w:bottom w:w="60" w:type="dxa"/>
              <w:right w:w="100" w:type="dxa"/>
            </w:tcMar>
            <w:vAlign w:val="center"/>
          </w:tcPr>
          <w:p w14:paraId="7C67529C" w14:textId="77777777" w:rsidR="00CC37C8" w:rsidRDefault="00FA2179">
            <w:pPr>
              <w:spacing w:after="0"/>
              <w:rPr>
                <w:rFonts w:eastAsia="Arial" w:cs="Arial"/>
                <w:color w:val="1A1A1A"/>
                <w:szCs w:val="18"/>
              </w:rPr>
            </w:pPr>
            <w:r>
              <w:rPr>
                <w:rFonts w:eastAsia="Arial" w:cs="Arial"/>
                <w:color w:val="1A1A1A"/>
                <w:szCs w:val="18"/>
              </w:rPr>
              <w:t>Revisão e reapresentação sem ônus adicional. Prazo não prorrogado.</w:t>
            </w:r>
          </w:p>
        </w:tc>
      </w:tr>
      <w:tr w:rsidR="00CC37C8" w14:paraId="4924C328"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02067144" w14:textId="77777777" w:rsidR="00CC37C8" w:rsidRDefault="00FA2179">
            <w:pPr>
              <w:spacing w:after="0"/>
              <w:jc w:val="center"/>
              <w:rPr>
                <w:rFonts w:eastAsia="Arial" w:cs="Arial"/>
                <w:b/>
                <w:bCs/>
                <w:color w:val="1A1A1A"/>
                <w:szCs w:val="18"/>
              </w:rPr>
            </w:pPr>
            <w:r>
              <w:rPr>
                <w:rFonts w:eastAsia="Arial" w:cs="Arial"/>
                <w:b/>
                <w:bCs/>
                <w:color w:val="1A1A1A"/>
                <w:szCs w:val="18"/>
              </w:rPr>
              <w:t>MR04</w:t>
            </w:r>
          </w:p>
        </w:tc>
        <w:tc>
          <w:tcPr>
            <w:tcW w:w="2400" w:type="dxa"/>
            <w:shd w:val="clear" w:color="auto" w:fill="FFFFFF"/>
            <w:tcMar>
              <w:top w:w="60" w:type="dxa"/>
              <w:left w:w="100" w:type="dxa"/>
              <w:bottom w:w="60" w:type="dxa"/>
              <w:right w:w="100" w:type="dxa"/>
            </w:tcMar>
            <w:vAlign w:val="center"/>
          </w:tcPr>
          <w:p w14:paraId="4C33E005" w14:textId="77777777" w:rsidR="00CC37C8" w:rsidRDefault="00FA2179">
            <w:pPr>
              <w:spacing w:after="0"/>
              <w:rPr>
                <w:rFonts w:eastAsia="Arial" w:cs="Arial"/>
                <w:color w:val="1A1A1A"/>
                <w:szCs w:val="18"/>
              </w:rPr>
            </w:pPr>
            <w:r>
              <w:rPr>
                <w:rFonts w:eastAsia="Arial" w:cs="Arial"/>
                <w:color w:val="1A1A1A"/>
                <w:szCs w:val="18"/>
              </w:rPr>
              <w:t>Atraso injustificado da Fiscalização na aprovação dos Projetos Executivos</w:t>
            </w:r>
          </w:p>
        </w:tc>
        <w:tc>
          <w:tcPr>
            <w:tcW w:w="2400" w:type="dxa"/>
            <w:shd w:val="clear" w:color="auto" w:fill="FFFFFF"/>
            <w:tcMar>
              <w:top w:w="60" w:type="dxa"/>
              <w:left w:w="100" w:type="dxa"/>
              <w:bottom w:w="60" w:type="dxa"/>
              <w:right w:w="100" w:type="dxa"/>
            </w:tcMar>
            <w:vAlign w:val="center"/>
          </w:tcPr>
          <w:p w14:paraId="7D2600FF" w14:textId="77777777" w:rsidR="00CC37C8" w:rsidRDefault="00FA2179">
            <w:pPr>
              <w:spacing w:after="0"/>
              <w:rPr>
                <w:rFonts w:eastAsia="Arial" w:cs="Arial"/>
                <w:color w:val="1A1A1A"/>
                <w:szCs w:val="18"/>
              </w:rPr>
            </w:pPr>
            <w:r>
              <w:rPr>
                <w:rFonts w:eastAsia="Arial" w:cs="Arial"/>
                <w:color w:val="1A1A1A"/>
                <w:szCs w:val="18"/>
              </w:rPr>
              <w:t>Demora da Administração além de prazo razoável para manifestação técnica, sem motivação válida.</w:t>
            </w:r>
          </w:p>
        </w:tc>
        <w:tc>
          <w:tcPr>
            <w:tcW w:w="1100" w:type="dxa"/>
            <w:shd w:val="clear" w:color="auto" w:fill="DAE8FC"/>
            <w:tcMar>
              <w:top w:w="60" w:type="dxa"/>
              <w:left w:w="100" w:type="dxa"/>
              <w:bottom w:w="60" w:type="dxa"/>
              <w:right w:w="100" w:type="dxa"/>
            </w:tcMar>
            <w:vAlign w:val="center"/>
          </w:tcPr>
          <w:p w14:paraId="36013E08" w14:textId="77777777" w:rsidR="00CC37C8" w:rsidRDefault="00FA2179">
            <w:pPr>
              <w:spacing w:after="0"/>
              <w:jc w:val="center"/>
              <w:rPr>
                <w:rFonts w:eastAsia="Arial" w:cs="Arial"/>
                <w:b/>
                <w:bCs/>
                <w:color w:val="1A1A1A"/>
                <w:szCs w:val="18"/>
              </w:rPr>
            </w:pPr>
            <w:r>
              <w:rPr>
                <w:rFonts w:eastAsia="Arial" w:cs="Arial"/>
                <w:b/>
                <w:bCs/>
                <w:color w:val="1A1A1A"/>
                <w:szCs w:val="18"/>
              </w:rPr>
              <w:t>CONTRATANTE</w:t>
            </w:r>
          </w:p>
        </w:tc>
        <w:tc>
          <w:tcPr>
            <w:tcW w:w="3868" w:type="dxa"/>
            <w:shd w:val="clear" w:color="auto" w:fill="FFFFFF"/>
            <w:tcMar>
              <w:top w:w="60" w:type="dxa"/>
              <w:left w:w="100" w:type="dxa"/>
              <w:bottom w:w="60" w:type="dxa"/>
              <w:right w:w="100" w:type="dxa"/>
            </w:tcMar>
            <w:vAlign w:val="center"/>
          </w:tcPr>
          <w:p w14:paraId="68B59B6F" w14:textId="77777777" w:rsidR="00CC37C8" w:rsidRDefault="00FA2179">
            <w:pPr>
              <w:spacing w:after="0"/>
              <w:rPr>
                <w:rFonts w:eastAsia="Arial" w:cs="Arial"/>
                <w:color w:val="1A1A1A"/>
                <w:szCs w:val="18"/>
              </w:rPr>
            </w:pPr>
            <w:r>
              <w:rPr>
                <w:rFonts w:eastAsia="Arial" w:cs="Arial"/>
                <w:color w:val="1A1A1A"/>
                <w:szCs w:val="18"/>
              </w:rPr>
              <w:t>Art. 46, §4° — a Fiscalização deve apreciar os PE em prazo razoável e motivar tecnicamente qualquer reprovação.</w:t>
            </w:r>
          </w:p>
        </w:tc>
        <w:tc>
          <w:tcPr>
            <w:tcW w:w="4968" w:type="dxa"/>
            <w:shd w:val="clear" w:color="auto" w:fill="FFFFFF"/>
            <w:tcMar>
              <w:top w:w="60" w:type="dxa"/>
              <w:left w:w="100" w:type="dxa"/>
              <w:bottom w:w="60" w:type="dxa"/>
              <w:right w:w="100" w:type="dxa"/>
            </w:tcMar>
            <w:vAlign w:val="center"/>
          </w:tcPr>
          <w:p w14:paraId="1A18EC0F" w14:textId="77777777" w:rsidR="00CC37C8" w:rsidRDefault="00FA2179">
            <w:pPr>
              <w:spacing w:after="0"/>
              <w:rPr>
                <w:rFonts w:eastAsia="Arial" w:cs="Arial"/>
                <w:color w:val="1A1A1A"/>
                <w:szCs w:val="18"/>
              </w:rPr>
            </w:pPr>
            <w:r>
              <w:rPr>
                <w:rFonts w:eastAsia="Arial" w:cs="Arial"/>
                <w:color w:val="1A1A1A"/>
                <w:szCs w:val="18"/>
              </w:rPr>
              <w:t>Prorrogação de prazo proporcional ao atraso injustificado, com base no protocolo de entrega dos PE.</w:t>
            </w:r>
          </w:p>
        </w:tc>
      </w:tr>
      <w:tr w:rsidR="00CC37C8" w14:paraId="41F60B29"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225FA8DB" w14:textId="77777777" w:rsidR="00CC37C8" w:rsidRDefault="00FA2179">
            <w:pPr>
              <w:spacing w:after="0"/>
              <w:jc w:val="center"/>
              <w:rPr>
                <w:rFonts w:eastAsia="Arial" w:cs="Arial"/>
                <w:b/>
                <w:bCs/>
                <w:color w:val="1A1A1A"/>
                <w:szCs w:val="18"/>
              </w:rPr>
            </w:pPr>
            <w:r>
              <w:rPr>
                <w:rFonts w:eastAsia="Arial" w:cs="Arial"/>
                <w:b/>
                <w:bCs/>
                <w:color w:val="1A1A1A"/>
                <w:szCs w:val="18"/>
              </w:rPr>
              <w:t>MR05</w:t>
            </w:r>
          </w:p>
        </w:tc>
        <w:tc>
          <w:tcPr>
            <w:tcW w:w="2400" w:type="dxa"/>
            <w:shd w:val="clear" w:color="auto" w:fill="FFFFFF"/>
            <w:tcMar>
              <w:top w:w="60" w:type="dxa"/>
              <w:left w:w="100" w:type="dxa"/>
              <w:bottom w:w="60" w:type="dxa"/>
              <w:right w:w="100" w:type="dxa"/>
            </w:tcMar>
            <w:vAlign w:val="center"/>
          </w:tcPr>
          <w:p w14:paraId="4ADD8C6F" w14:textId="77777777" w:rsidR="00CC37C8" w:rsidRDefault="00FA2179">
            <w:pPr>
              <w:spacing w:after="0"/>
              <w:rPr>
                <w:rFonts w:eastAsia="Arial" w:cs="Arial"/>
                <w:color w:val="1A1A1A"/>
                <w:szCs w:val="18"/>
              </w:rPr>
            </w:pPr>
            <w:r>
              <w:rPr>
                <w:rFonts w:eastAsia="Arial" w:cs="Arial"/>
                <w:color w:val="1A1A1A"/>
                <w:szCs w:val="18"/>
              </w:rPr>
              <w:t>Mudança de norma técnica exigindo ajuste nos PE após assinatura do contrato</w:t>
            </w:r>
          </w:p>
        </w:tc>
        <w:tc>
          <w:tcPr>
            <w:tcW w:w="2400" w:type="dxa"/>
            <w:shd w:val="clear" w:color="auto" w:fill="FFFFFF"/>
            <w:tcMar>
              <w:top w:w="60" w:type="dxa"/>
              <w:left w:w="100" w:type="dxa"/>
              <w:bottom w:w="60" w:type="dxa"/>
              <w:right w:w="100" w:type="dxa"/>
            </w:tcMar>
            <w:vAlign w:val="center"/>
          </w:tcPr>
          <w:p w14:paraId="306164FA" w14:textId="77777777" w:rsidR="00CC37C8" w:rsidRDefault="00FA2179">
            <w:pPr>
              <w:spacing w:after="0"/>
              <w:rPr>
                <w:rFonts w:eastAsia="Arial" w:cs="Arial"/>
                <w:color w:val="1A1A1A"/>
                <w:szCs w:val="18"/>
              </w:rPr>
            </w:pPr>
            <w:r>
              <w:rPr>
                <w:rFonts w:eastAsia="Arial" w:cs="Arial"/>
                <w:color w:val="1A1A1A"/>
                <w:szCs w:val="18"/>
              </w:rPr>
              <w:t>Publicação de nova versão de norma ABNT ou resolução de conselho profissional durante a execução.</w:t>
            </w:r>
          </w:p>
        </w:tc>
        <w:tc>
          <w:tcPr>
            <w:tcW w:w="1100" w:type="dxa"/>
            <w:shd w:val="clear" w:color="auto" w:fill="DAE8FC"/>
            <w:tcMar>
              <w:top w:w="60" w:type="dxa"/>
              <w:left w:w="100" w:type="dxa"/>
              <w:bottom w:w="60" w:type="dxa"/>
              <w:right w:w="100" w:type="dxa"/>
            </w:tcMar>
            <w:vAlign w:val="center"/>
          </w:tcPr>
          <w:p w14:paraId="236B9ED1" w14:textId="77777777" w:rsidR="00CC37C8" w:rsidRDefault="00FA2179">
            <w:pPr>
              <w:spacing w:after="0"/>
              <w:jc w:val="center"/>
              <w:rPr>
                <w:rFonts w:eastAsia="Arial" w:cs="Arial"/>
                <w:b/>
                <w:bCs/>
                <w:color w:val="1A1A1A"/>
                <w:szCs w:val="18"/>
              </w:rPr>
            </w:pPr>
            <w:r>
              <w:rPr>
                <w:rFonts w:eastAsia="Arial" w:cs="Arial"/>
                <w:b/>
                <w:bCs/>
                <w:color w:val="1A1A1A"/>
                <w:szCs w:val="18"/>
              </w:rPr>
              <w:t>CONTRATANTE</w:t>
            </w:r>
          </w:p>
        </w:tc>
        <w:tc>
          <w:tcPr>
            <w:tcW w:w="3868" w:type="dxa"/>
            <w:shd w:val="clear" w:color="auto" w:fill="FFFFFF"/>
            <w:tcMar>
              <w:top w:w="60" w:type="dxa"/>
              <w:left w:w="100" w:type="dxa"/>
              <w:bottom w:w="60" w:type="dxa"/>
              <w:right w:w="100" w:type="dxa"/>
            </w:tcMar>
            <w:vAlign w:val="center"/>
          </w:tcPr>
          <w:p w14:paraId="72B88327" w14:textId="77777777" w:rsidR="00CC37C8" w:rsidRDefault="00FA2179">
            <w:pPr>
              <w:spacing w:after="0"/>
              <w:rPr>
                <w:rFonts w:eastAsia="Arial" w:cs="Arial"/>
                <w:color w:val="1A1A1A"/>
                <w:szCs w:val="18"/>
              </w:rPr>
            </w:pPr>
            <w:r>
              <w:rPr>
                <w:rFonts w:eastAsia="Arial" w:cs="Arial"/>
                <w:color w:val="1A1A1A"/>
                <w:szCs w:val="18"/>
              </w:rPr>
              <w:t>Art. 124, I, a — fato jurídico superveniente; mudança normativa não conhecida à época da licitação.</w:t>
            </w:r>
          </w:p>
        </w:tc>
        <w:tc>
          <w:tcPr>
            <w:tcW w:w="4968" w:type="dxa"/>
            <w:shd w:val="clear" w:color="auto" w:fill="FFFFFF"/>
            <w:tcMar>
              <w:top w:w="60" w:type="dxa"/>
              <w:left w:w="100" w:type="dxa"/>
              <w:bottom w:w="60" w:type="dxa"/>
              <w:right w:w="100" w:type="dxa"/>
            </w:tcMar>
            <w:vAlign w:val="center"/>
          </w:tcPr>
          <w:p w14:paraId="2B8C5718" w14:textId="77777777" w:rsidR="00CC37C8" w:rsidRDefault="00FA2179">
            <w:pPr>
              <w:spacing w:after="0"/>
              <w:rPr>
                <w:rFonts w:eastAsia="Arial" w:cs="Arial"/>
                <w:color w:val="1A1A1A"/>
                <w:szCs w:val="18"/>
              </w:rPr>
            </w:pPr>
            <w:r>
              <w:rPr>
                <w:rFonts w:eastAsia="Arial" w:cs="Arial"/>
                <w:color w:val="1A1A1A"/>
                <w:szCs w:val="18"/>
              </w:rPr>
              <w:t>Revisão de escopo, prazo e valor mediante aditivo. Contratada deve comunicar formalmente a ocorrência.</w:t>
            </w:r>
          </w:p>
        </w:tc>
      </w:tr>
      <w:tr w:rsidR="00CC37C8" w14:paraId="67EB88A6" w14:textId="77777777">
        <w:tc>
          <w:tcPr>
            <w:tcW w:w="15268" w:type="dxa"/>
            <w:gridSpan w:val="6"/>
            <w:shd w:val="clear" w:color="auto" w:fill="2E4A7A"/>
            <w:tcMar>
              <w:top w:w="60" w:type="dxa"/>
              <w:left w:w="100" w:type="dxa"/>
              <w:bottom w:w="60" w:type="dxa"/>
              <w:right w:w="100" w:type="dxa"/>
            </w:tcMar>
            <w:vAlign w:val="center"/>
          </w:tcPr>
          <w:p w14:paraId="1716FCC3" w14:textId="77777777" w:rsidR="00CC37C8" w:rsidRDefault="00FA2179">
            <w:pPr>
              <w:spacing w:after="0"/>
              <w:jc w:val="center"/>
              <w:rPr>
                <w:rFonts w:eastAsia="Arial" w:cs="Arial"/>
                <w:b/>
                <w:bCs/>
                <w:color w:val="FFFFFF"/>
                <w:szCs w:val="18"/>
              </w:rPr>
            </w:pPr>
            <w:r>
              <w:rPr>
                <w:rFonts w:eastAsia="Arial" w:cs="Arial"/>
                <w:b/>
                <w:bCs/>
                <w:color w:val="FFFFFF"/>
                <w:szCs w:val="18"/>
              </w:rPr>
              <w:t>GRUPO II — RISCOS DA EDIFICAÇÃO EXISTENTE</w:t>
            </w:r>
          </w:p>
        </w:tc>
      </w:tr>
      <w:tr w:rsidR="00CC37C8" w14:paraId="173B4C5D"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51E630E7" w14:textId="77777777" w:rsidR="00CC37C8" w:rsidRDefault="00FA2179">
            <w:pPr>
              <w:spacing w:after="0"/>
              <w:jc w:val="center"/>
              <w:rPr>
                <w:rFonts w:eastAsia="Arial" w:cs="Arial"/>
                <w:b/>
                <w:bCs/>
                <w:color w:val="1A1A1A"/>
                <w:szCs w:val="18"/>
              </w:rPr>
            </w:pPr>
            <w:r>
              <w:rPr>
                <w:rFonts w:eastAsia="Arial" w:cs="Arial"/>
                <w:b/>
                <w:bCs/>
                <w:color w:val="1A1A1A"/>
                <w:szCs w:val="18"/>
              </w:rPr>
              <w:t>MR06</w:t>
            </w:r>
          </w:p>
        </w:tc>
        <w:tc>
          <w:tcPr>
            <w:tcW w:w="2400" w:type="dxa"/>
            <w:shd w:val="clear" w:color="auto" w:fill="FFFFFF"/>
            <w:tcMar>
              <w:top w:w="60" w:type="dxa"/>
              <w:left w:w="100" w:type="dxa"/>
              <w:bottom w:w="60" w:type="dxa"/>
              <w:right w:w="100" w:type="dxa"/>
            </w:tcMar>
            <w:vAlign w:val="center"/>
          </w:tcPr>
          <w:p w14:paraId="06EEFDA4" w14:textId="77777777" w:rsidR="00CC37C8" w:rsidRDefault="00FA2179">
            <w:pPr>
              <w:spacing w:after="0"/>
              <w:rPr>
                <w:rFonts w:eastAsia="Arial" w:cs="Arial"/>
                <w:color w:val="1A1A1A"/>
                <w:szCs w:val="18"/>
              </w:rPr>
            </w:pPr>
            <w:r>
              <w:rPr>
                <w:rFonts w:eastAsia="Arial" w:cs="Arial"/>
                <w:color w:val="1A1A1A"/>
                <w:szCs w:val="18"/>
              </w:rPr>
              <w:t>Vícios ocultos ou patologias estruturais não identificáveis na fase de planejamento</w:t>
            </w:r>
          </w:p>
        </w:tc>
        <w:tc>
          <w:tcPr>
            <w:tcW w:w="2400" w:type="dxa"/>
            <w:shd w:val="clear" w:color="auto" w:fill="FFFFFF"/>
            <w:tcMar>
              <w:top w:w="60" w:type="dxa"/>
              <w:left w:w="100" w:type="dxa"/>
              <w:bottom w:w="60" w:type="dxa"/>
              <w:right w:w="100" w:type="dxa"/>
            </w:tcMar>
            <w:vAlign w:val="center"/>
          </w:tcPr>
          <w:p w14:paraId="19852963" w14:textId="77777777" w:rsidR="00CC37C8" w:rsidRDefault="00FA2179">
            <w:pPr>
              <w:spacing w:after="0"/>
              <w:rPr>
                <w:rFonts w:eastAsia="Arial" w:cs="Arial"/>
                <w:color w:val="1A1A1A"/>
                <w:szCs w:val="18"/>
              </w:rPr>
            </w:pPr>
            <w:r>
              <w:rPr>
                <w:rFonts w:eastAsia="Arial" w:cs="Arial"/>
                <w:color w:val="1A1A1A"/>
                <w:szCs w:val="18"/>
              </w:rPr>
              <w:t>Corrosão interna de armaduras, recalque diferencial, infiltração crônica ou outras patologias não visíveis na vistoria técnica.</w:t>
            </w:r>
          </w:p>
        </w:tc>
        <w:tc>
          <w:tcPr>
            <w:tcW w:w="1100" w:type="dxa"/>
            <w:shd w:val="clear" w:color="auto" w:fill="DAE8FC"/>
            <w:tcMar>
              <w:top w:w="60" w:type="dxa"/>
              <w:left w:w="100" w:type="dxa"/>
              <w:bottom w:w="60" w:type="dxa"/>
              <w:right w:w="100" w:type="dxa"/>
            </w:tcMar>
            <w:vAlign w:val="center"/>
          </w:tcPr>
          <w:p w14:paraId="24918645" w14:textId="77777777" w:rsidR="00CC37C8" w:rsidRDefault="00FA2179">
            <w:pPr>
              <w:spacing w:after="0"/>
              <w:jc w:val="center"/>
              <w:rPr>
                <w:rFonts w:eastAsia="Arial" w:cs="Arial"/>
                <w:b/>
                <w:bCs/>
                <w:color w:val="1A1A1A"/>
                <w:szCs w:val="18"/>
              </w:rPr>
            </w:pPr>
            <w:r>
              <w:rPr>
                <w:rFonts w:eastAsia="Arial" w:cs="Arial"/>
                <w:b/>
                <w:bCs/>
                <w:color w:val="1A1A1A"/>
                <w:szCs w:val="18"/>
              </w:rPr>
              <w:t>CONTRATANTE</w:t>
            </w:r>
          </w:p>
        </w:tc>
        <w:tc>
          <w:tcPr>
            <w:tcW w:w="3868" w:type="dxa"/>
            <w:shd w:val="clear" w:color="auto" w:fill="FFFFFF"/>
            <w:tcMar>
              <w:top w:w="60" w:type="dxa"/>
              <w:left w:w="100" w:type="dxa"/>
              <w:bottom w:w="60" w:type="dxa"/>
              <w:right w:w="100" w:type="dxa"/>
            </w:tcMar>
            <w:vAlign w:val="center"/>
          </w:tcPr>
          <w:p w14:paraId="7DD8CD98" w14:textId="77777777" w:rsidR="00CC37C8" w:rsidRDefault="00FA2179">
            <w:pPr>
              <w:spacing w:after="0"/>
              <w:rPr>
                <w:rFonts w:eastAsia="Arial" w:cs="Arial"/>
                <w:color w:val="1A1A1A"/>
                <w:szCs w:val="18"/>
              </w:rPr>
            </w:pPr>
            <w:r>
              <w:rPr>
                <w:rFonts w:eastAsia="Arial" w:cs="Arial"/>
                <w:color w:val="1A1A1A"/>
                <w:szCs w:val="18"/>
              </w:rPr>
              <w:t>Art. 124, II, d — condição física imprevisível; a Administração não pode transferir ao contratado riscos que ela própria não identificou.</w:t>
            </w:r>
          </w:p>
        </w:tc>
        <w:tc>
          <w:tcPr>
            <w:tcW w:w="4968" w:type="dxa"/>
            <w:shd w:val="clear" w:color="auto" w:fill="FFFFFF"/>
            <w:tcMar>
              <w:top w:w="60" w:type="dxa"/>
              <w:left w:w="100" w:type="dxa"/>
              <w:bottom w:w="60" w:type="dxa"/>
              <w:right w:w="100" w:type="dxa"/>
            </w:tcMar>
            <w:vAlign w:val="center"/>
          </w:tcPr>
          <w:p w14:paraId="015439D5" w14:textId="77777777" w:rsidR="00CC37C8" w:rsidRDefault="00FA2179">
            <w:pPr>
              <w:spacing w:after="0"/>
              <w:rPr>
                <w:rFonts w:eastAsia="Arial" w:cs="Arial"/>
                <w:color w:val="1A1A1A"/>
                <w:szCs w:val="18"/>
              </w:rPr>
            </w:pPr>
            <w:r>
              <w:rPr>
                <w:rFonts w:eastAsia="Arial" w:cs="Arial"/>
                <w:color w:val="1A1A1A"/>
                <w:szCs w:val="18"/>
              </w:rPr>
              <w:t>Revisão de escopo, valor e prazo mediante laudo técnico assinado pelo RT. Aditivo justificado (art. 124 e 125).</w:t>
            </w:r>
          </w:p>
        </w:tc>
      </w:tr>
      <w:tr w:rsidR="00CC37C8" w14:paraId="2BB660A0"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58ED572A" w14:textId="77777777" w:rsidR="00CC37C8" w:rsidRDefault="00FA2179">
            <w:pPr>
              <w:spacing w:after="0"/>
              <w:jc w:val="center"/>
              <w:rPr>
                <w:rFonts w:eastAsia="Arial" w:cs="Arial"/>
                <w:b/>
                <w:bCs/>
                <w:color w:val="1A1A1A"/>
                <w:szCs w:val="18"/>
              </w:rPr>
            </w:pPr>
            <w:r>
              <w:rPr>
                <w:rFonts w:eastAsia="Arial" w:cs="Arial"/>
                <w:b/>
                <w:bCs/>
                <w:color w:val="1A1A1A"/>
                <w:szCs w:val="18"/>
              </w:rPr>
              <w:lastRenderedPageBreak/>
              <w:t>MR07</w:t>
            </w:r>
          </w:p>
        </w:tc>
        <w:tc>
          <w:tcPr>
            <w:tcW w:w="2400" w:type="dxa"/>
            <w:shd w:val="clear" w:color="auto" w:fill="FFFFFF"/>
            <w:tcMar>
              <w:top w:w="60" w:type="dxa"/>
              <w:left w:w="100" w:type="dxa"/>
              <w:bottom w:w="60" w:type="dxa"/>
              <w:right w:w="100" w:type="dxa"/>
            </w:tcMar>
            <w:vAlign w:val="center"/>
          </w:tcPr>
          <w:p w14:paraId="2435C143" w14:textId="77777777" w:rsidR="00CC37C8" w:rsidRDefault="00FA2179">
            <w:pPr>
              <w:spacing w:after="0"/>
              <w:rPr>
                <w:rFonts w:eastAsia="Arial" w:cs="Arial"/>
                <w:color w:val="1A1A1A"/>
                <w:szCs w:val="18"/>
              </w:rPr>
            </w:pPr>
            <w:r>
              <w:rPr>
                <w:rFonts w:eastAsia="Arial" w:cs="Arial"/>
                <w:color w:val="1A1A1A"/>
                <w:szCs w:val="18"/>
              </w:rPr>
              <w:t>Divergência entre condições reais da edificação e as representadas no Projeto Básico</w:t>
            </w:r>
          </w:p>
        </w:tc>
        <w:tc>
          <w:tcPr>
            <w:tcW w:w="2400" w:type="dxa"/>
            <w:shd w:val="clear" w:color="auto" w:fill="FFFFFF"/>
            <w:tcMar>
              <w:top w:w="60" w:type="dxa"/>
              <w:left w:w="100" w:type="dxa"/>
              <w:bottom w:w="60" w:type="dxa"/>
              <w:right w:w="100" w:type="dxa"/>
            </w:tcMar>
            <w:vAlign w:val="center"/>
          </w:tcPr>
          <w:p w14:paraId="3D43DECA" w14:textId="77777777" w:rsidR="00CC37C8" w:rsidRDefault="00FA2179">
            <w:pPr>
              <w:spacing w:after="0"/>
              <w:rPr>
                <w:rFonts w:eastAsia="Arial" w:cs="Arial"/>
                <w:color w:val="1A1A1A"/>
                <w:szCs w:val="18"/>
              </w:rPr>
            </w:pPr>
            <w:r>
              <w:rPr>
                <w:rFonts w:eastAsia="Arial" w:cs="Arial"/>
                <w:color w:val="1A1A1A"/>
                <w:szCs w:val="18"/>
              </w:rPr>
              <w:t>Dimensões reais divergentes do levantamento; instalações embutidas não mapeadas (tubulações, dutos, cabos).</w:t>
            </w:r>
          </w:p>
        </w:tc>
        <w:tc>
          <w:tcPr>
            <w:tcW w:w="1100" w:type="dxa"/>
            <w:shd w:val="clear" w:color="auto" w:fill="E2EFDA"/>
            <w:tcMar>
              <w:top w:w="60" w:type="dxa"/>
              <w:left w:w="100" w:type="dxa"/>
              <w:bottom w:w="60" w:type="dxa"/>
              <w:right w:w="100" w:type="dxa"/>
            </w:tcMar>
            <w:vAlign w:val="center"/>
          </w:tcPr>
          <w:p w14:paraId="6FC6AEBE" w14:textId="77777777" w:rsidR="00CC37C8" w:rsidRDefault="00FA2179">
            <w:pPr>
              <w:spacing w:after="0"/>
              <w:jc w:val="center"/>
              <w:rPr>
                <w:rFonts w:eastAsia="Arial" w:cs="Arial"/>
                <w:b/>
                <w:bCs/>
                <w:color w:val="1A1A1A"/>
                <w:szCs w:val="18"/>
              </w:rPr>
            </w:pPr>
            <w:r>
              <w:rPr>
                <w:rFonts w:eastAsia="Arial" w:cs="Arial"/>
                <w:b/>
                <w:bCs/>
                <w:color w:val="1A1A1A"/>
                <w:szCs w:val="18"/>
              </w:rPr>
              <w:t>COMPARTILHADO</w:t>
            </w:r>
          </w:p>
        </w:tc>
        <w:tc>
          <w:tcPr>
            <w:tcW w:w="3868" w:type="dxa"/>
            <w:shd w:val="clear" w:color="auto" w:fill="FFFFFF"/>
            <w:tcMar>
              <w:top w:w="60" w:type="dxa"/>
              <w:left w:w="100" w:type="dxa"/>
              <w:bottom w:w="60" w:type="dxa"/>
              <w:right w:w="100" w:type="dxa"/>
            </w:tcMar>
            <w:vAlign w:val="center"/>
          </w:tcPr>
          <w:p w14:paraId="342A942D" w14:textId="77777777" w:rsidR="00CC37C8" w:rsidRDefault="00FA2179">
            <w:pPr>
              <w:spacing w:after="0"/>
              <w:rPr>
                <w:rFonts w:eastAsia="Arial" w:cs="Arial"/>
                <w:color w:val="1A1A1A"/>
                <w:szCs w:val="18"/>
              </w:rPr>
            </w:pPr>
            <w:r>
              <w:rPr>
                <w:rFonts w:eastAsia="Arial" w:cs="Arial"/>
                <w:color w:val="1A1A1A"/>
                <w:szCs w:val="18"/>
              </w:rPr>
              <w:t>A Contratada tem dever de vistoriar o local antes da proposta; a Administração é responsável pelo PB. Alocação depende da detectabilidade.</w:t>
            </w:r>
          </w:p>
        </w:tc>
        <w:tc>
          <w:tcPr>
            <w:tcW w:w="4968" w:type="dxa"/>
            <w:shd w:val="clear" w:color="auto" w:fill="FFFFFF"/>
            <w:tcMar>
              <w:top w:w="60" w:type="dxa"/>
              <w:left w:w="100" w:type="dxa"/>
              <w:bottom w:w="60" w:type="dxa"/>
              <w:right w:w="100" w:type="dxa"/>
            </w:tcMar>
            <w:vAlign w:val="center"/>
          </w:tcPr>
          <w:p w14:paraId="60836494" w14:textId="77777777" w:rsidR="00CC37C8" w:rsidRDefault="00FA2179">
            <w:pPr>
              <w:spacing w:after="0"/>
              <w:rPr>
                <w:rFonts w:eastAsia="Arial" w:cs="Arial"/>
                <w:color w:val="1A1A1A"/>
                <w:szCs w:val="18"/>
              </w:rPr>
            </w:pPr>
            <w:r>
              <w:rPr>
                <w:rFonts w:eastAsia="Arial" w:cs="Arial"/>
                <w:color w:val="1A1A1A"/>
                <w:szCs w:val="18"/>
              </w:rPr>
              <w:t>Análise caso a caso pela Fiscalização: se detectável em vistoria ordinária → Contratada; se indetectável → revisão de escopo pela Administração.</w:t>
            </w:r>
          </w:p>
        </w:tc>
      </w:tr>
      <w:tr w:rsidR="00CC37C8" w14:paraId="7BC4C7F7"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0EA5B252" w14:textId="77777777" w:rsidR="00CC37C8" w:rsidRDefault="00FA2179">
            <w:pPr>
              <w:spacing w:after="0"/>
              <w:jc w:val="center"/>
              <w:rPr>
                <w:rFonts w:eastAsia="Arial" w:cs="Arial"/>
                <w:b/>
                <w:bCs/>
                <w:color w:val="1A1A1A"/>
                <w:szCs w:val="18"/>
              </w:rPr>
            </w:pPr>
            <w:r>
              <w:rPr>
                <w:rFonts w:eastAsia="Arial" w:cs="Arial"/>
                <w:b/>
                <w:bCs/>
                <w:color w:val="1A1A1A"/>
                <w:szCs w:val="18"/>
              </w:rPr>
              <w:t>MR08</w:t>
            </w:r>
          </w:p>
        </w:tc>
        <w:tc>
          <w:tcPr>
            <w:tcW w:w="2400" w:type="dxa"/>
            <w:shd w:val="clear" w:color="auto" w:fill="FFFFFF"/>
            <w:tcMar>
              <w:top w:w="60" w:type="dxa"/>
              <w:left w:w="100" w:type="dxa"/>
              <w:bottom w:w="60" w:type="dxa"/>
              <w:right w:w="100" w:type="dxa"/>
            </w:tcMar>
            <w:vAlign w:val="center"/>
          </w:tcPr>
          <w:p w14:paraId="05B69F40" w14:textId="77777777" w:rsidR="00CC37C8" w:rsidRDefault="00FA2179">
            <w:pPr>
              <w:spacing w:after="0"/>
              <w:rPr>
                <w:rFonts w:eastAsia="Arial" w:cs="Arial"/>
                <w:color w:val="1A1A1A"/>
                <w:szCs w:val="18"/>
              </w:rPr>
            </w:pPr>
            <w:r>
              <w:rPr>
                <w:rFonts w:eastAsia="Arial" w:cs="Arial"/>
                <w:color w:val="1A1A1A"/>
                <w:szCs w:val="18"/>
              </w:rPr>
              <w:t>Interferências estruturais (fundações, tubulações embutidas) não representadas no PB</w:t>
            </w:r>
          </w:p>
        </w:tc>
        <w:tc>
          <w:tcPr>
            <w:tcW w:w="2400" w:type="dxa"/>
            <w:shd w:val="clear" w:color="auto" w:fill="FFFFFF"/>
            <w:tcMar>
              <w:top w:w="60" w:type="dxa"/>
              <w:left w:w="100" w:type="dxa"/>
              <w:bottom w:w="60" w:type="dxa"/>
              <w:right w:w="100" w:type="dxa"/>
            </w:tcMar>
            <w:vAlign w:val="center"/>
          </w:tcPr>
          <w:p w14:paraId="4A081B36" w14:textId="77777777" w:rsidR="00CC37C8" w:rsidRDefault="00FA2179">
            <w:pPr>
              <w:spacing w:after="0"/>
              <w:rPr>
                <w:rFonts w:eastAsia="Arial" w:cs="Arial"/>
                <w:color w:val="1A1A1A"/>
                <w:szCs w:val="18"/>
              </w:rPr>
            </w:pPr>
            <w:r>
              <w:rPr>
                <w:rFonts w:eastAsia="Arial" w:cs="Arial"/>
                <w:color w:val="1A1A1A"/>
                <w:szCs w:val="18"/>
              </w:rPr>
              <w:t>Descoberta de elementos construtivos não mapeados durante demolições seletivas.</w:t>
            </w:r>
          </w:p>
        </w:tc>
        <w:tc>
          <w:tcPr>
            <w:tcW w:w="1100" w:type="dxa"/>
            <w:shd w:val="clear" w:color="auto" w:fill="DAE8FC"/>
            <w:tcMar>
              <w:top w:w="60" w:type="dxa"/>
              <w:left w:w="100" w:type="dxa"/>
              <w:bottom w:w="60" w:type="dxa"/>
              <w:right w:w="100" w:type="dxa"/>
            </w:tcMar>
            <w:vAlign w:val="center"/>
          </w:tcPr>
          <w:p w14:paraId="3408D2F7" w14:textId="77777777" w:rsidR="00CC37C8" w:rsidRDefault="00FA2179">
            <w:pPr>
              <w:spacing w:after="0"/>
              <w:jc w:val="center"/>
              <w:rPr>
                <w:rFonts w:eastAsia="Arial" w:cs="Arial"/>
                <w:b/>
                <w:bCs/>
                <w:color w:val="1A1A1A"/>
                <w:szCs w:val="18"/>
              </w:rPr>
            </w:pPr>
            <w:r>
              <w:rPr>
                <w:rFonts w:eastAsia="Arial" w:cs="Arial"/>
                <w:b/>
                <w:bCs/>
                <w:color w:val="1A1A1A"/>
                <w:szCs w:val="18"/>
              </w:rPr>
              <w:t>CONTRATANTE</w:t>
            </w:r>
          </w:p>
        </w:tc>
        <w:tc>
          <w:tcPr>
            <w:tcW w:w="3868" w:type="dxa"/>
            <w:shd w:val="clear" w:color="auto" w:fill="FFFFFF"/>
            <w:tcMar>
              <w:top w:w="60" w:type="dxa"/>
              <w:left w:w="100" w:type="dxa"/>
              <w:bottom w:w="60" w:type="dxa"/>
              <w:right w:w="100" w:type="dxa"/>
            </w:tcMar>
            <w:vAlign w:val="center"/>
          </w:tcPr>
          <w:p w14:paraId="51921A3B" w14:textId="77777777" w:rsidR="00CC37C8" w:rsidRDefault="00FA2179">
            <w:pPr>
              <w:spacing w:after="0"/>
              <w:rPr>
                <w:rFonts w:eastAsia="Arial" w:cs="Arial"/>
                <w:color w:val="1A1A1A"/>
                <w:szCs w:val="18"/>
              </w:rPr>
            </w:pPr>
            <w:r>
              <w:rPr>
                <w:rFonts w:eastAsia="Arial" w:cs="Arial"/>
                <w:color w:val="1A1A1A"/>
                <w:szCs w:val="18"/>
              </w:rPr>
              <w:t>Art. 124, II, d — condição física imprevisível não representada no Projeto Básico.</w:t>
            </w:r>
          </w:p>
        </w:tc>
        <w:tc>
          <w:tcPr>
            <w:tcW w:w="4968" w:type="dxa"/>
            <w:shd w:val="clear" w:color="auto" w:fill="FFFFFF"/>
            <w:tcMar>
              <w:top w:w="60" w:type="dxa"/>
              <w:left w:w="100" w:type="dxa"/>
              <w:bottom w:w="60" w:type="dxa"/>
              <w:right w:w="100" w:type="dxa"/>
            </w:tcMar>
            <w:vAlign w:val="center"/>
          </w:tcPr>
          <w:p w14:paraId="6D0534BA" w14:textId="77777777" w:rsidR="00CC37C8" w:rsidRDefault="00FA2179">
            <w:pPr>
              <w:spacing w:after="0"/>
              <w:rPr>
                <w:rFonts w:eastAsia="Arial" w:cs="Arial"/>
                <w:color w:val="1A1A1A"/>
                <w:szCs w:val="18"/>
              </w:rPr>
            </w:pPr>
            <w:r>
              <w:rPr>
                <w:rFonts w:eastAsia="Arial" w:cs="Arial"/>
                <w:color w:val="1A1A1A"/>
                <w:szCs w:val="18"/>
              </w:rPr>
              <w:t>Revisão pontual de escopo, prazo e valor mediante laudo técnico. Aditivo de reequilíbrio.</w:t>
            </w:r>
          </w:p>
        </w:tc>
      </w:tr>
      <w:tr w:rsidR="00CC37C8" w14:paraId="01672D68"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47384D6F" w14:textId="77777777" w:rsidR="00CC37C8" w:rsidRDefault="00FA2179">
            <w:pPr>
              <w:spacing w:after="0"/>
              <w:jc w:val="center"/>
              <w:rPr>
                <w:rFonts w:eastAsia="Arial" w:cs="Arial"/>
                <w:b/>
                <w:bCs/>
                <w:color w:val="1A1A1A"/>
                <w:szCs w:val="18"/>
              </w:rPr>
            </w:pPr>
            <w:r>
              <w:rPr>
                <w:rFonts w:eastAsia="Arial" w:cs="Arial"/>
                <w:b/>
                <w:bCs/>
                <w:color w:val="1A1A1A"/>
                <w:szCs w:val="18"/>
              </w:rPr>
              <w:t>MR09</w:t>
            </w:r>
          </w:p>
        </w:tc>
        <w:tc>
          <w:tcPr>
            <w:tcW w:w="2400" w:type="dxa"/>
            <w:shd w:val="clear" w:color="auto" w:fill="FFFFFF"/>
            <w:tcMar>
              <w:top w:w="60" w:type="dxa"/>
              <w:left w:w="100" w:type="dxa"/>
              <w:bottom w:w="60" w:type="dxa"/>
              <w:right w:w="100" w:type="dxa"/>
            </w:tcMar>
            <w:vAlign w:val="center"/>
          </w:tcPr>
          <w:p w14:paraId="55FF7B28" w14:textId="77777777" w:rsidR="00CC37C8" w:rsidRDefault="00FA2179">
            <w:pPr>
              <w:spacing w:after="0"/>
              <w:rPr>
                <w:rFonts w:eastAsia="Arial" w:cs="Arial"/>
                <w:color w:val="1A1A1A"/>
                <w:szCs w:val="18"/>
              </w:rPr>
            </w:pPr>
            <w:r>
              <w:rPr>
                <w:rFonts w:eastAsia="Arial" w:cs="Arial"/>
                <w:color w:val="1A1A1A"/>
                <w:szCs w:val="18"/>
              </w:rPr>
              <w:t>Corrosão de elementos metálicos por agressividade marinha (risco ordinário)</w:t>
            </w:r>
          </w:p>
        </w:tc>
        <w:tc>
          <w:tcPr>
            <w:tcW w:w="2400" w:type="dxa"/>
            <w:shd w:val="clear" w:color="auto" w:fill="FFFFFF"/>
            <w:tcMar>
              <w:top w:w="60" w:type="dxa"/>
              <w:left w:w="100" w:type="dxa"/>
              <w:bottom w:w="60" w:type="dxa"/>
              <w:right w:w="100" w:type="dxa"/>
            </w:tcMar>
            <w:vAlign w:val="center"/>
          </w:tcPr>
          <w:p w14:paraId="45249395" w14:textId="77777777" w:rsidR="00CC37C8" w:rsidRDefault="00FA2179">
            <w:pPr>
              <w:spacing w:after="0"/>
              <w:rPr>
                <w:rFonts w:eastAsia="Arial" w:cs="Arial"/>
                <w:color w:val="1A1A1A"/>
                <w:szCs w:val="18"/>
              </w:rPr>
            </w:pPr>
            <w:r>
              <w:rPr>
                <w:rFonts w:eastAsia="Arial" w:cs="Arial"/>
                <w:color w:val="1A1A1A"/>
                <w:szCs w:val="18"/>
              </w:rPr>
              <w:t>Deterioração prematura por uso de materiais inadequados ao ambiente salino, em desacordo com as especificações do PB (NBR 6118, Classe III).</w:t>
            </w:r>
          </w:p>
        </w:tc>
        <w:tc>
          <w:tcPr>
            <w:tcW w:w="1100" w:type="dxa"/>
            <w:shd w:val="clear" w:color="auto" w:fill="FFF2CC"/>
            <w:tcMar>
              <w:top w:w="60" w:type="dxa"/>
              <w:left w:w="100" w:type="dxa"/>
              <w:bottom w:w="60" w:type="dxa"/>
              <w:right w:w="100" w:type="dxa"/>
            </w:tcMar>
            <w:vAlign w:val="center"/>
          </w:tcPr>
          <w:p w14:paraId="273EA41B" w14:textId="77777777" w:rsidR="00CC37C8" w:rsidRDefault="00FA2179">
            <w:pPr>
              <w:spacing w:after="0"/>
              <w:jc w:val="center"/>
              <w:rPr>
                <w:rFonts w:eastAsia="Arial" w:cs="Arial"/>
                <w:b/>
                <w:bCs/>
                <w:color w:val="1A1A1A"/>
                <w:szCs w:val="18"/>
              </w:rPr>
            </w:pPr>
            <w:r>
              <w:rPr>
                <w:rFonts w:eastAsia="Arial" w:cs="Arial"/>
                <w:b/>
                <w:bCs/>
                <w:color w:val="1A1A1A"/>
                <w:szCs w:val="18"/>
              </w:rPr>
              <w:t>CONTRATADA</w:t>
            </w:r>
          </w:p>
        </w:tc>
        <w:tc>
          <w:tcPr>
            <w:tcW w:w="3868" w:type="dxa"/>
            <w:shd w:val="clear" w:color="auto" w:fill="FFFFFF"/>
            <w:tcMar>
              <w:top w:w="60" w:type="dxa"/>
              <w:left w:w="100" w:type="dxa"/>
              <w:bottom w:w="60" w:type="dxa"/>
              <w:right w:w="100" w:type="dxa"/>
            </w:tcMar>
            <w:vAlign w:val="center"/>
          </w:tcPr>
          <w:p w14:paraId="292A65A5" w14:textId="77777777" w:rsidR="00CC37C8" w:rsidRDefault="00FA2179">
            <w:pPr>
              <w:spacing w:after="0"/>
              <w:rPr>
                <w:rFonts w:eastAsia="Arial" w:cs="Arial"/>
                <w:color w:val="1A1A1A"/>
                <w:szCs w:val="18"/>
              </w:rPr>
            </w:pPr>
            <w:r>
              <w:rPr>
                <w:rFonts w:eastAsia="Arial" w:cs="Arial"/>
                <w:color w:val="1A1A1A"/>
                <w:szCs w:val="18"/>
              </w:rPr>
              <w:t>Risco previsível e informado no PB. Materiais especificados já consideram a exposição marinha. Dever técnico da Contratada.</w:t>
            </w:r>
          </w:p>
        </w:tc>
        <w:tc>
          <w:tcPr>
            <w:tcW w:w="4968" w:type="dxa"/>
            <w:shd w:val="clear" w:color="auto" w:fill="FFFFFF"/>
            <w:tcMar>
              <w:top w:w="60" w:type="dxa"/>
              <w:left w:w="100" w:type="dxa"/>
              <w:bottom w:w="60" w:type="dxa"/>
              <w:right w:w="100" w:type="dxa"/>
            </w:tcMar>
            <w:vAlign w:val="center"/>
          </w:tcPr>
          <w:p w14:paraId="5A8A2981" w14:textId="77777777" w:rsidR="00CC37C8" w:rsidRDefault="00FA2179">
            <w:pPr>
              <w:spacing w:after="0"/>
              <w:rPr>
                <w:rFonts w:eastAsia="Arial" w:cs="Arial"/>
                <w:color w:val="1A1A1A"/>
                <w:szCs w:val="18"/>
              </w:rPr>
            </w:pPr>
            <w:r>
              <w:rPr>
                <w:rFonts w:eastAsia="Arial" w:cs="Arial"/>
                <w:color w:val="1A1A1A"/>
                <w:szCs w:val="18"/>
              </w:rPr>
              <w:t>Sem revisão de valor. Substituição ou retrabalho por conta da Contratada. Penalidades por descumprimento de especificações.</w:t>
            </w:r>
          </w:p>
        </w:tc>
      </w:tr>
      <w:tr w:rsidR="00CC37C8" w14:paraId="00F2C9B4" w14:textId="77777777">
        <w:tc>
          <w:tcPr>
            <w:tcW w:w="15268" w:type="dxa"/>
            <w:gridSpan w:val="6"/>
            <w:shd w:val="clear" w:color="auto" w:fill="2E4A7A"/>
            <w:tcMar>
              <w:top w:w="60" w:type="dxa"/>
              <w:left w:w="100" w:type="dxa"/>
              <w:bottom w:w="60" w:type="dxa"/>
              <w:right w:w="100" w:type="dxa"/>
            </w:tcMar>
            <w:vAlign w:val="center"/>
          </w:tcPr>
          <w:p w14:paraId="6E45A5B4" w14:textId="77777777" w:rsidR="00CC37C8" w:rsidRDefault="00FA2179">
            <w:pPr>
              <w:spacing w:after="0"/>
              <w:jc w:val="center"/>
              <w:rPr>
                <w:rFonts w:eastAsia="Arial" w:cs="Arial"/>
                <w:b/>
                <w:bCs/>
                <w:color w:val="FFFFFF"/>
                <w:szCs w:val="18"/>
              </w:rPr>
            </w:pPr>
            <w:r>
              <w:rPr>
                <w:rFonts w:eastAsia="Arial" w:cs="Arial"/>
                <w:b/>
                <w:bCs/>
                <w:color w:val="FFFFFF"/>
                <w:szCs w:val="18"/>
              </w:rPr>
              <w:t>GRUPO III — RISCOS ECONÔMICOS E FINANCEIROS</w:t>
            </w:r>
          </w:p>
        </w:tc>
      </w:tr>
      <w:tr w:rsidR="00CC37C8" w14:paraId="579DF13E"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7D30BF33" w14:textId="77777777" w:rsidR="00CC37C8" w:rsidRDefault="00FA2179">
            <w:pPr>
              <w:spacing w:after="0"/>
              <w:jc w:val="center"/>
              <w:rPr>
                <w:rFonts w:eastAsia="Arial" w:cs="Arial"/>
                <w:b/>
                <w:bCs/>
                <w:color w:val="1A1A1A"/>
                <w:szCs w:val="18"/>
              </w:rPr>
            </w:pPr>
            <w:r>
              <w:rPr>
                <w:rFonts w:eastAsia="Arial" w:cs="Arial"/>
                <w:b/>
                <w:bCs/>
                <w:color w:val="1A1A1A"/>
                <w:szCs w:val="18"/>
              </w:rPr>
              <w:t>MR10</w:t>
            </w:r>
          </w:p>
        </w:tc>
        <w:tc>
          <w:tcPr>
            <w:tcW w:w="2400" w:type="dxa"/>
            <w:shd w:val="clear" w:color="auto" w:fill="FFFFFF"/>
            <w:tcMar>
              <w:top w:w="60" w:type="dxa"/>
              <w:left w:w="100" w:type="dxa"/>
              <w:bottom w:w="60" w:type="dxa"/>
              <w:right w:w="100" w:type="dxa"/>
            </w:tcMar>
            <w:vAlign w:val="center"/>
          </w:tcPr>
          <w:p w14:paraId="52240C4D" w14:textId="77777777" w:rsidR="00CC37C8" w:rsidRDefault="00FA2179">
            <w:pPr>
              <w:spacing w:after="0"/>
              <w:rPr>
                <w:rFonts w:eastAsia="Arial" w:cs="Arial"/>
                <w:color w:val="1A1A1A"/>
                <w:szCs w:val="18"/>
              </w:rPr>
            </w:pPr>
            <w:r>
              <w:rPr>
                <w:rFonts w:eastAsia="Arial" w:cs="Arial"/>
                <w:color w:val="1A1A1A"/>
                <w:szCs w:val="18"/>
              </w:rPr>
              <w:t>Variação normal de preços de insumos durante a execução</w:t>
            </w:r>
          </w:p>
        </w:tc>
        <w:tc>
          <w:tcPr>
            <w:tcW w:w="2400" w:type="dxa"/>
            <w:shd w:val="clear" w:color="auto" w:fill="FFFFFF"/>
            <w:tcMar>
              <w:top w:w="60" w:type="dxa"/>
              <w:left w:w="100" w:type="dxa"/>
              <w:bottom w:w="60" w:type="dxa"/>
              <w:right w:w="100" w:type="dxa"/>
            </w:tcMar>
            <w:vAlign w:val="center"/>
          </w:tcPr>
          <w:p w14:paraId="4BF8C641" w14:textId="77777777" w:rsidR="00CC37C8" w:rsidRDefault="00FA2179">
            <w:pPr>
              <w:spacing w:after="0"/>
              <w:rPr>
                <w:rFonts w:eastAsia="Arial" w:cs="Arial"/>
                <w:color w:val="1A1A1A"/>
                <w:szCs w:val="18"/>
              </w:rPr>
            </w:pPr>
            <w:r>
              <w:rPr>
                <w:rFonts w:eastAsia="Arial" w:cs="Arial"/>
                <w:color w:val="1A1A1A"/>
                <w:szCs w:val="18"/>
              </w:rPr>
              <w:t>Oscilação de preços de materiais (cimento, aço, telha de fibrocimento, manta asfáltica, revestimento cerâmico) dentro da variação ordinária.</w:t>
            </w:r>
          </w:p>
        </w:tc>
        <w:tc>
          <w:tcPr>
            <w:tcW w:w="1100" w:type="dxa"/>
            <w:shd w:val="clear" w:color="auto" w:fill="FFF2CC"/>
            <w:tcMar>
              <w:top w:w="60" w:type="dxa"/>
              <w:left w:w="100" w:type="dxa"/>
              <w:bottom w:w="60" w:type="dxa"/>
              <w:right w:w="100" w:type="dxa"/>
            </w:tcMar>
            <w:vAlign w:val="center"/>
          </w:tcPr>
          <w:p w14:paraId="21DA951D" w14:textId="77777777" w:rsidR="00CC37C8" w:rsidRDefault="00FA2179">
            <w:pPr>
              <w:spacing w:after="0"/>
              <w:jc w:val="center"/>
              <w:rPr>
                <w:rFonts w:eastAsia="Arial" w:cs="Arial"/>
                <w:b/>
                <w:bCs/>
                <w:color w:val="1A1A1A"/>
                <w:szCs w:val="18"/>
              </w:rPr>
            </w:pPr>
            <w:r>
              <w:rPr>
                <w:rFonts w:eastAsia="Arial" w:cs="Arial"/>
                <w:b/>
                <w:bCs/>
                <w:color w:val="1A1A1A"/>
                <w:szCs w:val="18"/>
              </w:rPr>
              <w:t>CONTRATADA</w:t>
            </w:r>
          </w:p>
        </w:tc>
        <w:tc>
          <w:tcPr>
            <w:tcW w:w="3868" w:type="dxa"/>
            <w:shd w:val="clear" w:color="auto" w:fill="FFFFFF"/>
            <w:tcMar>
              <w:top w:w="60" w:type="dxa"/>
              <w:left w:w="100" w:type="dxa"/>
              <w:bottom w:w="60" w:type="dxa"/>
              <w:right w:w="100" w:type="dxa"/>
            </w:tcMar>
            <w:vAlign w:val="center"/>
          </w:tcPr>
          <w:p w14:paraId="599749C8" w14:textId="77777777" w:rsidR="00CC37C8" w:rsidRDefault="00FA2179">
            <w:pPr>
              <w:spacing w:after="0"/>
              <w:rPr>
                <w:rFonts w:eastAsia="Arial" w:cs="Arial"/>
                <w:color w:val="1A1A1A"/>
                <w:szCs w:val="18"/>
              </w:rPr>
            </w:pPr>
            <w:r>
              <w:rPr>
                <w:rFonts w:eastAsia="Arial" w:cs="Arial"/>
                <w:color w:val="1A1A1A"/>
                <w:szCs w:val="18"/>
              </w:rPr>
              <w:t>Risco ordinário da atividade empresarial. BDI de 20,91% inclui provisão para contingências normais do negócio.</w:t>
            </w:r>
          </w:p>
        </w:tc>
        <w:tc>
          <w:tcPr>
            <w:tcW w:w="4968" w:type="dxa"/>
            <w:shd w:val="clear" w:color="auto" w:fill="FFFFFF"/>
            <w:tcMar>
              <w:top w:w="60" w:type="dxa"/>
              <w:left w:w="100" w:type="dxa"/>
              <w:bottom w:w="60" w:type="dxa"/>
              <w:right w:w="100" w:type="dxa"/>
            </w:tcMar>
            <w:vAlign w:val="center"/>
          </w:tcPr>
          <w:p w14:paraId="1BF66C1A" w14:textId="77777777" w:rsidR="00CC37C8" w:rsidRDefault="00FA2179">
            <w:pPr>
              <w:spacing w:after="0"/>
              <w:rPr>
                <w:rFonts w:eastAsia="Arial" w:cs="Arial"/>
                <w:color w:val="1A1A1A"/>
                <w:szCs w:val="18"/>
              </w:rPr>
            </w:pPr>
            <w:r>
              <w:rPr>
                <w:rFonts w:eastAsia="Arial" w:cs="Arial"/>
                <w:color w:val="1A1A1A"/>
                <w:szCs w:val="18"/>
              </w:rPr>
              <w:t>Sem revisão de valor. Risco absorvido pela Contratada como condição do negócio licitado.</w:t>
            </w:r>
          </w:p>
        </w:tc>
      </w:tr>
      <w:tr w:rsidR="00CC37C8" w14:paraId="5C556E2D"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613CC285" w14:textId="77777777" w:rsidR="00CC37C8" w:rsidRDefault="00FA2179">
            <w:pPr>
              <w:spacing w:after="0"/>
              <w:jc w:val="center"/>
              <w:rPr>
                <w:rFonts w:eastAsia="Arial" w:cs="Arial"/>
                <w:b/>
                <w:bCs/>
                <w:color w:val="1A1A1A"/>
                <w:szCs w:val="18"/>
              </w:rPr>
            </w:pPr>
            <w:r>
              <w:rPr>
                <w:rFonts w:eastAsia="Arial" w:cs="Arial"/>
                <w:b/>
                <w:bCs/>
                <w:color w:val="1A1A1A"/>
                <w:szCs w:val="18"/>
              </w:rPr>
              <w:t>MR11</w:t>
            </w:r>
          </w:p>
        </w:tc>
        <w:tc>
          <w:tcPr>
            <w:tcW w:w="2400" w:type="dxa"/>
            <w:shd w:val="clear" w:color="auto" w:fill="FFFFFF"/>
            <w:tcMar>
              <w:top w:w="60" w:type="dxa"/>
              <w:left w:w="100" w:type="dxa"/>
              <w:bottom w:w="60" w:type="dxa"/>
              <w:right w:w="100" w:type="dxa"/>
            </w:tcMar>
            <w:vAlign w:val="center"/>
          </w:tcPr>
          <w:p w14:paraId="72FF50D7" w14:textId="77777777" w:rsidR="00CC37C8" w:rsidRDefault="00FA2179">
            <w:pPr>
              <w:spacing w:after="0"/>
              <w:rPr>
                <w:rFonts w:eastAsia="Arial" w:cs="Arial"/>
                <w:color w:val="1A1A1A"/>
                <w:szCs w:val="18"/>
              </w:rPr>
            </w:pPr>
            <w:r>
              <w:rPr>
                <w:rFonts w:eastAsia="Arial" w:cs="Arial"/>
                <w:color w:val="1A1A1A"/>
                <w:szCs w:val="18"/>
              </w:rPr>
              <w:t>Variação extraordinária de preços por eventos imprevisíveis e alheios às partes</w:t>
            </w:r>
          </w:p>
        </w:tc>
        <w:tc>
          <w:tcPr>
            <w:tcW w:w="2400" w:type="dxa"/>
            <w:shd w:val="clear" w:color="auto" w:fill="FFFFFF"/>
            <w:tcMar>
              <w:top w:w="60" w:type="dxa"/>
              <w:left w:w="100" w:type="dxa"/>
              <w:bottom w:w="60" w:type="dxa"/>
              <w:right w:w="100" w:type="dxa"/>
            </w:tcMar>
            <w:vAlign w:val="center"/>
          </w:tcPr>
          <w:p w14:paraId="47CD30DB" w14:textId="77777777" w:rsidR="00CC37C8" w:rsidRDefault="00FA2179">
            <w:pPr>
              <w:spacing w:after="0"/>
              <w:rPr>
                <w:rFonts w:eastAsia="Arial" w:cs="Arial"/>
                <w:color w:val="1A1A1A"/>
                <w:szCs w:val="18"/>
              </w:rPr>
            </w:pPr>
            <w:r>
              <w:rPr>
                <w:rFonts w:eastAsia="Arial" w:cs="Arial"/>
                <w:color w:val="1A1A1A"/>
                <w:szCs w:val="18"/>
              </w:rPr>
              <w:t xml:space="preserve">Alta anormal de preços decorrente de crises de abastecimento, embargos, catástrofes ou outros fatores </w:t>
            </w:r>
            <w:r>
              <w:rPr>
                <w:rFonts w:eastAsia="Arial" w:cs="Arial"/>
                <w:color w:val="1A1A1A"/>
                <w:szCs w:val="18"/>
              </w:rPr>
              <w:lastRenderedPageBreak/>
              <w:t>supervenientes e extraordinários.</w:t>
            </w:r>
          </w:p>
        </w:tc>
        <w:tc>
          <w:tcPr>
            <w:tcW w:w="1100" w:type="dxa"/>
            <w:shd w:val="clear" w:color="auto" w:fill="DAE8FC"/>
            <w:tcMar>
              <w:top w:w="60" w:type="dxa"/>
              <w:left w:w="100" w:type="dxa"/>
              <w:bottom w:w="60" w:type="dxa"/>
              <w:right w:w="100" w:type="dxa"/>
            </w:tcMar>
            <w:vAlign w:val="center"/>
          </w:tcPr>
          <w:p w14:paraId="25D81900" w14:textId="77777777" w:rsidR="00CC37C8" w:rsidRDefault="00FA2179">
            <w:pPr>
              <w:spacing w:after="0"/>
              <w:jc w:val="center"/>
              <w:rPr>
                <w:rFonts w:eastAsia="Arial" w:cs="Arial"/>
                <w:b/>
                <w:bCs/>
                <w:color w:val="1A1A1A"/>
                <w:szCs w:val="18"/>
              </w:rPr>
            </w:pPr>
            <w:r>
              <w:rPr>
                <w:rFonts w:eastAsia="Arial" w:cs="Arial"/>
                <w:b/>
                <w:bCs/>
                <w:color w:val="1A1A1A"/>
                <w:szCs w:val="18"/>
              </w:rPr>
              <w:lastRenderedPageBreak/>
              <w:t>CONTRATANTE</w:t>
            </w:r>
          </w:p>
        </w:tc>
        <w:tc>
          <w:tcPr>
            <w:tcW w:w="3868" w:type="dxa"/>
            <w:shd w:val="clear" w:color="auto" w:fill="FFFFFF"/>
            <w:tcMar>
              <w:top w:w="60" w:type="dxa"/>
              <w:left w:w="100" w:type="dxa"/>
              <w:bottom w:w="60" w:type="dxa"/>
              <w:right w:w="100" w:type="dxa"/>
            </w:tcMar>
            <w:vAlign w:val="center"/>
          </w:tcPr>
          <w:p w14:paraId="6E43EDDD" w14:textId="77777777" w:rsidR="00CC37C8" w:rsidRDefault="00FA2179">
            <w:pPr>
              <w:spacing w:after="0"/>
              <w:rPr>
                <w:rFonts w:eastAsia="Arial" w:cs="Arial"/>
                <w:color w:val="1A1A1A"/>
                <w:szCs w:val="18"/>
              </w:rPr>
            </w:pPr>
            <w:r>
              <w:rPr>
                <w:rFonts w:eastAsia="Arial" w:cs="Arial"/>
                <w:color w:val="1A1A1A"/>
                <w:szCs w:val="18"/>
              </w:rPr>
              <w:t>Art. 124, II, d — desequilíbrio econômico-financeiro por fato imprevisível; reequilíbrio conforme art. 131.</w:t>
            </w:r>
          </w:p>
        </w:tc>
        <w:tc>
          <w:tcPr>
            <w:tcW w:w="4968" w:type="dxa"/>
            <w:shd w:val="clear" w:color="auto" w:fill="FFFFFF"/>
            <w:tcMar>
              <w:top w:w="60" w:type="dxa"/>
              <w:left w:w="100" w:type="dxa"/>
              <w:bottom w:w="60" w:type="dxa"/>
              <w:right w:w="100" w:type="dxa"/>
            </w:tcMar>
            <w:vAlign w:val="center"/>
          </w:tcPr>
          <w:p w14:paraId="3F092175" w14:textId="77777777" w:rsidR="00CC37C8" w:rsidRDefault="00FA2179">
            <w:pPr>
              <w:spacing w:after="0"/>
              <w:rPr>
                <w:rFonts w:eastAsia="Arial" w:cs="Arial"/>
                <w:color w:val="1A1A1A"/>
                <w:szCs w:val="18"/>
              </w:rPr>
            </w:pPr>
            <w:r>
              <w:rPr>
                <w:rFonts w:eastAsia="Arial" w:cs="Arial"/>
                <w:color w:val="1A1A1A"/>
                <w:szCs w:val="18"/>
              </w:rPr>
              <w:t>Revisão de preços mediante comparativo SINAPI vigente vs. data-base e notas fiscais. Aditivo após análise da Administração.</w:t>
            </w:r>
          </w:p>
        </w:tc>
      </w:tr>
      <w:tr w:rsidR="00CC37C8" w14:paraId="36B3F4AE"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5470AB08" w14:textId="77777777" w:rsidR="00CC37C8" w:rsidRDefault="00FA2179">
            <w:pPr>
              <w:spacing w:after="0"/>
              <w:jc w:val="center"/>
              <w:rPr>
                <w:rFonts w:eastAsia="Arial" w:cs="Arial"/>
                <w:b/>
                <w:bCs/>
                <w:color w:val="1A1A1A"/>
                <w:szCs w:val="18"/>
              </w:rPr>
            </w:pPr>
            <w:r>
              <w:rPr>
                <w:rFonts w:eastAsia="Arial" w:cs="Arial"/>
                <w:b/>
                <w:bCs/>
                <w:color w:val="1A1A1A"/>
                <w:szCs w:val="18"/>
              </w:rPr>
              <w:t>MR12</w:t>
            </w:r>
          </w:p>
        </w:tc>
        <w:tc>
          <w:tcPr>
            <w:tcW w:w="2400" w:type="dxa"/>
            <w:shd w:val="clear" w:color="auto" w:fill="FFFFFF"/>
            <w:tcMar>
              <w:top w:w="60" w:type="dxa"/>
              <w:left w:w="100" w:type="dxa"/>
              <w:bottom w:w="60" w:type="dxa"/>
              <w:right w:w="100" w:type="dxa"/>
            </w:tcMar>
            <w:vAlign w:val="center"/>
          </w:tcPr>
          <w:p w14:paraId="015E4753" w14:textId="77777777" w:rsidR="00CC37C8" w:rsidRDefault="00FA2179">
            <w:pPr>
              <w:spacing w:after="0"/>
              <w:rPr>
                <w:rFonts w:eastAsia="Arial" w:cs="Arial"/>
                <w:color w:val="1A1A1A"/>
                <w:szCs w:val="18"/>
              </w:rPr>
            </w:pPr>
            <w:r>
              <w:rPr>
                <w:rFonts w:eastAsia="Arial" w:cs="Arial"/>
                <w:color w:val="1A1A1A"/>
                <w:szCs w:val="18"/>
              </w:rPr>
              <w:t>Custos logísticos de acesso ao canteiro e transporte de insumos</w:t>
            </w:r>
          </w:p>
        </w:tc>
        <w:tc>
          <w:tcPr>
            <w:tcW w:w="2400" w:type="dxa"/>
            <w:shd w:val="clear" w:color="auto" w:fill="FFFFFF"/>
            <w:tcMar>
              <w:top w:w="60" w:type="dxa"/>
              <w:left w:w="100" w:type="dxa"/>
              <w:bottom w:w="60" w:type="dxa"/>
              <w:right w:w="100" w:type="dxa"/>
            </w:tcMar>
            <w:vAlign w:val="center"/>
          </w:tcPr>
          <w:p w14:paraId="18E2E078" w14:textId="77777777" w:rsidR="00CC37C8" w:rsidRDefault="00FA2179">
            <w:pPr>
              <w:spacing w:after="0"/>
              <w:rPr>
                <w:rFonts w:eastAsia="Arial" w:cs="Arial"/>
                <w:color w:val="1A1A1A"/>
                <w:szCs w:val="18"/>
              </w:rPr>
            </w:pPr>
            <w:r>
              <w:rPr>
                <w:rFonts w:eastAsia="Arial" w:cs="Arial"/>
                <w:color w:val="1A1A1A"/>
                <w:szCs w:val="18"/>
              </w:rPr>
              <w:t>Elevação de custos de transporte por dificuldades de acesso à Praia de Barra de Catuama e distância dos fornecedores.</w:t>
            </w:r>
          </w:p>
        </w:tc>
        <w:tc>
          <w:tcPr>
            <w:tcW w:w="1100" w:type="dxa"/>
            <w:shd w:val="clear" w:color="auto" w:fill="FFF2CC"/>
            <w:tcMar>
              <w:top w:w="60" w:type="dxa"/>
              <w:left w:w="100" w:type="dxa"/>
              <w:bottom w:w="60" w:type="dxa"/>
              <w:right w:w="100" w:type="dxa"/>
            </w:tcMar>
            <w:vAlign w:val="center"/>
          </w:tcPr>
          <w:p w14:paraId="52CA209A" w14:textId="77777777" w:rsidR="00CC37C8" w:rsidRDefault="00FA2179">
            <w:pPr>
              <w:spacing w:after="0"/>
              <w:jc w:val="center"/>
              <w:rPr>
                <w:rFonts w:eastAsia="Arial" w:cs="Arial"/>
                <w:b/>
                <w:bCs/>
                <w:color w:val="1A1A1A"/>
                <w:szCs w:val="18"/>
              </w:rPr>
            </w:pPr>
            <w:r>
              <w:rPr>
                <w:rFonts w:eastAsia="Arial" w:cs="Arial"/>
                <w:b/>
                <w:bCs/>
                <w:color w:val="1A1A1A"/>
                <w:szCs w:val="18"/>
              </w:rPr>
              <w:t>CONTRATADA</w:t>
            </w:r>
          </w:p>
        </w:tc>
        <w:tc>
          <w:tcPr>
            <w:tcW w:w="3868" w:type="dxa"/>
            <w:shd w:val="clear" w:color="auto" w:fill="FFFFFF"/>
            <w:tcMar>
              <w:top w:w="60" w:type="dxa"/>
              <w:left w:w="100" w:type="dxa"/>
              <w:bottom w:w="60" w:type="dxa"/>
              <w:right w:w="100" w:type="dxa"/>
            </w:tcMar>
            <w:vAlign w:val="center"/>
          </w:tcPr>
          <w:p w14:paraId="2F51A474" w14:textId="77777777" w:rsidR="00CC37C8" w:rsidRDefault="00FA2179">
            <w:pPr>
              <w:spacing w:after="0"/>
              <w:rPr>
                <w:rFonts w:eastAsia="Arial" w:cs="Arial"/>
                <w:color w:val="1A1A1A"/>
                <w:szCs w:val="18"/>
              </w:rPr>
            </w:pPr>
            <w:r>
              <w:rPr>
                <w:rFonts w:eastAsia="Arial" w:cs="Arial"/>
                <w:color w:val="1A1A1A"/>
                <w:szCs w:val="18"/>
              </w:rPr>
              <w:t>Risco previsível e informado no PB. Localização da obra era pública e de conhecimento anterior à proposta.</w:t>
            </w:r>
          </w:p>
        </w:tc>
        <w:tc>
          <w:tcPr>
            <w:tcW w:w="4968" w:type="dxa"/>
            <w:shd w:val="clear" w:color="auto" w:fill="FFFFFF"/>
            <w:tcMar>
              <w:top w:w="60" w:type="dxa"/>
              <w:left w:w="100" w:type="dxa"/>
              <w:bottom w:w="60" w:type="dxa"/>
              <w:right w:w="100" w:type="dxa"/>
            </w:tcMar>
            <w:vAlign w:val="center"/>
          </w:tcPr>
          <w:p w14:paraId="6A1EB288" w14:textId="77777777" w:rsidR="00CC37C8" w:rsidRDefault="00FA2179">
            <w:pPr>
              <w:spacing w:after="0"/>
              <w:rPr>
                <w:rFonts w:eastAsia="Arial" w:cs="Arial"/>
                <w:color w:val="1A1A1A"/>
                <w:szCs w:val="18"/>
              </w:rPr>
            </w:pPr>
            <w:r>
              <w:rPr>
                <w:rFonts w:eastAsia="Arial" w:cs="Arial"/>
                <w:color w:val="1A1A1A"/>
                <w:szCs w:val="18"/>
              </w:rPr>
              <w:t>Sem revisão de valor. Risco embutido na proposta comercial da Contratada.</w:t>
            </w:r>
          </w:p>
        </w:tc>
      </w:tr>
      <w:tr w:rsidR="00CC37C8" w14:paraId="7946CEE1"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30BE98EB" w14:textId="77777777" w:rsidR="00CC37C8" w:rsidRDefault="00FA2179">
            <w:pPr>
              <w:spacing w:after="0"/>
              <w:jc w:val="center"/>
              <w:rPr>
                <w:rFonts w:eastAsia="Arial" w:cs="Arial"/>
                <w:b/>
                <w:bCs/>
                <w:color w:val="1A1A1A"/>
                <w:szCs w:val="18"/>
              </w:rPr>
            </w:pPr>
            <w:r>
              <w:rPr>
                <w:rFonts w:eastAsia="Arial" w:cs="Arial"/>
                <w:b/>
                <w:bCs/>
                <w:color w:val="1A1A1A"/>
                <w:szCs w:val="18"/>
              </w:rPr>
              <w:t>MR13</w:t>
            </w:r>
          </w:p>
        </w:tc>
        <w:tc>
          <w:tcPr>
            <w:tcW w:w="2400" w:type="dxa"/>
            <w:shd w:val="clear" w:color="auto" w:fill="FFFFFF"/>
            <w:tcMar>
              <w:top w:w="60" w:type="dxa"/>
              <w:left w:w="100" w:type="dxa"/>
              <w:bottom w:w="60" w:type="dxa"/>
              <w:right w:w="100" w:type="dxa"/>
            </w:tcMar>
            <w:vAlign w:val="center"/>
          </w:tcPr>
          <w:p w14:paraId="1AFD43D1" w14:textId="77777777" w:rsidR="00CC37C8" w:rsidRDefault="00FA2179">
            <w:pPr>
              <w:spacing w:after="0"/>
              <w:rPr>
                <w:rFonts w:eastAsia="Arial" w:cs="Arial"/>
                <w:color w:val="1A1A1A"/>
                <w:szCs w:val="18"/>
              </w:rPr>
            </w:pPr>
            <w:r>
              <w:rPr>
                <w:rFonts w:eastAsia="Arial" w:cs="Arial"/>
                <w:color w:val="1A1A1A"/>
                <w:szCs w:val="18"/>
              </w:rPr>
              <w:t>Inadimplência ou atraso nos pagamentos pela Administração</w:t>
            </w:r>
          </w:p>
        </w:tc>
        <w:tc>
          <w:tcPr>
            <w:tcW w:w="2400" w:type="dxa"/>
            <w:shd w:val="clear" w:color="auto" w:fill="FFFFFF"/>
            <w:tcMar>
              <w:top w:w="60" w:type="dxa"/>
              <w:left w:w="100" w:type="dxa"/>
              <w:bottom w:w="60" w:type="dxa"/>
              <w:right w:w="100" w:type="dxa"/>
            </w:tcMar>
            <w:vAlign w:val="center"/>
          </w:tcPr>
          <w:p w14:paraId="011F779B" w14:textId="77777777" w:rsidR="00CC37C8" w:rsidRDefault="00FA2179">
            <w:pPr>
              <w:spacing w:after="0"/>
              <w:rPr>
                <w:rFonts w:eastAsia="Arial" w:cs="Arial"/>
                <w:color w:val="1A1A1A"/>
                <w:szCs w:val="18"/>
              </w:rPr>
            </w:pPr>
            <w:r>
              <w:rPr>
                <w:rFonts w:eastAsia="Arial" w:cs="Arial"/>
                <w:color w:val="1A1A1A"/>
                <w:szCs w:val="18"/>
              </w:rPr>
              <w:t>Indisponibilidade de dotação, atraso no processamento de faturas ou bloqueio de recursos.</w:t>
            </w:r>
          </w:p>
        </w:tc>
        <w:tc>
          <w:tcPr>
            <w:tcW w:w="1100" w:type="dxa"/>
            <w:shd w:val="clear" w:color="auto" w:fill="DAE8FC"/>
            <w:tcMar>
              <w:top w:w="60" w:type="dxa"/>
              <w:left w:w="100" w:type="dxa"/>
              <w:bottom w:w="60" w:type="dxa"/>
              <w:right w:w="100" w:type="dxa"/>
            </w:tcMar>
            <w:vAlign w:val="center"/>
          </w:tcPr>
          <w:p w14:paraId="2F3C1E25" w14:textId="77777777" w:rsidR="00CC37C8" w:rsidRDefault="00FA2179">
            <w:pPr>
              <w:spacing w:after="0"/>
              <w:jc w:val="center"/>
              <w:rPr>
                <w:rFonts w:eastAsia="Arial" w:cs="Arial"/>
                <w:b/>
                <w:bCs/>
                <w:color w:val="1A1A1A"/>
                <w:szCs w:val="18"/>
              </w:rPr>
            </w:pPr>
            <w:r>
              <w:rPr>
                <w:rFonts w:eastAsia="Arial" w:cs="Arial"/>
                <w:b/>
                <w:bCs/>
                <w:color w:val="1A1A1A"/>
                <w:szCs w:val="18"/>
              </w:rPr>
              <w:t>CONTRATANTE</w:t>
            </w:r>
          </w:p>
        </w:tc>
        <w:tc>
          <w:tcPr>
            <w:tcW w:w="3868" w:type="dxa"/>
            <w:shd w:val="clear" w:color="auto" w:fill="FFFFFF"/>
            <w:tcMar>
              <w:top w:w="60" w:type="dxa"/>
              <w:left w:w="100" w:type="dxa"/>
              <w:bottom w:w="60" w:type="dxa"/>
              <w:right w:w="100" w:type="dxa"/>
            </w:tcMar>
            <w:vAlign w:val="center"/>
          </w:tcPr>
          <w:p w14:paraId="305D4B0F" w14:textId="77777777" w:rsidR="00CC37C8" w:rsidRDefault="00FA2179">
            <w:pPr>
              <w:spacing w:after="0"/>
              <w:rPr>
                <w:rFonts w:eastAsia="Arial" w:cs="Arial"/>
                <w:color w:val="1A1A1A"/>
                <w:szCs w:val="18"/>
              </w:rPr>
            </w:pPr>
            <w:r>
              <w:rPr>
                <w:rFonts w:eastAsia="Arial" w:cs="Arial"/>
                <w:color w:val="1A1A1A"/>
                <w:szCs w:val="18"/>
              </w:rPr>
              <w:t>Art. 92, §2°, Lei 14.133/2021; LRF (LC 101/2000); obrigação de pagamento no prazo contratual.</w:t>
            </w:r>
          </w:p>
        </w:tc>
        <w:tc>
          <w:tcPr>
            <w:tcW w:w="4968" w:type="dxa"/>
            <w:shd w:val="clear" w:color="auto" w:fill="FFFFFF"/>
            <w:tcMar>
              <w:top w:w="60" w:type="dxa"/>
              <w:left w:w="100" w:type="dxa"/>
              <w:bottom w:w="60" w:type="dxa"/>
              <w:right w:w="100" w:type="dxa"/>
            </w:tcMar>
            <w:vAlign w:val="center"/>
          </w:tcPr>
          <w:p w14:paraId="061546B9" w14:textId="77777777" w:rsidR="00CC37C8" w:rsidRDefault="00FA2179">
            <w:pPr>
              <w:spacing w:after="0"/>
              <w:rPr>
                <w:rFonts w:eastAsia="Arial" w:cs="Arial"/>
                <w:color w:val="1A1A1A"/>
                <w:szCs w:val="18"/>
              </w:rPr>
            </w:pPr>
            <w:r>
              <w:rPr>
                <w:rFonts w:eastAsia="Arial" w:cs="Arial"/>
                <w:color w:val="1A1A1A"/>
                <w:szCs w:val="18"/>
              </w:rPr>
              <w:t>Correção monetária (IPCA) + juros legais. Possibilidade de rescisão por culpa da Administração (art. 137, III).</w:t>
            </w:r>
          </w:p>
        </w:tc>
      </w:tr>
      <w:tr w:rsidR="00CC37C8" w14:paraId="19284D9D" w14:textId="77777777">
        <w:tc>
          <w:tcPr>
            <w:tcW w:w="15268" w:type="dxa"/>
            <w:gridSpan w:val="6"/>
            <w:shd w:val="clear" w:color="auto" w:fill="2E4A7A"/>
            <w:tcMar>
              <w:top w:w="60" w:type="dxa"/>
              <w:left w:w="100" w:type="dxa"/>
              <w:bottom w:w="60" w:type="dxa"/>
              <w:right w:w="100" w:type="dxa"/>
            </w:tcMar>
            <w:vAlign w:val="center"/>
          </w:tcPr>
          <w:p w14:paraId="2C7B819E" w14:textId="77777777" w:rsidR="00CC37C8" w:rsidRDefault="00FA2179">
            <w:pPr>
              <w:spacing w:after="0"/>
              <w:jc w:val="center"/>
              <w:rPr>
                <w:rFonts w:eastAsia="Arial" w:cs="Arial"/>
                <w:b/>
                <w:bCs/>
                <w:color w:val="FFFFFF"/>
                <w:szCs w:val="18"/>
              </w:rPr>
            </w:pPr>
            <w:r>
              <w:rPr>
                <w:rFonts w:eastAsia="Arial" w:cs="Arial"/>
                <w:b/>
                <w:bCs/>
                <w:color w:val="FFFFFF"/>
                <w:szCs w:val="18"/>
              </w:rPr>
              <w:t>GRUPO IV — RISCOS REGULATÓRIOS, AMBIENTAIS E DE SEGURANÇA</w:t>
            </w:r>
          </w:p>
        </w:tc>
      </w:tr>
      <w:tr w:rsidR="00CC37C8" w14:paraId="267A8465"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3A3630E4" w14:textId="77777777" w:rsidR="00CC37C8" w:rsidRDefault="00FA2179">
            <w:pPr>
              <w:spacing w:after="0"/>
              <w:jc w:val="center"/>
              <w:rPr>
                <w:rFonts w:eastAsia="Arial" w:cs="Arial"/>
                <w:b/>
                <w:bCs/>
                <w:color w:val="1A1A1A"/>
                <w:szCs w:val="18"/>
              </w:rPr>
            </w:pPr>
            <w:r>
              <w:rPr>
                <w:rFonts w:eastAsia="Arial" w:cs="Arial"/>
                <w:b/>
                <w:bCs/>
                <w:color w:val="1A1A1A"/>
                <w:szCs w:val="18"/>
              </w:rPr>
              <w:t>MR14</w:t>
            </w:r>
          </w:p>
        </w:tc>
        <w:tc>
          <w:tcPr>
            <w:tcW w:w="2400" w:type="dxa"/>
            <w:shd w:val="clear" w:color="auto" w:fill="FFFFFF"/>
            <w:tcMar>
              <w:top w:w="60" w:type="dxa"/>
              <w:left w:w="100" w:type="dxa"/>
              <w:bottom w:w="60" w:type="dxa"/>
              <w:right w:w="100" w:type="dxa"/>
            </w:tcMar>
            <w:vAlign w:val="center"/>
          </w:tcPr>
          <w:p w14:paraId="4BFE5ECA" w14:textId="77777777" w:rsidR="00CC37C8" w:rsidRDefault="00FA2179">
            <w:pPr>
              <w:spacing w:after="0"/>
              <w:rPr>
                <w:rFonts w:eastAsia="Arial" w:cs="Arial"/>
                <w:color w:val="1A1A1A"/>
                <w:szCs w:val="18"/>
              </w:rPr>
            </w:pPr>
            <w:r>
              <w:rPr>
                <w:rFonts w:eastAsia="Arial" w:cs="Arial"/>
                <w:color w:val="1A1A1A"/>
                <w:szCs w:val="18"/>
              </w:rPr>
              <w:t>Exigências ambientais ou urbanísticas supervenientes não previstas à época da licitação</w:t>
            </w:r>
          </w:p>
        </w:tc>
        <w:tc>
          <w:tcPr>
            <w:tcW w:w="2400" w:type="dxa"/>
            <w:shd w:val="clear" w:color="auto" w:fill="FFFFFF"/>
            <w:tcMar>
              <w:top w:w="60" w:type="dxa"/>
              <w:left w:w="100" w:type="dxa"/>
              <w:bottom w:w="60" w:type="dxa"/>
              <w:right w:w="100" w:type="dxa"/>
            </w:tcMar>
            <w:vAlign w:val="center"/>
          </w:tcPr>
          <w:p w14:paraId="78873B8E" w14:textId="77777777" w:rsidR="00CC37C8" w:rsidRDefault="00FA2179">
            <w:pPr>
              <w:spacing w:after="0"/>
              <w:rPr>
                <w:rFonts w:eastAsia="Arial" w:cs="Arial"/>
                <w:color w:val="1A1A1A"/>
                <w:szCs w:val="18"/>
              </w:rPr>
            </w:pPr>
            <w:r>
              <w:rPr>
                <w:rFonts w:eastAsia="Arial" w:cs="Arial"/>
                <w:color w:val="1A1A1A"/>
                <w:szCs w:val="18"/>
              </w:rPr>
              <w:t>Publicação de norma ambiental, resolução de uso do solo ou exigência de licenciamento inexistente quando da elaboração do PB.</w:t>
            </w:r>
          </w:p>
        </w:tc>
        <w:tc>
          <w:tcPr>
            <w:tcW w:w="1100" w:type="dxa"/>
            <w:shd w:val="clear" w:color="auto" w:fill="DAE8FC"/>
            <w:tcMar>
              <w:top w:w="60" w:type="dxa"/>
              <w:left w:w="100" w:type="dxa"/>
              <w:bottom w:w="60" w:type="dxa"/>
              <w:right w:w="100" w:type="dxa"/>
            </w:tcMar>
            <w:vAlign w:val="center"/>
          </w:tcPr>
          <w:p w14:paraId="77049E0F" w14:textId="77777777" w:rsidR="00CC37C8" w:rsidRDefault="00FA2179">
            <w:pPr>
              <w:spacing w:after="0"/>
              <w:jc w:val="center"/>
              <w:rPr>
                <w:rFonts w:eastAsia="Arial" w:cs="Arial"/>
                <w:b/>
                <w:bCs/>
                <w:color w:val="1A1A1A"/>
                <w:szCs w:val="18"/>
              </w:rPr>
            </w:pPr>
            <w:r>
              <w:rPr>
                <w:rFonts w:eastAsia="Arial" w:cs="Arial"/>
                <w:b/>
                <w:bCs/>
                <w:color w:val="1A1A1A"/>
                <w:szCs w:val="18"/>
              </w:rPr>
              <w:t>CONTRATANTE</w:t>
            </w:r>
          </w:p>
        </w:tc>
        <w:tc>
          <w:tcPr>
            <w:tcW w:w="3868" w:type="dxa"/>
            <w:shd w:val="clear" w:color="auto" w:fill="FFFFFF"/>
            <w:tcMar>
              <w:top w:w="60" w:type="dxa"/>
              <w:left w:w="100" w:type="dxa"/>
              <w:bottom w:w="60" w:type="dxa"/>
              <w:right w:w="100" w:type="dxa"/>
            </w:tcMar>
            <w:vAlign w:val="center"/>
          </w:tcPr>
          <w:p w14:paraId="07309FD0" w14:textId="77777777" w:rsidR="00CC37C8" w:rsidRDefault="00FA2179">
            <w:pPr>
              <w:spacing w:after="0"/>
              <w:rPr>
                <w:rFonts w:eastAsia="Arial" w:cs="Arial"/>
                <w:color w:val="1A1A1A"/>
                <w:szCs w:val="18"/>
              </w:rPr>
            </w:pPr>
            <w:r>
              <w:rPr>
                <w:rFonts w:eastAsia="Arial" w:cs="Arial"/>
                <w:color w:val="1A1A1A"/>
                <w:szCs w:val="18"/>
              </w:rPr>
              <w:t>Art. 124, I — fato jurídico superveniente; mudança regulatória posterior à data-base da proposta.</w:t>
            </w:r>
          </w:p>
        </w:tc>
        <w:tc>
          <w:tcPr>
            <w:tcW w:w="4968" w:type="dxa"/>
            <w:shd w:val="clear" w:color="auto" w:fill="FFFFFF"/>
            <w:tcMar>
              <w:top w:w="60" w:type="dxa"/>
              <w:left w:w="100" w:type="dxa"/>
              <w:bottom w:w="60" w:type="dxa"/>
              <w:right w:w="100" w:type="dxa"/>
            </w:tcMar>
            <w:vAlign w:val="center"/>
          </w:tcPr>
          <w:p w14:paraId="6F6F9380" w14:textId="77777777" w:rsidR="00CC37C8" w:rsidRDefault="00FA2179">
            <w:pPr>
              <w:spacing w:after="0"/>
              <w:rPr>
                <w:rFonts w:eastAsia="Arial" w:cs="Arial"/>
                <w:color w:val="1A1A1A"/>
                <w:szCs w:val="18"/>
              </w:rPr>
            </w:pPr>
            <w:r>
              <w:rPr>
                <w:rFonts w:eastAsia="Arial" w:cs="Arial"/>
                <w:color w:val="1A1A1A"/>
                <w:szCs w:val="18"/>
              </w:rPr>
              <w:t>Revisão de escopo e valor mediante análise técnica e jurídica. Prazo adicional se necessário.</w:t>
            </w:r>
          </w:p>
        </w:tc>
      </w:tr>
      <w:tr w:rsidR="00CC37C8" w14:paraId="490BF7EF"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4535E9F0" w14:textId="77777777" w:rsidR="00CC37C8" w:rsidRDefault="00FA2179">
            <w:pPr>
              <w:spacing w:after="0"/>
              <w:jc w:val="center"/>
              <w:rPr>
                <w:rFonts w:eastAsia="Arial" w:cs="Arial"/>
                <w:b/>
                <w:bCs/>
                <w:color w:val="1A1A1A"/>
                <w:szCs w:val="18"/>
              </w:rPr>
            </w:pPr>
            <w:r>
              <w:rPr>
                <w:rFonts w:eastAsia="Arial" w:cs="Arial"/>
                <w:b/>
                <w:bCs/>
                <w:color w:val="1A1A1A"/>
                <w:szCs w:val="18"/>
              </w:rPr>
              <w:t>MR15</w:t>
            </w:r>
          </w:p>
        </w:tc>
        <w:tc>
          <w:tcPr>
            <w:tcW w:w="2400" w:type="dxa"/>
            <w:shd w:val="clear" w:color="auto" w:fill="FFFFFF"/>
            <w:tcMar>
              <w:top w:w="60" w:type="dxa"/>
              <w:left w:w="100" w:type="dxa"/>
              <w:bottom w:w="60" w:type="dxa"/>
              <w:right w:w="100" w:type="dxa"/>
            </w:tcMar>
            <w:vAlign w:val="center"/>
          </w:tcPr>
          <w:p w14:paraId="405C6E76" w14:textId="77777777" w:rsidR="00CC37C8" w:rsidRDefault="00FA2179">
            <w:pPr>
              <w:spacing w:after="0"/>
              <w:rPr>
                <w:rFonts w:eastAsia="Arial" w:cs="Arial"/>
                <w:color w:val="1A1A1A"/>
                <w:szCs w:val="18"/>
              </w:rPr>
            </w:pPr>
            <w:r>
              <w:rPr>
                <w:rFonts w:eastAsia="Arial" w:cs="Arial"/>
                <w:color w:val="1A1A1A"/>
                <w:szCs w:val="18"/>
              </w:rPr>
              <w:t>Descumprimento de NRs de segurança e saúde do trabalho</w:t>
            </w:r>
          </w:p>
        </w:tc>
        <w:tc>
          <w:tcPr>
            <w:tcW w:w="2400" w:type="dxa"/>
            <w:shd w:val="clear" w:color="auto" w:fill="FFFFFF"/>
            <w:tcMar>
              <w:top w:w="60" w:type="dxa"/>
              <w:left w:w="100" w:type="dxa"/>
              <w:bottom w:w="60" w:type="dxa"/>
              <w:right w:w="100" w:type="dxa"/>
            </w:tcMar>
            <w:vAlign w:val="center"/>
          </w:tcPr>
          <w:p w14:paraId="35066947" w14:textId="77777777" w:rsidR="00CC37C8" w:rsidRDefault="00FA2179">
            <w:pPr>
              <w:spacing w:after="0"/>
              <w:rPr>
                <w:rFonts w:eastAsia="Arial" w:cs="Arial"/>
                <w:color w:val="1A1A1A"/>
                <w:szCs w:val="18"/>
              </w:rPr>
            </w:pPr>
            <w:r>
              <w:rPr>
                <w:rFonts w:eastAsia="Arial" w:cs="Arial"/>
                <w:color w:val="1A1A1A"/>
                <w:szCs w:val="18"/>
              </w:rPr>
              <w:t>Ausência de EPI, trabalho em altura sem proteção, falta de PCMSO/PPRA/PCMAT, exposição a risco grave e iminente.</w:t>
            </w:r>
          </w:p>
        </w:tc>
        <w:tc>
          <w:tcPr>
            <w:tcW w:w="1100" w:type="dxa"/>
            <w:shd w:val="clear" w:color="auto" w:fill="FFF2CC"/>
            <w:tcMar>
              <w:top w:w="60" w:type="dxa"/>
              <w:left w:w="100" w:type="dxa"/>
              <w:bottom w:w="60" w:type="dxa"/>
              <w:right w:w="100" w:type="dxa"/>
            </w:tcMar>
            <w:vAlign w:val="center"/>
          </w:tcPr>
          <w:p w14:paraId="52019C6A" w14:textId="77777777" w:rsidR="00CC37C8" w:rsidRDefault="00FA2179">
            <w:pPr>
              <w:spacing w:after="0"/>
              <w:jc w:val="center"/>
              <w:rPr>
                <w:rFonts w:eastAsia="Arial" w:cs="Arial"/>
                <w:b/>
                <w:bCs/>
                <w:color w:val="1A1A1A"/>
                <w:szCs w:val="18"/>
              </w:rPr>
            </w:pPr>
            <w:r>
              <w:rPr>
                <w:rFonts w:eastAsia="Arial" w:cs="Arial"/>
                <w:b/>
                <w:bCs/>
                <w:color w:val="1A1A1A"/>
                <w:szCs w:val="18"/>
              </w:rPr>
              <w:t>CONTRATADA</w:t>
            </w:r>
          </w:p>
        </w:tc>
        <w:tc>
          <w:tcPr>
            <w:tcW w:w="3868" w:type="dxa"/>
            <w:shd w:val="clear" w:color="auto" w:fill="FFFFFF"/>
            <w:tcMar>
              <w:top w:w="60" w:type="dxa"/>
              <w:left w:w="100" w:type="dxa"/>
              <w:bottom w:w="60" w:type="dxa"/>
              <w:right w:w="100" w:type="dxa"/>
            </w:tcMar>
            <w:vAlign w:val="center"/>
          </w:tcPr>
          <w:p w14:paraId="22DA5D42" w14:textId="77777777" w:rsidR="00CC37C8" w:rsidRDefault="00FA2179">
            <w:pPr>
              <w:spacing w:after="0"/>
              <w:rPr>
                <w:rFonts w:eastAsia="Arial" w:cs="Arial"/>
                <w:color w:val="1A1A1A"/>
                <w:szCs w:val="18"/>
              </w:rPr>
            </w:pPr>
            <w:r>
              <w:rPr>
                <w:rFonts w:eastAsia="Arial" w:cs="Arial"/>
                <w:color w:val="1A1A1A"/>
                <w:szCs w:val="18"/>
              </w:rPr>
              <w:t>NR-18, NR-35, NR-7, NR-9 — responsabilidade trabalhista e securitária exclusiva da Contratada.</w:t>
            </w:r>
          </w:p>
        </w:tc>
        <w:tc>
          <w:tcPr>
            <w:tcW w:w="4968" w:type="dxa"/>
            <w:shd w:val="clear" w:color="auto" w:fill="FFFFFF"/>
            <w:tcMar>
              <w:top w:w="60" w:type="dxa"/>
              <w:left w:w="100" w:type="dxa"/>
              <w:bottom w:w="60" w:type="dxa"/>
              <w:right w:w="100" w:type="dxa"/>
            </w:tcMar>
            <w:vAlign w:val="center"/>
          </w:tcPr>
          <w:p w14:paraId="2E388325" w14:textId="77777777" w:rsidR="00CC37C8" w:rsidRDefault="00FA2179">
            <w:pPr>
              <w:spacing w:after="0"/>
              <w:rPr>
                <w:rFonts w:eastAsia="Arial" w:cs="Arial"/>
                <w:color w:val="1A1A1A"/>
                <w:szCs w:val="18"/>
              </w:rPr>
            </w:pPr>
            <w:r>
              <w:rPr>
                <w:rFonts w:eastAsia="Arial" w:cs="Arial"/>
                <w:color w:val="1A1A1A"/>
                <w:szCs w:val="18"/>
              </w:rPr>
              <w:t>Embargo imediato da frente insegura. Notificação formal. Penalidades contratuais (art. 155). Prazo não prorrogado.</w:t>
            </w:r>
          </w:p>
        </w:tc>
      </w:tr>
      <w:tr w:rsidR="00CC37C8" w14:paraId="3BD9D825"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6B336F54" w14:textId="77777777" w:rsidR="00CC37C8" w:rsidRDefault="00FA2179">
            <w:pPr>
              <w:spacing w:after="0"/>
              <w:jc w:val="center"/>
              <w:rPr>
                <w:rFonts w:eastAsia="Arial" w:cs="Arial"/>
                <w:b/>
                <w:bCs/>
                <w:color w:val="1A1A1A"/>
                <w:szCs w:val="18"/>
              </w:rPr>
            </w:pPr>
            <w:r>
              <w:rPr>
                <w:rFonts w:eastAsia="Arial" w:cs="Arial"/>
                <w:b/>
                <w:bCs/>
                <w:color w:val="1A1A1A"/>
                <w:szCs w:val="18"/>
              </w:rPr>
              <w:t>MR16</w:t>
            </w:r>
          </w:p>
        </w:tc>
        <w:tc>
          <w:tcPr>
            <w:tcW w:w="2400" w:type="dxa"/>
            <w:shd w:val="clear" w:color="auto" w:fill="FFFFFF"/>
            <w:tcMar>
              <w:top w:w="60" w:type="dxa"/>
              <w:left w:w="100" w:type="dxa"/>
              <w:bottom w:w="60" w:type="dxa"/>
              <w:right w:w="100" w:type="dxa"/>
            </w:tcMar>
            <w:vAlign w:val="center"/>
          </w:tcPr>
          <w:p w14:paraId="2F42CBBF" w14:textId="77777777" w:rsidR="00CC37C8" w:rsidRDefault="00FA2179">
            <w:pPr>
              <w:spacing w:after="0"/>
              <w:rPr>
                <w:rFonts w:eastAsia="Arial" w:cs="Arial"/>
                <w:color w:val="1A1A1A"/>
                <w:szCs w:val="18"/>
              </w:rPr>
            </w:pPr>
            <w:r>
              <w:rPr>
                <w:rFonts w:eastAsia="Arial" w:cs="Arial"/>
                <w:color w:val="1A1A1A"/>
                <w:szCs w:val="18"/>
              </w:rPr>
              <w:t>Autuação ambiental por descarte irregular de resíduos de construção civil</w:t>
            </w:r>
          </w:p>
        </w:tc>
        <w:tc>
          <w:tcPr>
            <w:tcW w:w="2400" w:type="dxa"/>
            <w:shd w:val="clear" w:color="auto" w:fill="FFFFFF"/>
            <w:tcMar>
              <w:top w:w="60" w:type="dxa"/>
              <w:left w:w="100" w:type="dxa"/>
              <w:bottom w:w="60" w:type="dxa"/>
              <w:right w:w="100" w:type="dxa"/>
            </w:tcMar>
            <w:vAlign w:val="center"/>
          </w:tcPr>
          <w:p w14:paraId="308F3D52" w14:textId="77777777" w:rsidR="00CC37C8" w:rsidRDefault="00FA2179">
            <w:pPr>
              <w:spacing w:after="0"/>
              <w:rPr>
                <w:rFonts w:eastAsia="Arial" w:cs="Arial"/>
                <w:color w:val="1A1A1A"/>
                <w:szCs w:val="18"/>
              </w:rPr>
            </w:pPr>
            <w:r>
              <w:rPr>
                <w:rFonts w:eastAsia="Arial" w:cs="Arial"/>
                <w:color w:val="1A1A1A"/>
                <w:szCs w:val="18"/>
              </w:rPr>
              <w:t>Deposição de entulho em local não autorizado; descarte inadequado de resíduos Classe II-A (manta asfáltica).</w:t>
            </w:r>
          </w:p>
        </w:tc>
        <w:tc>
          <w:tcPr>
            <w:tcW w:w="1100" w:type="dxa"/>
            <w:shd w:val="clear" w:color="auto" w:fill="FFF2CC"/>
            <w:tcMar>
              <w:top w:w="60" w:type="dxa"/>
              <w:left w:w="100" w:type="dxa"/>
              <w:bottom w:w="60" w:type="dxa"/>
              <w:right w:w="100" w:type="dxa"/>
            </w:tcMar>
            <w:vAlign w:val="center"/>
          </w:tcPr>
          <w:p w14:paraId="023051F4" w14:textId="77777777" w:rsidR="00CC37C8" w:rsidRDefault="00FA2179">
            <w:pPr>
              <w:spacing w:after="0"/>
              <w:jc w:val="center"/>
              <w:rPr>
                <w:rFonts w:eastAsia="Arial" w:cs="Arial"/>
                <w:b/>
                <w:bCs/>
                <w:color w:val="1A1A1A"/>
                <w:szCs w:val="18"/>
              </w:rPr>
            </w:pPr>
            <w:r>
              <w:rPr>
                <w:rFonts w:eastAsia="Arial" w:cs="Arial"/>
                <w:b/>
                <w:bCs/>
                <w:color w:val="1A1A1A"/>
                <w:szCs w:val="18"/>
              </w:rPr>
              <w:t>CONTRATADA</w:t>
            </w:r>
          </w:p>
        </w:tc>
        <w:tc>
          <w:tcPr>
            <w:tcW w:w="3868" w:type="dxa"/>
            <w:shd w:val="clear" w:color="auto" w:fill="FFFFFF"/>
            <w:tcMar>
              <w:top w:w="60" w:type="dxa"/>
              <w:left w:w="100" w:type="dxa"/>
              <w:bottom w:w="60" w:type="dxa"/>
              <w:right w:w="100" w:type="dxa"/>
            </w:tcMar>
            <w:vAlign w:val="center"/>
          </w:tcPr>
          <w:p w14:paraId="12C4A4FB" w14:textId="77777777" w:rsidR="00CC37C8" w:rsidRDefault="00FA2179">
            <w:pPr>
              <w:spacing w:after="0"/>
              <w:rPr>
                <w:rFonts w:eastAsia="Arial" w:cs="Arial"/>
                <w:color w:val="1A1A1A"/>
                <w:szCs w:val="18"/>
              </w:rPr>
            </w:pPr>
            <w:r>
              <w:rPr>
                <w:rFonts w:eastAsia="Arial" w:cs="Arial"/>
                <w:color w:val="1A1A1A"/>
                <w:szCs w:val="18"/>
              </w:rPr>
              <w:t>Lei nº 12.305/2010 (PNRS); PGRCC obrigatório; responsabilidade ambiental do gerador (CONAMA 307/2002).</w:t>
            </w:r>
          </w:p>
        </w:tc>
        <w:tc>
          <w:tcPr>
            <w:tcW w:w="4968" w:type="dxa"/>
            <w:shd w:val="clear" w:color="auto" w:fill="FFFFFF"/>
            <w:tcMar>
              <w:top w:w="60" w:type="dxa"/>
              <w:left w:w="100" w:type="dxa"/>
              <w:bottom w:w="60" w:type="dxa"/>
              <w:right w:w="100" w:type="dxa"/>
            </w:tcMar>
            <w:vAlign w:val="center"/>
          </w:tcPr>
          <w:p w14:paraId="1CF9F287" w14:textId="77777777" w:rsidR="00CC37C8" w:rsidRDefault="00FA2179">
            <w:pPr>
              <w:spacing w:after="0"/>
              <w:rPr>
                <w:rFonts w:eastAsia="Arial" w:cs="Arial"/>
                <w:color w:val="1A1A1A"/>
                <w:szCs w:val="18"/>
              </w:rPr>
            </w:pPr>
            <w:r>
              <w:rPr>
                <w:rFonts w:eastAsia="Arial" w:cs="Arial"/>
                <w:color w:val="1A1A1A"/>
                <w:szCs w:val="18"/>
              </w:rPr>
              <w:t>Multa contratual e obrigação de reparação sem ônus à Administração. Responsabilidade administrativa, civil e penal.</w:t>
            </w:r>
          </w:p>
        </w:tc>
      </w:tr>
      <w:tr w:rsidR="00CC37C8" w14:paraId="14D19AB4"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2F45D8A3" w14:textId="77777777" w:rsidR="00CC37C8" w:rsidRDefault="00FA2179">
            <w:pPr>
              <w:spacing w:after="0"/>
              <w:jc w:val="center"/>
              <w:rPr>
                <w:rFonts w:eastAsia="Arial" w:cs="Arial"/>
                <w:b/>
                <w:bCs/>
                <w:color w:val="1A1A1A"/>
                <w:szCs w:val="18"/>
              </w:rPr>
            </w:pPr>
            <w:r>
              <w:rPr>
                <w:rFonts w:eastAsia="Arial" w:cs="Arial"/>
                <w:b/>
                <w:bCs/>
                <w:color w:val="1A1A1A"/>
                <w:szCs w:val="18"/>
              </w:rPr>
              <w:lastRenderedPageBreak/>
              <w:t>MR17</w:t>
            </w:r>
          </w:p>
        </w:tc>
        <w:tc>
          <w:tcPr>
            <w:tcW w:w="2400" w:type="dxa"/>
            <w:shd w:val="clear" w:color="auto" w:fill="FFFFFF"/>
            <w:tcMar>
              <w:top w:w="60" w:type="dxa"/>
              <w:left w:w="100" w:type="dxa"/>
              <w:bottom w:w="60" w:type="dxa"/>
              <w:right w:w="100" w:type="dxa"/>
            </w:tcMar>
            <w:vAlign w:val="center"/>
          </w:tcPr>
          <w:p w14:paraId="2594ACD9" w14:textId="77777777" w:rsidR="00CC37C8" w:rsidRDefault="00FA2179">
            <w:pPr>
              <w:spacing w:after="0"/>
              <w:rPr>
                <w:rFonts w:eastAsia="Arial" w:cs="Arial"/>
                <w:color w:val="1A1A1A"/>
                <w:szCs w:val="18"/>
              </w:rPr>
            </w:pPr>
            <w:r>
              <w:rPr>
                <w:rFonts w:eastAsia="Arial" w:cs="Arial"/>
                <w:color w:val="1A1A1A"/>
                <w:szCs w:val="18"/>
              </w:rPr>
              <w:t>Danos a terceiros e ao patrimônio público durante a execução</w:t>
            </w:r>
          </w:p>
        </w:tc>
        <w:tc>
          <w:tcPr>
            <w:tcW w:w="2400" w:type="dxa"/>
            <w:shd w:val="clear" w:color="auto" w:fill="FFFFFF"/>
            <w:tcMar>
              <w:top w:w="60" w:type="dxa"/>
              <w:left w:w="100" w:type="dxa"/>
              <w:bottom w:w="60" w:type="dxa"/>
              <w:right w:w="100" w:type="dxa"/>
            </w:tcMar>
            <w:vAlign w:val="center"/>
          </w:tcPr>
          <w:p w14:paraId="53B7CD2F" w14:textId="77777777" w:rsidR="00CC37C8" w:rsidRDefault="00FA2179">
            <w:pPr>
              <w:spacing w:after="0"/>
              <w:rPr>
                <w:rFonts w:eastAsia="Arial" w:cs="Arial"/>
                <w:color w:val="1A1A1A"/>
                <w:szCs w:val="18"/>
              </w:rPr>
            </w:pPr>
            <w:r>
              <w:rPr>
                <w:rFonts w:eastAsia="Arial" w:cs="Arial"/>
                <w:color w:val="1A1A1A"/>
                <w:szCs w:val="18"/>
              </w:rPr>
              <w:t>Vibração, inundação, acidentes de transporte ou danos à rede de concessionárias durante a obra.</w:t>
            </w:r>
          </w:p>
        </w:tc>
        <w:tc>
          <w:tcPr>
            <w:tcW w:w="1100" w:type="dxa"/>
            <w:shd w:val="clear" w:color="auto" w:fill="FFF2CC"/>
            <w:tcMar>
              <w:top w:w="60" w:type="dxa"/>
              <w:left w:w="100" w:type="dxa"/>
              <w:bottom w:w="60" w:type="dxa"/>
              <w:right w:w="100" w:type="dxa"/>
            </w:tcMar>
            <w:vAlign w:val="center"/>
          </w:tcPr>
          <w:p w14:paraId="4D47616F" w14:textId="77777777" w:rsidR="00CC37C8" w:rsidRDefault="00FA2179">
            <w:pPr>
              <w:spacing w:after="0"/>
              <w:jc w:val="center"/>
              <w:rPr>
                <w:rFonts w:eastAsia="Arial" w:cs="Arial"/>
                <w:b/>
                <w:bCs/>
                <w:color w:val="1A1A1A"/>
                <w:szCs w:val="18"/>
              </w:rPr>
            </w:pPr>
            <w:r>
              <w:rPr>
                <w:rFonts w:eastAsia="Arial" w:cs="Arial"/>
                <w:b/>
                <w:bCs/>
                <w:color w:val="1A1A1A"/>
                <w:szCs w:val="18"/>
              </w:rPr>
              <w:t>CONTRATADA</w:t>
            </w:r>
          </w:p>
        </w:tc>
        <w:tc>
          <w:tcPr>
            <w:tcW w:w="3868" w:type="dxa"/>
            <w:shd w:val="clear" w:color="auto" w:fill="FFFFFF"/>
            <w:tcMar>
              <w:top w:w="60" w:type="dxa"/>
              <w:left w:w="100" w:type="dxa"/>
              <w:bottom w:w="60" w:type="dxa"/>
              <w:right w:w="100" w:type="dxa"/>
            </w:tcMar>
            <w:vAlign w:val="center"/>
          </w:tcPr>
          <w:p w14:paraId="4671C59A" w14:textId="77777777" w:rsidR="00CC37C8" w:rsidRDefault="00FA2179">
            <w:pPr>
              <w:spacing w:after="0"/>
              <w:rPr>
                <w:rFonts w:eastAsia="Arial" w:cs="Arial"/>
                <w:color w:val="1A1A1A"/>
                <w:szCs w:val="18"/>
              </w:rPr>
            </w:pPr>
            <w:r>
              <w:rPr>
                <w:rFonts w:eastAsia="Arial" w:cs="Arial"/>
                <w:color w:val="1A1A1A"/>
                <w:szCs w:val="18"/>
              </w:rPr>
              <w:t>Art. 121, Lei 14.133/2021 — responsabilidade civil objetiva por danos causados a terceiros na execução.</w:t>
            </w:r>
          </w:p>
        </w:tc>
        <w:tc>
          <w:tcPr>
            <w:tcW w:w="4968" w:type="dxa"/>
            <w:shd w:val="clear" w:color="auto" w:fill="FFFFFF"/>
            <w:tcMar>
              <w:top w:w="60" w:type="dxa"/>
              <w:left w:w="100" w:type="dxa"/>
              <w:bottom w:w="60" w:type="dxa"/>
              <w:right w:w="100" w:type="dxa"/>
            </w:tcMar>
            <w:vAlign w:val="center"/>
          </w:tcPr>
          <w:p w14:paraId="15B67C77" w14:textId="77777777" w:rsidR="00CC37C8" w:rsidRDefault="00FA2179">
            <w:pPr>
              <w:spacing w:after="0"/>
              <w:rPr>
                <w:rFonts w:eastAsia="Arial" w:cs="Arial"/>
                <w:color w:val="1A1A1A"/>
                <w:szCs w:val="18"/>
              </w:rPr>
            </w:pPr>
            <w:r>
              <w:rPr>
                <w:rFonts w:eastAsia="Arial" w:cs="Arial"/>
                <w:color w:val="1A1A1A"/>
                <w:szCs w:val="18"/>
              </w:rPr>
              <w:t>Acionamento do seguro de responsabilidade civil. Reparação sem ônus à Administração. Comunicação à Fiscalização em até 24h.</w:t>
            </w:r>
          </w:p>
        </w:tc>
      </w:tr>
      <w:tr w:rsidR="00CC37C8" w14:paraId="5B38073D" w14:textId="77777777">
        <w:tc>
          <w:tcPr>
            <w:tcW w:w="15268" w:type="dxa"/>
            <w:gridSpan w:val="6"/>
            <w:shd w:val="clear" w:color="auto" w:fill="2E4A7A"/>
            <w:tcMar>
              <w:top w:w="60" w:type="dxa"/>
              <w:left w:w="100" w:type="dxa"/>
              <w:bottom w:w="60" w:type="dxa"/>
              <w:right w:w="100" w:type="dxa"/>
            </w:tcMar>
            <w:vAlign w:val="center"/>
          </w:tcPr>
          <w:p w14:paraId="4828AB14" w14:textId="77777777" w:rsidR="00CC37C8" w:rsidRDefault="00FA2179">
            <w:pPr>
              <w:spacing w:after="0"/>
              <w:jc w:val="center"/>
              <w:rPr>
                <w:rFonts w:eastAsia="Arial" w:cs="Arial"/>
                <w:b/>
                <w:bCs/>
                <w:color w:val="FFFFFF"/>
                <w:szCs w:val="18"/>
              </w:rPr>
            </w:pPr>
            <w:r>
              <w:rPr>
                <w:rFonts w:eastAsia="Arial" w:cs="Arial"/>
                <w:b/>
                <w:bCs/>
                <w:color w:val="FFFFFF"/>
                <w:szCs w:val="18"/>
              </w:rPr>
              <w:t>GRUPO V — FORÇA MAIOR E CASO FORTUITO</w:t>
            </w:r>
          </w:p>
        </w:tc>
      </w:tr>
      <w:tr w:rsidR="00CC37C8" w14:paraId="3C94AF3C"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0F7A9B5C" w14:textId="77777777" w:rsidR="00CC37C8" w:rsidRDefault="00FA2179">
            <w:pPr>
              <w:spacing w:after="0"/>
              <w:jc w:val="center"/>
              <w:rPr>
                <w:rFonts w:eastAsia="Arial" w:cs="Arial"/>
                <w:b/>
                <w:bCs/>
                <w:color w:val="1A1A1A"/>
                <w:szCs w:val="18"/>
              </w:rPr>
            </w:pPr>
            <w:r>
              <w:rPr>
                <w:rFonts w:eastAsia="Arial" w:cs="Arial"/>
                <w:b/>
                <w:bCs/>
                <w:color w:val="1A1A1A"/>
                <w:szCs w:val="18"/>
              </w:rPr>
              <w:t>MR18</w:t>
            </w:r>
          </w:p>
        </w:tc>
        <w:tc>
          <w:tcPr>
            <w:tcW w:w="2400" w:type="dxa"/>
            <w:shd w:val="clear" w:color="auto" w:fill="FFFFFF"/>
            <w:tcMar>
              <w:top w:w="60" w:type="dxa"/>
              <w:left w:w="100" w:type="dxa"/>
              <w:bottom w:w="60" w:type="dxa"/>
              <w:right w:w="100" w:type="dxa"/>
            </w:tcMar>
            <w:vAlign w:val="center"/>
          </w:tcPr>
          <w:p w14:paraId="6DA6D6FC" w14:textId="77777777" w:rsidR="00CC37C8" w:rsidRDefault="00FA2179">
            <w:pPr>
              <w:spacing w:after="0"/>
              <w:rPr>
                <w:rFonts w:eastAsia="Arial" w:cs="Arial"/>
                <w:color w:val="1A1A1A"/>
                <w:szCs w:val="18"/>
              </w:rPr>
            </w:pPr>
            <w:r>
              <w:rPr>
                <w:rFonts w:eastAsia="Arial" w:cs="Arial"/>
                <w:color w:val="1A1A1A"/>
                <w:szCs w:val="18"/>
              </w:rPr>
              <w:t>Fenômenos climáticos excepcionais (chuvas intensas, ressaca marítima extrema)</w:t>
            </w:r>
          </w:p>
        </w:tc>
        <w:tc>
          <w:tcPr>
            <w:tcW w:w="2400" w:type="dxa"/>
            <w:shd w:val="clear" w:color="auto" w:fill="FFFFFF"/>
            <w:tcMar>
              <w:top w:w="60" w:type="dxa"/>
              <w:left w:w="100" w:type="dxa"/>
              <w:bottom w:w="60" w:type="dxa"/>
              <w:right w:w="100" w:type="dxa"/>
            </w:tcMar>
            <w:vAlign w:val="center"/>
          </w:tcPr>
          <w:p w14:paraId="34927516" w14:textId="77777777" w:rsidR="00CC37C8" w:rsidRDefault="00FA2179">
            <w:pPr>
              <w:spacing w:after="0"/>
              <w:rPr>
                <w:rFonts w:eastAsia="Arial" w:cs="Arial"/>
                <w:color w:val="1A1A1A"/>
                <w:szCs w:val="18"/>
              </w:rPr>
            </w:pPr>
            <w:r>
              <w:rPr>
                <w:rFonts w:eastAsia="Arial" w:cs="Arial"/>
                <w:color w:val="1A1A1A"/>
                <w:szCs w:val="18"/>
              </w:rPr>
              <w:t>Eventos climáticos extraordinários, atípicos para a região e período, que impeçam fisicamente a execução da obra.</w:t>
            </w:r>
          </w:p>
        </w:tc>
        <w:tc>
          <w:tcPr>
            <w:tcW w:w="1100" w:type="dxa"/>
            <w:shd w:val="clear" w:color="auto" w:fill="E2EFDA"/>
            <w:tcMar>
              <w:top w:w="60" w:type="dxa"/>
              <w:left w:w="100" w:type="dxa"/>
              <w:bottom w:w="60" w:type="dxa"/>
              <w:right w:w="100" w:type="dxa"/>
            </w:tcMar>
            <w:vAlign w:val="center"/>
          </w:tcPr>
          <w:p w14:paraId="71A2AA6D" w14:textId="77777777" w:rsidR="00CC37C8" w:rsidRDefault="00FA2179">
            <w:pPr>
              <w:spacing w:after="0"/>
              <w:jc w:val="center"/>
              <w:rPr>
                <w:rFonts w:eastAsia="Arial" w:cs="Arial"/>
                <w:b/>
                <w:bCs/>
                <w:color w:val="1A1A1A"/>
                <w:szCs w:val="18"/>
              </w:rPr>
            </w:pPr>
            <w:r>
              <w:rPr>
                <w:rFonts w:eastAsia="Arial" w:cs="Arial"/>
                <w:b/>
                <w:bCs/>
                <w:color w:val="1A1A1A"/>
                <w:szCs w:val="18"/>
              </w:rPr>
              <w:t>COMPARTILHADO</w:t>
            </w:r>
          </w:p>
        </w:tc>
        <w:tc>
          <w:tcPr>
            <w:tcW w:w="3868" w:type="dxa"/>
            <w:shd w:val="clear" w:color="auto" w:fill="FFFFFF"/>
            <w:tcMar>
              <w:top w:w="60" w:type="dxa"/>
              <w:left w:w="100" w:type="dxa"/>
              <w:bottom w:w="60" w:type="dxa"/>
              <w:right w:w="100" w:type="dxa"/>
            </w:tcMar>
            <w:vAlign w:val="center"/>
          </w:tcPr>
          <w:p w14:paraId="087104D9" w14:textId="77777777" w:rsidR="00CC37C8" w:rsidRDefault="00FA2179">
            <w:pPr>
              <w:spacing w:after="0"/>
              <w:rPr>
                <w:rFonts w:eastAsia="Arial" w:cs="Arial"/>
                <w:color w:val="1A1A1A"/>
                <w:szCs w:val="18"/>
              </w:rPr>
            </w:pPr>
            <w:r>
              <w:rPr>
                <w:rFonts w:eastAsia="Arial" w:cs="Arial"/>
                <w:color w:val="1A1A1A"/>
                <w:szCs w:val="18"/>
              </w:rPr>
              <w:t>Art. 124, II, d — força maior. Prorrogação de prazo justificada. Custos de mobilização/desmobilização são da Contratada.</w:t>
            </w:r>
          </w:p>
        </w:tc>
        <w:tc>
          <w:tcPr>
            <w:tcW w:w="4968" w:type="dxa"/>
            <w:shd w:val="clear" w:color="auto" w:fill="FFFFFF"/>
            <w:tcMar>
              <w:top w:w="60" w:type="dxa"/>
              <w:left w:w="100" w:type="dxa"/>
              <w:bottom w:w="60" w:type="dxa"/>
              <w:right w:w="100" w:type="dxa"/>
            </w:tcMar>
            <w:vAlign w:val="center"/>
          </w:tcPr>
          <w:p w14:paraId="72D3A603" w14:textId="77777777" w:rsidR="00CC37C8" w:rsidRDefault="00FA2179">
            <w:pPr>
              <w:spacing w:after="0"/>
              <w:rPr>
                <w:rFonts w:eastAsia="Arial" w:cs="Arial"/>
                <w:color w:val="1A1A1A"/>
                <w:szCs w:val="18"/>
              </w:rPr>
            </w:pPr>
            <w:r>
              <w:rPr>
                <w:rFonts w:eastAsia="Arial" w:cs="Arial"/>
                <w:color w:val="1A1A1A"/>
                <w:szCs w:val="18"/>
              </w:rPr>
              <w:t>Prorrogação de prazo sem multa mediante registro no Diário de Obra e comprovação meteorológica.</w:t>
            </w:r>
          </w:p>
        </w:tc>
      </w:tr>
      <w:tr w:rsidR="00CC37C8" w14:paraId="2EB1E367"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2F136B3D" w14:textId="77777777" w:rsidR="00CC37C8" w:rsidRDefault="00FA2179">
            <w:pPr>
              <w:spacing w:after="0"/>
              <w:jc w:val="center"/>
              <w:rPr>
                <w:rFonts w:eastAsia="Arial" w:cs="Arial"/>
                <w:b/>
                <w:bCs/>
                <w:color w:val="1A1A1A"/>
                <w:szCs w:val="18"/>
              </w:rPr>
            </w:pPr>
            <w:r>
              <w:rPr>
                <w:rFonts w:eastAsia="Arial" w:cs="Arial"/>
                <w:b/>
                <w:bCs/>
                <w:color w:val="1A1A1A"/>
                <w:szCs w:val="18"/>
              </w:rPr>
              <w:t>MR19</w:t>
            </w:r>
          </w:p>
        </w:tc>
        <w:tc>
          <w:tcPr>
            <w:tcW w:w="2400" w:type="dxa"/>
            <w:shd w:val="clear" w:color="auto" w:fill="FFFFFF"/>
            <w:tcMar>
              <w:top w:w="60" w:type="dxa"/>
              <w:left w:w="100" w:type="dxa"/>
              <w:bottom w:w="60" w:type="dxa"/>
              <w:right w:w="100" w:type="dxa"/>
            </w:tcMar>
            <w:vAlign w:val="center"/>
          </w:tcPr>
          <w:p w14:paraId="1705BFDB" w14:textId="77777777" w:rsidR="00CC37C8" w:rsidRDefault="00FA2179">
            <w:pPr>
              <w:spacing w:after="0"/>
              <w:rPr>
                <w:rFonts w:eastAsia="Arial" w:cs="Arial"/>
                <w:color w:val="1A1A1A"/>
                <w:szCs w:val="18"/>
              </w:rPr>
            </w:pPr>
            <w:r>
              <w:rPr>
                <w:rFonts w:eastAsia="Arial" w:cs="Arial"/>
                <w:color w:val="1A1A1A"/>
                <w:szCs w:val="18"/>
              </w:rPr>
              <w:t>Greve geral ou paralisação setorial que afete fornecimento de insumos essenciais</w:t>
            </w:r>
          </w:p>
        </w:tc>
        <w:tc>
          <w:tcPr>
            <w:tcW w:w="2400" w:type="dxa"/>
            <w:shd w:val="clear" w:color="auto" w:fill="FFFFFF"/>
            <w:tcMar>
              <w:top w:w="60" w:type="dxa"/>
              <w:left w:w="100" w:type="dxa"/>
              <w:bottom w:w="60" w:type="dxa"/>
              <w:right w:w="100" w:type="dxa"/>
            </w:tcMar>
            <w:vAlign w:val="center"/>
          </w:tcPr>
          <w:p w14:paraId="529DECFB" w14:textId="77777777" w:rsidR="00CC37C8" w:rsidRDefault="00FA2179">
            <w:pPr>
              <w:spacing w:after="0"/>
              <w:rPr>
                <w:rFonts w:eastAsia="Arial" w:cs="Arial"/>
                <w:color w:val="1A1A1A"/>
                <w:szCs w:val="18"/>
              </w:rPr>
            </w:pPr>
            <w:r>
              <w:rPr>
                <w:rFonts w:eastAsia="Arial" w:cs="Arial"/>
                <w:color w:val="1A1A1A"/>
                <w:szCs w:val="18"/>
              </w:rPr>
              <w:t>Greve de categoria de transporte, fornecedores ou mineração com impacto comprovado na cadeia de abastecimento.</w:t>
            </w:r>
          </w:p>
        </w:tc>
        <w:tc>
          <w:tcPr>
            <w:tcW w:w="1100" w:type="dxa"/>
            <w:shd w:val="clear" w:color="auto" w:fill="E2EFDA"/>
            <w:tcMar>
              <w:top w:w="60" w:type="dxa"/>
              <w:left w:w="100" w:type="dxa"/>
              <w:bottom w:w="60" w:type="dxa"/>
              <w:right w:w="100" w:type="dxa"/>
            </w:tcMar>
            <w:vAlign w:val="center"/>
          </w:tcPr>
          <w:p w14:paraId="0F992A69" w14:textId="77777777" w:rsidR="00CC37C8" w:rsidRDefault="00FA2179">
            <w:pPr>
              <w:spacing w:after="0"/>
              <w:jc w:val="center"/>
              <w:rPr>
                <w:rFonts w:eastAsia="Arial" w:cs="Arial"/>
                <w:b/>
                <w:bCs/>
                <w:color w:val="1A1A1A"/>
                <w:szCs w:val="18"/>
              </w:rPr>
            </w:pPr>
            <w:r>
              <w:rPr>
                <w:rFonts w:eastAsia="Arial" w:cs="Arial"/>
                <w:b/>
                <w:bCs/>
                <w:color w:val="1A1A1A"/>
                <w:szCs w:val="18"/>
              </w:rPr>
              <w:t>COMPARTILHADO</w:t>
            </w:r>
          </w:p>
        </w:tc>
        <w:tc>
          <w:tcPr>
            <w:tcW w:w="3868" w:type="dxa"/>
            <w:shd w:val="clear" w:color="auto" w:fill="FFFFFF"/>
            <w:tcMar>
              <w:top w:w="60" w:type="dxa"/>
              <w:left w:w="100" w:type="dxa"/>
              <w:bottom w:w="60" w:type="dxa"/>
              <w:right w:w="100" w:type="dxa"/>
            </w:tcMar>
            <w:vAlign w:val="center"/>
          </w:tcPr>
          <w:p w14:paraId="01FCADBA" w14:textId="77777777" w:rsidR="00CC37C8" w:rsidRDefault="00FA2179">
            <w:pPr>
              <w:spacing w:after="0"/>
              <w:rPr>
                <w:rFonts w:eastAsia="Arial" w:cs="Arial"/>
                <w:color w:val="1A1A1A"/>
                <w:szCs w:val="18"/>
              </w:rPr>
            </w:pPr>
            <w:r>
              <w:rPr>
                <w:rFonts w:eastAsia="Arial" w:cs="Arial"/>
                <w:color w:val="1A1A1A"/>
                <w:szCs w:val="18"/>
              </w:rPr>
              <w:t>Art. 124, II, d — força maior; evento alheio à vontade de ambas as partes. Comprovação do nexo causal obrigatória.</w:t>
            </w:r>
          </w:p>
        </w:tc>
        <w:tc>
          <w:tcPr>
            <w:tcW w:w="4968" w:type="dxa"/>
            <w:shd w:val="clear" w:color="auto" w:fill="FFFFFF"/>
            <w:tcMar>
              <w:top w:w="60" w:type="dxa"/>
              <w:left w:w="100" w:type="dxa"/>
              <w:bottom w:w="60" w:type="dxa"/>
              <w:right w:w="100" w:type="dxa"/>
            </w:tcMar>
            <w:vAlign w:val="center"/>
          </w:tcPr>
          <w:p w14:paraId="55A17928" w14:textId="77777777" w:rsidR="00CC37C8" w:rsidRDefault="00FA2179">
            <w:pPr>
              <w:spacing w:after="0"/>
              <w:rPr>
                <w:rFonts w:eastAsia="Arial" w:cs="Arial"/>
                <w:color w:val="1A1A1A"/>
                <w:szCs w:val="18"/>
              </w:rPr>
            </w:pPr>
            <w:r>
              <w:rPr>
                <w:rFonts w:eastAsia="Arial" w:cs="Arial"/>
                <w:color w:val="1A1A1A"/>
                <w:szCs w:val="18"/>
              </w:rPr>
              <w:t>Prorrogação de prazo proporcional. Revisão de preços somente se impacto econômico extraordinário e documentado.</w:t>
            </w:r>
          </w:p>
        </w:tc>
      </w:tr>
      <w:tr w:rsidR="00CC37C8" w14:paraId="36A05605"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796DB829" w14:textId="77777777" w:rsidR="00CC37C8" w:rsidRDefault="00FA2179">
            <w:pPr>
              <w:spacing w:after="0"/>
              <w:jc w:val="center"/>
              <w:rPr>
                <w:rFonts w:eastAsia="Arial" w:cs="Arial"/>
                <w:b/>
                <w:bCs/>
                <w:color w:val="1A1A1A"/>
                <w:szCs w:val="18"/>
              </w:rPr>
            </w:pPr>
            <w:r>
              <w:rPr>
                <w:rFonts w:eastAsia="Arial" w:cs="Arial"/>
                <w:b/>
                <w:bCs/>
                <w:color w:val="1A1A1A"/>
                <w:szCs w:val="18"/>
              </w:rPr>
              <w:t>MR20</w:t>
            </w:r>
          </w:p>
        </w:tc>
        <w:tc>
          <w:tcPr>
            <w:tcW w:w="2400" w:type="dxa"/>
            <w:shd w:val="clear" w:color="auto" w:fill="FFFFFF"/>
            <w:tcMar>
              <w:top w:w="60" w:type="dxa"/>
              <w:left w:w="100" w:type="dxa"/>
              <w:bottom w:w="60" w:type="dxa"/>
              <w:right w:w="100" w:type="dxa"/>
            </w:tcMar>
            <w:vAlign w:val="center"/>
          </w:tcPr>
          <w:p w14:paraId="013F039F" w14:textId="77777777" w:rsidR="00CC37C8" w:rsidRDefault="00FA2179">
            <w:pPr>
              <w:spacing w:after="0"/>
              <w:rPr>
                <w:rFonts w:eastAsia="Arial" w:cs="Arial"/>
                <w:color w:val="1A1A1A"/>
                <w:szCs w:val="18"/>
              </w:rPr>
            </w:pPr>
            <w:r>
              <w:rPr>
                <w:rFonts w:eastAsia="Arial" w:cs="Arial"/>
                <w:color w:val="1A1A1A"/>
                <w:szCs w:val="18"/>
              </w:rPr>
              <w:t>Greve de trabalhadores da própria Contratada</w:t>
            </w:r>
          </w:p>
        </w:tc>
        <w:tc>
          <w:tcPr>
            <w:tcW w:w="2400" w:type="dxa"/>
            <w:shd w:val="clear" w:color="auto" w:fill="FFFFFF"/>
            <w:tcMar>
              <w:top w:w="60" w:type="dxa"/>
              <w:left w:w="100" w:type="dxa"/>
              <w:bottom w:w="60" w:type="dxa"/>
              <w:right w:w="100" w:type="dxa"/>
            </w:tcMar>
            <w:vAlign w:val="center"/>
          </w:tcPr>
          <w:p w14:paraId="697A8EA6" w14:textId="77777777" w:rsidR="00CC37C8" w:rsidRDefault="00FA2179">
            <w:pPr>
              <w:spacing w:after="0"/>
              <w:rPr>
                <w:rFonts w:eastAsia="Arial" w:cs="Arial"/>
                <w:color w:val="1A1A1A"/>
                <w:szCs w:val="18"/>
              </w:rPr>
            </w:pPr>
            <w:r>
              <w:rPr>
                <w:rFonts w:eastAsia="Arial" w:cs="Arial"/>
                <w:color w:val="1A1A1A"/>
                <w:szCs w:val="18"/>
              </w:rPr>
              <w:t>Paralisação de funcionários por conflito trabalhista interno, inadimplência salarial ou negociação coletiva.</w:t>
            </w:r>
          </w:p>
        </w:tc>
        <w:tc>
          <w:tcPr>
            <w:tcW w:w="1100" w:type="dxa"/>
            <w:shd w:val="clear" w:color="auto" w:fill="FFF2CC"/>
            <w:tcMar>
              <w:top w:w="60" w:type="dxa"/>
              <w:left w:w="100" w:type="dxa"/>
              <w:bottom w:w="60" w:type="dxa"/>
              <w:right w:w="100" w:type="dxa"/>
            </w:tcMar>
            <w:vAlign w:val="center"/>
          </w:tcPr>
          <w:p w14:paraId="1DBF76BC" w14:textId="77777777" w:rsidR="00CC37C8" w:rsidRDefault="00FA2179">
            <w:pPr>
              <w:spacing w:after="0"/>
              <w:jc w:val="center"/>
              <w:rPr>
                <w:rFonts w:eastAsia="Arial" w:cs="Arial"/>
                <w:b/>
                <w:bCs/>
                <w:color w:val="1A1A1A"/>
                <w:szCs w:val="18"/>
              </w:rPr>
            </w:pPr>
            <w:r>
              <w:rPr>
                <w:rFonts w:eastAsia="Arial" w:cs="Arial"/>
                <w:b/>
                <w:bCs/>
                <w:color w:val="1A1A1A"/>
                <w:szCs w:val="18"/>
              </w:rPr>
              <w:t>CONTRATADA</w:t>
            </w:r>
          </w:p>
        </w:tc>
        <w:tc>
          <w:tcPr>
            <w:tcW w:w="3868" w:type="dxa"/>
            <w:shd w:val="clear" w:color="auto" w:fill="FFFFFF"/>
            <w:tcMar>
              <w:top w:w="60" w:type="dxa"/>
              <w:left w:w="100" w:type="dxa"/>
              <w:bottom w:w="60" w:type="dxa"/>
              <w:right w:w="100" w:type="dxa"/>
            </w:tcMar>
            <w:vAlign w:val="center"/>
          </w:tcPr>
          <w:p w14:paraId="553AD5F9" w14:textId="77777777" w:rsidR="00CC37C8" w:rsidRDefault="00FA2179">
            <w:pPr>
              <w:spacing w:after="0"/>
              <w:rPr>
                <w:rFonts w:eastAsia="Arial" w:cs="Arial"/>
                <w:color w:val="1A1A1A"/>
                <w:szCs w:val="18"/>
              </w:rPr>
            </w:pPr>
            <w:r>
              <w:rPr>
                <w:rFonts w:eastAsia="Arial" w:cs="Arial"/>
                <w:color w:val="1A1A1A"/>
                <w:szCs w:val="18"/>
              </w:rPr>
              <w:t>Risco de gestão de pessoal — não configura força maior. Responsabilidade pela gestão de relações trabalhistas.</w:t>
            </w:r>
          </w:p>
        </w:tc>
        <w:tc>
          <w:tcPr>
            <w:tcW w:w="4968" w:type="dxa"/>
            <w:shd w:val="clear" w:color="auto" w:fill="FFFFFF"/>
            <w:tcMar>
              <w:top w:w="60" w:type="dxa"/>
              <w:left w:w="100" w:type="dxa"/>
              <w:bottom w:w="60" w:type="dxa"/>
              <w:right w:w="100" w:type="dxa"/>
            </w:tcMar>
            <w:vAlign w:val="center"/>
          </w:tcPr>
          <w:p w14:paraId="4D2F9CD4" w14:textId="77777777" w:rsidR="00CC37C8" w:rsidRDefault="00FA2179">
            <w:pPr>
              <w:spacing w:after="0"/>
              <w:rPr>
                <w:rFonts w:eastAsia="Arial" w:cs="Arial"/>
                <w:color w:val="1A1A1A"/>
                <w:szCs w:val="18"/>
              </w:rPr>
            </w:pPr>
            <w:r>
              <w:rPr>
                <w:rFonts w:eastAsia="Arial" w:cs="Arial"/>
                <w:color w:val="1A1A1A"/>
                <w:szCs w:val="18"/>
              </w:rPr>
              <w:t>Prazo não prorrogado. Multa diária por atraso. Plano de recuperação exigido em até 5 dias corridos.</w:t>
            </w:r>
          </w:p>
        </w:tc>
      </w:tr>
      <w:tr w:rsidR="00CC37C8" w14:paraId="7CCF8BE9" w14:textId="77777777">
        <w:tblPrEx>
          <w:jc w:val="center"/>
        </w:tblPrEx>
        <w:trPr>
          <w:jc w:val="center"/>
        </w:trPr>
        <w:tc>
          <w:tcPr>
            <w:tcW w:w="532" w:type="dxa"/>
            <w:shd w:val="clear" w:color="auto" w:fill="FFFFFF"/>
            <w:tcMar>
              <w:top w:w="60" w:type="dxa"/>
              <w:left w:w="100" w:type="dxa"/>
              <w:bottom w:w="60" w:type="dxa"/>
              <w:right w:w="100" w:type="dxa"/>
            </w:tcMar>
            <w:vAlign w:val="center"/>
          </w:tcPr>
          <w:p w14:paraId="4010D1F6" w14:textId="77777777" w:rsidR="00CC37C8" w:rsidRDefault="00FA2179">
            <w:pPr>
              <w:spacing w:after="0"/>
              <w:jc w:val="center"/>
              <w:rPr>
                <w:rFonts w:eastAsia="Arial" w:cs="Arial"/>
                <w:b/>
                <w:bCs/>
                <w:color w:val="1A1A1A"/>
                <w:szCs w:val="18"/>
              </w:rPr>
            </w:pPr>
            <w:r>
              <w:rPr>
                <w:rFonts w:eastAsia="Arial" w:cs="Arial"/>
                <w:b/>
                <w:bCs/>
                <w:color w:val="1A1A1A"/>
                <w:szCs w:val="18"/>
              </w:rPr>
              <w:t>MR21</w:t>
            </w:r>
          </w:p>
        </w:tc>
        <w:tc>
          <w:tcPr>
            <w:tcW w:w="2400" w:type="dxa"/>
            <w:shd w:val="clear" w:color="auto" w:fill="FFFFFF"/>
            <w:tcMar>
              <w:top w:w="60" w:type="dxa"/>
              <w:left w:w="100" w:type="dxa"/>
              <w:bottom w:w="60" w:type="dxa"/>
              <w:right w:w="100" w:type="dxa"/>
            </w:tcMar>
            <w:vAlign w:val="center"/>
          </w:tcPr>
          <w:p w14:paraId="6053A388" w14:textId="77777777" w:rsidR="00CC37C8" w:rsidRDefault="00FA2179">
            <w:pPr>
              <w:spacing w:after="0"/>
              <w:rPr>
                <w:rFonts w:eastAsia="Arial" w:cs="Arial"/>
                <w:color w:val="1A1A1A"/>
                <w:szCs w:val="18"/>
              </w:rPr>
            </w:pPr>
            <w:r>
              <w:rPr>
                <w:rFonts w:eastAsia="Arial" w:cs="Arial"/>
                <w:color w:val="1A1A1A"/>
                <w:szCs w:val="18"/>
              </w:rPr>
              <w:t>Pandemia, estado de calamidade pública ou emergência nacional declarada</w:t>
            </w:r>
          </w:p>
        </w:tc>
        <w:tc>
          <w:tcPr>
            <w:tcW w:w="2400" w:type="dxa"/>
            <w:shd w:val="clear" w:color="auto" w:fill="FFFFFF"/>
            <w:tcMar>
              <w:top w:w="60" w:type="dxa"/>
              <w:left w:w="100" w:type="dxa"/>
              <w:bottom w:w="60" w:type="dxa"/>
              <w:right w:w="100" w:type="dxa"/>
            </w:tcMar>
            <w:vAlign w:val="center"/>
          </w:tcPr>
          <w:p w14:paraId="03B57818" w14:textId="77777777" w:rsidR="00CC37C8" w:rsidRDefault="00FA2179">
            <w:pPr>
              <w:spacing w:after="0"/>
              <w:rPr>
                <w:rFonts w:eastAsia="Arial" w:cs="Arial"/>
                <w:color w:val="1A1A1A"/>
                <w:szCs w:val="18"/>
              </w:rPr>
            </w:pPr>
            <w:r>
              <w:rPr>
                <w:rFonts w:eastAsia="Arial" w:cs="Arial"/>
                <w:color w:val="1A1A1A"/>
                <w:szCs w:val="18"/>
              </w:rPr>
              <w:t>Decretação de calamidade pública, pandemia ou emergência que restrinja substancialmente a execução da obra.</w:t>
            </w:r>
          </w:p>
        </w:tc>
        <w:tc>
          <w:tcPr>
            <w:tcW w:w="1100" w:type="dxa"/>
            <w:shd w:val="clear" w:color="auto" w:fill="DAE8FC"/>
            <w:tcMar>
              <w:top w:w="60" w:type="dxa"/>
              <w:left w:w="100" w:type="dxa"/>
              <w:bottom w:w="60" w:type="dxa"/>
              <w:right w:w="100" w:type="dxa"/>
            </w:tcMar>
            <w:vAlign w:val="center"/>
          </w:tcPr>
          <w:p w14:paraId="63CCE278" w14:textId="77777777" w:rsidR="00CC37C8" w:rsidRDefault="00FA2179">
            <w:pPr>
              <w:spacing w:after="0"/>
              <w:jc w:val="center"/>
              <w:rPr>
                <w:rFonts w:eastAsia="Arial" w:cs="Arial"/>
                <w:b/>
                <w:bCs/>
                <w:color w:val="1A1A1A"/>
                <w:szCs w:val="18"/>
              </w:rPr>
            </w:pPr>
            <w:r>
              <w:rPr>
                <w:rFonts w:eastAsia="Arial" w:cs="Arial"/>
                <w:b/>
                <w:bCs/>
                <w:color w:val="1A1A1A"/>
                <w:szCs w:val="18"/>
              </w:rPr>
              <w:t>CONTRATANTE</w:t>
            </w:r>
          </w:p>
        </w:tc>
        <w:tc>
          <w:tcPr>
            <w:tcW w:w="3868" w:type="dxa"/>
            <w:shd w:val="clear" w:color="auto" w:fill="FFFFFF"/>
            <w:tcMar>
              <w:top w:w="60" w:type="dxa"/>
              <w:left w:w="100" w:type="dxa"/>
              <w:bottom w:w="60" w:type="dxa"/>
              <w:right w:w="100" w:type="dxa"/>
            </w:tcMar>
            <w:vAlign w:val="center"/>
          </w:tcPr>
          <w:p w14:paraId="461906CF" w14:textId="77777777" w:rsidR="00CC37C8" w:rsidRDefault="00FA2179">
            <w:pPr>
              <w:spacing w:after="0"/>
              <w:rPr>
                <w:rFonts w:eastAsia="Arial" w:cs="Arial"/>
                <w:color w:val="1A1A1A"/>
                <w:szCs w:val="18"/>
              </w:rPr>
            </w:pPr>
            <w:r>
              <w:rPr>
                <w:rFonts w:eastAsia="Arial" w:cs="Arial"/>
                <w:color w:val="1A1A1A"/>
                <w:szCs w:val="18"/>
              </w:rPr>
              <w:t>Art. 124, II, d — força maior comprovada por ato do Poder Público.</w:t>
            </w:r>
          </w:p>
        </w:tc>
        <w:tc>
          <w:tcPr>
            <w:tcW w:w="4968" w:type="dxa"/>
            <w:shd w:val="clear" w:color="auto" w:fill="FFFFFF"/>
            <w:tcMar>
              <w:top w:w="60" w:type="dxa"/>
              <w:left w:w="100" w:type="dxa"/>
              <w:bottom w:w="60" w:type="dxa"/>
              <w:right w:w="100" w:type="dxa"/>
            </w:tcMar>
            <w:vAlign w:val="center"/>
          </w:tcPr>
          <w:p w14:paraId="49271EA5" w14:textId="77777777" w:rsidR="00CC37C8" w:rsidRDefault="00FA2179">
            <w:pPr>
              <w:spacing w:after="0"/>
              <w:rPr>
                <w:rFonts w:eastAsia="Arial" w:cs="Arial"/>
                <w:color w:val="1A1A1A"/>
                <w:szCs w:val="18"/>
              </w:rPr>
            </w:pPr>
            <w:r>
              <w:rPr>
                <w:rFonts w:eastAsia="Arial" w:cs="Arial"/>
                <w:color w:val="1A1A1A"/>
                <w:szCs w:val="18"/>
              </w:rPr>
              <w:t>Suspensão sem multa (art. 115, II). Revisão de custos fixos caso a caso. Prazo prorrogado pelo período de restrição.</w:t>
            </w:r>
          </w:p>
        </w:tc>
      </w:tr>
    </w:tbl>
    <w:p w14:paraId="41376008" w14:textId="77777777" w:rsidR="00CC37C8" w:rsidRDefault="00CC37C8"/>
    <w:p w14:paraId="046BEC73" w14:textId="77777777" w:rsidR="00B10001" w:rsidRDefault="006B7EAD">
      <w:pPr>
        <w:spacing w:before="80" w:after="80"/>
      </w:pPr>
      <w:r>
        <w:rPr>
          <w:i/>
          <w:color w:val="444444"/>
          <w:szCs w:val="18"/>
        </w:rPr>
        <w:t xml:space="preserve">Os riscos ordinários inerentes à natureza da obra de reforma, adequações e ampliação — incluindo variações de produtividade, perdas de material, retrabalho pontual e demais condições típicas de um canteiro de edificações — são de responsabilidade da Contratada e estão previstos no BDI, calculado conforme os Acórdãos TCU nº 2.622/2013 e 950/2013-Plenário. Em </w:t>
      </w:r>
      <w:r>
        <w:rPr>
          <w:i/>
          <w:color w:val="444444"/>
          <w:szCs w:val="18"/>
        </w:rPr>
        <w:lastRenderedPageBreak/>
        <w:t>caso de atrasos imputáveis exclusivamente à Contratada, serão adotadas as medidas previstas na seção 23 do Projeto Básico (multas e penalidades), incluindo a dedução proporcional dos serviços não executados e, se necessário, a formalização de termo aditivo de atualização do cronograma físico-financeiro.</w:t>
      </w:r>
    </w:p>
    <w:p w14:paraId="3B5AAD94" w14:textId="77777777" w:rsidR="00B10001" w:rsidRDefault="0056769B">
      <w:pPr>
        <w:spacing w:after="0"/>
      </w:pPr>
    </w:p>
    <w:tbl>
      <w:tblPr>
        <w:tblW w:w="15268"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800"/>
        <w:gridCol w:w="900"/>
        <w:gridCol w:w="4000"/>
        <w:gridCol w:w="5600"/>
        <w:gridCol w:w="2968"/>
      </w:tblGrid>
      <w:tr w:rsidR="00B10001" w14:paraId="4579D285" w14:textId="77777777" w:rsidTr="009E2995">
        <w:trPr>
          <w:jc w:val="center"/>
        </w:trPr>
        <w:tc>
          <w:tcPr>
            <w:tcW w:w="15268" w:type="dxa"/>
            <w:gridSpan w:val="5"/>
            <w:shd w:val="clear" w:color="auto" w:fill="1F3864"/>
            <w:tcMar>
              <w:top w:w="60" w:type="dxa"/>
              <w:left w:w="100" w:type="dxa"/>
              <w:bottom w:w="60" w:type="dxa"/>
              <w:right w:w="100" w:type="dxa"/>
            </w:tcMar>
            <w:vAlign w:val="center"/>
          </w:tcPr>
          <w:p w14:paraId="20C1CA47" w14:textId="77777777" w:rsidR="00B10001" w:rsidRDefault="006B7EAD">
            <w:pPr>
              <w:spacing w:after="0"/>
              <w:jc w:val="center"/>
            </w:pPr>
            <w:r>
              <w:rPr>
                <w:b/>
                <w:bCs/>
                <w:color w:val="FFFFFF"/>
                <w:sz w:val="20"/>
                <w:szCs w:val="20"/>
              </w:rPr>
              <w:t>RESUMO — DISTRIBUIÇÃO DOS RISCOS POR NÍVEL</w:t>
            </w:r>
          </w:p>
        </w:tc>
      </w:tr>
      <w:tr w:rsidR="00B10001" w14:paraId="13472E56" w14:textId="77777777" w:rsidTr="009E2995">
        <w:trPr>
          <w:tblHeader/>
          <w:jc w:val="center"/>
        </w:trPr>
        <w:tc>
          <w:tcPr>
            <w:tcW w:w="1800" w:type="dxa"/>
            <w:shd w:val="clear" w:color="auto" w:fill="1F3864"/>
            <w:tcMar>
              <w:top w:w="60" w:type="dxa"/>
              <w:left w:w="100" w:type="dxa"/>
              <w:bottom w:w="60" w:type="dxa"/>
              <w:right w:w="100" w:type="dxa"/>
            </w:tcMar>
            <w:vAlign w:val="center"/>
          </w:tcPr>
          <w:p w14:paraId="6D8E1227" w14:textId="77777777" w:rsidR="00B10001" w:rsidRDefault="006B7EAD">
            <w:pPr>
              <w:spacing w:after="0"/>
              <w:jc w:val="center"/>
            </w:pPr>
            <w:r>
              <w:rPr>
                <w:b/>
                <w:bCs/>
                <w:color w:val="FFFFFF"/>
                <w:szCs w:val="18"/>
              </w:rPr>
              <w:t>Nível</w:t>
            </w:r>
          </w:p>
        </w:tc>
        <w:tc>
          <w:tcPr>
            <w:tcW w:w="900" w:type="dxa"/>
            <w:shd w:val="clear" w:color="auto" w:fill="1F3864"/>
            <w:tcMar>
              <w:top w:w="60" w:type="dxa"/>
              <w:left w:w="100" w:type="dxa"/>
              <w:bottom w:w="60" w:type="dxa"/>
              <w:right w:w="100" w:type="dxa"/>
            </w:tcMar>
            <w:vAlign w:val="center"/>
          </w:tcPr>
          <w:p w14:paraId="7E5B5A33" w14:textId="77777777" w:rsidR="00B10001" w:rsidRDefault="006B7EAD">
            <w:pPr>
              <w:spacing w:after="0"/>
              <w:jc w:val="center"/>
            </w:pPr>
            <w:r>
              <w:rPr>
                <w:b/>
                <w:bCs/>
                <w:color w:val="FFFFFF"/>
                <w:szCs w:val="18"/>
              </w:rPr>
              <w:t>Qtd.</w:t>
            </w:r>
          </w:p>
        </w:tc>
        <w:tc>
          <w:tcPr>
            <w:tcW w:w="4000" w:type="dxa"/>
            <w:shd w:val="clear" w:color="auto" w:fill="1F3864"/>
            <w:tcMar>
              <w:top w:w="60" w:type="dxa"/>
              <w:left w:w="100" w:type="dxa"/>
              <w:bottom w:w="60" w:type="dxa"/>
              <w:right w:w="100" w:type="dxa"/>
            </w:tcMar>
            <w:vAlign w:val="center"/>
          </w:tcPr>
          <w:p w14:paraId="11A0566F" w14:textId="77777777" w:rsidR="00B10001" w:rsidRDefault="006B7EAD">
            <w:pPr>
              <w:spacing w:after="0"/>
            </w:pPr>
            <w:r>
              <w:rPr>
                <w:b/>
                <w:bCs/>
                <w:color w:val="FFFFFF"/>
                <w:szCs w:val="18"/>
              </w:rPr>
              <w:t>IDs</w:t>
            </w:r>
          </w:p>
        </w:tc>
        <w:tc>
          <w:tcPr>
            <w:tcW w:w="5600" w:type="dxa"/>
            <w:shd w:val="clear" w:color="auto" w:fill="1F3864"/>
            <w:tcMar>
              <w:top w:w="60" w:type="dxa"/>
              <w:left w:w="100" w:type="dxa"/>
              <w:bottom w:w="60" w:type="dxa"/>
              <w:right w:w="100" w:type="dxa"/>
            </w:tcMar>
            <w:vAlign w:val="center"/>
          </w:tcPr>
          <w:p w14:paraId="4F209632" w14:textId="77777777" w:rsidR="00B10001" w:rsidRDefault="006B7EAD">
            <w:pPr>
              <w:spacing w:after="0"/>
            </w:pPr>
            <w:r>
              <w:rPr>
                <w:b/>
                <w:bCs/>
                <w:color w:val="FFFFFF"/>
                <w:szCs w:val="18"/>
              </w:rPr>
              <w:t>Ação Prioritária</w:t>
            </w:r>
          </w:p>
        </w:tc>
        <w:tc>
          <w:tcPr>
            <w:tcW w:w="2968" w:type="dxa"/>
            <w:shd w:val="clear" w:color="auto" w:fill="1F3864"/>
            <w:tcMar>
              <w:top w:w="60" w:type="dxa"/>
              <w:left w:w="100" w:type="dxa"/>
              <w:bottom w:w="60" w:type="dxa"/>
              <w:right w:w="100" w:type="dxa"/>
            </w:tcMar>
            <w:vAlign w:val="center"/>
          </w:tcPr>
          <w:p w14:paraId="302EED02" w14:textId="77777777" w:rsidR="00B10001" w:rsidRDefault="006B7EAD">
            <w:pPr>
              <w:spacing w:after="0"/>
            </w:pPr>
            <w:r>
              <w:rPr>
                <w:b/>
                <w:bCs/>
                <w:color w:val="FFFFFF"/>
                <w:szCs w:val="18"/>
              </w:rPr>
              <w:t>Monitoramento</w:t>
            </w:r>
          </w:p>
        </w:tc>
      </w:tr>
      <w:tr w:rsidR="00B10001" w14:paraId="6F1E69E1" w14:textId="77777777" w:rsidTr="009E2995">
        <w:trPr>
          <w:jc w:val="center"/>
        </w:trPr>
        <w:tc>
          <w:tcPr>
            <w:tcW w:w="1800" w:type="dxa"/>
            <w:shd w:val="clear" w:color="auto" w:fill="FDDEDE"/>
            <w:tcMar>
              <w:top w:w="60" w:type="dxa"/>
              <w:left w:w="100" w:type="dxa"/>
              <w:bottom w:w="60" w:type="dxa"/>
              <w:right w:w="100" w:type="dxa"/>
            </w:tcMar>
            <w:vAlign w:val="center"/>
          </w:tcPr>
          <w:p w14:paraId="2CC94D18" w14:textId="77777777" w:rsidR="00B10001" w:rsidRDefault="006B7EAD">
            <w:pPr>
              <w:spacing w:after="0"/>
              <w:jc w:val="center"/>
            </w:pPr>
            <w:r>
              <w:rPr>
                <w:b/>
                <w:bCs/>
                <w:color w:val="1A1A1A"/>
                <w:szCs w:val="18"/>
              </w:rPr>
              <w:t>CRÍTICO</w:t>
            </w:r>
          </w:p>
        </w:tc>
        <w:tc>
          <w:tcPr>
            <w:tcW w:w="900" w:type="dxa"/>
            <w:shd w:val="clear" w:color="auto" w:fill="FDDEDE"/>
            <w:tcMar>
              <w:top w:w="60" w:type="dxa"/>
              <w:left w:w="100" w:type="dxa"/>
              <w:bottom w:w="60" w:type="dxa"/>
              <w:right w:w="100" w:type="dxa"/>
            </w:tcMar>
            <w:vAlign w:val="center"/>
          </w:tcPr>
          <w:p w14:paraId="419F5FDF" w14:textId="77777777" w:rsidR="00B10001" w:rsidRDefault="006B7EAD">
            <w:pPr>
              <w:spacing w:after="0"/>
              <w:jc w:val="center"/>
            </w:pPr>
            <w:r>
              <w:rPr>
                <w:b/>
                <w:bCs/>
                <w:color w:val="1A1A1A"/>
                <w:szCs w:val="18"/>
              </w:rPr>
              <w:t>4</w:t>
            </w:r>
          </w:p>
        </w:tc>
        <w:tc>
          <w:tcPr>
            <w:tcW w:w="4000" w:type="dxa"/>
            <w:shd w:val="clear" w:color="auto" w:fill="FDDEDE"/>
            <w:tcMar>
              <w:top w:w="60" w:type="dxa"/>
              <w:left w:w="100" w:type="dxa"/>
              <w:bottom w:w="60" w:type="dxa"/>
              <w:right w:w="100" w:type="dxa"/>
            </w:tcMar>
            <w:vAlign w:val="center"/>
          </w:tcPr>
          <w:p w14:paraId="1A2DB2CC" w14:textId="77777777" w:rsidR="00B10001" w:rsidRDefault="006B7EAD">
            <w:pPr>
              <w:spacing w:after="0"/>
            </w:pPr>
            <w:r>
              <w:rPr>
                <w:color w:val="1A1A1A"/>
                <w:szCs w:val="18"/>
              </w:rPr>
              <w:t>R06, R08, R21, R23</w:t>
            </w:r>
          </w:p>
        </w:tc>
        <w:tc>
          <w:tcPr>
            <w:tcW w:w="5600" w:type="dxa"/>
            <w:shd w:val="clear" w:color="auto" w:fill="FDDEDE"/>
            <w:tcMar>
              <w:top w:w="60" w:type="dxa"/>
              <w:left w:w="100" w:type="dxa"/>
              <w:bottom w:w="60" w:type="dxa"/>
              <w:right w:w="100" w:type="dxa"/>
            </w:tcMar>
            <w:vAlign w:val="center"/>
          </w:tcPr>
          <w:p w14:paraId="66310C35" w14:textId="77777777" w:rsidR="00B10001" w:rsidRDefault="006B7EAD">
            <w:pPr>
              <w:spacing w:after="0"/>
            </w:pPr>
            <w:r>
              <w:rPr>
                <w:color w:val="1A1A1A"/>
                <w:szCs w:val="18"/>
              </w:rPr>
              <w:t>Ação imediata — fiscalização intensiva, contínua e atenção à agressividade marinha</w:t>
            </w:r>
          </w:p>
        </w:tc>
        <w:tc>
          <w:tcPr>
            <w:tcW w:w="2968" w:type="dxa"/>
            <w:shd w:val="clear" w:color="auto" w:fill="FDDEDE"/>
            <w:tcMar>
              <w:top w:w="60" w:type="dxa"/>
              <w:left w:w="100" w:type="dxa"/>
              <w:bottom w:w="60" w:type="dxa"/>
              <w:right w:w="100" w:type="dxa"/>
            </w:tcMar>
            <w:vAlign w:val="center"/>
          </w:tcPr>
          <w:p w14:paraId="02AE2DC4" w14:textId="77777777" w:rsidR="00B10001" w:rsidRDefault="006B7EAD">
            <w:pPr>
              <w:spacing w:after="0"/>
            </w:pPr>
            <w:r>
              <w:rPr>
                <w:color w:val="1A1A1A"/>
                <w:szCs w:val="18"/>
              </w:rPr>
              <w:t>Contínua — por frente de demolição</w:t>
            </w:r>
          </w:p>
        </w:tc>
      </w:tr>
      <w:tr w:rsidR="00B10001" w14:paraId="37D2C047" w14:textId="77777777" w:rsidTr="009E2995">
        <w:trPr>
          <w:jc w:val="center"/>
        </w:trPr>
        <w:tc>
          <w:tcPr>
            <w:tcW w:w="1800" w:type="dxa"/>
            <w:shd w:val="clear" w:color="auto" w:fill="FAEEDA"/>
            <w:tcMar>
              <w:top w:w="60" w:type="dxa"/>
              <w:left w:w="100" w:type="dxa"/>
              <w:bottom w:w="60" w:type="dxa"/>
              <w:right w:w="100" w:type="dxa"/>
            </w:tcMar>
            <w:vAlign w:val="center"/>
          </w:tcPr>
          <w:p w14:paraId="7CD0C6FC" w14:textId="77777777" w:rsidR="00B10001" w:rsidRDefault="006B7EAD">
            <w:pPr>
              <w:spacing w:after="0"/>
              <w:jc w:val="center"/>
            </w:pPr>
            <w:r>
              <w:rPr>
                <w:b/>
                <w:bCs/>
                <w:color w:val="1A1A1A"/>
                <w:szCs w:val="18"/>
              </w:rPr>
              <w:t>ALTO</w:t>
            </w:r>
          </w:p>
        </w:tc>
        <w:tc>
          <w:tcPr>
            <w:tcW w:w="900" w:type="dxa"/>
            <w:shd w:val="clear" w:color="auto" w:fill="FAEEDA"/>
            <w:tcMar>
              <w:top w:w="60" w:type="dxa"/>
              <w:left w:w="100" w:type="dxa"/>
              <w:bottom w:w="60" w:type="dxa"/>
              <w:right w:w="100" w:type="dxa"/>
            </w:tcMar>
            <w:vAlign w:val="center"/>
          </w:tcPr>
          <w:p w14:paraId="706EB831" w14:textId="77777777" w:rsidR="00B10001" w:rsidRDefault="006B7EAD">
            <w:pPr>
              <w:spacing w:after="0"/>
              <w:jc w:val="center"/>
            </w:pPr>
            <w:r>
              <w:rPr>
                <w:b/>
                <w:bCs/>
                <w:color w:val="1A1A1A"/>
                <w:szCs w:val="18"/>
              </w:rPr>
              <w:t>7</w:t>
            </w:r>
          </w:p>
        </w:tc>
        <w:tc>
          <w:tcPr>
            <w:tcW w:w="4000" w:type="dxa"/>
            <w:shd w:val="clear" w:color="auto" w:fill="FAEEDA"/>
            <w:tcMar>
              <w:top w:w="60" w:type="dxa"/>
              <w:left w:w="100" w:type="dxa"/>
              <w:bottom w:w="60" w:type="dxa"/>
              <w:right w:w="100" w:type="dxa"/>
            </w:tcMar>
            <w:vAlign w:val="center"/>
          </w:tcPr>
          <w:p w14:paraId="629D195F" w14:textId="77777777" w:rsidR="00B10001" w:rsidRDefault="006B7EAD">
            <w:pPr>
              <w:spacing w:after="0"/>
            </w:pPr>
            <w:r>
              <w:rPr>
                <w:color w:val="1A1A1A"/>
                <w:szCs w:val="18"/>
              </w:rPr>
              <w:t>R03, R07, R09, R10, R11, R17, R22</w:t>
            </w:r>
          </w:p>
        </w:tc>
        <w:tc>
          <w:tcPr>
            <w:tcW w:w="5600" w:type="dxa"/>
            <w:shd w:val="clear" w:color="auto" w:fill="FAEEDA"/>
            <w:tcMar>
              <w:top w:w="60" w:type="dxa"/>
              <w:left w:w="100" w:type="dxa"/>
              <w:bottom w:w="60" w:type="dxa"/>
              <w:right w:w="100" w:type="dxa"/>
            </w:tcMar>
            <w:vAlign w:val="center"/>
          </w:tcPr>
          <w:p w14:paraId="3FE34F2B" w14:textId="77777777" w:rsidR="00B10001" w:rsidRDefault="006B7EAD">
            <w:pPr>
              <w:spacing w:after="0"/>
            </w:pPr>
            <w:r>
              <w:rPr>
                <w:color w:val="1A1A1A"/>
                <w:szCs w:val="18"/>
              </w:rPr>
              <w:t>Ação preventiva prioritária — controle rigoroso de execução e cronograma</w:t>
            </w:r>
          </w:p>
        </w:tc>
        <w:tc>
          <w:tcPr>
            <w:tcW w:w="2968" w:type="dxa"/>
            <w:shd w:val="clear" w:color="auto" w:fill="FAEEDA"/>
            <w:tcMar>
              <w:top w:w="60" w:type="dxa"/>
              <w:left w:w="100" w:type="dxa"/>
              <w:bottom w:w="60" w:type="dxa"/>
              <w:right w:w="100" w:type="dxa"/>
            </w:tcMar>
            <w:vAlign w:val="center"/>
          </w:tcPr>
          <w:p w14:paraId="0E60EF8E" w14:textId="77777777" w:rsidR="00B10001" w:rsidRDefault="006B7EAD">
            <w:pPr>
              <w:spacing w:after="0"/>
            </w:pPr>
            <w:r>
              <w:rPr>
                <w:color w:val="1A1A1A"/>
                <w:szCs w:val="18"/>
              </w:rPr>
              <w:t>Mensal</w:t>
            </w:r>
          </w:p>
        </w:tc>
      </w:tr>
      <w:tr w:rsidR="00B10001" w14:paraId="3E3C0B63" w14:textId="77777777" w:rsidTr="009E2995">
        <w:trPr>
          <w:jc w:val="center"/>
        </w:trPr>
        <w:tc>
          <w:tcPr>
            <w:tcW w:w="1800" w:type="dxa"/>
            <w:shd w:val="clear" w:color="auto" w:fill="FFF2CC"/>
            <w:tcMar>
              <w:top w:w="60" w:type="dxa"/>
              <w:left w:w="100" w:type="dxa"/>
              <w:bottom w:w="60" w:type="dxa"/>
              <w:right w:w="100" w:type="dxa"/>
            </w:tcMar>
            <w:vAlign w:val="center"/>
          </w:tcPr>
          <w:p w14:paraId="2B272548" w14:textId="77777777" w:rsidR="00B10001" w:rsidRDefault="006B7EAD">
            <w:pPr>
              <w:spacing w:after="0"/>
              <w:jc w:val="center"/>
            </w:pPr>
            <w:r>
              <w:rPr>
                <w:b/>
                <w:bCs/>
                <w:color w:val="1A1A1A"/>
                <w:szCs w:val="18"/>
              </w:rPr>
              <w:t>MÉDIO</w:t>
            </w:r>
          </w:p>
        </w:tc>
        <w:tc>
          <w:tcPr>
            <w:tcW w:w="900" w:type="dxa"/>
            <w:shd w:val="clear" w:color="auto" w:fill="FFF2CC"/>
            <w:tcMar>
              <w:top w:w="60" w:type="dxa"/>
              <w:left w:w="100" w:type="dxa"/>
              <w:bottom w:w="60" w:type="dxa"/>
              <w:right w:w="100" w:type="dxa"/>
            </w:tcMar>
            <w:vAlign w:val="center"/>
          </w:tcPr>
          <w:p w14:paraId="17CE0B8F" w14:textId="77777777" w:rsidR="00B10001" w:rsidRDefault="006B7EAD">
            <w:pPr>
              <w:spacing w:after="0"/>
              <w:jc w:val="center"/>
            </w:pPr>
            <w:r>
              <w:rPr>
                <w:b/>
                <w:bCs/>
                <w:color w:val="1A1A1A"/>
                <w:szCs w:val="18"/>
              </w:rPr>
              <w:t>7</w:t>
            </w:r>
          </w:p>
        </w:tc>
        <w:tc>
          <w:tcPr>
            <w:tcW w:w="4000" w:type="dxa"/>
            <w:shd w:val="clear" w:color="auto" w:fill="FFF2CC"/>
            <w:tcMar>
              <w:top w:w="60" w:type="dxa"/>
              <w:left w:w="100" w:type="dxa"/>
              <w:bottom w:w="60" w:type="dxa"/>
              <w:right w:w="100" w:type="dxa"/>
            </w:tcMar>
            <w:vAlign w:val="center"/>
          </w:tcPr>
          <w:p w14:paraId="569E1C9A" w14:textId="77777777" w:rsidR="00B10001" w:rsidRDefault="006B7EAD">
            <w:pPr>
              <w:spacing w:after="0"/>
            </w:pPr>
            <w:r>
              <w:rPr>
                <w:color w:val="1A1A1A"/>
                <w:szCs w:val="18"/>
              </w:rPr>
              <w:t>R02, R04, R12, R14, R15, R16, R24</w:t>
            </w:r>
          </w:p>
        </w:tc>
        <w:tc>
          <w:tcPr>
            <w:tcW w:w="5600" w:type="dxa"/>
            <w:shd w:val="clear" w:color="auto" w:fill="FFF2CC"/>
            <w:tcMar>
              <w:top w:w="60" w:type="dxa"/>
              <w:left w:w="100" w:type="dxa"/>
              <w:bottom w:w="60" w:type="dxa"/>
              <w:right w:w="100" w:type="dxa"/>
            </w:tcMar>
            <w:vAlign w:val="center"/>
          </w:tcPr>
          <w:p w14:paraId="0ABC2DDE" w14:textId="77777777" w:rsidR="00B10001" w:rsidRDefault="006B7EAD">
            <w:pPr>
              <w:spacing w:after="0"/>
            </w:pPr>
            <w:r>
              <w:rPr>
                <w:color w:val="1A1A1A"/>
                <w:szCs w:val="18"/>
              </w:rPr>
              <w:t>Monitorar e mitigar — planos de contingência ativados quando necessário</w:t>
            </w:r>
          </w:p>
        </w:tc>
        <w:tc>
          <w:tcPr>
            <w:tcW w:w="2968" w:type="dxa"/>
            <w:shd w:val="clear" w:color="auto" w:fill="FFF2CC"/>
            <w:tcMar>
              <w:top w:w="60" w:type="dxa"/>
              <w:left w:w="100" w:type="dxa"/>
              <w:bottom w:w="60" w:type="dxa"/>
              <w:right w:w="100" w:type="dxa"/>
            </w:tcMar>
            <w:vAlign w:val="center"/>
          </w:tcPr>
          <w:p w14:paraId="70386308" w14:textId="77777777" w:rsidR="00B10001" w:rsidRDefault="006B7EAD">
            <w:pPr>
              <w:spacing w:after="0"/>
            </w:pPr>
            <w:r>
              <w:rPr>
                <w:color w:val="1A1A1A"/>
                <w:szCs w:val="18"/>
              </w:rPr>
              <w:t>Mensal / bimestral</w:t>
            </w:r>
          </w:p>
        </w:tc>
      </w:tr>
      <w:tr w:rsidR="00B10001" w14:paraId="69E6D299" w14:textId="77777777" w:rsidTr="009E2995">
        <w:trPr>
          <w:jc w:val="center"/>
        </w:trPr>
        <w:tc>
          <w:tcPr>
            <w:tcW w:w="1800" w:type="dxa"/>
            <w:shd w:val="clear" w:color="auto" w:fill="E2EFDA"/>
            <w:tcMar>
              <w:top w:w="60" w:type="dxa"/>
              <w:left w:w="100" w:type="dxa"/>
              <w:bottom w:w="60" w:type="dxa"/>
              <w:right w:w="100" w:type="dxa"/>
            </w:tcMar>
            <w:vAlign w:val="center"/>
          </w:tcPr>
          <w:p w14:paraId="208DBAF2" w14:textId="77777777" w:rsidR="00B10001" w:rsidRDefault="006B7EAD">
            <w:pPr>
              <w:spacing w:after="0"/>
              <w:jc w:val="center"/>
            </w:pPr>
            <w:r>
              <w:rPr>
                <w:b/>
                <w:bCs/>
                <w:color w:val="1A1A1A"/>
                <w:szCs w:val="18"/>
              </w:rPr>
              <w:t>BAIXO</w:t>
            </w:r>
          </w:p>
        </w:tc>
        <w:tc>
          <w:tcPr>
            <w:tcW w:w="900" w:type="dxa"/>
            <w:shd w:val="clear" w:color="auto" w:fill="E2EFDA"/>
            <w:tcMar>
              <w:top w:w="60" w:type="dxa"/>
              <w:left w:w="100" w:type="dxa"/>
              <w:bottom w:w="60" w:type="dxa"/>
              <w:right w:w="100" w:type="dxa"/>
            </w:tcMar>
            <w:vAlign w:val="center"/>
          </w:tcPr>
          <w:p w14:paraId="7849918E" w14:textId="77777777" w:rsidR="00B10001" w:rsidRDefault="006B7EAD">
            <w:pPr>
              <w:spacing w:after="0"/>
              <w:jc w:val="center"/>
            </w:pPr>
            <w:r>
              <w:rPr>
                <w:b/>
                <w:bCs/>
                <w:color w:val="1A1A1A"/>
                <w:szCs w:val="18"/>
              </w:rPr>
              <w:t>6</w:t>
            </w:r>
          </w:p>
        </w:tc>
        <w:tc>
          <w:tcPr>
            <w:tcW w:w="4000" w:type="dxa"/>
            <w:shd w:val="clear" w:color="auto" w:fill="E2EFDA"/>
            <w:tcMar>
              <w:top w:w="60" w:type="dxa"/>
              <w:left w:w="100" w:type="dxa"/>
              <w:bottom w:w="60" w:type="dxa"/>
              <w:right w:w="100" w:type="dxa"/>
            </w:tcMar>
            <w:vAlign w:val="center"/>
          </w:tcPr>
          <w:p w14:paraId="3961E4E7" w14:textId="77777777" w:rsidR="00B10001" w:rsidRDefault="006B7EAD">
            <w:pPr>
              <w:spacing w:after="0"/>
            </w:pPr>
            <w:r>
              <w:rPr>
                <w:color w:val="1A1A1A"/>
                <w:szCs w:val="18"/>
              </w:rPr>
              <w:t>R01, R05, R13, R18, R19, R20</w:t>
            </w:r>
          </w:p>
        </w:tc>
        <w:tc>
          <w:tcPr>
            <w:tcW w:w="5600" w:type="dxa"/>
            <w:shd w:val="clear" w:color="auto" w:fill="E2EFDA"/>
            <w:tcMar>
              <w:top w:w="60" w:type="dxa"/>
              <w:left w:w="100" w:type="dxa"/>
              <w:bottom w:w="60" w:type="dxa"/>
              <w:right w:w="100" w:type="dxa"/>
            </w:tcMar>
            <w:vAlign w:val="center"/>
          </w:tcPr>
          <w:p w14:paraId="7B97568B" w14:textId="77777777" w:rsidR="00B10001" w:rsidRDefault="006B7EAD">
            <w:pPr>
              <w:spacing w:after="0"/>
            </w:pPr>
            <w:r>
              <w:rPr>
                <w:color w:val="1A1A1A"/>
                <w:szCs w:val="18"/>
              </w:rPr>
              <w:t>Aceitar / controlar — monitoramento rotineiro</w:t>
            </w:r>
          </w:p>
        </w:tc>
        <w:tc>
          <w:tcPr>
            <w:tcW w:w="2968" w:type="dxa"/>
            <w:shd w:val="clear" w:color="auto" w:fill="E2EFDA"/>
            <w:tcMar>
              <w:top w:w="60" w:type="dxa"/>
              <w:left w:w="100" w:type="dxa"/>
              <w:bottom w:w="60" w:type="dxa"/>
              <w:right w:w="100" w:type="dxa"/>
            </w:tcMar>
            <w:vAlign w:val="center"/>
          </w:tcPr>
          <w:p w14:paraId="77E01086" w14:textId="77777777" w:rsidR="00B10001" w:rsidRDefault="006B7EAD">
            <w:pPr>
              <w:spacing w:after="0"/>
            </w:pPr>
            <w:r>
              <w:rPr>
                <w:color w:val="1A1A1A"/>
                <w:szCs w:val="18"/>
              </w:rPr>
              <w:t>Semestral</w:t>
            </w:r>
          </w:p>
        </w:tc>
      </w:tr>
      <w:tr w:rsidR="00B10001" w14:paraId="17601F9D" w14:textId="77777777" w:rsidTr="009E2995">
        <w:trPr>
          <w:jc w:val="center"/>
        </w:trPr>
        <w:tc>
          <w:tcPr>
            <w:tcW w:w="1800" w:type="dxa"/>
            <w:shd w:val="clear" w:color="auto" w:fill="E2EFDA"/>
            <w:tcMar>
              <w:top w:w="60" w:type="dxa"/>
              <w:left w:w="100" w:type="dxa"/>
              <w:bottom w:w="60" w:type="dxa"/>
              <w:right w:w="100" w:type="dxa"/>
            </w:tcMar>
            <w:vAlign w:val="center"/>
          </w:tcPr>
          <w:p w14:paraId="572A2367" w14:textId="77777777" w:rsidR="00B10001" w:rsidRDefault="006B7EAD">
            <w:pPr>
              <w:spacing w:after="0"/>
              <w:jc w:val="center"/>
            </w:pPr>
            <w:r>
              <w:rPr>
                <w:b/>
                <w:bCs/>
                <w:color w:val="1A1A1A"/>
                <w:szCs w:val="18"/>
              </w:rPr>
              <w:t>FASE 3 — Matriz de Riscos Contratual</w:t>
            </w:r>
          </w:p>
        </w:tc>
        <w:tc>
          <w:tcPr>
            <w:tcW w:w="900" w:type="dxa"/>
            <w:shd w:val="clear" w:color="auto" w:fill="E2EFDA"/>
            <w:tcMar>
              <w:top w:w="60" w:type="dxa"/>
              <w:left w:w="100" w:type="dxa"/>
              <w:bottom w:w="60" w:type="dxa"/>
              <w:right w:w="100" w:type="dxa"/>
            </w:tcMar>
            <w:vAlign w:val="center"/>
          </w:tcPr>
          <w:p w14:paraId="069D0EDF" w14:textId="77777777" w:rsidR="00B10001" w:rsidRDefault="006B7EAD">
            <w:pPr>
              <w:spacing w:after="0"/>
              <w:jc w:val="center"/>
            </w:pPr>
            <w:r>
              <w:rPr>
                <w:b/>
                <w:bCs/>
                <w:color w:val="1A1A1A"/>
                <w:szCs w:val="18"/>
              </w:rPr>
              <w:t>21</w:t>
            </w:r>
          </w:p>
        </w:tc>
        <w:tc>
          <w:tcPr>
            <w:tcW w:w="4000" w:type="dxa"/>
            <w:shd w:val="clear" w:color="auto" w:fill="E2EFDA"/>
            <w:tcMar>
              <w:top w:w="60" w:type="dxa"/>
              <w:left w:w="100" w:type="dxa"/>
              <w:bottom w:w="60" w:type="dxa"/>
              <w:right w:w="100" w:type="dxa"/>
            </w:tcMar>
            <w:vAlign w:val="center"/>
          </w:tcPr>
          <w:p w14:paraId="52503C6E" w14:textId="77777777" w:rsidR="00B10001" w:rsidRDefault="006B7EAD">
            <w:pPr>
              <w:spacing w:after="0"/>
            </w:pPr>
            <w:r>
              <w:rPr>
                <w:color w:val="1A1A1A"/>
                <w:szCs w:val="18"/>
              </w:rPr>
              <w:t>MR01–MR21</w:t>
            </w:r>
          </w:p>
        </w:tc>
        <w:tc>
          <w:tcPr>
            <w:tcW w:w="5600" w:type="dxa"/>
            <w:shd w:val="clear" w:color="auto" w:fill="E2EFDA"/>
            <w:tcMar>
              <w:top w:w="60" w:type="dxa"/>
              <w:left w:w="100" w:type="dxa"/>
              <w:bottom w:w="60" w:type="dxa"/>
              <w:right w:w="100" w:type="dxa"/>
            </w:tcMar>
            <w:vAlign w:val="center"/>
          </w:tcPr>
          <w:p w14:paraId="6B2B235F" w14:textId="77777777" w:rsidR="00B10001" w:rsidRDefault="006B7EAD">
            <w:pPr>
              <w:spacing w:after="0"/>
            </w:pPr>
            <w:r>
              <w:rPr>
                <w:color w:val="1A1A1A"/>
                <w:szCs w:val="18"/>
              </w:rPr>
              <w:t>Referência contratual — definir Contratante/Contratada/Compartilhado em caso de materialização</w:t>
            </w:r>
          </w:p>
        </w:tc>
        <w:tc>
          <w:tcPr>
            <w:tcW w:w="2968" w:type="dxa"/>
            <w:shd w:val="clear" w:color="auto" w:fill="E2EFDA"/>
            <w:tcMar>
              <w:top w:w="60" w:type="dxa"/>
              <w:left w:w="100" w:type="dxa"/>
              <w:bottom w:w="60" w:type="dxa"/>
              <w:right w:w="100" w:type="dxa"/>
            </w:tcMar>
            <w:vAlign w:val="center"/>
          </w:tcPr>
          <w:p w14:paraId="70F8E46D" w14:textId="77777777" w:rsidR="00B10001" w:rsidRDefault="006B7EAD">
            <w:pPr>
              <w:spacing w:after="0"/>
            </w:pPr>
            <w:r>
              <w:rPr>
                <w:color w:val="1A1A1A"/>
                <w:szCs w:val="18"/>
              </w:rPr>
              <w:t>Por evento — durante toda a execução</w:t>
            </w:r>
          </w:p>
        </w:tc>
      </w:tr>
    </w:tbl>
    <w:p w14:paraId="5DA980CE" w14:textId="77777777" w:rsidR="00B10001" w:rsidRDefault="0056769B">
      <w:pPr>
        <w:spacing w:after="0"/>
      </w:pPr>
    </w:p>
    <w:tbl>
      <w:tblPr>
        <w:tblW w:w="151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168"/>
      </w:tblGrid>
      <w:tr w:rsidR="007A6702" w14:paraId="296902EC" w14:textId="77777777" w:rsidTr="007A6702">
        <w:trPr>
          <w:jc w:val="center"/>
        </w:trPr>
        <w:tc>
          <w:tcPr>
            <w:tcW w:w="15168" w:type="dxa"/>
            <w:tcBorders>
              <w:top w:val="single" w:sz="6" w:space="0" w:color="CCCCCC"/>
              <w:left w:val="single" w:sz="6" w:space="0" w:color="CCCCCC"/>
              <w:bottom w:val="single" w:sz="6" w:space="0" w:color="CCCCCC"/>
              <w:right w:val="single" w:sz="6" w:space="0" w:color="CCCCCC"/>
            </w:tcBorders>
            <w:shd w:val="clear" w:color="auto" w:fill="F2F2F2"/>
            <w:tcMar>
              <w:top w:w="80" w:type="dxa"/>
              <w:left w:w="140" w:type="dxa"/>
              <w:bottom w:w="80" w:type="dxa"/>
              <w:right w:w="140" w:type="dxa"/>
            </w:tcMar>
          </w:tcPr>
          <w:p w14:paraId="4ABF5692" w14:textId="77777777" w:rsidR="007A6702" w:rsidRPr="007A6702" w:rsidRDefault="007A6702" w:rsidP="007A6702">
            <w:pPr>
              <w:spacing w:before="40" w:after="120"/>
              <w:jc w:val="both"/>
              <w:rPr>
                <w:i/>
                <w:sz w:val="17"/>
                <w:szCs w:val="17"/>
              </w:rPr>
            </w:pPr>
            <w:r>
              <w:rPr>
                <w:b/>
                <w:bCs/>
                <w:i/>
                <w:sz w:val="17"/>
                <w:szCs w:val="17"/>
              </w:rPr>
              <w:t>Fundamento legal</w:t>
            </w:r>
            <w:r>
              <w:rPr>
                <w:i/>
                <w:sz w:val="17"/>
                <w:szCs w:val="17"/>
              </w:rPr>
              <w:t>: Art. 11, parágrafo único, e art. 18, §1º, VI, da Lei nº 14.133/2021; IN SEGES/ME nº 65/2021 (art. 25); Instrução Normativa CGU nº 01/2016 (Gestão de Riscos na Administração Pública). O presente Mapa de Riscos é documento obrigatório integrante da fase preparatória da licitação e deve ser revisado a cada 6 (seis) meses ou quando houver alteração relevante no objeto, no contexto da contratação ou nas condições de mercado; Art. 103 e Art. 6°, XXVII, da Lei n° 14.133/2021 (Matriz de Riscos Contratual — Contratação Semi-Integrada).</w:t>
            </w:r>
          </w:p>
        </w:tc>
      </w:tr>
    </w:tbl>
    <w:p w14:paraId="0AFFD9A2" w14:textId="33DB877D" w:rsidR="008655EA" w:rsidRDefault="007A6702" w:rsidP="008655EA">
      <w:pPr>
        <w:pBdr>
          <w:top w:val="single" w:sz="4" w:space="8" w:color="2E5E9E"/>
        </w:pBdr>
        <w:spacing w:before="160" w:after="80"/>
        <w:jc w:val="right"/>
        <w:rPr>
          <w:rFonts w:eastAsia="Arial" w:cs="Arial"/>
          <w:i/>
          <w:iCs/>
          <w:color w:val="555555"/>
          <w:szCs w:val="18"/>
        </w:rPr>
      </w:pPr>
      <w:r>
        <w:rPr>
          <w:rFonts w:eastAsia="Arial" w:cs="Arial"/>
          <w:i/>
          <w:iCs/>
          <w:color w:val="555555"/>
          <w:szCs w:val="18"/>
        </w:rPr>
        <w:t>Goiana/PE, 01 de junho de 2026</w:t>
      </w:r>
    </w:p>
    <w:tbl>
      <w:tblPr>
        <w:tblW w:w="6000" w:type="dxa"/>
        <w:jc w:val="center"/>
        <w:tblLook w:val="04A0" w:firstRow="1" w:lastRow="0" w:firstColumn="1" w:lastColumn="0" w:noHBand="0" w:noVBand="1"/>
      </w:tblPr>
      <w:tblGrid>
        <w:gridCol w:w="6000"/>
      </w:tblGrid>
      <w:tr w:rsidR="007A6702" w14:paraId="10E94AB6" w14:textId="77777777" w:rsidTr="007A6702">
        <w:trPr>
          <w:jc w:val="center"/>
        </w:trPr>
        <w:tc>
          <w:tcPr>
            <w:tcW w:w="6000" w:type="dxa"/>
            <w:tcBorders>
              <w:top w:val="single" w:sz="4" w:space="0" w:color="FFFFFF"/>
              <w:left w:val="single" w:sz="4" w:space="0" w:color="FFFFFF"/>
              <w:bottom w:val="single" w:sz="4" w:space="0" w:color="FFFFFF"/>
              <w:right w:val="single" w:sz="4" w:space="0" w:color="FFFFFF"/>
            </w:tcBorders>
            <w:shd w:val="clear" w:color="auto" w:fill="FFFFFF"/>
            <w:tcMar>
              <w:top w:w="60" w:type="dxa"/>
              <w:left w:w="100" w:type="dxa"/>
              <w:bottom w:w="60" w:type="dxa"/>
              <w:right w:w="100" w:type="dxa"/>
            </w:tcMar>
          </w:tcPr>
          <w:p w14:paraId="0F0EDB2B" w14:textId="77777777" w:rsidR="007A6702" w:rsidRDefault="007A6702">
            <w:pPr>
              <w:spacing w:after="0"/>
              <w:jc w:val="center"/>
            </w:pPr>
            <w:r>
              <w:rPr>
                <w:color w:val="1A1A1A"/>
                <w:sz w:val="20"/>
                <w:szCs w:val="20"/>
              </w:rPr>
              <w:t>________________________________________________</w:t>
            </w:r>
          </w:p>
          <w:p w14:paraId="47FAC0D6" w14:textId="77777777" w:rsidR="007A6702" w:rsidRDefault="007A6702">
            <w:pPr>
              <w:spacing w:after="0"/>
              <w:jc w:val="center"/>
            </w:pPr>
            <w:r>
              <w:rPr>
                <w:b/>
                <w:bCs/>
                <w:color w:val="1A1A1A"/>
                <w:sz w:val="20"/>
                <w:szCs w:val="20"/>
              </w:rPr>
              <w:t>MARCELO FERREIRA DA SILVA JÚNIOR</w:t>
            </w:r>
          </w:p>
          <w:p w14:paraId="79C49EC4" w14:textId="77777777" w:rsidR="007A6702" w:rsidRPr="00E642F9" w:rsidRDefault="007A6702">
            <w:pPr>
              <w:spacing w:after="0"/>
              <w:jc w:val="center"/>
              <w:rPr>
                <w:i/>
                <w:iCs/>
              </w:rPr>
            </w:pPr>
            <w:r>
              <w:rPr>
                <w:i/>
                <w:iCs/>
                <w:color w:val="1A1A1A"/>
                <w:szCs w:val="18"/>
              </w:rPr>
              <w:t>Engenheiro Civil — CREA 161.780.363-4</w:t>
            </w:r>
          </w:p>
          <w:p w14:paraId="070BBAEB" w14:textId="77777777" w:rsidR="007A6702" w:rsidRPr="00E642F9" w:rsidRDefault="007A6702">
            <w:pPr>
              <w:spacing w:after="0"/>
              <w:jc w:val="center"/>
              <w:rPr>
                <w:i/>
                <w:iCs/>
              </w:rPr>
            </w:pPr>
            <w:r>
              <w:rPr>
                <w:i/>
                <w:iCs/>
                <w:color w:val="1A1A1A"/>
                <w:szCs w:val="18"/>
              </w:rPr>
              <w:t>Assessor Especial — Portaria nº 967/2026</w:t>
            </w:r>
          </w:p>
          <w:p w14:paraId="680E8AA2" w14:textId="77777777" w:rsidR="007A6702" w:rsidRDefault="007A6702">
            <w:pPr>
              <w:spacing w:after="0"/>
              <w:jc w:val="center"/>
            </w:pPr>
            <w:r>
              <w:rPr>
                <w:color w:val="1A1A1A"/>
                <w:szCs w:val="18"/>
              </w:rPr>
              <w:t>Secretaria de Educação e Inovação Pedagógica</w:t>
            </w:r>
          </w:p>
        </w:tc>
      </w:tr>
    </w:tbl>
    <w:p w14:paraId="60E3E422" w14:textId="77777777" w:rsidR="006B7EAD" w:rsidRDefault="006B7EAD" w:rsidP="008655EA"/>
    <w:sectPr w:rsidR="006B7EAD">
      <w:headerReference w:type="default" r:id="rId8"/>
      <w:footerReference w:type="default" r:id="rId9"/>
      <w:pgSz w:w="16838" w:h="11906" w:orient="landscape"/>
      <w:pgMar w:top="1985" w:right="850" w:bottom="1560" w:left="850" w:header="72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DF57B" w14:textId="77777777" w:rsidR="0056769B" w:rsidRDefault="0056769B" w:rsidP="00114498">
      <w:pPr>
        <w:spacing w:after="0" w:line="240" w:lineRule="auto"/>
      </w:pPr>
      <w:r>
        <w:separator/>
      </w:r>
    </w:p>
  </w:endnote>
  <w:endnote w:type="continuationSeparator" w:id="0">
    <w:p w14:paraId="5CDC73A0" w14:textId="77777777" w:rsidR="0056769B" w:rsidRDefault="0056769B" w:rsidP="00114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7E5DB" w14:textId="77777777" w:rsidR="00415F4A" w:rsidRPr="006B41FA" w:rsidRDefault="00415F4A" w:rsidP="00415F4A">
    <w:pPr>
      <w:pStyle w:val="Rodap"/>
      <w:jc w:val="right"/>
      <w:rPr>
        <w:rFonts w:cs="Arial"/>
      </w:rPr>
    </w:pPr>
    <w:proofErr w:type="spellStart"/>
    <w:r w:rsidRPr="006B41FA">
      <w:rPr>
        <w:rFonts w:cs="Arial"/>
      </w:rPr>
      <w:t>Página</w:t>
    </w:r>
    <w:proofErr w:type="spellEnd"/>
    <w:r w:rsidRPr="006B41FA">
      <w:rPr>
        <w:rFonts w:cs="Arial"/>
      </w:rPr>
      <w:t xml:space="preserve"> </w:t>
    </w:r>
    <w:r w:rsidRPr="006B41FA">
      <w:rPr>
        <w:rFonts w:cs="Arial"/>
        <w:b/>
        <w:bCs/>
        <w:sz w:val="24"/>
        <w:szCs w:val="24"/>
      </w:rPr>
      <w:fldChar w:fldCharType="begin"/>
    </w:r>
    <w:r w:rsidRPr="006B41FA">
      <w:rPr>
        <w:rFonts w:cs="Arial"/>
        <w:b/>
        <w:bCs/>
      </w:rPr>
      <w:instrText>PAGE</w:instrText>
    </w:r>
    <w:r w:rsidRPr="006B41FA">
      <w:rPr>
        <w:rFonts w:cs="Arial"/>
        <w:b/>
        <w:bCs/>
        <w:sz w:val="24"/>
        <w:szCs w:val="24"/>
      </w:rPr>
      <w:fldChar w:fldCharType="separate"/>
    </w:r>
    <w:r>
      <w:rPr>
        <w:rFonts w:cs="Arial"/>
        <w:b/>
        <w:bCs/>
        <w:sz w:val="24"/>
        <w:szCs w:val="24"/>
      </w:rPr>
      <w:t>1</w:t>
    </w:r>
    <w:r w:rsidRPr="006B41FA">
      <w:rPr>
        <w:rFonts w:cs="Arial"/>
        <w:b/>
        <w:bCs/>
        <w:sz w:val="24"/>
        <w:szCs w:val="24"/>
      </w:rPr>
      <w:fldChar w:fldCharType="end"/>
    </w:r>
    <w:r w:rsidRPr="006B41FA">
      <w:rPr>
        <w:rFonts w:cs="Arial"/>
      </w:rPr>
      <w:t xml:space="preserve"> de </w:t>
    </w:r>
    <w:r w:rsidRPr="006B41FA">
      <w:rPr>
        <w:rFonts w:cs="Arial"/>
        <w:b/>
        <w:bCs/>
        <w:sz w:val="24"/>
        <w:szCs w:val="24"/>
      </w:rPr>
      <w:fldChar w:fldCharType="begin"/>
    </w:r>
    <w:r w:rsidRPr="006B41FA">
      <w:rPr>
        <w:rFonts w:cs="Arial"/>
        <w:b/>
        <w:bCs/>
      </w:rPr>
      <w:instrText>NUMPAGES</w:instrText>
    </w:r>
    <w:r w:rsidRPr="006B41FA">
      <w:rPr>
        <w:rFonts w:cs="Arial"/>
        <w:b/>
        <w:bCs/>
        <w:sz w:val="24"/>
        <w:szCs w:val="24"/>
      </w:rPr>
      <w:fldChar w:fldCharType="separate"/>
    </w:r>
    <w:r>
      <w:rPr>
        <w:rFonts w:cs="Arial"/>
        <w:b/>
        <w:bCs/>
        <w:sz w:val="24"/>
        <w:szCs w:val="24"/>
      </w:rPr>
      <w:t>26</w:t>
    </w:r>
    <w:r w:rsidRPr="006B41FA">
      <w:rPr>
        <w:rFonts w:cs="Arial"/>
        <w:b/>
        <w:bCs/>
        <w:sz w:val="24"/>
        <w:szCs w:val="24"/>
      </w:rPr>
      <w:fldChar w:fldCharType="end"/>
    </w:r>
  </w:p>
  <w:p w14:paraId="5D39EB9B" w14:textId="77777777" w:rsidR="00114498" w:rsidRDefault="00114498">
    <w:pPr>
      <w:pStyle w:val="Rodap"/>
    </w:pPr>
    <w:r>
      <w:rPr>
        <w:noProof/>
      </w:rPr>
      <w:drawing>
        <wp:anchor distT="0" distB="0" distL="114300" distR="114300" simplePos="0" relativeHeight="251659264" behindDoc="1" locked="0" layoutInCell="1" allowOverlap="1" wp14:anchorId="4632F571" wp14:editId="2BFECD90">
          <wp:simplePos x="0" y="0"/>
          <wp:positionH relativeFrom="column">
            <wp:posOffset>-720725</wp:posOffset>
          </wp:positionH>
          <wp:positionV relativeFrom="paragraph">
            <wp:posOffset>724535</wp:posOffset>
          </wp:positionV>
          <wp:extent cx="10956290" cy="7307580"/>
          <wp:effectExtent l="0" t="0" r="0" b="762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6290" cy="730758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37CF7" w14:textId="77777777" w:rsidR="0056769B" w:rsidRDefault="0056769B" w:rsidP="00114498">
      <w:pPr>
        <w:spacing w:after="0" w:line="240" w:lineRule="auto"/>
      </w:pPr>
      <w:r>
        <w:separator/>
      </w:r>
    </w:p>
  </w:footnote>
  <w:footnote w:type="continuationSeparator" w:id="0">
    <w:p w14:paraId="44429E4A" w14:textId="77777777" w:rsidR="0056769B" w:rsidRDefault="0056769B" w:rsidP="001144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45FC" w14:textId="77777777" w:rsidR="00114498" w:rsidRDefault="00114498">
    <w:pPr>
      <w:pStyle w:val="Cabealho"/>
    </w:pPr>
    <w:r>
      <w:rPr>
        <w:noProof/>
      </w:rPr>
      <w:drawing>
        <wp:anchor distT="0" distB="0" distL="114300" distR="114300" simplePos="0" relativeHeight="251662336" behindDoc="1" locked="0" layoutInCell="1" allowOverlap="1" wp14:anchorId="6A13D2C0" wp14:editId="15890FE1">
          <wp:simplePos x="0" y="0"/>
          <wp:positionH relativeFrom="column">
            <wp:posOffset>-711200</wp:posOffset>
          </wp:positionH>
          <wp:positionV relativeFrom="paragraph">
            <wp:posOffset>-447675</wp:posOffset>
          </wp:positionV>
          <wp:extent cx="11124000" cy="7416000"/>
          <wp:effectExtent l="0" t="0" r="127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24000" cy="7416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152B"/>
    <w:rsid w:val="00034616"/>
    <w:rsid w:val="0006063C"/>
    <w:rsid w:val="00107C22"/>
    <w:rsid w:val="00114498"/>
    <w:rsid w:val="0015074B"/>
    <w:rsid w:val="001C24B5"/>
    <w:rsid w:val="00211E8F"/>
    <w:rsid w:val="002145EE"/>
    <w:rsid w:val="00264258"/>
    <w:rsid w:val="0029639D"/>
    <w:rsid w:val="002F03A6"/>
    <w:rsid w:val="00306F18"/>
    <w:rsid w:val="00326F90"/>
    <w:rsid w:val="0033615E"/>
    <w:rsid w:val="00384C75"/>
    <w:rsid w:val="00415F4A"/>
    <w:rsid w:val="00457475"/>
    <w:rsid w:val="00481045"/>
    <w:rsid w:val="004E1E85"/>
    <w:rsid w:val="004E6955"/>
    <w:rsid w:val="0056769B"/>
    <w:rsid w:val="005F4DD7"/>
    <w:rsid w:val="006075B4"/>
    <w:rsid w:val="00672D21"/>
    <w:rsid w:val="006A4B93"/>
    <w:rsid w:val="006B7EAD"/>
    <w:rsid w:val="007A6702"/>
    <w:rsid w:val="008655EA"/>
    <w:rsid w:val="00905226"/>
    <w:rsid w:val="009E2995"/>
    <w:rsid w:val="00AA1D8D"/>
    <w:rsid w:val="00B47730"/>
    <w:rsid w:val="00C4526C"/>
    <w:rsid w:val="00CB0664"/>
    <w:rsid w:val="00CC37C8"/>
    <w:rsid w:val="00D5200E"/>
    <w:rsid w:val="00DF25E6"/>
    <w:rsid w:val="00E642F9"/>
    <w:rsid w:val="00EB5FCC"/>
    <w:rsid w:val="00F222E2"/>
    <w:rsid w:val="00F52337"/>
    <w:rsid w:val="00F6596C"/>
    <w:rsid w:val="00FA217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84A989"/>
  <w14:defaultImageDpi w14:val="300"/>
  <w15:docId w15:val="{67B55EC5-E511-40F6-B557-1FF669186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18"/>
    </w:rPr>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7727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4881</Words>
  <Characters>26360</Characters>
  <Application>Microsoft Office Word</Application>
  <DocSecurity>0</DocSecurity>
  <Lines>219</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31179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Camila Cruz</cp:lastModifiedBy>
  <cp:revision>2</cp:revision>
  <cp:lastPrinted>2026-06-18T15:19:00Z</cp:lastPrinted>
  <dcterms:created xsi:type="dcterms:W3CDTF">2026-06-19T02:14:00Z</dcterms:created>
  <dcterms:modified xsi:type="dcterms:W3CDTF">2026-06-19T02:14:00Z</dcterms:modified>
  <cp:category/>
</cp:coreProperties>
</file>