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8569640"/>
        <w:docPartObj>
          <w:docPartGallery w:val="Table of Contents"/>
          <w:docPartUnique/>
        </w:docPartObj>
      </w:sdtPr>
      <w:sdtEndPr>
        <w:rPr>
          <w:b/>
          <w:bCs/>
        </w:rPr>
      </w:sdtEndPr>
      <w:sdtContent>
        <w:p w14:paraId="12054D9E" w14:textId="26CDD876" w:rsidR="00D65027" w:rsidRPr="00D65027" w:rsidRDefault="00D65027" w:rsidP="00D65027">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Sumário</w:t>
          </w:r>
        </w:p>
        <w:p w14:paraId="150ED21D" w14:textId="77777777" w:rsidR="00D65027" w:rsidRDefault="00D65027">
          <w:pPr>
            <w:pStyle w:val="Sumrio1"/>
            <w:tabs>
              <w:tab w:val="right" w:leader="dot" w:pos="9376"/>
            </w:tabs>
            <w:rPr>
              <w:rFonts w:ascii="Arial" w:hAnsi="Arial" w:cs="Arial"/>
            </w:rPr>
          </w:pPr>
        </w:p>
        <w:p w14:paraId="0EE45BB0" w14:textId="669DC5F4" w:rsidR="00D65027" w:rsidRPr="00D65027" w:rsidRDefault="00D65027">
          <w:pPr>
            <w:pStyle w:val="Sumrio1"/>
            <w:tabs>
              <w:tab w:val="right" w:leader="dot" w:pos="9376"/>
            </w:tabs>
            <w:rPr>
              <w:rFonts w:ascii="Arial" w:eastAsiaTheme="minorEastAsia" w:hAnsi="Arial" w:cs="Arial"/>
              <w:noProof/>
              <w:sz w:val="22"/>
              <w:szCs w:val="22"/>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30937824" w:history="1">
            <w:r>
              <w:rPr>
                <w:rStyle w:val="Hyperlink"/>
                <w:rFonts w:ascii="Arial" w:eastAsia="Arial" w:hAnsi="Arial" w:cs="Arial"/>
                <w:b/>
                <w:bCs/>
                <w:noProof/>
              </w:rPr>
              <w:t>1. DA APRESENTAÇÃO</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_Toc230937824 \h </w:instrText>
            </w:r>
            <w:r>
              <w:rPr>
                <w:rFonts w:ascii="Arial" w:hAnsi="Arial" w:cs="Arial"/>
                <w:noProof/>
                <w:webHidden/>
              </w:rPr>
            </w:r>
            <w:r>
              <w:rPr>
                <w:rFonts w:ascii="Arial" w:hAnsi="Arial" w:cs="Arial"/>
                <w:noProof/>
                <w:webHidden/>
              </w:rPr>
              <w:fldChar w:fldCharType="separate"/>
            </w:r>
            <w:r w:rsidR="002C3E2B">
              <w:rPr>
                <w:rFonts w:ascii="Arial" w:hAnsi="Arial" w:cs="Arial"/>
                <w:noProof/>
                <w:webHidden/>
              </w:rPr>
              <w:t>2</w:t>
            </w:r>
            <w:r>
              <w:rPr>
                <w:rFonts w:ascii="Arial" w:hAnsi="Arial" w:cs="Arial"/>
                <w:noProof/>
                <w:webHidden/>
              </w:rPr>
              <w:fldChar w:fldCharType="end"/>
            </w:r>
          </w:hyperlink>
        </w:p>
        <w:p w14:paraId="699E39A4" w14:textId="0F4F0827" w:rsidR="00D65027" w:rsidRPr="00D65027" w:rsidRDefault="00FA730F">
          <w:pPr>
            <w:pStyle w:val="Sumrio1"/>
            <w:tabs>
              <w:tab w:val="right" w:leader="dot" w:pos="9376"/>
            </w:tabs>
            <w:rPr>
              <w:rFonts w:ascii="Arial" w:eastAsiaTheme="minorEastAsia" w:hAnsi="Arial" w:cs="Arial"/>
              <w:noProof/>
              <w:sz w:val="22"/>
              <w:szCs w:val="22"/>
            </w:rPr>
          </w:pPr>
          <w:hyperlink w:anchor="_Toc230937825" w:history="1">
            <w:r w:rsidR="00430338">
              <w:rPr>
                <w:rStyle w:val="Hyperlink"/>
                <w:rFonts w:ascii="Arial" w:eastAsia="Arial" w:hAnsi="Arial" w:cs="Arial"/>
                <w:b/>
                <w:bCs/>
                <w:noProof/>
              </w:rPr>
              <w:t>2. DA JUSTIFICATIVA</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_Toc230937825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3</w:t>
            </w:r>
            <w:r w:rsidR="00430338">
              <w:rPr>
                <w:rFonts w:ascii="Arial" w:hAnsi="Arial" w:cs="Arial"/>
                <w:noProof/>
                <w:webHidden/>
              </w:rPr>
              <w:fldChar w:fldCharType="end"/>
            </w:r>
          </w:hyperlink>
        </w:p>
        <w:p w14:paraId="76162616" w14:textId="06B2FB8A" w:rsidR="00D65027" w:rsidRPr="00D65027" w:rsidRDefault="00FA730F">
          <w:pPr>
            <w:pStyle w:val="Sumrio1"/>
            <w:tabs>
              <w:tab w:val="right" w:leader="dot" w:pos="9376"/>
            </w:tabs>
            <w:rPr>
              <w:rFonts w:ascii="Arial" w:eastAsiaTheme="minorEastAsia" w:hAnsi="Arial" w:cs="Arial"/>
              <w:noProof/>
              <w:sz w:val="22"/>
              <w:szCs w:val="22"/>
            </w:rPr>
          </w:pPr>
          <w:hyperlink w:anchor="_Toc230937826" w:history="1">
            <w:r w:rsidR="00430338">
              <w:rPr>
                <w:rStyle w:val="Hyperlink"/>
                <w:rFonts w:ascii="Arial" w:eastAsia="Arial" w:hAnsi="Arial" w:cs="Arial"/>
                <w:b/>
                <w:bCs/>
                <w:noProof/>
              </w:rPr>
              <w:t>3. DO OBJETO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_Toc230937826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3</w:t>
            </w:r>
            <w:r w:rsidR="00430338">
              <w:rPr>
                <w:rFonts w:ascii="Arial" w:hAnsi="Arial" w:cs="Arial"/>
                <w:noProof/>
                <w:webHidden/>
              </w:rPr>
              <w:fldChar w:fldCharType="end"/>
            </w:r>
          </w:hyperlink>
        </w:p>
        <w:p w14:paraId="4AC00E35" w14:textId="17CDC7D6" w:rsidR="00D65027" w:rsidRPr="00D65027" w:rsidRDefault="00FA730F">
          <w:pPr>
            <w:pStyle w:val="Sumrio1"/>
            <w:tabs>
              <w:tab w:val="right" w:leader="dot" w:pos="9376"/>
            </w:tabs>
            <w:rPr>
              <w:rFonts w:ascii="Arial" w:eastAsiaTheme="minorEastAsia" w:hAnsi="Arial" w:cs="Arial"/>
              <w:noProof/>
              <w:sz w:val="22"/>
              <w:szCs w:val="22"/>
            </w:rPr>
          </w:pPr>
          <w:hyperlink w:anchor="_Toc230937827" w:history="1">
            <w:r w:rsidR="00430338">
              <w:rPr>
                <w:rStyle w:val="Hyperlink"/>
                <w:rFonts w:ascii="Arial" w:eastAsia="Arial" w:hAnsi="Arial" w:cs="Arial"/>
                <w:b/>
                <w:bCs/>
                <w:noProof/>
              </w:rPr>
              <w:t>4. DAS CONDIÇÕES DE PARTICIPAÇÃO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_Toc230937827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4</w:t>
            </w:r>
            <w:r w:rsidR="00430338">
              <w:rPr>
                <w:rFonts w:ascii="Arial" w:hAnsi="Arial" w:cs="Arial"/>
                <w:noProof/>
                <w:webHidden/>
              </w:rPr>
              <w:fldChar w:fldCharType="end"/>
            </w:r>
          </w:hyperlink>
        </w:p>
        <w:p w14:paraId="44EDD69A" w14:textId="34E22837" w:rsidR="00D65027" w:rsidRPr="00D65027" w:rsidRDefault="00FA730F">
          <w:pPr>
            <w:pStyle w:val="Sumrio1"/>
            <w:tabs>
              <w:tab w:val="right" w:leader="dot" w:pos="9376"/>
            </w:tabs>
            <w:rPr>
              <w:rFonts w:ascii="Arial" w:eastAsiaTheme="minorEastAsia" w:hAnsi="Arial" w:cs="Arial"/>
              <w:noProof/>
              <w:sz w:val="22"/>
              <w:szCs w:val="22"/>
            </w:rPr>
          </w:pPr>
          <w:hyperlink w:anchor="_Toc230937828" w:history="1">
            <w:r w:rsidR="00430338">
              <w:rPr>
                <w:rStyle w:val="Hyperlink"/>
                <w:rFonts w:ascii="Arial" w:eastAsia="Arial" w:hAnsi="Arial" w:cs="Arial"/>
                <w:b/>
                <w:bCs/>
                <w:noProof/>
              </w:rPr>
              <w:t>5. DAS DEFINIÇÕES DA LICITAÇÃO E CONTRATAÇÃO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_Toc230937828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4</w:t>
            </w:r>
            <w:r w:rsidR="00430338">
              <w:rPr>
                <w:rFonts w:ascii="Arial" w:hAnsi="Arial" w:cs="Arial"/>
                <w:noProof/>
                <w:webHidden/>
              </w:rPr>
              <w:fldChar w:fldCharType="end"/>
            </w:r>
          </w:hyperlink>
        </w:p>
        <w:p w14:paraId="734EB97E" w14:textId="6747F93F" w:rsidR="00D65027" w:rsidRPr="00D65027" w:rsidRDefault="00FA730F">
          <w:pPr>
            <w:pStyle w:val="Sumrio1"/>
            <w:tabs>
              <w:tab w:val="right" w:leader="dot" w:pos="9376"/>
            </w:tabs>
            <w:rPr>
              <w:rFonts w:ascii="Arial" w:eastAsiaTheme="minorEastAsia" w:hAnsi="Arial" w:cs="Arial"/>
              <w:noProof/>
              <w:sz w:val="22"/>
              <w:szCs w:val="22"/>
            </w:rPr>
          </w:pPr>
          <w:hyperlink w:anchor="_Toc230937829" w:history="1">
            <w:r w:rsidR="00430338">
              <w:rPr>
                <w:rStyle w:val="Hyperlink"/>
                <w:rFonts w:ascii="Arial" w:eastAsia="Arial" w:hAnsi="Arial" w:cs="Arial"/>
                <w:b/>
                <w:bCs/>
                <w:noProof/>
              </w:rPr>
              <w:t>6. DO VALOR ESTIMADO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_Toc230937829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5</w:t>
            </w:r>
            <w:r w:rsidR="00430338">
              <w:rPr>
                <w:rFonts w:ascii="Arial" w:hAnsi="Arial" w:cs="Arial"/>
                <w:noProof/>
                <w:webHidden/>
              </w:rPr>
              <w:fldChar w:fldCharType="end"/>
            </w:r>
          </w:hyperlink>
        </w:p>
        <w:p w14:paraId="2E2F1807" w14:textId="43B1A770" w:rsidR="00D65027" w:rsidRPr="00D65027" w:rsidRDefault="00FA730F">
          <w:pPr>
            <w:pStyle w:val="Sumrio1"/>
            <w:tabs>
              <w:tab w:val="right" w:leader="dot" w:pos="9376"/>
            </w:tabs>
            <w:rPr>
              <w:rFonts w:ascii="Arial" w:eastAsiaTheme="minorEastAsia" w:hAnsi="Arial" w:cs="Arial"/>
              <w:noProof/>
              <w:sz w:val="22"/>
              <w:szCs w:val="22"/>
            </w:rPr>
          </w:pPr>
          <w:hyperlink w:anchor="_Toc230937830" w:history="1">
            <w:r w:rsidR="00430338">
              <w:rPr>
                <w:rStyle w:val="Hyperlink"/>
                <w:rFonts w:ascii="Arial" w:eastAsia="Arial" w:hAnsi="Arial" w:cs="Arial"/>
                <w:b/>
                <w:bCs/>
                <w:noProof/>
              </w:rPr>
              <w:t>7. DA VIGÊNCIA CONTRATUAL E PRAZO DE EXECUÇÃO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_Toc230937830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6</w:t>
            </w:r>
            <w:r w:rsidR="00430338">
              <w:rPr>
                <w:rFonts w:ascii="Arial" w:hAnsi="Arial" w:cs="Arial"/>
                <w:noProof/>
                <w:webHidden/>
              </w:rPr>
              <w:fldChar w:fldCharType="end"/>
            </w:r>
          </w:hyperlink>
        </w:p>
        <w:p w14:paraId="5FB984C1" w14:textId="44C04E4F" w:rsidR="00D65027" w:rsidRPr="00D65027" w:rsidRDefault="00FA730F">
          <w:pPr>
            <w:pStyle w:val="Sumrio1"/>
            <w:tabs>
              <w:tab w:val="right" w:leader="dot" w:pos="9376"/>
            </w:tabs>
            <w:rPr>
              <w:rFonts w:ascii="Arial" w:eastAsiaTheme="minorEastAsia" w:hAnsi="Arial" w:cs="Arial"/>
              <w:noProof/>
              <w:sz w:val="22"/>
              <w:szCs w:val="22"/>
            </w:rPr>
          </w:pPr>
          <w:hyperlink w:anchor="_Toc230937831" w:history="1">
            <w:r w:rsidR="00430338">
              <w:rPr>
                <w:rStyle w:val="Hyperlink"/>
                <w:rFonts w:ascii="Arial" w:eastAsia="Arial" w:hAnsi="Arial" w:cs="Arial"/>
                <w:b/>
                <w:bCs/>
                <w:noProof/>
              </w:rPr>
              <w:t>8. DO CRONOGRAMA FÍSICO-FINANCEIRO E MOBILIZAÇÃO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_Toc230937831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6</w:t>
            </w:r>
            <w:r w:rsidR="00430338">
              <w:rPr>
                <w:rFonts w:ascii="Arial" w:hAnsi="Arial" w:cs="Arial"/>
                <w:noProof/>
                <w:webHidden/>
              </w:rPr>
              <w:fldChar w:fldCharType="end"/>
            </w:r>
          </w:hyperlink>
        </w:p>
        <w:p w14:paraId="6B26D380" w14:textId="412EEBF0" w:rsidR="00D65027" w:rsidRPr="00D65027" w:rsidRDefault="00FA730F">
          <w:pPr>
            <w:pStyle w:val="Sumrio1"/>
            <w:tabs>
              <w:tab w:val="right" w:leader="dot" w:pos="9376"/>
            </w:tabs>
            <w:rPr>
              <w:rFonts w:ascii="Arial" w:eastAsiaTheme="minorEastAsia" w:hAnsi="Arial" w:cs="Arial"/>
              <w:noProof/>
              <w:sz w:val="22"/>
              <w:szCs w:val="22"/>
            </w:rPr>
          </w:pPr>
          <w:hyperlink w:anchor="_Toc230937832" w:history="1">
            <w:r w:rsidR="00430338">
              <w:rPr>
                <w:rStyle w:val="Hyperlink"/>
                <w:rFonts w:ascii="Arial" w:eastAsia="Arial" w:hAnsi="Arial" w:cs="Arial"/>
                <w:b/>
                <w:bCs/>
                <w:noProof/>
              </w:rPr>
              <w:t>9. DOS CRITÉRIOS DE MEDIÇÃO E ENTREGÁVEIS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_Toc230937832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7</w:t>
            </w:r>
            <w:r w:rsidR="00430338">
              <w:rPr>
                <w:rFonts w:ascii="Arial" w:hAnsi="Arial" w:cs="Arial"/>
                <w:noProof/>
                <w:webHidden/>
              </w:rPr>
              <w:fldChar w:fldCharType="end"/>
            </w:r>
          </w:hyperlink>
        </w:p>
        <w:p w14:paraId="4B8CCB36" w14:textId="613F2D0D" w:rsidR="00D65027" w:rsidRPr="00D65027" w:rsidRDefault="00FA730F">
          <w:pPr>
            <w:pStyle w:val="Sumrio1"/>
            <w:tabs>
              <w:tab w:val="right" w:leader="dot" w:pos="9376"/>
            </w:tabs>
            <w:rPr>
              <w:rFonts w:ascii="Arial" w:eastAsiaTheme="minorEastAsia" w:hAnsi="Arial" w:cs="Arial"/>
              <w:noProof/>
              <w:sz w:val="22"/>
              <w:szCs w:val="22"/>
            </w:rPr>
          </w:pPr>
          <w:hyperlink w:anchor="_Toc230937833" w:history="1">
            <w:r w:rsidR="00430338">
              <w:rPr>
                <w:rStyle w:val="Hyperlink"/>
                <w:rFonts w:ascii="Arial" w:eastAsia="Arial" w:hAnsi="Arial" w:cs="Arial"/>
                <w:b/>
                <w:bCs/>
                <w:noProof/>
              </w:rPr>
              <w:t>10. DA QUALIFICAÇÃO TÉCNICA</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_Toc230937833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7</w:t>
            </w:r>
            <w:r w:rsidR="00430338">
              <w:rPr>
                <w:rFonts w:ascii="Arial" w:hAnsi="Arial" w:cs="Arial"/>
                <w:noProof/>
                <w:webHidden/>
              </w:rPr>
              <w:fldChar w:fldCharType="end"/>
            </w:r>
          </w:hyperlink>
        </w:p>
        <w:p w14:paraId="735CBE3D" w14:textId="33BD7590" w:rsidR="00D65027" w:rsidRPr="00D65027" w:rsidRDefault="00FA730F">
          <w:pPr>
            <w:pStyle w:val="Sumrio1"/>
            <w:tabs>
              <w:tab w:val="right" w:leader="dot" w:pos="9376"/>
            </w:tabs>
            <w:rPr>
              <w:rFonts w:ascii="Arial" w:eastAsiaTheme="minorEastAsia" w:hAnsi="Arial" w:cs="Arial"/>
              <w:noProof/>
              <w:sz w:val="22"/>
              <w:szCs w:val="22"/>
            </w:rPr>
          </w:pPr>
          <w:hyperlink w:anchor="_Toc230937834" w:history="1">
            <w:r w:rsidR="00430338">
              <w:rPr>
                <w:rStyle w:val="Hyperlink"/>
                <w:rFonts w:ascii="Arial" w:eastAsia="Arial" w:hAnsi="Arial" w:cs="Arial"/>
                <w:b/>
                <w:bCs/>
                <w:noProof/>
              </w:rPr>
              <w:t>11. DAS DECLARAÇÕES E VISTORIA TÉCNICA</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_Toc230937834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7</w:t>
            </w:r>
            <w:r w:rsidR="00430338">
              <w:rPr>
                <w:rFonts w:ascii="Arial" w:hAnsi="Arial" w:cs="Arial"/>
                <w:noProof/>
                <w:webHidden/>
              </w:rPr>
              <w:fldChar w:fldCharType="end"/>
            </w:r>
          </w:hyperlink>
        </w:p>
        <w:p w14:paraId="47FB3261" w14:textId="5BEDE9A4" w:rsidR="00D65027" w:rsidRPr="00D65027" w:rsidRDefault="00FA730F">
          <w:pPr>
            <w:pStyle w:val="Sumrio1"/>
            <w:tabs>
              <w:tab w:val="right" w:leader="dot" w:pos="9376"/>
            </w:tabs>
            <w:rPr>
              <w:rFonts w:ascii="Arial" w:eastAsiaTheme="minorEastAsia" w:hAnsi="Arial" w:cs="Arial"/>
              <w:noProof/>
              <w:sz w:val="22"/>
              <w:szCs w:val="22"/>
            </w:rPr>
          </w:pPr>
          <w:hyperlink w:anchor="_Toc230937835" w:history="1">
            <w:r w:rsidR="00430338">
              <w:rPr>
                <w:rStyle w:val="Hyperlink"/>
                <w:rFonts w:ascii="Arial" w:eastAsia="Arial" w:hAnsi="Arial" w:cs="Arial"/>
                <w:b/>
                <w:bCs/>
                <w:noProof/>
              </w:rPr>
              <w:t>12. DA PROPOSTA DE PREÇOS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_Toc230937835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10</w:t>
            </w:r>
            <w:r w:rsidR="00430338">
              <w:rPr>
                <w:rFonts w:ascii="Arial" w:hAnsi="Arial" w:cs="Arial"/>
                <w:noProof/>
                <w:webHidden/>
              </w:rPr>
              <w:fldChar w:fldCharType="end"/>
            </w:r>
          </w:hyperlink>
        </w:p>
        <w:p w14:paraId="0AC895C6" w14:textId="33495B4A" w:rsidR="00D65027" w:rsidRPr="00D65027" w:rsidRDefault="00FA730F">
          <w:pPr>
            <w:pStyle w:val="Sumrio1"/>
            <w:tabs>
              <w:tab w:val="right" w:leader="dot" w:pos="9376"/>
            </w:tabs>
            <w:rPr>
              <w:rFonts w:ascii="Arial" w:eastAsiaTheme="minorEastAsia" w:hAnsi="Arial" w:cs="Arial"/>
              <w:noProof/>
              <w:sz w:val="22"/>
              <w:szCs w:val="22"/>
            </w:rPr>
          </w:pPr>
          <w:hyperlink w:anchor="_Toc230937836" w:history="1">
            <w:r w:rsidR="00430338">
              <w:rPr>
                <w:rStyle w:val="Hyperlink"/>
                <w:rFonts w:ascii="Arial" w:eastAsia="Arial" w:hAnsi="Arial" w:cs="Arial"/>
                <w:b/>
                <w:bCs/>
                <w:noProof/>
              </w:rPr>
              <w:t>13. DOS PAGAMENTOS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_Toc230937836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10</w:t>
            </w:r>
            <w:r w:rsidR="00430338">
              <w:rPr>
                <w:rFonts w:ascii="Arial" w:hAnsi="Arial" w:cs="Arial"/>
                <w:noProof/>
                <w:webHidden/>
              </w:rPr>
              <w:fldChar w:fldCharType="end"/>
            </w:r>
          </w:hyperlink>
        </w:p>
        <w:p w14:paraId="4C267AEF" w14:textId="50A7205F" w:rsidR="00D65027" w:rsidRPr="00D65027" w:rsidRDefault="00FA730F">
          <w:pPr>
            <w:pStyle w:val="Sumrio1"/>
            <w:tabs>
              <w:tab w:val="right" w:leader="dot" w:pos="9376"/>
            </w:tabs>
            <w:rPr>
              <w:rFonts w:ascii="Arial" w:eastAsiaTheme="minorEastAsia" w:hAnsi="Arial" w:cs="Arial"/>
              <w:noProof/>
              <w:sz w:val="22"/>
              <w:szCs w:val="22"/>
            </w:rPr>
          </w:pPr>
          <w:hyperlink w:anchor="_Toc230937837" w:history="1">
            <w:r w:rsidR="00430338">
              <w:rPr>
                <w:rStyle w:val="Hyperlink"/>
                <w:rFonts w:ascii="Arial" w:eastAsia="Arial" w:hAnsi="Arial" w:cs="Arial"/>
                <w:b/>
                <w:bCs/>
                <w:noProof/>
              </w:rPr>
              <w:t>14. DO REAJUSTAMENTO E REEQUILÍBRIO ECONÔMICO-FINANCEIRO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_Toc230937837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10</w:t>
            </w:r>
            <w:r w:rsidR="00430338">
              <w:rPr>
                <w:rFonts w:ascii="Arial" w:hAnsi="Arial" w:cs="Arial"/>
                <w:noProof/>
                <w:webHidden/>
              </w:rPr>
              <w:fldChar w:fldCharType="end"/>
            </w:r>
          </w:hyperlink>
        </w:p>
        <w:p w14:paraId="7B4710E4" w14:textId="110FF539" w:rsidR="00D65027" w:rsidRPr="00D65027" w:rsidRDefault="00FA730F">
          <w:pPr>
            <w:pStyle w:val="Sumrio1"/>
            <w:tabs>
              <w:tab w:val="right" w:leader="dot" w:pos="9376"/>
            </w:tabs>
            <w:rPr>
              <w:rFonts w:ascii="Arial" w:eastAsiaTheme="minorEastAsia" w:hAnsi="Arial" w:cs="Arial"/>
              <w:noProof/>
              <w:sz w:val="22"/>
              <w:szCs w:val="22"/>
            </w:rPr>
          </w:pPr>
          <w:hyperlink w:anchor="_Toc230937838" w:history="1">
            <w:r w:rsidR="00430338">
              <w:rPr>
                <w:rStyle w:val="Hyperlink"/>
                <w:rFonts w:ascii="Arial" w:eastAsia="Arial" w:hAnsi="Arial" w:cs="Arial"/>
                <w:b/>
                <w:bCs/>
                <w:noProof/>
              </w:rPr>
              <w:t>15. DO RECEBIMENTO DO OBJETO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_Toc230937838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11</w:t>
            </w:r>
            <w:r w:rsidR="00430338">
              <w:rPr>
                <w:rFonts w:ascii="Arial" w:hAnsi="Arial" w:cs="Arial"/>
                <w:noProof/>
                <w:webHidden/>
              </w:rPr>
              <w:fldChar w:fldCharType="end"/>
            </w:r>
          </w:hyperlink>
        </w:p>
        <w:p w14:paraId="705FF482" w14:textId="10062FA8" w:rsidR="00D65027" w:rsidRPr="00D65027" w:rsidRDefault="00FA730F">
          <w:pPr>
            <w:pStyle w:val="Sumrio1"/>
            <w:tabs>
              <w:tab w:val="right" w:leader="dot" w:pos="9376"/>
            </w:tabs>
            <w:rPr>
              <w:rFonts w:ascii="Arial" w:eastAsiaTheme="minorEastAsia" w:hAnsi="Arial" w:cs="Arial"/>
              <w:noProof/>
              <w:sz w:val="22"/>
              <w:szCs w:val="22"/>
            </w:rPr>
          </w:pPr>
          <w:hyperlink w:anchor="_Toc230937839" w:history="1">
            <w:r w:rsidR="00430338">
              <w:rPr>
                <w:rStyle w:val="Hyperlink"/>
                <w:rFonts w:ascii="Arial" w:eastAsia="Arial" w:hAnsi="Arial" w:cs="Arial"/>
                <w:b/>
                <w:bCs/>
                <w:noProof/>
              </w:rPr>
              <w:t>16. DO ACOMPANHAMENTO E FISCALIZAÇÃO DOS SERVIÇOS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_Toc230937839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11</w:t>
            </w:r>
            <w:r w:rsidR="00430338">
              <w:rPr>
                <w:rFonts w:ascii="Arial" w:hAnsi="Arial" w:cs="Arial"/>
                <w:noProof/>
                <w:webHidden/>
              </w:rPr>
              <w:fldChar w:fldCharType="end"/>
            </w:r>
          </w:hyperlink>
        </w:p>
        <w:p w14:paraId="2C341ED5" w14:textId="4ED8A694" w:rsidR="00D65027" w:rsidRPr="00D65027" w:rsidRDefault="00FA730F">
          <w:pPr>
            <w:pStyle w:val="Sumrio1"/>
            <w:tabs>
              <w:tab w:val="right" w:leader="dot" w:pos="9376"/>
            </w:tabs>
            <w:rPr>
              <w:rFonts w:ascii="Arial" w:eastAsiaTheme="minorEastAsia" w:hAnsi="Arial" w:cs="Arial"/>
              <w:noProof/>
              <w:sz w:val="22"/>
              <w:szCs w:val="22"/>
            </w:rPr>
          </w:pPr>
          <w:hyperlink w:anchor="_Toc230937840" w:history="1">
            <w:r w:rsidR="00430338">
              <w:rPr>
                <w:rStyle w:val="Hyperlink"/>
                <w:rFonts w:ascii="Arial" w:eastAsia="Arial" w:hAnsi="Arial" w:cs="Arial"/>
                <w:b/>
                <w:bCs/>
                <w:noProof/>
              </w:rPr>
              <w:t>17. DO DIÁRIO DE OBRA E REGISTROS TÉCNICOS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_Toc230937840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12</w:t>
            </w:r>
            <w:r w:rsidR="00430338">
              <w:rPr>
                <w:rFonts w:ascii="Arial" w:hAnsi="Arial" w:cs="Arial"/>
                <w:noProof/>
                <w:webHidden/>
              </w:rPr>
              <w:fldChar w:fldCharType="end"/>
            </w:r>
          </w:hyperlink>
        </w:p>
        <w:p w14:paraId="668F91BE" w14:textId="5E1FD206" w:rsidR="00D65027" w:rsidRPr="00D65027" w:rsidRDefault="00FA730F">
          <w:pPr>
            <w:pStyle w:val="Sumrio1"/>
            <w:tabs>
              <w:tab w:val="right" w:leader="dot" w:pos="9376"/>
            </w:tabs>
            <w:rPr>
              <w:rFonts w:ascii="Arial" w:eastAsiaTheme="minorEastAsia" w:hAnsi="Arial" w:cs="Arial"/>
              <w:noProof/>
              <w:sz w:val="22"/>
              <w:szCs w:val="22"/>
            </w:rPr>
          </w:pPr>
          <w:hyperlink w:anchor="_Toc230937841" w:history="1">
            <w:r w:rsidR="00430338">
              <w:rPr>
                <w:rStyle w:val="Hyperlink"/>
                <w:rFonts w:ascii="Arial" w:eastAsia="Arial" w:hAnsi="Arial" w:cs="Arial"/>
                <w:b/>
                <w:bCs/>
                <w:noProof/>
              </w:rPr>
              <w:t>18. DA SUBCONTRATAÇÃO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_Toc230937841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12</w:t>
            </w:r>
            <w:r w:rsidR="00430338">
              <w:rPr>
                <w:rFonts w:ascii="Arial" w:hAnsi="Arial" w:cs="Arial"/>
                <w:noProof/>
                <w:webHidden/>
              </w:rPr>
              <w:fldChar w:fldCharType="end"/>
            </w:r>
          </w:hyperlink>
        </w:p>
        <w:p w14:paraId="2CD700FD" w14:textId="0D97C7B9" w:rsidR="00D65027" w:rsidRPr="00D65027" w:rsidRDefault="00FA730F">
          <w:pPr>
            <w:pStyle w:val="Sumrio1"/>
            <w:tabs>
              <w:tab w:val="right" w:leader="dot" w:pos="9376"/>
            </w:tabs>
            <w:rPr>
              <w:rFonts w:ascii="Arial" w:eastAsiaTheme="minorEastAsia" w:hAnsi="Arial" w:cs="Arial"/>
              <w:noProof/>
              <w:sz w:val="22"/>
              <w:szCs w:val="22"/>
            </w:rPr>
          </w:pPr>
          <w:hyperlink w:anchor="_Toc230937842" w:history="1">
            <w:r w:rsidR="00430338">
              <w:rPr>
                <w:rStyle w:val="Hyperlink"/>
                <w:rFonts w:ascii="Arial" w:eastAsia="Arial" w:hAnsi="Arial" w:cs="Arial"/>
                <w:b/>
                <w:bCs/>
                <w:noProof/>
              </w:rPr>
              <w:t>19. DAS OBRIGAÇÕES DAS PARTES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_Toc230937842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13</w:t>
            </w:r>
            <w:r w:rsidR="00430338">
              <w:rPr>
                <w:rFonts w:ascii="Arial" w:hAnsi="Arial" w:cs="Arial"/>
                <w:noProof/>
                <w:webHidden/>
              </w:rPr>
              <w:fldChar w:fldCharType="end"/>
            </w:r>
          </w:hyperlink>
        </w:p>
        <w:p w14:paraId="4F4DB104" w14:textId="2D2DD827" w:rsidR="00D65027" w:rsidRPr="00D65027" w:rsidRDefault="00FA730F">
          <w:pPr>
            <w:pStyle w:val="Sumrio1"/>
            <w:tabs>
              <w:tab w:val="right" w:leader="dot" w:pos="9376"/>
            </w:tabs>
            <w:rPr>
              <w:rFonts w:ascii="Arial" w:eastAsiaTheme="minorEastAsia" w:hAnsi="Arial" w:cs="Arial"/>
              <w:noProof/>
              <w:sz w:val="22"/>
              <w:szCs w:val="22"/>
            </w:rPr>
          </w:pPr>
          <w:hyperlink w:anchor="_Toc230937843" w:history="1">
            <w:r w:rsidR="00430338">
              <w:rPr>
                <w:rStyle w:val="Hyperlink"/>
                <w:rFonts w:ascii="Arial" w:eastAsia="Arial" w:hAnsi="Arial" w:cs="Arial"/>
                <w:b/>
                <w:bCs/>
                <w:noProof/>
              </w:rPr>
              <w:t>20. DAS ESPECIFICAÇÕES TÉCNICAS DOS SERVIÇOS DE REFORMA</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_Toc230937843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13</w:t>
            </w:r>
            <w:r w:rsidR="00430338">
              <w:rPr>
                <w:rFonts w:ascii="Arial" w:hAnsi="Arial" w:cs="Arial"/>
                <w:noProof/>
                <w:webHidden/>
              </w:rPr>
              <w:fldChar w:fldCharType="end"/>
            </w:r>
          </w:hyperlink>
        </w:p>
        <w:p w14:paraId="728CCEC0" w14:textId="2C95B01F" w:rsidR="00D65027" w:rsidRPr="00D65027" w:rsidRDefault="00FA730F">
          <w:pPr>
            <w:pStyle w:val="Sumrio1"/>
            <w:tabs>
              <w:tab w:val="right" w:leader="dot" w:pos="9376"/>
            </w:tabs>
            <w:rPr>
              <w:rFonts w:ascii="Arial" w:eastAsiaTheme="minorEastAsia" w:hAnsi="Arial" w:cs="Arial"/>
              <w:noProof/>
              <w:sz w:val="22"/>
              <w:szCs w:val="22"/>
            </w:rPr>
          </w:pPr>
          <w:hyperlink w:anchor="_Toc230937844" w:history="1">
            <w:r w:rsidR="00430338">
              <w:rPr>
                <w:rStyle w:val="Hyperlink"/>
                <w:rFonts w:ascii="Arial" w:eastAsia="Arial" w:hAnsi="Arial" w:cs="Arial"/>
                <w:b/>
                <w:bCs/>
                <w:noProof/>
              </w:rPr>
              <w:t>21. DA SEGURANÇA, SINALIZAÇÃO E PROTEÇÃO DA ÁREA DE EXECUÇÃO</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_Toc230937844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17</w:t>
            </w:r>
            <w:r w:rsidR="00430338">
              <w:rPr>
                <w:rFonts w:ascii="Arial" w:hAnsi="Arial" w:cs="Arial"/>
                <w:noProof/>
                <w:webHidden/>
              </w:rPr>
              <w:fldChar w:fldCharType="end"/>
            </w:r>
          </w:hyperlink>
        </w:p>
        <w:p w14:paraId="1EE495F6" w14:textId="5B9802D1" w:rsidR="00D65027" w:rsidRPr="00D65027" w:rsidRDefault="00FA730F">
          <w:pPr>
            <w:pStyle w:val="Sumrio1"/>
            <w:tabs>
              <w:tab w:val="right" w:leader="dot" w:pos="9376"/>
            </w:tabs>
            <w:rPr>
              <w:rFonts w:ascii="Arial" w:eastAsiaTheme="minorEastAsia" w:hAnsi="Arial" w:cs="Arial"/>
              <w:noProof/>
              <w:sz w:val="22"/>
              <w:szCs w:val="22"/>
            </w:rPr>
          </w:pPr>
          <w:hyperlink w:anchor="_Toc230937845" w:history="1">
            <w:r w:rsidR="00430338">
              <w:rPr>
                <w:rStyle w:val="Hyperlink"/>
                <w:rFonts w:ascii="Arial" w:eastAsia="Arial" w:hAnsi="Arial" w:cs="Arial"/>
                <w:b/>
                <w:bCs/>
                <w:noProof/>
              </w:rPr>
              <w:t>22. DAS NORMAS TÉCNICAS E REGULAMENTAÇÕES APLICÁVEIS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_Toc230937845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20</w:t>
            </w:r>
            <w:r w:rsidR="00430338">
              <w:rPr>
                <w:rFonts w:ascii="Arial" w:hAnsi="Arial" w:cs="Arial"/>
                <w:noProof/>
                <w:webHidden/>
              </w:rPr>
              <w:fldChar w:fldCharType="end"/>
            </w:r>
          </w:hyperlink>
        </w:p>
        <w:p w14:paraId="4259BBBC" w14:textId="2D53E062" w:rsidR="00D65027" w:rsidRPr="00D65027" w:rsidRDefault="00FA730F">
          <w:pPr>
            <w:pStyle w:val="Sumrio1"/>
            <w:tabs>
              <w:tab w:val="right" w:leader="dot" w:pos="9376"/>
            </w:tabs>
            <w:rPr>
              <w:rFonts w:ascii="Arial" w:eastAsiaTheme="minorEastAsia" w:hAnsi="Arial" w:cs="Arial"/>
              <w:noProof/>
              <w:sz w:val="22"/>
              <w:szCs w:val="22"/>
            </w:rPr>
          </w:pPr>
          <w:hyperlink w:anchor="_Toc230937846" w:history="1">
            <w:r w:rsidR="00430338">
              <w:rPr>
                <w:rStyle w:val="Hyperlink"/>
                <w:rFonts w:ascii="Arial" w:eastAsia="Arial" w:hAnsi="Arial" w:cs="Arial"/>
                <w:b/>
                <w:bCs/>
                <w:noProof/>
              </w:rPr>
              <w:t>23. DAS PENALIDADES E MULTAS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_Toc230937846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20</w:t>
            </w:r>
            <w:r w:rsidR="00430338">
              <w:rPr>
                <w:rFonts w:ascii="Arial" w:hAnsi="Arial" w:cs="Arial"/>
                <w:noProof/>
                <w:webHidden/>
              </w:rPr>
              <w:fldChar w:fldCharType="end"/>
            </w:r>
          </w:hyperlink>
        </w:p>
        <w:p w14:paraId="0783EC13" w14:textId="28E6DCD1" w:rsidR="00D65027" w:rsidRPr="00D65027" w:rsidRDefault="00FA730F">
          <w:pPr>
            <w:pStyle w:val="Sumrio1"/>
            <w:tabs>
              <w:tab w:val="right" w:leader="dot" w:pos="9376"/>
            </w:tabs>
            <w:rPr>
              <w:rFonts w:ascii="Arial" w:eastAsiaTheme="minorEastAsia" w:hAnsi="Arial" w:cs="Arial"/>
              <w:noProof/>
              <w:sz w:val="22"/>
              <w:szCs w:val="22"/>
            </w:rPr>
          </w:pPr>
          <w:hyperlink w:anchor="_Toc230937847" w:history="1">
            <w:r w:rsidR="00430338">
              <w:rPr>
                <w:rStyle w:val="Hyperlink"/>
                <w:rFonts w:ascii="Arial" w:eastAsia="Arial" w:hAnsi="Arial" w:cs="Arial"/>
                <w:b/>
                <w:bCs/>
                <w:noProof/>
              </w:rPr>
              <w:t>24. DAS DISPOSIÇÕES GERAIS</w:t>
            </w:r>
            <w:r w:rsidR="00430338">
              <w:rPr>
                <w:rFonts w:ascii="Arial" w:hAnsi="Arial" w:cs="Arial"/>
                <w:noProof/>
                <w:webHidden/>
              </w:rPr>
              <w:tab/>
            </w:r>
            <w:r w:rsidR="00430338">
              <w:rPr>
                <w:rFonts w:ascii="Arial" w:hAnsi="Arial" w:cs="Arial"/>
                <w:noProof/>
                <w:webHidden/>
              </w:rPr>
              <w:fldChar w:fldCharType="begin"/>
            </w:r>
            <w:r w:rsidR="00430338">
              <w:rPr>
                <w:rFonts w:ascii="Arial" w:hAnsi="Arial" w:cs="Arial"/>
                <w:noProof/>
                <w:webHidden/>
              </w:rPr>
              <w:instrText xml:space="preserve"> PAGEREF _Toc230937847 \h </w:instrText>
            </w:r>
            <w:r w:rsidR="00430338">
              <w:rPr>
                <w:rFonts w:ascii="Arial" w:hAnsi="Arial" w:cs="Arial"/>
                <w:noProof/>
                <w:webHidden/>
              </w:rPr>
            </w:r>
            <w:r w:rsidR="00430338">
              <w:rPr>
                <w:rFonts w:ascii="Arial" w:hAnsi="Arial" w:cs="Arial"/>
                <w:noProof/>
                <w:webHidden/>
              </w:rPr>
              <w:fldChar w:fldCharType="separate"/>
            </w:r>
            <w:r w:rsidR="002C3E2B">
              <w:rPr>
                <w:rFonts w:ascii="Arial" w:hAnsi="Arial" w:cs="Arial"/>
                <w:noProof/>
                <w:webHidden/>
              </w:rPr>
              <w:t>23</w:t>
            </w:r>
            <w:r w:rsidR="00430338">
              <w:rPr>
                <w:rFonts w:ascii="Arial" w:hAnsi="Arial" w:cs="Arial"/>
                <w:noProof/>
                <w:webHidden/>
              </w:rPr>
              <w:fldChar w:fldCharType="end"/>
            </w:r>
          </w:hyperlink>
        </w:p>
        <w:p w14:paraId="707F6231" w14:textId="5867F278" w:rsidR="00D65027" w:rsidRDefault="00D65027">
          <w:r>
            <w:rPr>
              <w:rFonts w:ascii="Arial" w:hAnsi="Arial" w:cs="Arial"/>
              <w:b/>
              <w:bCs/>
            </w:rPr>
            <w:fldChar w:fldCharType="end"/>
          </w:r>
        </w:p>
      </w:sdtContent>
    </w:sdt>
    <w:p w14:paraId="4F3BBB77" w14:textId="6CC83A15" w:rsidR="00D65027" w:rsidRDefault="00D65027">
      <w:r>
        <w:br w:type="page"/>
      </w:r>
    </w:p>
    <w:p w14:paraId="586930C9" w14:textId="77777777" w:rsidR="00F20C26" w:rsidRDefault="00F20C26">
      <w:pPr>
        <w:spacing w:before="20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000" w:firstRow="0" w:lastRow="0" w:firstColumn="0" w:lastColumn="0" w:noHBand="0" w:noVBand="0"/>
      </w:tblPr>
      <w:tblGrid>
        <w:gridCol w:w="9360"/>
      </w:tblGrid>
      <w:tr w:rsidR="00F20C26" w14:paraId="01F83D74" w14:textId="77777777" w:rsidTr="008724B2">
        <w:tc>
          <w:tcPr>
            <w:tcW w:w="0" w:type="auto"/>
            <w:shd w:val="clear" w:color="auto" w:fill="1F3864"/>
            <w:tcMar>
              <w:top w:w="120" w:type="dxa"/>
              <w:left w:w="160" w:type="dxa"/>
              <w:bottom w:w="80" w:type="dxa"/>
              <w:right w:w="160" w:type="dxa"/>
            </w:tcMar>
          </w:tcPr>
          <w:p w14:paraId="4193A75C" w14:textId="77777777" w:rsidR="00F20C26" w:rsidRDefault="00AE7ABF">
            <w:pPr>
              <w:jc w:val="center"/>
            </w:pPr>
            <w:r>
              <w:rPr>
                <w:rFonts w:ascii="Arial" w:eastAsia="Arial" w:hAnsi="Arial" w:cs="Arial"/>
                <w:b/>
                <w:bCs/>
                <w:color w:val="FFFFFF"/>
                <w:sz w:val="24"/>
                <w:szCs w:val="24"/>
              </w:rPr>
              <w:t>MUNICÍPIO DE GOIANA — PERNAMBUCO</w:t>
            </w:r>
          </w:p>
          <w:p w14:paraId="58885A2C" w14:textId="77777777" w:rsidR="00F20C26" w:rsidRDefault="00AE7ABF">
            <w:pPr>
              <w:jc w:val="center"/>
            </w:pPr>
            <w:r>
              <w:rPr>
                <w:rFonts w:ascii="Arial" w:eastAsia="Arial" w:hAnsi="Arial" w:cs="Arial"/>
                <w:color w:val="D9E2F3"/>
              </w:rPr>
              <w:t>Secretaria de Educação e Inovação Pedagógica</w:t>
            </w:r>
          </w:p>
        </w:tc>
      </w:tr>
      <w:tr w:rsidR="00F20C26" w14:paraId="0EDF0313" w14:textId="77777777" w:rsidTr="008724B2">
        <w:tc>
          <w:tcPr>
            <w:tcW w:w="0" w:type="auto"/>
            <w:shd w:val="clear" w:color="auto" w:fill="2E5496"/>
            <w:tcMar>
              <w:top w:w="100" w:type="dxa"/>
              <w:left w:w="160" w:type="dxa"/>
              <w:bottom w:w="100" w:type="dxa"/>
              <w:right w:w="160" w:type="dxa"/>
            </w:tcMar>
          </w:tcPr>
          <w:p w14:paraId="2B5A3B19" w14:textId="77777777" w:rsidR="00F20C26" w:rsidRDefault="00AE7ABF">
            <w:pPr>
              <w:jc w:val="center"/>
            </w:pPr>
            <w:r>
              <w:rPr>
                <w:rFonts w:ascii="Arial" w:eastAsia="Arial" w:hAnsi="Arial" w:cs="Arial"/>
                <w:b/>
                <w:bCs/>
                <w:color w:val="FFFFFF"/>
                <w:sz w:val="26"/>
                <w:szCs w:val="26"/>
              </w:rPr>
              <w:t>PROJETO BÁSICO</w:t>
            </w:r>
          </w:p>
          <w:p w14:paraId="3F99EB27" w14:textId="77777777" w:rsidR="00F20C26" w:rsidRDefault="00AE7ABF">
            <w:pPr>
              <w:jc w:val="center"/>
            </w:pPr>
            <w:r>
              <w:rPr>
                <w:rFonts w:ascii="Arial" w:eastAsia="Arial" w:hAnsi="Arial" w:cs="Arial"/>
                <w:color w:val="D9E2F3"/>
              </w:rPr>
              <w:t>Reforma, Adequações e Ampliação — Concorrência Eletrônica  │  Lei nº 14.133/2021</w:t>
            </w:r>
          </w:p>
        </w:tc>
      </w:tr>
      <w:tr w:rsidR="00F20C26" w14:paraId="4DDC71C8" w14:textId="77777777" w:rsidTr="008724B2">
        <w:tc>
          <w:tcPr>
            <w:tcW w:w="0" w:type="auto"/>
            <w:shd w:val="clear" w:color="auto" w:fill="F2F2F2"/>
            <w:tcMar>
              <w:top w:w="80" w:type="dxa"/>
              <w:left w:w="160" w:type="dxa"/>
              <w:bottom w:w="80" w:type="dxa"/>
              <w:right w:w="160" w:type="dxa"/>
            </w:tcMar>
          </w:tcPr>
          <w:p w14:paraId="1C85A375" w14:textId="77777777" w:rsidR="00F20C26" w:rsidRDefault="00AE7ABF">
            <w:pPr>
              <w:jc w:val="center"/>
            </w:pPr>
            <w:r>
              <w:rPr>
                <w:rFonts w:ascii="Arial" w:eastAsia="Arial" w:hAnsi="Arial" w:cs="Arial"/>
                <w:sz w:val="19"/>
                <w:szCs w:val="19"/>
              </w:rPr>
              <w:t>Concorrência Eletrônica — Contratação Semi-Integrada</w:t>
            </w:r>
          </w:p>
        </w:tc>
      </w:tr>
    </w:tbl>
    <w:p w14:paraId="1D05DAED" w14:textId="77777777" w:rsidR="00F20C26" w:rsidRDefault="00F20C26">
      <w:pPr>
        <w:spacing w:before="160"/>
      </w:pPr>
    </w:p>
    <w:tbl>
      <w:tblPr>
        <w:tblW w:w="936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000" w:firstRow="0" w:lastRow="0" w:firstColumn="0" w:lastColumn="0" w:noHBand="0" w:noVBand="0"/>
      </w:tblPr>
      <w:tblGrid>
        <w:gridCol w:w="2800"/>
        <w:gridCol w:w="6560"/>
      </w:tblGrid>
      <w:tr w:rsidR="00F20C26" w14:paraId="696B8F42" w14:textId="77777777" w:rsidTr="008724B2">
        <w:trPr>
          <w:jc w:val="center"/>
        </w:trPr>
        <w:tc>
          <w:tcPr>
            <w:tcW w:w="0" w:type="auto"/>
            <w:gridSpan w:val="2"/>
            <w:shd w:val="clear" w:color="auto" w:fill="1F3864"/>
            <w:tcMar>
              <w:top w:w="80" w:type="dxa"/>
              <w:left w:w="140" w:type="dxa"/>
              <w:bottom w:w="80" w:type="dxa"/>
              <w:right w:w="140" w:type="dxa"/>
            </w:tcMar>
          </w:tcPr>
          <w:p w14:paraId="04AC84B4" w14:textId="77777777" w:rsidR="00F20C26" w:rsidRDefault="00AE7ABF">
            <w:pPr>
              <w:jc w:val="center"/>
            </w:pPr>
            <w:r>
              <w:rPr>
                <w:rFonts w:ascii="Arial" w:eastAsia="Arial" w:hAnsi="Arial" w:cs="Arial"/>
                <w:b/>
                <w:bCs/>
                <w:color w:val="FFFFFF"/>
              </w:rPr>
              <w:t>IDENTIFICAÇÃO DO PROJETO</w:t>
            </w:r>
          </w:p>
        </w:tc>
      </w:tr>
      <w:tr w:rsidR="00F20C26" w14:paraId="72E13048" w14:textId="77777777" w:rsidTr="008724B2">
        <w:trPr>
          <w:jc w:val="center"/>
        </w:trPr>
        <w:tc>
          <w:tcPr>
            <w:tcW w:w="2800" w:type="dxa"/>
            <w:shd w:val="clear" w:color="auto" w:fill="F2F2F2"/>
            <w:tcMar>
              <w:top w:w="80" w:type="dxa"/>
              <w:left w:w="140" w:type="dxa"/>
              <w:bottom w:w="80" w:type="dxa"/>
              <w:right w:w="140" w:type="dxa"/>
            </w:tcMar>
          </w:tcPr>
          <w:p w14:paraId="5E63B4B6" w14:textId="77777777" w:rsidR="00F20C26" w:rsidRDefault="00AE7ABF">
            <w:r>
              <w:rPr>
                <w:rFonts w:ascii="Arial" w:eastAsia="Arial" w:hAnsi="Arial" w:cs="Arial"/>
                <w:b/>
                <w:bCs/>
                <w:color w:val="1F3864"/>
                <w:sz w:val="18"/>
                <w:szCs w:val="18"/>
              </w:rPr>
              <w:t>Data de Elaboração</w:t>
            </w:r>
          </w:p>
        </w:tc>
        <w:tc>
          <w:tcPr>
            <w:tcW w:w="6560" w:type="dxa"/>
            <w:tcMar>
              <w:top w:w="80" w:type="dxa"/>
              <w:left w:w="140" w:type="dxa"/>
              <w:bottom w:w="80" w:type="dxa"/>
              <w:right w:w="140" w:type="dxa"/>
            </w:tcMar>
          </w:tcPr>
          <w:p w14:paraId="32188CE0" w14:textId="77777777" w:rsidR="00F20C26" w:rsidRDefault="00AE7ABF">
            <w:pPr>
              <w:jc w:val="both"/>
            </w:pPr>
            <w:r>
              <w:rPr>
                <w:rFonts w:ascii="Arial" w:eastAsia="Arial" w:hAnsi="Arial" w:cs="Arial"/>
                <w:sz w:val="19"/>
                <w:szCs w:val="19"/>
              </w:rPr>
              <w:t>Goiana/PE, 26 de maio de 2026</w:t>
            </w:r>
          </w:p>
        </w:tc>
      </w:tr>
      <w:tr w:rsidR="00F20C26" w14:paraId="6953B9A0" w14:textId="77777777" w:rsidTr="008724B2">
        <w:trPr>
          <w:jc w:val="center"/>
        </w:trPr>
        <w:tc>
          <w:tcPr>
            <w:tcW w:w="2800" w:type="dxa"/>
            <w:shd w:val="clear" w:color="auto" w:fill="F2F2F2"/>
            <w:tcMar>
              <w:top w:w="80" w:type="dxa"/>
              <w:left w:w="140" w:type="dxa"/>
              <w:bottom w:w="80" w:type="dxa"/>
              <w:right w:w="140" w:type="dxa"/>
            </w:tcMar>
          </w:tcPr>
          <w:p w14:paraId="4406423A" w14:textId="77777777" w:rsidR="00F20C26" w:rsidRDefault="00AE7ABF">
            <w:r>
              <w:rPr>
                <w:rFonts w:ascii="Arial" w:eastAsia="Arial" w:hAnsi="Arial" w:cs="Arial"/>
                <w:b/>
                <w:bCs/>
                <w:color w:val="1F3864"/>
                <w:sz w:val="18"/>
                <w:szCs w:val="18"/>
              </w:rPr>
              <w:t>Elaborado por</w:t>
            </w:r>
          </w:p>
        </w:tc>
        <w:tc>
          <w:tcPr>
            <w:tcW w:w="6560" w:type="dxa"/>
            <w:tcMar>
              <w:top w:w="80" w:type="dxa"/>
              <w:left w:w="140" w:type="dxa"/>
              <w:bottom w:w="80" w:type="dxa"/>
              <w:right w:w="140" w:type="dxa"/>
            </w:tcMar>
          </w:tcPr>
          <w:p w14:paraId="3F277F84" w14:textId="77777777" w:rsidR="00F20C26" w:rsidRDefault="00AE7ABF">
            <w:pPr>
              <w:jc w:val="both"/>
            </w:pPr>
            <w:r>
              <w:rPr>
                <w:rFonts w:ascii="Arial" w:eastAsia="Arial" w:hAnsi="Arial" w:cs="Arial"/>
                <w:sz w:val="19"/>
                <w:szCs w:val="19"/>
              </w:rPr>
              <w:t>Marcelo Ferreira da S. Júnior — Engenheiro Civil — CREA 161.780.363-4 — Assessor Especial — Portaria 967/2026  │  Secretaria de Educação e Inovação Pedagógica</w:t>
            </w:r>
          </w:p>
        </w:tc>
      </w:tr>
      <w:tr w:rsidR="00F20C26" w14:paraId="2274FD5B" w14:textId="77777777" w:rsidTr="008724B2">
        <w:trPr>
          <w:jc w:val="center"/>
        </w:trPr>
        <w:tc>
          <w:tcPr>
            <w:tcW w:w="2800" w:type="dxa"/>
            <w:shd w:val="clear" w:color="auto" w:fill="F2F2F2"/>
            <w:tcMar>
              <w:top w:w="80" w:type="dxa"/>
              <w:left w:w="140" w:type="dxa"/>
              <w:bottom w:w="80" w:type="dxa"/>
              <w:right w:w="140" w:type="dxa"/>
            </w:tcMar>
          </w:tcPr>
          <w:p w14:paraId="4C0524B0" w14:textId="77777777" w:rsidR="00F20C26" w:rsidRDefault="00AE7ABF">
            <w:r>
              <w:rPr>
                <w:rFonts w:ascii="Arial" w:eastAsia="Arial" w:hAnsi="Arial" w:cs="Arial"/>
                <w:b/>
                <w:bCs/>
                <w:color w:val="1F3864"/>
                <w:sz w:val="18"/>
                <w:szCs w:val="18"/>
              </w:rPr>
              <w:t>Co Responsável</w:t>
            </w:r>
          </w:p>
        </w:tc>
        <w:tc>
          <w:tcPr>
            <w:tcW w:w="6560" w:type="dxa"/>
            <w:tcMar>
              <w:top w:w="80" w:type="dxa"/>
              <w:left w:w="140" w:type="dxa"/>
              <w:bottom w:w="80" w:type="dxa"/>
              <w:right w:w="140" w:type="dxa"/>
            </w:tcMar>
          </w:tcPr>
          <w:p w14:paraId="7C5D4D8C" w14:textId="77777777" w:rsidR="00F20C26" w:rsidRDefault="00AE7ABF">
            <w:pPr>
              <w:jc w:val="both"/>
            </w:pPr>
            <w:r>
              <w:rPr>
                <w:rFonts w:ascii="Arial" w:eastAsia="Arial" w:hAnsi="Arial" w:cs="Arial"/>
                <w:sz w:val="19"/>
                <w:szCs w:val="19"/>
              </w:rPr>
              <w:t>Charlan Rodrigues Arruda — Engenheiro Civil — CREA 161.775.013-1 — Assessor Especial — Portaria 966/2026  │  Secretaria de Educação e Inovação Pedagógica</w:t>
            </w:r>
          </w:p>
        </w:tc>
      </w:tr>
      <w:tr w:rsidR="00F20C26" w14:paraId="518FC318" w14:textId="77777777" w:rsidTr="008724B2">
        <w:trPr>
          <w:jc w:val="center"/>
        </w:trPr>
        <w:tc>
          <w:tcPr>
            <w:tcW w:w="2800" w:type="dxa"/>
            <w:shd w:val="clear" w:color="auto" w:fill="F2F2F2"/>
            <w:tcMar>
              <w:top w:w="80" w:type="dxa"/>
              <w:left w:w="140" w:type="dxa"/>
              <w:bottom w:w="80" w:type="dxa"/>
              <w:right w:w="140" w:type="dxa"/>
            </w:tcMar>
          </w:tcPr>
          <w:p w14:paraId="7D284B85" w14:textId="77777777" w:rsidR="00F20C26" w:rsidRDefault="00AE7ABF">
            <w:r>
              <w:rPr>
                <w:rFonts w:ascii="Arial" w:eastAsia="Arial" w:hAnsi="Arial" w:cs="Arial"/>
                <w:b/>
                <w:bCs/>
                <w:color w:val="1F3864"/>
                <w:sz w:val="18"/>
                <w:szCs w:val="18"/>
              </w:rPr>
              <w:t>Objeto da Contratação</w:t>
            </w:r>
          </w:p>
        </w:tc>
        <w:tc>
          <w:tcPr>
            <w:tcW w:w="6560" w:type="dxa"/>
            <w:tcMar>
              <w:top w:w="80" w:type="dxa"/>
              <w:left w:w="140" w:type="dxa"/>
              <w:bottom w:w="80" w:type="dxa"/>
              <w:right w:w="140" w:type="dxa"/>
            </w:tcMar>
          </w:tcPr>
          <w:p w14:paraId="0DE627C1" w14:textId="77777777" w:rsidR="00F20C26" w:rsidRDefault="00AE7ABF">
            <w:pPr>
              <w:jc w:val="both"/>
            </w:pPr>
            <w:r>
              <w:rPr>
                <w:rFonts w:ascii="Arial" w:eastAsia="Arial" w:hAnsi="Arial" w:cs="Arial"/>
                <w:sz w:val="19"/>
                <w:szCs w:val="19"/>
              </w:rPr>
              <w:t>Contratação de Empresa Especializada em Engenharia e Arquitetura para Reforma, Adequações e Ampliação da Escola Municipal João Gonçalves de Azevedo, Localizada na Praia de Barra de Catuama, s/n, no Município de Goiana/PE</w:t>
            </w:r>
          </w:p>
        </w:tc>
      </w:tr>
      <w:tr w:rsidR="00F20C26" w14:paraId="08E7D447" w14:textId="77777777" w:rsidTr="008724B2">
        <w:trPr>
          <w:jc w:val="center"/>
        </w:trPr>
        <w:tc>
          <w:tcPr>
            <w:tcW w:w="2800" w:type="dxa"/>
            <w:shd w:val="clear" w:color="auto" w:fill="F2F2F2"/>
            <w:tcMar>
              <w:top w:w="80" w:type="dxa"/>
              <w:left w:w="140" w:type="dxa"/>
              <w:bottom w:w="80" w:type="dxa"/>
              <w:right w:w="140" w:type="dxa"/>
            </w:tcMar>
          </w:tcPr>
          <w:p w14:paraId="133C6177" w14:textId="77777777" w:rsidR="00F20C26" w:rsidRDefault="00AE7ABF">
            <w:r>
              <w:rPr>
                <w:rFonts w:ascii="Arial" w:eastAsia="Arial" w:hAnsi="Arial" w:cs="Arial"/>
                <w:b/>
                <w:bCs/>
                <w:color w:val="1F3864"/>
                <w:sz w:val="18"/>
                <w:szCs w:val="18"/>
              </w:rPr>
              <w:t>Modalidade</w:t>
            </w:r>
          </w:p>
        </w:tc>
        <w:tc>
          <w:tcPr>
            <w:tcW w:w="6560" w:type="dxa"/>
            <w:tcMar>
              <w:top w:w="80" w:type="dxa"/>
              <w:left w:w="140" w:type="dxa"/>
              <w:bottom w:w="80" w:type="dxa"/>
              <w:right w:w="140" w:type="dxa"/>
            </w:tcMar>
          </w:tcPr>
          <w:p w14:paraId="0E73BB5F" w14:textId="77777777" w:rsidR="00F20C26" w:rsidRDefault="00AE7ABF">
            <w:pPr>
              <w:jc w:val="both"/>
            </w:pPr>
            <w:r>
              <w:rPr>
                <w:rFonts w:ascii="Arial" w:eastAsia="Arial" w:hAnsi="Arial" w:cs="Arial"/>
                <w:sz w:val="19"/>
                <w:szCs w:val="19"/>
              </w:rPr>
              <w:t>Concorrência Eletrônica — art. 28, I, da Lei nº 14.133/2021</w:t>
            </w:r>
          </w:p>
        </w:tc>
      </w:tr>
      <w:tr w:rsidR="00F20C26" w14:paraId="77D0718B" w14:textId="77777777" w:rsidTr="008724B2">
        <w:trPr>
          <w:jc w:val="center"/>
        </w:trPr>
        <w:tc>
          <w:tcPr>
            <w:tcW w:w="2800" w:type="dxa"/>
            <w:shd w:val="clear" w:color="auto" w:fill="F2F2F2"/>
            <w:tcMar>
              <w:top w:w="80" w:type="dxa"/>
              <w:left w:w="140" w:type="dxa"/>
              <w:bottom w:w="80" w:type="dxa"/>
              <w:right w:w="140" w:type="dxa"/>
            </w:tcMar>
          </w:tcPr>
          <w:p w14:paraId="40C75413" w14:textId="77777777" w:rsidR="00F20C26" w:rsidRDefault="00AE7ABF">
            <w:r>
              <w:rPr>
                <w:rFonts w:ascii="Arial" w:eastAsia="Arial" w:hAnsi="Arial" w:cs="Arial"/>
                <w:b/>
                <w:bCs/>
                <w:color w:val="1F3864"/>
                <w:sz w:val="18"/>
                <w:szCs w:val="18"/>
              </w:rPr>
              <w:t>Critério de Julgamento</w:t>
            </w:r>
          </w:p>
        </w:tc>
        <w:tc>
          <w:tcPr>
            <w:tcW w:w="6560" w:type="dxa"/>
            <w:tcMar>
              <w:top w:w="80" w:type="dxa"/>
              <w:left w:w="140" w:type="dxa"/>
              <w:bottom w:w="80" w:type="dxa"/>
              <w:right w:w="140" w:type="dxa"/>
            </w:tcMar>
          </w:tcPr>
          <w:p w14:paraId="39F14427" w14:textId="77777777" w:rsidR="00F20C26" w:rsidRDefault="00AE7ABF">
            <w:pPr>
              <w:jc w:val="both"/>
            </w:pPr>
            <w:r>
              <w:rPr>
                <w:rFonts w:ascii="Arial" w:eastAsia="Arial" w:hAnsi="Arial" w:cs="Arial"/>
                <w:sz w:val="19"/>
                <w:szCs w:val="19"/>
              </w:rPr>
              <w:t>Menor Preço — art. 33, I, da Lei nº 14.133/2021</w:t>
            </w:r>
          </w:p>
        </w:tc>
      </w:tr>
      <w:tr w:rsidR="00F20C26" w14:paraId="247F08DE" w14:textId="77777777" w:rsidTr="008724B2">
        <w:trPr>
          <w:jc w:val="center"/>
        </w:trPr>
        <w:tc>
          <w:tcPr>
            <w:tcW w:w="2800" w:type="dxa"/>
            <w:shd w:val="clear" w:color="auto" w:fill="F2F2F2"/>
            <w:tcMar>
              <w:top w:w="80" w:type="dxa"/>
              <w:left w:w="140" w:type="dxa"/>
              <w:bottom w:w="80" w:type="dxa"/>
              <w:right w:w="140" w:type="dxa"/>
            </w:tcMar>
          </w:tcPr>
          <w:p w14:paraId="12A0D87C" w14:textId="77777777" w:rsidR="00F20C26" w:rsidRDefault="00AE7ABF">
            <w:r>
              <w:rPr>
                <w:rFonts w:ascii="Arial" w:eastAsia="Arial" w:hAnsi="Arial" w:cs="Arial"/>
                <w:b/>
                <w:bCs/>
                <w:color w:val="1F3864"/>
                <w:sz w:val="18"/>
                <w:szCs w:val="18"/>
              </w:rPr>
              <w:t>Regime de Execução</w:t>
            </w:r>
          </w:p>
        </w:tc>
        <w:tc>
          <w:tcPr>
            <w:tcW w:w="6560" w:type="dxa"/>
            <w:tcMar>
              <w:top w:w="80" w:type="dxa"/>
              <w:left w:w="140" w:type="dxa"/>
              <w:bottom w:w="80" w:type="dxa"/>
              <w:right w:w="140" w:type="dxa"/>
            </w:tcMar>
          </w:tcPr>
          <w:p w14:paraId="3F9DD19B" w14:textId="77777777" w:rsidR="00F20C26" w:rsidRDefault="00AE7ABF">
            <w:pPr>
              <w:jc w:val="both"/>
            </w:pPr>
            <w:r>
              <w:rPr>
                <w:rFonts w:ascii="Arial" w:eastAsia="Arial" w:hAnsi="Arial" w:cs="Arial"/>
                <w:sz w:val="19"/>
                <w:szCs w:val="19"/>
              </w:rPr>
              <w:t>Contratação Semi-Integrada — art. 46, VII, da Lei nº 14.133/2021</w:t>
            </w:r>
          </w:p>
        </w:tc>
      </w:tr>
      <w:tr w:rsidR="00F20C26" w14:paraId="5394363A" w14:textId="77777777" w:rsidTr="008724B2">
        <w:trPr>
          <w:jc w:val="center"/>
        </w:trPr>
        <w:tc>
          <w:tcPr>
            <w:tcW w:w="2800" w:type="dxa"/>
            <w:shd w:val="clear" w:color="auto" w:fill="F2F2F2"/>
            <w:tcMar>
              <w:top w:w="80" w:type="dxa"/>
              <w:left w:w="140" w:type="dxa"/>
              <w:bottom w:w="80" w:type="dxa"/>
              <w:right w:w="140" w:type="dxa"/>
            </w:tcMar>
          </w:tcPr>
          <w:p w14:paraId="3883F328" w14:textId="77777777" w:rsidR="00F20C26" w:rsidRDefault="00AE7ABF">
            <w:r>
              <w:rPr>
                <w:rFonts w:ascii="Arial" w:eastAsia="Arial" w:hAnsi="Arial" w:cs="Arial"/>
                <w:b/>
                <w:bCs/>
                <w:color w:val="1F3864"/>
                <w:sz w:val="18"/>
                <w:szCs w:val="18"/>
              </w:rPr>
              <w:t>Modo de Disputa</w:t>
            </w:r>
          </w:p>
        </w:tc>
        <w:tc>
          <w:tcPr>
            <w:tcW w:w="6560" w:type="dxa"/>
            <w:tcMar>
              <w:top w:w="80" w:type="dxa"/>
              <w:left w:w="140" w:type="dxa"/>
              <w:bottom w:w="80" w:type="dxa"/>
              <w:right w:w="140" w:type="dxa"/>
            </w:tcMar>
          </w:tcPr>
          <w:p w14:paraId="39141C73" w14:textId="77777777" w:rsidR="00F20C26" w:rsidRDefault="00AE7ABF">
            <w:pPr>
              <w:jc w:val="both"/>
            </w:pPr>
            <w:r>
              <w:rPr>
                <w:rFonts w:ascii="Arial" w:eastAsia="Arial" w:hAnsi="Arial" w:cs="Arial"/>
                <w:sz w:val="19"/>
                <w:szCs w:val="19"/>
              </w:rPr>
              <w:t>Aberto/Fechado — art. 56, III, da Lei nº 14.133/2021</w:t>
            </w:r>
          </w:p>
        </w:tc>
      </w:tr>
      <w:tr w:rsidR="00F20C26" w14:paraId="534054F1" w14:textId="77777777" w:rsidTr="008724B2">
        <w:trPr>
          <w:jc w:val="center"/>
        </w:trPr>
        <w:tc>
          <w:tcPr>
            <w:tcW w:w="2800" w:type="dxa"/>
            <w:shd w:val="clear" w:color="auto" w:fill="F2F2F2"/>
            <w:tcMar>
              <w:top w:w="80" w:type="dxa"/>
              <w:left w:w="140" w:type="dxa"/>
              <w:bottom w:w="80" w:type="dxa"/>
              <w:right w:w="140" w:type="dxa"/>
            </w:tcMar>
          </w:tcPr>
          <w:p w14:paraId="77F12FBA" w14:textId="77777777" w:rsidR="00F20C26" w:rsidRDefault="00AE7ABF">
            <w:r>
              <w:rPr>
                <w:rFonts w:ascii="Arial" w:eastAsia="Arial" w:hAnsi="Arial" w:cs="Arial"/>
                <w:b/>
                <w:bCs/>
                <w:color w:val="1F3864"/>
                <w:sz w:val="18"/>
                <w:szCs w:val="18"/>
              </w:rPr>
              <w:t>Prazo de Execução</w:t>
            </w:r>
          </w:p>
        </w:tc>
        <w:tc>
          <w:tcPr>
            <w:tcW w:w="6560" w:type="dxa"/>
            <w:tcMar>
              <w:top w:w="80" w:type="dxa"/>
              <w:left w:w="140" w:type="dxa"/>
              <w:bottom w:w="80" w:type="dxa"/>
              <w:right w:w="140" w:type="dxa"/>
            </w:tcMar>
          </w:tcPr>
          <w:p w14:paraId="7AC0D88B" w14:textId="77777777" w:rsidR="00F20C26" w:rsidRDefault="00AE7ABF">
            <w:pPr>
              <w:jc w:val="both"/>
            </w:pPr>
            <w:r>
              <w:rPr>
                <w:rFonts w:ascii="Arial" w:eastAsia="Arial" w:hAnsi="Arial" w:cs="Arial"/>
                <w:sz w:val="19"/>
                <w:szCs w:val="19"/>
              </w:rPr>
              <w:t>240 (duzentos e quarenta) dias corridos, contado da emissão da Ordem de Serviço</w:t>
            </w:r>
          </w:p>
        </w:tc>
      </w:tr>
      <w:tr w:rsidR="00F20C26" w14:paraId="26F4734B" w14:textId="77777777" w:rsidTr="008724B2">
        <w:trPr>
          <w:jc w:val="center"/>
        </w:trPr>
        <w:tc>
          <w:tcPr>
            <w:tcW w:w="2800" w:type="dxa"/>
            <w:shd w:val="clear" w:color="auto" w:fill="F2F2F2"/>
            <w:tcMar>
              <w:top w:w="80" w:type="dxa"/>
              <w:left w:w="140" w:type="dxa"/>
              <w:bottom w:w="80" w:type="dxa"/>
              <w:right w:w="140" w:type="dxa"/>
            </w:tcMar>
          </w:tcPr>
          <w:p w14:paraId="6607728C" w14:textId="77777777" w:rsidR="00F20C26" w:rsidRDefault="00AE7ABF">
            <w:r>
              <w:rPr>
                <w:rFonts w:ascii="Arial" w:eastAsia="Arial" w:hAnsi="Arial" w:cs="Arial"/>
                <w:b/>
                <w:bCs/>
                <w:color w:val="1F3864"/>
                <w:sz w:val="18"/>
                <w:szCs w:val="18"/>
              </w:rPr>
              <w:t>Valor Estimado</w:t>
            </w:r>
          </w:p>
        </w:tc>
        <w:tc>
          <w:tcPr>
            <w:tcW w:w="6560" w:type="dxa"/>
            <w:tcMar>
              <w:top w:w="80" w:type="dxa"/>
              <w:left w:w="140" w:type="dxa"/>
              <w:bottom w:w="80" w:type="dxa"/>
              <w:right w:w="140" w:type="dxa"/>
            </w:tcMar>
          </w:tcPr>
          <w:p w14:paraId="46C24C43" w14:textId="77777777" w:rsidR="00F20C26" w:rsidRDefault="00AE7ABF">
            <w:pPr>
              <w:jc w:val="both"/>
            </w:pPr>
            <w:r>
              <w:rPr>
                <w:rFonts w:ascii="Arial" w:eastAsia="Arial" w:hAnsi="Arial" w:cs="Arial"/>
                <w:b/>
                <w:bCs/>
                <w:sz w:val="19"/>
                <w:szCs w:val="19"/>
              </w:rPr>
              <w:t>R$ 1.114.947,64 (Um Milhão, Cento e Quatorze Mil, Novecentos e Quarenta e Sete Reais e Sessenta e Quatro Centavos) — Não Desonerado</w:t>
            </w:r>
          </w:p>
        </w:tc>
      </w:tr>
      <w:tr w:rsidR="00F20C26" w14:paraId="33BBC9A0" w14:textId="77777777" w:rsidTr="008724B2">
        <w:trPr>
          <w:jc w:val="center"/>
        </w:trPr>
        <w:tc>
          <w:tcPr>
            <w:tcW w:w="2800" w:type="dxa"/>
            <w:shd w:val="clear" w:color="auto" w:fill="F2F2F2"/>
            <w:tcMar>
              <w:top w:w="80" w:type="dxa"/>
              <w:left w:w="140" w:type="dxa"/>
              <w:bottom w:w="80" w:type="dxa"/>
              <w:right w:w="140" w:type="dxa"/>
            </w:tcMar>
          </w:tcPr>
          <w:p w14:paraId="0AF7CCA1" w14:textId="77777777" w:rsidR="00F20C26" w:rsidRDefault="00AE7ABF">
            <w:r>
              <w:rPr>
                <w:rFonts w:ascii="Arial" w:eastAsia="Arial" w:hAnsi="Arial" w:cs="Arial"/>
                <w:b/>
                <w:bCs/>
                <w:color w:val="1F3864"/>
                <w:sz w:val="18"/>
                <w:szCs w:val="18"/>
              </w:rPr>
              <w:t>Referências de Preços</w:t>
            </w:r>
          </w:p>
        </w:tc>
        <w:tc>
          <w:tcPr>
            <w:tcW w:w="6560" w:type="dxa"/>
            <w:tcMar>
              <w:top w:w="80" w:type="dxa"/>
              <w:left w:w="140" w:type="dxa"/>
              <w:bottom w:w="80" w:type="dxa"/>
              <w:right w:w="140" w:type="dxa"/>
            </w:tcMar>
          </w:tcPr>
          <w:p w14:paraId="5F7201CC" w14:textId="77777777" w:rsidR="00F20C26" w:rsidRDefault="00AE7ABF">
            <w:pPr>
              <w:jc w:val="both"/>
            </w:pPr>
            <w:r>
              <w:rPr>
                <w:rFonts w:ascii="Arial" w:eastAsia="Arial" w:hAnsi="Arial" w:cs="Arial"/>
                <w:sz w:val="19"/>
                <w:szCs w:val="19"/>
              </w:rPr>
              <w:t>SINAPI — 2026 — Pernambuco (Não Desonerado)  │  Composições próprias para itens sem correspondência nos sistemas de referência</w:t>
            </w:r>
          </w:p>
        </w:tc>
      </w:tr>
      <w:tr w:rsidR="00F20C26" w14:paraId="2FCDD22C" w14:textId="77777777" w:rsidTr="00D87285">
        <w:trPr>
          <w:jc w:val="center"/>
        </w:trPr>
        <w:tc>
          <w:tcPr>
            <w:tcW w:w="2800" w:type="dxa"/>
            <w:shd w:val="clear" w:color="auto" w:fill="F2F2F2"/>
            <w:tcMar>
              <w:top w:w="80" w:type="dxa"/>
              <w:left w:w="140" w:type="dxa"/>
              <w:bottom w:w="80" w:type="dxa"/>
              <w:right w:w="140" w:type="dxa"/>
            </w:tcMar>
          </w:tcPr>
          <w:p w14:paraId="4632C2C9" w14:textId="77777777" w:rsidR="00F20C26" w:rsidRDefault="00AE7ABF">
            <w:r>
              <w:rPr>
                <w:rFonts w:ascii="Arial" w:eastAsia="Arial" w:hAnsi="Arial" w:cs="Arial"/>
                <w:b/>
                <w:bCs/>
                <w:color w:val="1F3864"/>
                <w:sz w:val="18"/>
                <w:szCs w:val="18"/>
              </w:rPr>
              <w:t>BDI</w:t>
            </w:r>
          </w:p>
        </w:tc>
        <w:tc>
          <w:tcPr>
            <w:tcW w:w="6560" w:type="dxa"/>
            <w:shd w:val="clear" w:color="auto" w:fill="auto"/>
            <w:tcMar>
              <w:top w:w="80" w:type="dxa"/>
              <w:left w:w="140" w:type="dxa"/>
              <w:bottom w:w="80" w:type="dxa"/>
              <w:right w:w="140" w:type="dxa"/>
            </w:tcMar>
          </w:tcPr>
          <w:p w14:paraId="246773AF" w14:textId="77777777" w:rsidR="00F20C26" w:rsidRPr="00D87285" w:rsidRDefault="00AE7ABF">
            <w:pPr>
              <w:jc w:val="both"/>
            </w:pPr>
            <w:r>
              <w:rPr>
                <w:rFonts w:ascii="Arial" w:eastAsia="Arial" w:hAnsi="Arial" w:cs="Arial"/>
                <w:sz w:val="19"/>
                <w:szCs w:val="19"/>
              </w:rPr>
              <w:t>20,91% (obras) │ 15,27% (equip.) — Acórdão TCU nº 2.622/2013-Plenário ✅</w:t>
            </w:r>
          </w:p>
        </w:tc>
      </w:tr>
      <w:tr w:rsidR="00F20C26" w14:paraId="2A68D95E" w14:textId="77777777" w:rsidTr="008724B2">
        <w:trPr>
          <w:jc w:val="center"/>
        </w:trPr>
        <w:tc>
          <w:tcPr>
            <w:tcW w:w="2800" w:type="dxa"/>
            <w:shd w:val="clear" w:color="auto" w:fill="F2F2F2"/>
            <w:tcMar>
              <w:top w:w="80" w:type="dxa"/>
              <w:left w:w="140" w:type="dxa"/>
              <w:bottom w:w="80" w:type="dxa"/>
              <w:right w:w="140" w:type="dxa"/>
            </w:tcMar>
          </w:tcPr>
          <w:p w14:paraId="0604B469" w14:textId="77777777" w:rsidR="00F20C26" w:rsidRDefault="00AE7ABF">
            <w:r>
              <w:rPr>
                <w:rFonts w:ascii="Arial" w:eastAsia="Arial" w:hAnsi="Arial" w:cs="Arial"/>
                <w:b/>
                <w:bCs/>
                <w:color w:val="1F3864"/>
                <w:sz w:val="18"/>
                <w:szCs w:val="18"/>
              </w:rPr>
              <w:t>Dotação Orçamentária</w:t>
            </w:r>
          </w:p>
        </w:tc>
        <w:tc>
          <w:tcPr>
            <w:tcW w:w="6560" w:type="dxa"/>
            <w:tcMar>
              <w:top w:w="80" w:type="dxa"/>
              <w:left w:w="140" w:type="dxa"/>
              <w:bottom w:w="80" w:type="dxa"/>
              <w:right w:w="140" w:type="dxa"/>
            </w:tcMar>
          </w:tcPr>
          <w:p w14:paraId="7D89CC20" w14:textId="77777777" w:rsidR="00F20C26" w:rsidRPr="00AD4E62" w:rsidRDefault="00AE7ABF">
            <w:pPr>
              <w:jc w:val="both"/>
            </w:pPr>
            <w:r w:rsidRPr="00AD4E62">
              <w:rPr>
                <w:rFonts w:ascii="Arial" w:eastAsia="Arial" w:hAnsi="Arial" w:cs="Arial"/>
                <w:sz w:val="19"/>
                <w:szCs w:val="19"/>
              </w:rPr>
              <w:t>PT: 12.361.0008.1002.0000 │ Elemento: 4.4.90 │ Fichas: 286 e 287 │ Ação: Infraestrutura Escolar │ Fonte: Fundo Municipal de Educação</w:t>
            </w:r>
          </w:p>
        </w:tc>
      </w:tr>
    </w:tbl>
    <w:p w14:paraId="1367BACD" w14:textId="77777777" w:rsidR="00F20C26" w:rsidRDefault="00F20C26">
      <w:pPr>
        <w:spacing w:before="160"/>
      </w:pPr>
    </w:p>
    <w:p w14:paraId="0D76012C"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0" w:name="_Toc99900001"/>
      <w:bookmarkStart w:id="1" w:name="_Toc230937824"/>
      <w:r>
        <w:rPr>
          <w:rFonts w:ascii="Arial" w:eastAsia="Arial" w:hAnsi="Arial" w:cs="Arial"/>
          <w:b/>
          <w:bCs/>
          <w:color w:val="1F3864"/>
          <w:sz w:val="28"/>
          <w:szCs w:val="28"/>
        </w:rPr>
        <w:t>1. DA APRESENTAÇÃO</w:t>
      </w:r>
      <w:bookmarkEnd w:id="0"/>
      <w:bookmarkEnd w:id="1"/>
    </w:p>
    <w:p w14:paraId="0317BF64" w14:textId="77777777" w:rsidR="00F20C26" w:rsidRDefault="00AE7ABF">
      <w:pPr>
        <w:spacing w:before="80" w:after="80"/>
        <w:jc w:val="both"/>
      </w:pPr>
      <w:r>
        <w:rPr>
          <w:rFonts w:ascii="Arial" w:eastAsia="Arial" w:hAnsi="Arial" w:cs="Arial"/>
        </w:rPr>
        <w:t>O presente Projeto Básico contém os elementos técnicos e legais necessários à contratação de empresa especializada em engenharia e arquitetura para execução de reforma geral, adequações de acessibilidade e ampliação da Escola Municipal João Gonçalves de Azevedo, nos termos do art. 6º, inciso XXV, e art. 18, inciso VIII, da Lei nº 14.133/2021.</w:t>
      </w:r>
    </w:p>
    <w:p w14:paraId="411620F7" w14:textId="77777777" w:rsidR="00F20C26" w:rsidRDefault="00AE7ABF">
      <w:pPr>
        <w:spacing w:before="80" w:after="80"/>
        <w:jc w:val="both"/>
      </w:pPr>
      <w:r>
        <w:rPr>
          <w:rFonts w:ascii="Arial" w:eastAsia="Arial" w:hAnsi="Arial" w:cs="Arial"/>
        </w:rPr>
        <w:lastRenderedPageBreak/>
        <w:t>A unidade escolar está localizada na Rua Alto da Mangueira, s/n, Praia de Barra de Catuama, Goiana/PE. Trata-se da única escola da rede municipal de ensino presente na localidade, atendendo a crianças da creche (Educação Infantil — 0 a 3 anos) e aos alunos dos anos iniciais do ensino fundamental residentes na comunidade pesqueira da Praia de Barra de Catuama.</w:t>
      </w:r>
    </w:p>
    <w:p w14:paraId="08FB8212" w14:textId="77777777" w:rsidR="00F20C26" w:rsidRDefault="00AE7ABF">
      <w:pPr>
        <w:spacing w:before="80" w:after="80"/>
        <w:jc w:val="both"/>
      </w:pPr>
      <w:r>
        <w:rPr>
          <w:rFonts w:ascii="Arial" w:eastAsia="Arial" w:hAnsi="Arial" w:cs="Arial"/>
        </w:rPr>
        <w:t>Este documento visa estabelecer a natureza, abrangência, especificações técnicas, critérios de medição, entregáveis, obrigações das partes, qualificação exigida e demais diretrizes necessárias à contratação, assegurando controle permanente, qualidade técnica e conformidade com as exigências normativas e legais incidentes.</w:t>
      </w:r>
    </w:p>
    <w:p w14:paraId="00A5B001"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1.1  Do Histórico Processual — Revogação da Concorrência Eletrônica nº 050/2024</w:t>
      </w:r>
    </w:p>
    <w:p w14:paraId="00A5B002" w14:textId="77777777" w:rsidR="00F20C26" w:rsidRDefault="00AE7ABF">
      <w:pPr>
        <w:spacing w:before="80" w:after="80"/>
        <w:jc w:val="both"/>
      </w:pPr>
      <w:r>
        <w:rPr>
          <w:rFonts w:ascii="Arial" w:eastAsia="Arial" w:hAnsi="Arial" w:cs="Arial"/>
        </w:rPr>
        <w:t>O presente Projeto Básico integra processo licitatório novo, instaurado após a revogação motivada da Concorrência Eletrônica nº 050/2024 — Processo Administrativo nº 575/2024, formalizada pelo Ofício nº 1488/2026 — CLCP, com fundamento no art. 71, inciso II, da Lei nº 14.133/2021. A revogação decorreu de fato superveniente que tornou a contratação economicamente inviável: a defasagem orçamentária de 14,959% acumulada pelo INCC-DI entre março/2024 e abril/2026, sem que o contrato houvesse sido assinado, resultou em valor adjudicado (R$ 625.000,00) representando 39,29% abaixo do valor de mercado atualizado (R$ 1.029.445,95), configurando falsa economicidade incompatível com o princípio da eficiência e com a segurança técnica e financeira da contratação (art. 5º, caput, e art. 11, IV, da Lei nº 14.133/2021). O novo processo incorpora os mecanismos preventivos decorrentes das lições aprendidas — em especial os critérios objetivos de exequibilidade da proposta (seção 5) e o protocolo de assinatura contratual dentro do prazo máximo estabelecido na seção 7.3 — visando eliminar os riscos que determinaram a revogação anterior e assegurar a continuidade tempestiva da contratação.</w:t>
      </w:r>
    </w:p>
    <w:p w14:paraId="33B9AAF5"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2" w:name="_Toc99900002"/>
      <w:bookmarkStart w:id="3" w:name="_Toc230937825"/>
      <w:r>
        <w:rPr>
          <w:rFonts w:ascii="Arial" w:eastAsia="Arial" w:hAnsi="Arial" w:cs="Arial"/>
          <w:b/>
          <w:bCs/>
          <w:color w:val="1F3864"/>
          <w:sz w:val="28"/>
          <w:szCs w:val="28"/>
        </w:rPr>
        <w:t>2. DA JUSTIFICATIVA</w:t>
      </w:r>
      <w:bookmarkEnd w:id="2"/>
      <w:bookmarkEnd w:id="3"/>
    </w:p>
    <w:p w14:paraId="74E0383E" w14:textId="77777777" w:rsidR="00F20C26" w:rsidRDefault="00AE7ABF">
      <w:pPr>
        <w:spacing w:before="80" w:after="80"/>
        <w:jc w:val="both"/>
      </w:pPr>
      <w:r>
        <w:rPr>
          <w:rFonts w:ascii="Arial" w:eastAsia="Arial" w:hAnsi="Arial" w:cs="Arial"/>
        </w:rPr>
        <w:t>O Município de Goiana/PE conta com rede municipal de ensino composta por 41 unidades escolares. A Escola Municipal João Gonçalves de Azevedo apresenta deterioração física avançada em múltiplos sistemas prediais, comprometendo a segurança dos usuários, a salubridade do ambiente e a qualidade do ensino.</w:t>
      </w:r>
    </w:p>
    <w:p w14:paraId="58DA880D" w14:textId="77777777" w:rsidR="00F20C26" w:rsidRDefault="00AE7ABF">
      <w:pPr>
        <w:spacing w:before="80" w:after="80"/>
        <w:jc w:val="both"/>
      </w:pPr>
      <w:r>
        <w:rPr>
          <w:rFonts w:ascii="Arial" w:eastAsia="Arial" w:hAnsi="Arial" w:cs="Arial"/>
        </w:rPr>
        <w:t>Vistoria técnica realizada pela equipe de engenharia e arquitetura da Secretaria de Educação e Inovação Pedagógica identificou: cobertura com infiltrações e deterioração estrutural; revestimentos degradados com risco de desprendimento; instalações elétricas em desconformidade com a NBR 5410; tubulações hidrossanitárias obsoletas com vazamentos; ausência de acessibilidade universal (NBR 9050:2020); e esquadrias comprometidas.</w:t>
      </w:r>
    </w:p>
    <w:p w14:paraId="52A2395B" w14:textId="77777777" w:rsidR="00F20C26" w:rsidRDefault="00AE7ABF">
      <w:pPr>
        <w:spacing w:before="80" w:after="80"/>
        <w:jc w:val="both"/>
      </w:pPr>
      <w:r>
        <w:rPr>
          <w:rFonts w:ascii="Arial" w:eastAsia="Arial" w:hAnsi="Arial" w:cs="Arial"/>
        </w:rPr>
        <w:t>A contratação é indispensável para garantir condições mínimas de funcionamento seguro e salubre da escola, assegurar o direito à educação dos alunos da comunidade e cumprir os padrões normativos exigidos para edificações de uso público. O Município não dispõe de equipe técnica interna em número e especialização suficientes para executar as intervenções necessárias com recursos próprios.</w:t>
      </w:r>
    </w:p>
    <w:p w14:paraId="347F41B5" w14:textId="77777777" w:rsidR="00F20C26" w:rsidRDefault="00AE7ABF">
      <w:pPr>
        <w:spacing w:before="80" w:after="80"/>
        <w:jc w:val="both"/>
      </w:pPr>
      <w:r>
        <w:rPr>
          <w:rFonts w:ascii="Arial" w:eastAsia="Arial" w:hAnsi="Arial" w:cs="Arial"/>
        </w:rPr>
        <w:t>A reforma integrada e definitiva é a solução tecnicamente adequada, economicamente proporcional ao dano identificado e juridicamente amparada, conforme demonstrado no Estudo Técnico Preliminar integrante deste processo.</w:t>
      </w:r>
    </w:p>
    <w:p w14:paraId="11089AF1"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4" w:name="_Toc99900003"/>
      <w:bookmarkStart w:id="5" w:name="_Toc230937826"/>
      <w:r>
        <w:rPr>
          <w:rFonts w:ascii="Arial" w:eastAsia="Arial" w:hAnsi="Arial" w:cs="Arial"/>
          <w:b/>
          <w:bCs/>
          <w:color w:val="1F3864"/>
          <w:sz w:val="28"/>
          <w:szCs w:val="28"/>
        </w:rPr>
        <w:t>3. DO OBJETO</w:t>
      </w:r>
      <w:bookmarkEnd w:id="4"/>
      <w:bookmarkEnd w:id="5"/>
    </w:p>
    <w:p w14:paraId="122CCF65" w14:textId="77777777" w:rsidR="00F20C26" w:rsidRDefault="00AE7ABF">
      <w:pPr>
        <w:spacing w:before="80" w:after="80"/>
        <w:jc w:val="both"/>
      </w:pPr>
      <w:r>
        <w:rPr>
          <w:rFonts w:ascii="Arial" w:eastAsia="Arial" w:hAnsi="Arial" w:cs="Arial"/>
        </w:rPr>
        <w:t xml:space="preserve">Constitui o objeto deste Projeto Básico a </w:t>
      </w:r>
      <w:r>
        <w:rPr>
          <w:rFonts w:ascii="Arial" w:eastAsia="Arial" w:hAnsi="Arial" w:cs="Arial"/>
          <w:b/>
          <w:bCs/>
        </w:rPr>
        <w:t>Contratação de Empresa Especializada em Engenharia e Arquitetura para Reforma, Adequações e Ampliação da Escola Municipal João Gonçalves de Azevedo, Localizada na Praia de Barra de Catuama, s/n, no Município de Goiana/PE</w:t>
      </w:r>
      <w:r>
        <w:rPr>
          <w:rFonts w:ascii="Arial" w:eastAsia="Arial" w:hAnsi="Arial" w:cs="Arial"/>
        </w:rPr>
        <w:t>, incluindo o fornecimento de todos os materiais, equipamentos, mão de obra e serviços técnicos necessários à plena conclusão e entrega da obra, conforme especificações constantes neste Projeto Básico e planilhas orçamentárias anexas.</w:t>
      </w:r>
    </w:p>
    <w:p w14:paraId="5C1CFFE0" w14:textId="77777777" w:rsidR="00F20C26" w:rsidRDefault="00AE7ABF">
      <w:pPr>
        <w:spacing w:before="80" w:after="80"/>
        <w:jc w:val="both"/>
      </w:pPr>
      <w:r>
        <w:rPr>
          <w:rFonts w:ascii="Arial" w:eastAsia="Arial" w:hAnsi="Arial" w:cs="Arial"/>
        </w:rPr>
        <w:t>O escopo abrange: reforma geral das instalações existentes; substituição integral de cobertura, instalações elétricas e hidrossanitárias, esquadrias e revestimentos; adequações de acessibilidade universal (NBR 9050:2020); demolição de 5,24 m² de elementos irrecuperáveis; e ampliação de 8,73 m², resultando em área construída final de 267,42 m².</w:t>
      </w:r>
    </w:p>
    <w:p w14:paraId="5F911854" w14:textId="77777777" w:rsidR="00F20C26" w:rsidRDefault="00AE7ABF">
      <w:pPr>
        <w:spacing w:before="80" w:after="80"/>
        <w:jc w:val="both"/>
      </w:pPr>
      <w:r>
        <w:rPr>
          <w:rFonts w:ascii="Arial" w:eastAsia="Arial" w:hAnsi="Arial" w:cs="Arial"/>
        </w:rPr>
        <w:lastRenderedPageBreak/>
        <w:t>Os serviços são classificados como Obra e Serviço de Engenharia, conforme art. 6º, XXI, alíneas 'a' e 'b', da Lei nº 14.133/2021, justificando a adoção da modalidade Concorrência Eletrônica (art. 28, I), com critério de julgamento por menor preço e regime de Contratação Semi-Integrada (art. 46, VII).</w:t>
      </w:r>
    </w:p>
    <w:p w14:paraId="00B10001" w14:textId="77777777" w:rsidR="00D05AC4" w:rsidRDefault="004D2B42">
      <w:pPr>
        <w:spacing w:before="80" w:after="80"/>
        <w:jc w:val="both"/>
      </w:pPr>
      <w:r>
        <w:rPr>
          <w:rFonts w:ascii="Arial" w:eastAsia="Arial" w:hAnsi="Arial" w:cs="Arial"/>
        </w:rPr>
        <w:t>3.1  Na Contratação Semi-Integrada, prevista no art. 46, VII, e definida no art. 6º, XXXII, da Lei nº 14.133/2021, a Administração fornece o Projeto Básico e a empresa Contratada é responsável pela elaboração de todos os Projetos Executivos e pela execução integral do objeto. Os Projetos Executivos compreendem, no mínimo, as seguintes disciplinas: (a) arquitetônico de detalhamento — plantas, cortes, fachadas e detalhes construtivos em escala de execução, com indicação de materiais, acabamentos e solução de acessibilidade, conforme NBR 9050:2020; (b) estrutural — dimensionamento da laje pré-moldada unidirecional, fundações e demais elementos estruturais, conforme NBR 6118; (c) elétrico — quadro de distribuição, circuitos, SPDA e iluminação de emergência, conforme NBR 5410; (d) hidrossanitário — redes de água fria, esgoto sanitário e pluvial, conforme NBR 5626 e NBR 8160. Os custos de elaboração de todos os Projetos Executivos integram o valor global da contratação e constam em grupo específico da Planilha Orçamentária. Os Projetos Executivos deverão ser submetidos à aprovação formal da Fiscalização antes do início de cada etapa a que se referem, nos termos do art. 46, §4º, da Lei nº 14.133/2021. A RRT ou ART de elaboração de cada disciplina deverá acompanhar o respectivo projeto no ato da submissão à Fiscalização.</w:t>
      </w:r>
    </w:p>
    <w:p w14:paraId="5C5F3431"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6" w:name="_Toc99900004"/>
      <w:bookmarkStart w:id="7" w:name="_Toc230937827"/>
      <w:r>
        <w:rPr>
          <w:rFonts w:ascii="Arial" w:eastAsia="Arial" w:hAnsi="Arial" w:cs="Arial"/>
          <w:b/>
          <w:bCs/>
          <w:color w:val="1F3864"/>
          <w:sz w:val="28"/>
          <w:szCs w:val="28"/>
        </w:rPr>
        <w:t>4. DAS CONDIÇÕES DE PARTICIPAÇÃO</w:t>
      </w:r>
      <w:bookmarkEnd w:id="6"/>
      <w:bookmarkEnd w:id="7"/>
    </w:p>
    <w:p w14:paraId="4EA310DA" w14:textId="77777777" w:rsidR="00B86A2C" w:rsidRDefault="00B86A2C" w:rsidP="00B86A2C">
      <w:pPr>
        <w:spacing w:before="80" w:after="80"/>
        <w:jc w:val="both"/>
      </w:pPr>
      <w:bookmarkStart w:id="8" w:name="_Toc99900005"/>
      <w:bookmarkStart w:id="9" w:name="_Toc230937828"/>
      <w:r>
        <w:rPr>
          <w:rFonts w:ascii="Arial" w:eastAsia="Arial" w:hAnsi="Arial" w:cs="Arial"/>
        </w:rPr>
        <w:t>Poderão participar do presente certame as empresas interessadas do ramo pertinente que atendam plenamente as condições deste Projeto Básico.</w:t>
      </w:r>
    </w:p>
    <w:p w14:paraId="60CA648B" w14:textId="77777777" w:rsidR="00B86A2C" w:rsidRDefault="00B86A2C" w:rsidP="00B86A2C">
      <w:pPr>
        <w:spacing w:before="80" w:after="80"/>
        <w:jc w:val="both"/>
      </w:pPr>
      <w:r>
        <w:rPr>
          <w:rFonts w:ascii="Arial" w:eastAsia="Arial" w:hAnsi="Arial" w:cs="Arial"/>
        </w:rPr>
        <w:t>Não poderão participar da licitação as empresas nas seguintes condições:</w:t>
      </w:r>
    </w:p>
    <w:p w14:paraId="4F80112C"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Vinculadas direta ou indiretamente a esta licitação, nos termos do art. 9º da Lei nº 14.133/2021;</w:t>
      </w:r>
    </w:p>
    <w:p w14:paraId="7F1F954E"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Impedidas nos termos do art. 14, incisos e parágrafos, da Lei nº 14.133/2021;</w:t>
      </w:r>
    </w:p>
    <w:p w14:paraId="79AFC6BF"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Na forma de consórcio — vedação justificada pela natureza integrada e responsabilidade técnica unificada da obra, que exige gestão coordenada entre todas as disciplinas (civil, elétrica, hidrossanitária, acessibilidade e ampliação);</w:t>
      </w:r>
    </w:p>
    <w:p w14:paraId="67687F80"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Inadimplentes com obrigações assumidas junto ao Município de Goiana/PE;</w:t>
      </w:r>
    </w:p>
    <w:p w14:paraId="2EF043EB"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Empresas estrangeiras que não funcionem no País ou em processo de falência, recuperação judicial, dissolução ou liquidação.</w:t>
      </w:r>
    </w:p>
    <w:p w14:paraId="526A4FDC" w14:textId="77777777" w:rsidR="00B86A2C" w:rsidRDefault="00B86A2C" w:rsidP="00B86A2C">
      <w:pPr>
        <w:spacing w:before="60" w:after="60"/>
        <w:rPr>
          <w:rFonts w:ascii="Arial" w:hAnsi="Arial" w:cs="Arial"/>
        </w:rPr>
      </w:pPr>
    </w:p>
    <w:p w14:paraId="53867B52" w14:textId="77777777" w:rsidR="00B86A2C" w:rsidRDefault="00B86A2C" w:rsidP="00B86A2C">
      <w:pPr>
        <w:spacing w:before="160" w:after="80"/>
        <w:jc w:val="both"/>
        <w:rPr>
          <w:rFonts w:ascii="Arial" w:eastAsia="Arial" w:hAnsi="Arial" w:cs="Arial"/>
          <w:b/>
          <w:bCs/>
          <w:color w:val="2E5496"/>
        </w:rPr>
      </w:pPr>
      <w:r>
        <w:rPr>
          <w:rFonts w:ascii="Arial" w:eastAsia="Arial" w:hAnsi="Arial" w:cs="Arial"/>
          <w:b/>
          <w:bCs/>
          <w:color w:val="2E5496"/>
        </w:rPr>
        <w:t>4.1 DA REGULARIDADE TRABALHISTA AMPLIADA — AUSÊNCIA DE INSCRIÇÃO NO CADASTRO DE EMPREGADORES SUBMETENTES DE TRABALHO ANÁLOGO À ESCRAVIDÃO</w:t>
      </w:r>
    </w:p>
    <w:p w14:paraId="6935CECE" w14:textId="77777777" w:rsidR="00B86A2C" w:rsidRDefault="00B86A2C" w:rsidP="00B86A2C">
      <w:pPr>
        <w:spacing w:before="80" w:after="60"/>
        <w:jc w:val="both"/>
        <w:rPr>
          <w:rFonts w:ascii="Arial" w:eastAsia="Arial" w:hAnsi="Arial" w:cs="Arial"/>
        </w:rPr>
      </w:pPr>
      <w:r>
        <w:rPr>
          <w:rFonts w:ascii="Arial" w:eastAsia="Arial" w:hAnsi="Arial" w:cs="Arial"/>
        </w:rPr>
        <w:t>Para fins de habilitação neste certame, além das exigências de regularidade fiscal e trabalhista previstas no art. 68 da Lei nº 14.133/2021, a licitante deverá apresentar declaração, firmada pelo representante legal com poderes específicos, atestando que não se encontra inscrita no Cadastro de Empregadores que tenham submetido trabalhadores a condições análogas à escravidão, instituído pela Portaria Interministerial MTE/MDHC/MIR nº 18, de 13 de setembro de 2024, e disponibilizado no sítio eletrônico oficial do Ministério do Trabalho e Emprego.</w:t>
      </w:r>
    </w:p>
    <w:p w14:paraId="504BA2C1" w14:textId="77777777" w:rsidR="00B86A2C" w:rsidRDefault="00B86A2C" w:rsidP="00B86A2C">
      <w:pPr>
        <w:spacing w:before="60" w:after="60"/>
        <w:jc w:val="both"/>
        <w:rPr>
          <w:rFonts w:ascii="Arial" w:eastAsia="Arial" w:hAnsi="Arial" w:cs="Arial"/>
        </w:rPr>
      </w:pPr>
      <w:r>
        <w:rPr>
          <w:rFonts w:ascii="Arial" w:eastAsia="Arial" w:hAnsi="Arial" w:cs="Arial"/>
        </w:rPr>
        <w:t>A Comissão de Contratação verificará de ofício, mediante consulta ao Cadastro vigente na data da sessão de abertura das propostas, a veracidade da declaração apresentada.</w:t>
      </w:r>
    </w:p>
    <w:p w14:paraId="00AFB1DD" w14:textId="77777777" w:rsidR="00B86A2C" w:rsidRDefault="00B86A2C" w:rsidP="00B86A2C">
      <w:pPr>
        <w:spacing w:before="60" w:after="60"/>
        <w:jc w:val="both"/>
        <w:rPr>
          <w:rFonts w:ascii="Arial" w:eastAsia="Arial" w:hAnsi="Arial" w:cs="Arial"/>
        </w:rPr>
      </w:pPr>
      <w:r>
        <w:rPr>
          <w:rFonts w:ascii="Arial" w:eastAsia="Arial" w:hAnsi="Arial" w:cs="Arial"/>
        </w:rPr>
        <w:t>A inscrição no referido Cadastro implica, para os fins desta licitação, a presunção de ausência dos requisitos de idoneidade e regularidade trabalhista exigidos pelo art. 7º, inciso XXXIII, da Constituição Federal e pelo art. 3º, caput, da Lei nº 14.133/2021, sendo vedada a habilitação de empresa nessa condição.</w:t>
      </w:r>
    </w:p>
    <w:p w14:paraId="6F472667" w14:textId="77777777" w:rsidR="00B86A2C" w:rsidRDefault="00B86A2C" w:rsidP="00B86A2C">
      <w:pPr>
        <w:spacing w:before="60" w:after="40"/>
        <w:jc w:val="both"/>
        <w:rPr>
          <w:rFonts w:ascii="Arial" w:eastAsia="Arial" w:hAnsi="Arial" w:cs="Arial"/>
        </w:rPr>
      </w:pPr>
      <w:r>
        <w:rPr>
          <w:rFonts w:ascii="Arial" w:eastAsia="Arial" w:hAnsi="Arial" w:cs="Arial"/>
        </w:rPr>
        <w:t>A constatação de inscrição no referido Cadastro em qualquer fase do procedimento licitatório ou durante a execução contratual implicará, respectivamente:</w:t>
      </w:r>
    </w:p>
    <w:p w14:paraId="17992353"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Inabilitação da licitante, com exclusão do certame, sem direito a indenização ou ressarcimento;</w:t>
      </w:r>
    </w:p>
    <w:p w14:paraId="68ECE75D"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Rescisão unilateral do contrato, nos termos do art. 137, inciso I, c/c art. 139 da Lei nº 14.133/2021, sem que caiba à contratada qualquer indenização, ressalvadas as medições de serviços efetivamente executados e aceitos pela fiscalização.</w:t>
      </w:r>
    </w:p>
    <w:p w14:paraId="6374CE2C" w14:textId="77777777" w:rsidR="00B86A2C" w:rsidRDefault="00B86A2C" w:rsidP="00B86A2C">
      <w:pPr>
        <w:spacing w:before="60" w:after="60"/>
        <w:jc w:val="both"/>
        <w:rPr>
          <w:rFonts w:ascii="Arial" w:eastAsia="Arial" w:hAnsi="Arial" w:cs="Arial"/>
        </w:rPr>
      </w:pPr>
      <w:r>
        <w:rPr>
          <w:rFonts w:ascii="Arial" w:eastAsia="Arial" w:hAnsi="Arial" w:cs="Arial"/>
        </w:rPr>
        <w:lastRenderedPageBreak/>
        <w:t>A empresa contratada fica obrigada a comunicar imediatamente à fiscalização do contrato qualquer alteração de sua situação perante o Cadastro mencionado no caput, sob pena de caracterização de descumprimento contratual grave, passível de aplicação das sanções previstas nos incisos III e IV do art. 156 da Lei nº 14.133/2021, correspondentes ao impedimento de licitar e contratar e à declaração de inidoneidade para licitar ou contratar com a Administração Pública.</w:t>
      </w:r>
    </w:p>
    <w:p w14:paraId="131663B3" w14:textId="77777777" w:rsidR="00B86A2C" w:rsidRDefault="00B86A2C" w:rsidP="00B86A2C">
      <w:pPr>
        <w:spacing w:before="60" w:after="80"/>
        <w:jc w:val="both"/>
        <w:rPr>
          <w:rFonts w:ascii="Arial" w:eastAsia="Arial" w:hAnsi="Arial" w:cs="Arial"/>
        </w:rPr>
      </w:pPr>
      <w:r>
        <w:rPr>
          <w:rFonts w:ascii="Arial" w:eastAsia="Arial" w:hAnsi="Arial" w:cs="Arial"/>
        </w:rPr>
        <w:t xml:space="preserve">Fundamento: </w:t>
      </w:r>
      <w:r>
        <w:rPr>
          <w:rFonts w:ascii="Arial" w:eastAsia="Arial" w:hAnsi="Arial" w:cs="Arial"/>
          <w:b/>
          <w:bCs/>
        </w:rPr>
        <w:t>art. 7º, XXXIII, e art. 5º, III, da Constituição Federal; art. 3º, art. 68 e art. 156, III e IV, da Lei nº 14.133/2021; Portaria Interministerial MTE/MDHC/MIR nº 18/2024.</w:t>
      </w:r>
    </w:p>
    <w:p w14:paraId="65EBA1A8"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5. DAS DEFINIÇÕES DA LICITAÇÃO E CONTRATAÇÃO</w:t>
      </w:r>
      <w:bookmarkEnd w:id="8"/>
      <w:bookmarkEnd w:id="9"/>
    </w:p>
    <w:p w14:paraId="1BA58DFD"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modalidade de licitação será Concorrência Eletrônica e o critério de julgamento será o de Menor Preço;</w:t>
      </w:r>
    </w:p>
    <w:p w14:paraId="3944E23A"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O Regime de execução será Contratação Semi-Integrada, conforme art. 46, inciso VII, da Lei nº 14.133/2021;</w:t>
      </w:r>
    </w:p>
    <w:p w14:paraId="22A79135"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Será adotado o modo de disputa aberto/fechado, conforme art. 56, inciso III, da Lei nº 14.133/2021;</w:t>
      </w:r>
    </w:p>
    <w:p w14:paraId="117A5255"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contratação será formalizada por instrumento de contrato, nos termos do art. 95 da Lei nº 14.133/2021;</w:t>
      </w:r>
    </w:p>
    <w:p w14:paraId="1CB54393"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Sem prejuízo das exigências constantes neste instrumento, deverão ser observadas as disposições do edital da licitação.</w:t>
      </w:r>
    </w:p>
    <w:p w14:paraId="00A5B003"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Para fins de análise de exequibilidade da proposta, aplicar-se-ão os seguintes critérios objetivos, que integrarão o edital da licitação: (a) proposta com desconto superior a 15% (quinze por cento) em relação ao valor estimado será considerada presumivelmente inexequível, devendo a licitante apresentar planilha analítica com composição unitária de todos os itens da planilha orçamentária, demonstrando viabilidade técnica e financeira de execução integral do objeto; (b) proposta com desconto superior a 25% (vinte e cinco por cento) submeter-se-á, obrigatoriamente, a análise técnica pela Comissão de Contratação antes da adjudicação, podendo ser desclassificada quando não comprovada a exequibilidade — fundamento: arts. 59 e 60 da Lei nº 14.133/2021, Acórdão TCU nº 2.170/2021-Plenário e lição aprendida da Concorrência Eletrônica nº 050/2024, processo em que proposta adjudicada com desconto de 30,21% não teve exequibilidade verificada, contribuindo para a posterior revogação do certame.</w:t>
      </w:r>
    </w:p>
    <w:p w14:paraId="70EE16D2"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10" w:name="_Toc99900006"/>
      <w:bookmarkStart w:id="11" w:name="_Toc230937829"/>
      <w:r>
        <w:rPr>
          <w:rFonts w:ascii="Arial" w:eastAsia="Arial" w:hAnsi="Arial" w:cs="Arial"/>
          <w:b/>
          <w:bCs/>
          <w:color w:val="1F3864"/>
          <w:sz w:val="28"/>
          <w:szCs w:val="28"/>
        </w:rPr>
        <w:t>6. DO VALOR ESTIMADO</w:t>
      </w:r>
      <w:bookmarkEnd w:id="10"/>
      <w:bookmarkEnd w:id="11"/>
    </w:p>
    <w:p w14:paraId="78EE6DDF"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 xml:space="preserve">O valor estimado para este objeto é de </w:t>
      </w:r>
      <w:r>
        <w:rPr>
          <w:rFonts w:ascii="Arial" w:eastAsia="Arial" w:hAnsi="Arial" w:cs="Arial"/>
          <w:b/>
          <w:bCs/>
        </w:rPr>
        <w:t>R$ 1.114.947,64 (Um Milhão, Cento e Quatorze Mil, Novecentos e Quarenta e Sete Reais e Sessenta e Quatro Centavos)</w:t>
      </w:r>
      <w:r>
        <w:rPr>
          <w:rFonts w:ascii="Arial" w:eastAsia="Arial" w:hAnsi="Arial" w:cs="Arial"/>
        </w:rPr>
        <w:t xml:space="preserve"> — Não Desonerado;</w:t>
      </w:r>
    </w:p>
    <w:p w14:paraId="6DFA0051"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As despesas decorrentes desta licitação correrão por conta dos recursos específicos no orçamento da Secretaria de Educação e Inovação Pedagógica do Município de Goiana/PE;</w:t>
      </w:r>
    </w:p>
    <w:p w14:paraId="2AEB0A74"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tabela de referência utilizada foi SINAPI — 2026 — Pernambuco (Não Desonerado), com BDI a ser definido conforme Acórdãos TCU nº 2.622/2013-Plenário e nº 950/2013-Plenário, e composições próprias para itens sem correspondência nos sistemas de referência, nos termos do art. 23, §2º, II, da Lei nº 14.133/2021.</w:t>
      </w:r>
    </w:p>
    <w:p w14:paraId="15FCD4B1" w14:textId="77777777" w:rsidR="00F20C26" w:rsidRDefault="00F20C26">
      <w:pPr>
        <w:spacing w:before="12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000" w:firstRow="0" w:lastRow="0" w:firstColumn="0" w:lastColumn="0" w:noHBand="0" w:noVBand="0"/>
      </w:tblPr>
      <w:tblGrid>
        <w:gridCol w:w="2800"/>
        <w:gridCol w:w="6560"/>
      </w:tblGrid>
      <w:tr w:rsidR="00F20C26" w14:paraId="646ADB81" w14:textId="77777777" w:rsidTr="008724B2">
        <w:tc>
          <w:tcPr>
            <w:tcW w:w="0" w:type="auto"/>
            <w:gridSpan w:val="2"/>
            <w:shd w:val="clear" w:color="auto" w:fill="1F3864"/>
            <w:tcMar>
              <w:top w:w="80" w:type="dxa"/>
              <w:left w:w="140" w:type="dxa"/>
              <w:bottom w:w="80" w:type="dxa"/>
              <w:right w:w="140" w:type="dxa"/>
            </w:tcMar>
          </w:tcPr>
          <w:p w14:paraId="1F7847E5" w14:textId="77777777" w:rsidR="00F20C26" w:rsidRDefault="00AE7ABF">
            <w:pPr>
              <w:jc w:val="center"/>
            </w:pPr>
            <w:r>
              <w:rPr>
                <w:rFonts w:ascii="Arial" w:eastAsia="Arial" w:hAnsi="Arial" w:cs="Arial"/>
                <w:b/>
                <w:bCs/>
                <w:color w:val="FFFFFF"/>
              </w:rPr>
              <w:t>DOTAÇÃO ORÇAMENTÁRIA</w:t>
            </w:r>
          </w:p>
        </w:tc>
      </w:tr>
      <w:tr w:rsidR="00F20C26" w14:paraId="758B620D" w14:textId="77777777" w:rsidTr="008724B2">
        <w:tc>
          <w:tcPr>
            <w:tcW w:w="2800" w:type="dxa"/>
            <w:shd w:val="clear" w:color="auto" w:fill="F2F2F2"/>
            <w:tcMar>
              <w:top w:w="80" w:type="dxa"/>
              <w:left w:w="140" w:type="dxa"/>
              <w:bottom w:w="80" w:type="dxa"/>
              <w:right w:w="140" w:type="dxa"/>
            </w:tcMar>
          </w:tcPr>
          <w:p w14:paraId="7273D05B" w14:textId="77777777" w:rsidR="00F20C26" w:rsidRDefault="00AE7ABF">
            <w:r>
              <w:rPr>
                <w:rFonts w:ascii="Arial" w:eastAsia="Arial" w:hAnsi="Arial" w:cs="Arial"/>
                <w:b/>
                <w:bCs/>
                <w:color w:val="1F3864"/>
                <w:sz w:val="18"/>
                <w:szCs w:val="18"/>
              </w:rPr>
              <w:t>Dotação Orçamentária</w:t>
            </w:r>
          </w:p>
        </w:tc>
        <w:tc>
          <w:tcPr>
            <w:tcW w:w="6560" w:type="dxa"/>
            <w:tcMar>
              <w:top w:w="80" w:type="dxa"/>
              <w:left w:w="140" w:type="dxa"/>
              <w:bottom w:w="80" w:type="dxa"/>
              <w:right w:w="140" w:type="dxa"/>
            </w:tcMar>
          </w:tcPr>
          <w:p w14:paraId="600D33DC" w14:textId="77777777" w:rsidR="00F20C26" w:rsidRDefault="00AE7ABF">
            <w:pPr>
              <w:jc w:val="both"/>
            </w:pPr>
            <w:r>
              <w:rPr>
                <w:rFonts w:ascii="Arial" w:eastAsia="Arial" w:hAnsi="Arial" w:cs="Arial"/>
                <w:sz w:val="19"/>
                <w:szCs w:val="19"/>
              </w:rPr>
              <w:t>12.361.0008.1002.0000</w:t>
            </w:r>
          </w:p>
        </w:tc>
      </w:tr>
      <w:tr w:rsidR="00F20C26" w14:paraId="64F3E85E" w14:textId="77777777" w:rsidTr="008724B2">
        <w:tc>
          <w:tcPr>
            <w:tcW w:w="2800" w:type="dxa"/>
            <w:shd w:val="clear" w:color="auto" w:fill="F2F2F2"/>
            <w:tcMar>
              <w:top w:w="80" w:type="dxa"/>
              <w:left w:w="140" w:type="dxa"/>
              <w:bottom w:w="80" w:type="dxa"/>
              <w:right w:w="140" w:type="dxa"/>
            </w:tcMar>
          </w:tcPr>
          <w:p w14:paraId="7F3D7279" w14:textId="77777777" w:rsidR="00F20C26" w:rsidRDefault="00AE7ABF">
            <w:r>
              <w:rPr>
                <w:rFonts w:ascii="Arial" w:eastAsia="Arial" w:hAnsi="Arial" w:cs="Arial"/>
                <w:b/>
                <w:bCs/>
                <w:color w:val="1F3864"/>
                <w:sz w:val="18"/>
                <w:szCs w:val="18"/>
              </w:rPr>
              <w:t>Subação</w:t>
            </w:r>
          </w:p>
        </w:tc>
        <w:tc>
          <w:tcPr>
            <w:tcW w:w="6560" w:type="dxa"/>
            <w:tcMar>
              <w:top w:w="80" w:type="dxa"/>
              <w:left w:w="140" w:type="dxa"/>
              <w:bottom w:w="80" w:type="dxa"/>
              <w:right w:w="140" w:type="dxa"/>
            </w:tcMar>
          </w:tcPr>
          <w:p w14:paraId="735D7F92" w14:textId="77777777" w:rsidR="00F20C26" w:rsidRDefault="00AE7ABF">
            <w:pPr>
              <w:jc w:val="both"/>
            </w:pPr>
            <w:r>
              <w:rPr>
                <w:rFonts w:ascii="Arial" w:eastAsia="Arial" w:hAnsi="Arial" w:cs="Arial"/>
                <w:sz w:val="19"/>
                <w:szCs w:val="19"/>
              </w:rPr>
              <w:t>CONTRATAÇÃO DE EMPRESA ESPECIALIZADA EM ENGENHARIA E ARQUITETURA PARA REFORMA, ADEQUAÇÕES E AMPLIAÇÃO DA ESCOLA MUNICIPAL JOÃO GONÇALVES DE AZEVEDO, LOCALIZADA NA PRAIA DE BARRA DE CATUAMA, S/N, GOIANA/PE</w:t>
            </w:r>
          </w:p>
        </w:tc>
      </w:tr>
      <w:tr w:rsidR="00F20C26" w14:paraId="7CBD9F6B" w14:textId="77777777" w:rsidTr="008724B2">
        <w:tc>
          <w:tcPr>
            <w:tcW w:w="2800" w:type="dxa"/>
            <w:shd w:val="clear" w:color="auto" w:fill="F2F2F2"/>
            <w:tcMar>
              <w:top w:w="80" w:type="dxa"/>
              <w:left w:w="140" w:type="dxa"/>
              <w:bottom w:w="80" w:type="dxa"/>
              <w:right w:w="140" w:type="dxa"/>
            </w:tcMar>
          </w:tcPr>
          <w:p w14:paraId="7C264060" w14:textId="77777777" w:rsidR="00F20C26" w:rsidRDefault="00AE7ABF">
            <w:r>
              <w:rPr>
                <w:rFonts w:ascii="Arial" w:eastAsia="Arial" w:hAnsi="Arial" w:cs="Arial"/>
                <w:b/>
                <w:bCs/>
                <w:color w:val="1F3864"/>
                <w:sz w:val="18"/>
                <w:szCs w:val="18"/>
              </w:rPr>
              <w:t>Elemento de Despesa</w:t>
            </w:r>
          </w:p>
        </w:tc>
        <w:tc>
          <w:tcPr>
            <w:tcW w:w="6560" w:type="dxa"/>
            <w:tcMar>
              <w:top w:w="80" w:type="dxa"/>
              <w:left w:w="140" w:type="dxa"/>
              <w:bottom w:w="80" w:type="dxa"/>
              <w:right w:w="140" w:type="dxa"/>
            </w:tcMar>
          </w:tcPr>
          <w:p w14:paraId="6280A819" w14:textId="77777777" w:rsidR="00F20C26" w:rsidRDefault="00AE7ABF">
            <w:pPr>
              <w:jc w:val="both"/>
            </w:pPr>
            <w:r>
              <w:rPr>
                <w:rFonts w:ascii="Arial" w:eastAsia="Arial" w:hAnsi="Arial" w:cs="Arial"/>
                <w:sz w:val="19"/>
                <w:szCs w:val="19"/>
              </w:rPr>
              <w:t>4.4.90 — Investimentos</w:t>
            </w:r>
          </w:p>
        </w:tc>
      </w:tr>
      <w:tr w:rsidR="00F20C26" w14:paraId="5C2D3BE5" w14:textId="77777777" w:rsidTr="008724B2">
        <w:tc>
          <w:tcPr>
            <w:tcW w:w="2800" w:type="dxa"/>
            <w:shd w:val="clear" w:color="auto" w:fill="F2F2F2"/>
            <w:tcMar>
              <w:top w:w="80" w:type="dxa"/>
              <w:left w:w="140" w:type="dxa"/>
              <w:bottom w:w="80" w:type="dxa"/>
              <w:right w:w="140" w:type="dxa"/>
            </w:tcMar>
          </w:tcPr>
          <w:p w14:paraId="1199D1FF" w14:textId="77777777" w:rsidR="00F20C26" w:rsidRDefault="00AE7ABF">
            <w:r>
              <w:rPr>
                <w:rFonts w:ascii="Arial" w:eastAsia="Arial" w:hAnsi="Arial" w:cs="Arial"/>
                <w:b/>
                <w:bCs/>
                <w:color w:val="1F3864"/>
                <w:sz w:val="18"/>
                <w:szCs w:val="18"/>
              </w:rPr>
              <w:t>Ficha</w:t>
            </w:r>
          </w:p>
        </w:tc>
        <w:tc>
          <w:tcPr>
            <w:tcW w:w="6560" w:type="dxa"/>
            <w:tcMar>
              <w:top w:w="80" w:type="dxa"/>
              <w:left w:w="140" w:type="dxa"/>
              <w:bottom w:w="80" w:type="dxa"/>
              <w:right w:w="140" w:type="dxa"/>
            </w:tcMar>
          </w:tcPr>
          <w:p w14:paraId="5519DC82" w14:textId="77777777" w:rsidR="00F20C26" w:rsidRDefault="00AE7ABF">
            <w:pPr>
              <w:jc w:val="both"/>
            </w:pPr>
            <w:r>
              <w:rPr>
                <w:rFonts w:ascii="Arial" w:eastAsia="Arial" w:hAnsi="Arial" w:cs="Arial"/>
                <w:sz w:val="19"/>
                <w:szCs w:val="19"/>
              </w:rPr>
              <w:t>286 e 287</w:t>
            </w:r>
          </w:p>
        </w:tc>
      </w:tr>
      <w:tr w:rsidR="00F20C26" w14:paraId="07562AF2" w14:textId="77777777" w:rsidTr="008724B2">
        <w:tc>
          <w:tcPr>
            <w:tcW w:w="2800" w:type="dxa"/>
            <w:shd w:val="clear" w:color="auto" w:fill="F2F2F2"/>
            <w:tcMar>
              <w:top w:w="80" w:type="dxa"/>
              <w:left w:w="140" w:type="dxa"/>
              <w:bottom w:w="80" w:type="dxa"/>
              <w:right w:w="140" w:type="dxa"/>
            </w:tcMar>
          </w:tcPr>
          <w:p w14:paraId="4E5FA3C5" w14:textId="77777777" w:rsidR="00F20C26" w:rsidRDefault="00AE7ABF">
            <w:r>
              <w:rPr>
                <w:rFonts w:ascii="Arial" w:eastAsia="Arial" w:hAnsi="Arial" w:cs="Arial"/>
                <w:b/>
                <w:bCs/>
                <w:color w:val="1F3864"/>
                <w:sz w:val="18"/>
                <w:szCs w:val="18"/>
              </w:rPr>
              <w:lastRenderedPageBreak/>
              <w:t>Valor Estimado</w:t>
            </w:r>
          </w:p>
        </w:tc>
        <w:tc>
          <w:tcPr>
            <w:tcW w:w="6560" w:type="dxa"/>
            <w:tcMar>
              <w:top w:w="80" w:type="dxa"/>
              <w:left w:w="140" w:type="dxa"/>
              <w:bottom w:w="80" w:type="dxa"/>
              <w:right w:w="140" w:type="dxa"/>
            </w:tcMar>
          </w:tcPr>
          <w:p w14:paraId="461AA5C4" w14:textId="77777777" w:rsidR="00F20C26" w:rsidRDefault="00AE7ABF">
            <w:pPr>
              <w:jc w:val="both"/>
            </w:pPr>
            <w:r>
              <w:rPr>
                <w:rFonts w:ascii="Arial" w:eastAsia="Arial" w:hAnsi="Arial" w:cs="Arial"/>
                <w:b/>
                <w:bCs/>
                <w:sz w:val="19"/>
                <w:szCs w:val="19"/>
              </w:rPr>
              <w:t>R$ 1.114.947,64 (Um Milhão, Cento e Quatorze Mil, Novecentos e Quarenta e Sete Reais e Sessenta e Quatro Centavos) — Não Desonerado</w:t>
            </w:r>
          </w:p>
        </w:tc>
      </w:tr>
    </w:tbl>
    <w:p w14:paraId="0FBA381F"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12" w:name="_Toc99900007"/>
      <w:bookmarkStart w:id="13" w:name="_Toc230937830"/>
      <w:r>
        <w:rPr>
          <w:rFonts w:ascii="Arial" w:eastAsia="Arial" w:hAnsi="Arial" w:cs="Arial"/>
          <w:b/>
          <w:bCs/>
          <w:color w:val="1F3864"/>
          <w:sz w:val="28"/>
          <w:szCs w:val="28"/>
        </w:rPr>
        <w:t>7. DA VIGÊNCIA CONTRATUAL E PRAZO DE EXECUÇÃO</w:t>
      </w:r>
      <w:bookmarkEnd w:id="12"/>
      <w:bookmarkEnd w:id="13"/>
    </w:p>
    <w:p w14:paraId="7607A532"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7.1  Vigência Contratual</w:t>
      </w:r>
    </w:p>
    <w:p w14:paraId="1E596840" w14:textId="733C073D" w:rsidR="00F20C26" w:rsidRDefault="00AE7ABF">
      <w:pPr>
        <w:spacing w:before="80" w:after="80"/>
        <w:jc w:val="both"/>
      </w:pPr>
      <w:r w:rsidRPr="00AD4E62">
        <w:rPr>
          <w:rFonts w:ascii="Arial" w:eastAsia="Arial" w:hAnsi="Arial" w:cs="Arial"/>
        </w:rPr>
        <w:t xml:space="preserve">O prazo de vigência do contrato será de </w:t>
      </w:r>
      <w:r w:rsidR="00D31FCE" w:rsidRPr="00AD4E62">
        <w:rPr>
          <w:rFonts w:ascii="Arial" w:eastAsia="Arial" w:hAnsi="Arial" w:cs="Arial"/>
        </w:rPr>
        <w:t>270 (duzentos e setenta) dias</w:t>
      </w:r>
      <w:r w:rsidRPr="00AD4E62">
        <w:rPr>
          <w:rFonts w:ascii="Arial" w:eastAsia="Arial" w:hAnsi="Arial" w:cs="Arial"/>
        </w:rPr>
        <w:t>, contado da data de sua assinatura, podendo ser prorrogado nos termos do art. 107 da Lei nº 14.133/2021, limitado ao prazo máximo permitido em lei. A prorrogação dependerá de demonstração de vantagem para a Administração e de acordo entre as partes, mediante formalização de termo aditivo.</w:t>
      </w:r>
    </w:p>
    <w:p w14:paraId="6701271B"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7.2  Prazo de Execução</w:t>
      </w:r>
    </w:p>
    <w:p w14:paraId="32461811" w14:textId="77777777" w:rsidR="00F20C26" w:rsidRDefault="00AE7ABF">
      <w:pPr>
        <w:spacing w:before="80" w:after="80"/>
        <w:jc w:val="both"/>
      </w:pPr>
      <w:r>
        <w:rPr>
          <w:rFonts w:ascii="Arial" w:eastAsia="Arial" w:hAnsi="Arial" w:cs="Arial"/>
        </w:rPr>
        <w:t>O prazo de execução da obra é de 240 (duzentos e quarenta) dias corridos, contado da data de emissão da Ordem de Serviço. A Contratada deverá apresentar cronograma físico-financeiro detalhado no ato da assinatura do contrato, compatível com o prazo estabelecido. O objeto poderá ser rejeitado, no todo ou em parte, quando estiver em desacordo com as especificações, devendo ser corrigido ou refeito no prazo fixado pela Fiscalização, sem ônus adicionais ao Município.</w:t>
      </w:r>
    </w:p>
    <w:p w14:paraId="00A5B004"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7.3  Do Protocolo de Assinatura Contratual e Monitoramento Pós-Homologação</w:t>
      </w:r>
    </w:p>
    <w:p w14:paraId="00A5B005" w14:textId="77777777" w:rsidR="00F20C26" w:rsidRDefault="00AE7ABF">
      <w:pPr>
        <w:spacing w:before="80" w:after="80"/>
        <w:jc w:val="both"/>
      </w:pPr>
      <w:r>
        <w:rPr>
          <w:rFonts w:ascii="Arial" w:eastAsia="Arial" w:hAnsi="Arial" w:cs="Arial"/>
        </w:rPr>
        <w:t>Homologado o resultado da licitação, o Gestor do Contrato adotará protocolo formal de acompanhamento do processo de assinatura, assegurando que o instrumento contratual seja celebrado no prazo máximo de 30 (trinta) dias corridos a contar da data de publicação do ato de homologação. A notificação da licitante vencedora para assinatura do contrato deverá ser expedida em até 5 (cinco) dias úteis após a homologação, nos termos do art. 90, caput, da Lei nº 14.133/2021. O descumprimento do prazo de 30 dias pela Administração deverá ser documentado com justificativa fundamentada nos autos do processo e comunicado ao ordenador de despesas, com avaliação do impacto da defasagem orçamentária acumulada no período. O presente protocolo tem por finalidade prevenir a recorrência dos fatores que determinaram a revogação da Concorrência Eletrônica nº 050/2024: a morosidade pós-homologação que, combinada à defasagem orçamentária de 14,959% (INCC-DI, março/2024 a abril/2026), resultou em valor adjudicado 39,29% abaixo do mercado e na consequente rescisão do procedimento por falsa economicidade, conforme documentado no Estudo Técnico Preliminar integrante deste processo (seção 6.4).</w:t>
      </w:r>
    </w:p>
    <w:p w14:paraId="4616152C"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14" w:name="_Toc99900008"/>
      <w:bookmarkStart w:id="15" w:name="_Toc230937831"/>
      <w:r>
        <w:rPr>
          <w:rFonts w:ascii="Arial" w:eastAsia="Arial" w:hAnsi="Arial" w:cs="Arial"/>
          <w:b/>
          <w:bCs/>
          <w:color w:val="1F3864"/>
          <w:sz w:val="28"/>
          <w:szCs w:val="28"/>
        </w:rPr>
        <w:t>8. DO CRONOGRAMA FÍSICO-FINANCEIRO E MOBILIZAÇÃO</w:t>
      </w:r>
      <w:bookmarkEnd w:id="14"/>
      <w:bookmarkEnd w:id="15"/>
    </w:p>
    <w:p w14:paraId="58372062" w14:textId="77777777" w:rsidR="00F20C26" w:rsidRDefault="00AE7ABF">
      <w:pPr>
        <w:spacing w:before="80" w:after="80"/>
        <w:jc w:val="both"/>
      </w:pPr>
      <w:r>
        <w:rPr>
          <w:rFonts w:ascii="Arial" w:eastAsia="Arial" w:hAnsi="Arial" w:cs="Arial"/>
        </w:rPr>
        <w:t>A execução da obra observará o Cronograma Físico-Financeiro aprovado pela Fiscalização, com as seguintes diretrizes operacionais:</w:t>
      </w:r>
    </w:p>
    <w:p w14:paraId="55E242EA"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Contratada iniciará os serviços no prazo máximo de 10 (dez) dias corridos após a emissão da Ordem de Serviço, sob pena de aplicação de penalidades contratuais;</w:t>
      </w:r>
    </w:p>
    <w:p w14:paraId="642DF9C0"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O Cronograma Físico-Financeiro deverá discriminar as etapas de execução, os valores mensais e o percentual de desembolso, com coerência técnica entre os serviços programados e o prazo total de 240 dias corridos;</w:t>
      </w:r>
    </w:p>
    <w:p w14:paraId="52D3266C"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Contratada deverá apresentar Plano de Trabalho detalhado à Fiscalização antes do início de cada etapa principal, contendo: metodologia executiva, equipe mobilizada, equipamentos, materiais e cronograma da etapa;</w:t>
      </w:r>
    </w:p>
    <w:p w14:paraId="0975D7C0"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Qualquer alteração de sequência executiva ou de etapas deverá ser previamente comunicada e aprovada pela Fiscalização;</w:t>
      </w:r>
    </w:p>
    <w:p w14:paraId="08E2A46A"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A Fiscalização poderá, motivadamente, determinar a paralisação de serviços executados em desconformidade com as especificações técnicas ou com o Cronograma aprovado.</w:t>
      </w:r>
    </w:p>
    <w:p w14:paraId="79CA2ACE"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8.1  Da Emissão da Ordem de Serviço</w:t>
      </w:r>
    </w:p>
    <w:p w14:paraId="5BD918CB" w14:textId="77777777" w:rsidR="00F20C26" w:rsidRDefault="00AE7ABF">
      <w:pPr>
        <w:spacing w:before="80" w:after="80"/>
        <w:jc w:val="both"/>
      </w:pPr>
      <w:r>
        <w:rPr>
          <w:rFonts w:ascii="Arial" w:eastAsia="Arial" w:hAnsi="Arial" w:cs="Arial"/>
        </w:rPr>
        <w:t>A Secretaria de Educação emitirá Ordem de Serviço autorizando o início das obras, indicando o prazo de início, o responsável pelo acompanhamento e demais condições de acesso ao imóvel. A execução somente poderá ser iniciada após recebimento formal da OS e autorização da Fiscalização.</w:t>
      </w:r>
    </w:p>
    <w:p w14:paraId="32991C9B"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lastRenderedPageBreak/>
        <w:t>8.2  Da Mobilização</w:t>
      </w:r>
    </w:p>
    <w:p w14:paraId="36EB3FA0" w14:textId="77777777" w:rsidR="00F20C26" w:rsidRDefault="00AE7ABF">
      <w:pPr>
        <w:spacing w:before="80" w:after="80"/>
        <w:jc w:val="both"/>
      </w:pPr>
      <w:r>
        <w:rPr>
          <w:rFonts w:ascii="Arial" w:eastAsia="Arial" w:hAnsi="Arial" w:cs="Arial"/>
        </w:rPr>
        <w:t>A mobilização compreenderá o deslocamento de equipamentos e equipes, a instalação do canteiro de obras, a colocação de tapumes e sinalização de segurança, e a apresentação da documentação técnica necessária ao início da execução (ART/RRT, CNO, seguro de responsabilidade civil). A Fiscalização verificará as condições de mobilização antes de autorizar o início efetivo dos serviços.</w:t>
      </w:r>
    </w:p>
    <w:p w14:paraId="79F4A461"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8.3  Dos Prazos e Prorrogações</w:t>
      </w:r>
    </w:p>
    <w:p w14:paraId="3953137A" w14:textId="77777777" w:rsidR="00F20C26" w:rsidRDefault="00AE7ABF">
      <w:pPr>
        <w:spacing w:before="80" w:after="80"/>
        <w:jc w:val="both"/>
      </w:pPr>
      <w:r>
        <w:rPr>
          <w:rFonts w:ascii="Arial" w:eastAsia="Arial" w:hAnsi="Arial" w:cs="Arial"/>
        </w:rPr>
        <w:t>Os prazos contratuais poderão ser prorrogados nas hipóteses legalmente admitidas, especialmente em razão de alteração do objeto determinada pela Administração, condições climáticas que inviabilizem tecnicamente a execução, impedimentos causados por terceiros e ocorrência de caso fortuito ou força maior. A solicitação de prorrogação deverá ser formalmente apresentada com justificativas técnicas pertinentes e dependerá de análise e aprovação da Administração, mediante termo aditivo quando cabível.</w:t>
      </w:r>
    </w:p>
    <w:p w14:paraId="431EFB13"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16" w:name="_Toc99900009"/>
      <w:bookmarkStart w:id="17" w:name="_Toc230937832"/>
      <w:r>
        <w:rPr>
          <w:rFonts w:ascii="Arial" w:eastAsia="Arial" w:hAnsi="Arial" w:cs="Arial"/>
          <w:b/>
          <w:bCs/>
          <w:color w:val="1F3864"/>
          <w:sz w:val="28"/>
          <w:szCs w:val="28"/>
        </w:rPr>
        <w:t>9. DOS CRITÉRIOS DE MEDIÇÃO E ENTREGÁVEIS</w:t>
      </w:r>
      <w:bookmarkEnd w:id="16"/>
      <w:bookmarkEnd w:id="17"/>
    </w:p>
    <w:p w14:paraId="7FB2E455" w14:textId="77777777" w:rsidR="00AD54E7" w:rsidRDefault="00AD54E7" w:rsidP="00AD54E7">
      <w:pPr>
        <w:spacing w:before="80" w:after="80"/>
        <w:jc w:val="both"/>
      </w:pPr>
      <w:bookmarkStart w:id="18" w:name="_Toc99900010"/>
      <w:bookmarkStart w:id="19" w:name="_Toc230937833"/>
      <w:r>
        <w:rPr>
          <w:rFonts w:ascii="Arial" w:eastAsia="Arial" w:hAnsi="Arial" w:cs="Arial"/>
        </w:rPr>
        <w:t>As medições serão realizadas mensalmente, com base nos serviços efetivamente executados e aprovados pela Fiscalização, em conformidade com o Cronograma Físico-Financeiro. Nenhuma medição será processada sem prévia aprovação da Fiscalização e sem a apresentação completa do Kit de Medição definido nesta seção.</w:t>
      </w:r>
    </w:p>
    <w:p w14:paraId="0CEE9BA6" w14:textId="77777777" w:rsidR="00AD54E7" w:rsidRDefault="00AD54E7" w:rsidP="00AD54E7">
      <w:pPr>
        <w:spacing w:before="160" w:after="80"/>
        <w:rPr>
          <w:rFonts w:ascii="Arial" w:eastAsia="Arial" w:hAnsi="Arial" w:cs="Arial"/>
          <w:b/>
          <w:bCs/>
          <w:color w:val="2E5496"/>
        </w:rPr>
      </w:pPr>
      <w:r>
        <w:rPr>
          <w:rFonts w:ascii="Arial" w:eastAsia="Arial" w:hAnsi="Arial" w:cs="Arial"/>
          <w:b/>
          <w:bCs/>
          <w:color w:val="2E5496"/>
        </w:rPr>
        <w:t>9.1  Do Kit de Medição</w:t>
      </w:r>
    </w:p>
    <w:p w14:paraId="38D5F211" w14:textId="77777777" w:rsidR="00AD54E7" w:rsidRDefault="00AD54E7" w:rsidP="00AD54E7">
      <w:pPr>
        <w:spacing w:before="80" w:after="80"/>
        <w:jc w:val="both"/>
      </w:pPr>
      <w:r>
        <w:rPr>
          <w:rFonts w:ascii="Arial" w:eastAsia="Arial" w:hAnsi="Arial" w:cs="Arial"/>
        </w:rPr>
        <w:t xml:space="preserve">Após o aval formal da Fiscalização sobre os serviços medidos, a Contratada deverá protocolar </w:t>
      </w:r>
      <w:r>
        <w:rPr>
          <w:rFonts w:ascii="Arial" w:eastAsia="Arial" w:hAnsi="Arial" w:cs="Arial"/>
          <w:b/>
          <w:bCs/>
        </w:rPr>
        <w:t>3 (três) vias físicas do Kit de Medição</w:t>
      </w:r>
      <w:r>
        <w:rPr>
          <w:rFonts w:ascii="Arial" w:eastAsia="Arial" w:hAnsi="Arial" w:cs="Arial"/>
        </w:rPr>
        <w:t>, devidamente organizadas, identificadas e assinadas pelo Responsável Técnico. O Kit de Medição é composto pelos seguintes documentos:</w:t>
      </w:r>
    </w:p>
    <w:p w14:paraId="02B449F3" w14:textId="77777777" w:rsidR="00AD54E7" w:rsidRDefault="00AD54E7" w:rsidP="00AD54E7">
      <w:pPr>
        <w:pStyle w:val="PargrafodaLista"/>
        <w:numPr>
          <w:ilvl w:val="0"/>
          <w:numId w:val="2"/>
        </w:numPr>
        <w:spacing w:before="60" w:after="60"/>
        <w:jc w:val="both"/>
        <w:rPr>
          <w:rFonts w:ascii="Arial" w:eastAsia="Arial" w:hAnsi="Arial" w:cs="Arial"/>
        </w:rPr>
      </w:pPr>
      <w:r>
        <w:rPr>
          <w:rFonts w:ascii="Arial" w:eastAsia="Arial" w:hAnsi="Arial" w:cs="Arial"/>
          <w:b/>
          <w:bCs/>
        </w:rPr>
        <w:t>Nota Fiscal</w:t>
      </w:r>
      <w:r>
        <w:rPr>
          <w:rFonts w:ascii="Arial" w:eastAsia="Arial" w:hAnsi="Arial" w:cs="Arial"/>
        </w:rPr>
        <w:t xml:space="preserve"> — emitida em conformidade com o valor aprovado na medição;</w:t>
      </w:r>
    </w:p>
    <w:p w14:paraId="5985A599" w14:textId="77777777" w:rsidR="00AD54E7" w:rsidRDefault="00AD54E7" w:rsidP="00AD54E7">
      <w:pPr>
        <w:pStyle w:val="PargrafodaLista"/>
        <w:numPr>
          <w:ilvl w:val="0"/>
          <w:numId w:val="2"/>
        </w:numPr>
        <w:spacing w:before="60" w:after="60"/>
        <w:jc w:val="both"/>
        <w:rPr>
          <w:rFonts w:ascii="Arial" w:eastAsia="Arial" w:hAnsi="Arial" w:cs="Arial"/>
        </w:rPr>
      </w:pPr>
      <w:r>
        <w:rPr>
          <w:rFonts w:ascii="Arial" w:eastAsia="Arial" w:hAnsi="Arial" w:cs="Arial"/>
          <w:b/>
          <w:bCs/>
        </w:rPr>
        <w:t>Boletim de Medição</w:t>
      </w:r>
      <w:r>
        <w:rPr>
          <w:rFonts w:ascii="Arial" w:eastAsia="Arial" w:hAnsi="Arial" w:cs="Arial"/>
        </w:rPr>
        <w:t xml:space="preserve"> — composto por: (a) Resumo do Orçamento; (b) Orçamento Sintético com os serviços medidos e seus respectivos quantitativos; (c) Relatório Fotográfico das etapas executadas no período; e (d) Planilha de Rateio com a discriminação dos custos de Mão de Obra, Material e Equipamento;</w:t>
      </w:r>
    </w:p>
    <w:p w14:paraId="772ED2DF" w14:textId="77777777" w:rsidR="00AD54E7" w:rsidRDefault="00AD54E7" w:rsidP="00AD54E7">
      <w:pPr>
        <w:pStyle w:val="PargrafodaLista"/>
        <w:numPr>
          <w:ilvl w:val="0"/>
          <w:numId w:val="2"/>
        </w:numPr>
        <w:spacing w:before="60" w:after="60"/>
        <w:jc w:val="both"/>
        <w:rPr>
          <w:rFonts w:ascii="Arial" w:eastAsia="Arial" w:hAnsi="Arial" w:cs="Arial"/>
        </w:rPr>
      </w:pPr>
      <w:r>
        <w:rPr>
          <w:rFonts w:ascii="Arial" w:eastAsia="Arial" w:hAnsi="Arial" w:cs="Arial"/>
          <w:b/>
          <w:bCs/>
        </w:rPr>
        <w:t>Diário de Obra</w:t>
      </w:r>
      <w:r>
        <w:rPr>
          <w:rFonts w:ascii="Arial" w:eastAsia="Arial" w:hAnsi="Arial" w:cs="Arial"/>
        </w:rPr>
        <w:t xml:space="preserve"> — cópia das folhas do período de medição, devidamente preenchidas e assinadas pelo Responsável Técnico e pela Fiscalização;</w:t>
      </w:r>
    </w:p>
    <w:p w14:paraId="5A5CA242" w14:textId="77777777" w:rsidR="00AD54E7" w:rsidRDefault="00AD54E7" w:rsidP="00AD54E7">
      <w:pPr>
        <w:pStyle w:val="PargrafodaLista"/>
        <w:numPr>
          <w:ilvl w:val="0"/>
          <w:numId w:val="2"/>
        </w:numPr>
        <w:spacing w:before="60" w:after="60"/>
        <w:jc w:val="both"/>
        <w:rPr>
          <w:rFonts w:ascii="Arial" w:eastAsia="Arial" w:hAnsi="Arial" w:cs="Arial"/>
        </w:rPr>
      </w:pPr>
      <w:r>
        <w:rPr>
          <w:rFonts w:ascii="Arial" w:eastAsia="Arial" w:hAnsi="Arial" w:cs="Arial"/>
          <w:b/>
          <w:bCs/>
        </w:rPr>
        <w:t>Certidões</w:t>
      </w:r>
      <w:r>
        <w:rPr>
          <w:rFonts w:ascii="Arial" w:eastAsia="Arial" w:hAnsi="Arial" w:cs="Arial"/>
        </w:rPr>
        <w:t xml:space="preserve"> — certidões de regularidade fiscal, previdenciária e trabalhista vigentes (FGTS, INSS, Receita Federal, Trabalhista e Municipal), bem como demais certidões exigidas pelo contrato.</w:t>
      </w:r>
    </w:p>
    <w:p w14:paraId="2EC99186" w14:textId="77777777" w:rsidR="00AD54E7" w:rsidRDefault="00AD54E7" w:rsidP="00AD54E7">
      <w:pPr>
        <w:spacing w:before="160" w:after="80"/>
        <w:rPr>
          <w:rFonts w:ascii="Arial" w:eastAsia="Arial" w:hAnsi="Arial" w:cs="Arial"/>
          <w:b/>
          <w:bCs/>
          <w:color w:val="2E5496"/>
        </w:rPr>
      </w:pPr>
      <w:r>
        <w:rPr>
          <w:rFonts w:ascii="Arial" w:eastAsia="Arial" w:hAnsi="Arial" w:cs="Arial"/>
          <w:b/>
          <w:bCs/>
          <w:color w:val="2E5496"/>
        </w:rPr>
        <w:t>9.2  Dos Critérios Complementares</w:t>
      </w:r>
    </w:p>
    <w:p w14:paraId="05E08977" w14:textId="77777777" w:rsidR="00AD54E7" w:rsidRDefault="00AD54E7" w:rsidP="00AD54E7">
      <w:pPr>
        <w:spacing w:before="80" w:after="80"/>
        <w:jc w:val="both"/>
      </w:pPr>
      <w:r>
        <w:rPr>
          <w:rFonts w:ascii="Arial" w:eastAsia="Arial" w:hAnsi="Arial" w:cs="Arial"/>
        </w:rPr>
        <w:t>Não serão admitidas medições de serviços executados em desconformidade com as especificações técnicas, sem autorização da Fiscalização ou com materiais rejeitados. A aprovação da medição não implica aceitação definitiva dos serviços, permanecendo resguardado o direito da Administração de apurar posteriormente eventuais vícios ou irregularidades. A Administração poderá promover retenções, glosas ou suspensão de pagamento quando constatadas inconformidades técnicas ou ausência de documentação obrigatória.</w:t>
      </w:r>
    </w:p>
    <w:p w14:paraId="2949356E"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10. DA QUALIFICAÇÃO TÉCNICA</w:t>
      </w:r>
      <w:bookmarkEnd w:id="18"/>
      <w:bookmarkEnd w:id="19"/>
    </w:p>
    <w:p w14:paraId="44225521" w14:textId="77777777" w:rsidR="00EF37F1" w:rsidRDefault="00EF37F1" w:rsidP="00EF37F1">
      <w:pPr>
        <w:spacing w:before="160" w:after="80"/>
        <w:rPr>
          <w:rFonts w:ascii="Arial" w:eastAsia="Arial" w:hAnsi="Arial" w:cs="Arial"/>
          <w:b/>
          <w:bCs/>
          <w:color w:val="2E5496"/>
        </w:rPr>
      </w:pPr>
      <w:bookmarkStart w:id="20" w:name="_Toc99900011"/>
      <w:bookmarkStart w:id="21" w:name="_Toc230937834"/>
      <w:r>
        <w:rPr>
          <w:rFonts w:ascii="Arial" w:eastAsia="Arial" w:hAnsi="Arial" w:cs="Arial"/>
          <w:b/>
          <w:bCs/>
          <w:color w:val="2E5496"/>
        </w:rPr>
        <w:t>10.1  Qualificação Técnico-Operacional</w:t>
      </w:r>
    </w:p>
    <w:p w14:paraId="7428B105" w14:textId="77777777" w:rsidR="00EF37F1" w:rsidRDefault="00EF37F1" w:rsidP="00EF37F1">
      <w:pPr>
        <w:spacing w:before="80" w:after="80"/>
        <w:jc w:val="both"/>
      </w:pPr>
      <w:r>
        <w:rPr>
          <w:rFonts w:ascii="Arial" w:eastAsia="Arial" w:hAnsi="Arial" w:cs="Arial"/>
          <w:b/>
          <w:bCs/>
        </w:rPr>
        <w:t xml:space="preserve">10.1.1  </w:t>
      </w:r>
      <w:r>
        <w:rPr>
          <w:rFonts w:ascii="Arial" w:eastAsia="Arial" w:hAnsi="Arial" w:cs="Arial"/>
        </w:rPr>
        <w:t>Registro ou inscrição no Conselho Regional de Engenharia e Agronomia — CREA ou no Conselho de Arquitetura e Urbanismo — CAU, conforme o caso, da empresa licitante e de seu(s) responsável(is) técnico(s), da região da sede ou domicílio da licitante, em plena validade.</w:t>
      </w:r>
    </w:p>
    <w:p w14:paraId="581C0B72" w14:textId="77777777" w:rsidR="00EF37F1" w:rsidRDefault="00EF37F1" w:rsidP="00EF37F1">
      <w:pPr>
        <w:spacing w:before="80" w:after="80"/>
        <w:jc w:val="both"/>
      </w:pPr>
      <w:r>
        <w:rPr>
          <w:rFonts w:ascii="Arial" w:eastAsia="Arial" w:hAnsi="Arial" w:cs="Arial"/>
          <w:b/>
          <w:bCs/>
        </w:rPr>
        <w:t xml:space="preserve">10.1.2  </w:t>
      </w:r>
      <w:r>
        <w:rPr>
          <w:rFonts w:ascii="Arial" w:eastAsia="Arial" w:hAnsi="Arial" w:cs="Arial"/>
        </w:rPr>
        <w:t>A licitante deverá comprovar aptidão técnica para execução de serviços de complexidade tecnológica e operacional equivalente ou superior ao objeto, mediante apresentação de Atestados de Capacidade Técnica ou Certidões de Acervo Operacional (CAO), emitidos por pessoa jurídica de direito público ou privado e registrados no conselho competente, que comprovem que a empresa já executou obra de construção, ampliação ou reforma de edificação escolar de porte e características equivalentes ou superiores às previstas nesta contratação:</w:t>
      </w:r>
    </w:p>
    <w:p w14:paraId="46EFED5B" w14:textId="77777777" w:rsidR="00EF37F1" w:rsidRDefault="00EF37F1" w:rsidP="00EF37F1">
      <w:pPr>
        <w:spacing w:before="8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4A0" w:firstRow="1" w:lastRow="0" w:firstColumn="1" w:lastColumn="0" w:noHBand="0" w:noVBand="1"/>
      </w:tblPr>
      <w:tblGrid>
        <w:gridCol w:w="600"/>
        <w:gridCol w:w="5360"/>
        <w:gridCol w:w="700"/>
        <w:gridCol w:w="1350"/>
        <w:gridCol w:w="1350"/>
      </w:tblGrid>
      <w:tr w:rsidR="00EF37F1" w14:paraId="5CEE6AF1" w14:textId="77777777" w:rsidTr="008724B2">
        <w:tc>
          <w:tcPr>
            <w:tcW w:w="600" w:type="dxa"/>
            <w:shd w:val="clear" w:color="auto" w:fill="1F3864"/>
            <w:tcMar>
              <w:top w:w="60" w:type="dxa"/>
              <w:left w:w="80" w:type="dxa"/>
              <w:bottom w:w="60" w:type="dxa"/>
              <w:right w:w="80" w:type="dxa"/>
            </w:tcMar>
          </w:tcPr>
          <w:p w14:paraId="7D7186D5" w14:textId="77777777" w:rsidR="00EF37F1" w:rsidRDefault="00EF37F1" w:rsidP="00B40113">
            <w:pPr>
              <w:jc w:val="center"/>
            </w:pPr>
            <w:r>
              <w:rPr>
                <w:rFonts w:ascii="Arial" w:eastAsia="Arial" w:hAnsi="Arial" w:cs="Arial"/>
                <w:b/>
                <w:bCs/>
                <w:color w:val="FFFFFF"/>
                <w:sz w:val="19"/>
                <w:szCs w:val="19"/>
              </w:rPr>
              <w:t>Item</w:t>
            </w:r>
          </w:p>
        </w:tc>
        <w:tc>
          <w:tcPr>
            <w:tcW w:w="5360" w:type="dxa"/>
            <w:shd w:val="clear" w:color="auto" w:fill="1F3864"/>
            <w:tcMar>
              <w:top w:w="60" w:type="dxa"/>
              <w:left w:w="80" w:type="dxa"/>
              <w:bottom w:w="60" w:type="dxa"/>
              <w:right w:w="80" w:type="dxa"/>
            </w:tcMar>
          </w:tcPr>
          <w:p w14:paraId="074EA43A" w14:textId="77777777" w:rsidR="00EF37F1" w:rsidRDefault="00EF37F1" w:rsidP="00B40113">
            <w:pPr>
              <w:jc w:val="both"/>
            </w:pPr>
            <w:r>
              <w:rPr>
                <w:rFonts w:ascii="Arial" w:eastAsia="Arial" w:hAnsi="Arial" w:cs="Arial"/>
                <w:b/>
                <w:bCs/>
                <w:color w:val="FFFFFF"/>
                <w:sz w:val="19"/>
                <w:szCs w:val="19"/>
              </w:rPr>
              <w:t>Serviços a Serem Comprovados</w:t>
            </w:r>
          </w:p>
        </w:tc>
        <w:tc>
          <w:tcPr>
            <w:tcW w:w="700" w:type="dxa"/>
            <w:shd w:val="clear" w:color="auto" w:fill="1F3864"/>
            <w:tcMar>
              <w:top w:w="60" w:type="dxa"/>
              <w:left w:w="80" w:type="dxa"/>
              <w:bottom w:w="60" w:type="dxa"/>
              <w:right w:w="80" w:type="dxa"/>
            </w:tcMar>
          </w:tcPr>
          <w:p w14:paraId="6EFEE882" w14:textId="77777777" w:rsidR="00EF37F1" w:rsidRDefault="00EF37F1" w:rsidP="00B40113">
            <w:pPr>
              <w:jc w:val="center"/>
            </w:pPr>
            <w:r>
              <w:rPr>
                <w:rFonts w:ascii="Arial" w:eastAsia="Arial" w:hAnsi="Arial" w:cs="Arial"/>
                <w:b/>
                <w:bCs/>
                <w:color w:val="FFFFFF"/>
                <w:sz w:val="19"/>
                <w:szCs w:val="19"/>
              </w:rPr>
              <w:t>Und.</w:t>
            </w:r>
          </w:p>
        </w:tc>
        <w:tc>
          <w:tcPr>
            <w:tcW w:w="1350" w:type="dxa"/>
            <w:shd w:val="clear" w:color="auto" w:fill="1F3864"/>
            <w:tcMar>
              <w:top w:w="60" w:type="dxa"/>
              <w:left w:w="80" w:type="dxa"/>
              <w:bottom w:w="60" w:type="dxa"/>
              <w:right w:w="80" w:type="dxa"/>
            </w:tcMar>
          </w:tcPr>
          <w:p w14:paraId="442AC035" w14:textId="77777777" w:rsidR="00EF37F1" w:rsidRDefault="00EF37F1" w:rsidP="00B40113">
            <w:pPr>
              <w:jc w:val="center"/>
            </w:pPr>
            <w:r>
              <w:rPr>
                <w:rFonts w:ascii="Arial" w:eastAsia="Arial" w:hAnsi="Arial" w:cs="Arial"/>
                <w:b/>
                <w:bCs/>
                <w:color w:val="FFFFFF"/>
                <w:sz w:val="19"/>
                <w:szCs w:val="19"/>
              </w:rPr>
              <w:t>Quant. Planilha</w:t>
            </w:r>
          </w:p>
        </w:tc>
        <w:tc>
          <w:tcPr>
            <w:tcW w:w="1350" w:type="dxa"/>
            <w:shd w:val="clear" w:color="auto" w:fill="1F3864"/>
            <w:tcMar>
              <w:top w:w="60" w:type="dxa"/>
              <w:left w:w="80" w:type="dxa"/>
              <w:bottom w:w="60" w:type="dxa"/>
              <w:right w:w="80" w:type="dxa"/>
            </w:tcMar>
          </w:tcPr>
          <w:p w14:paraId="371C8A32" w14:textId="77777777" w:rsidR="00EF37F1" w:rsidRDefault="00EF37F1" w:rsidP="00B40113">
            <w:pPr>
              <w:jc w:val="center"/>
            </w:pPr>
            <w:r>
              <w:rPr>
                <w:rFonts w:ascii="Arial" w:eastAsia="Arial" w:hAnsi="Arial" w:cs="Arial"/>
                <w:b/>
                <w:bCs/>
                <w:color w:val="FFFFFF"/>
                <w:sz w:val="19"/>
                <w:szCs w:val="19"/>
              </w:rPr>
              <w:t>Quant. Exigida (50%)</w:t>
            </w:r>
          </w:p>
        </w:tc>
      </w:tr>
      <w:tr w:rsidR="00EF37F1" w14:paraId="0D7DA30B" w14:textId="77777777" w:rsidTr="008724B2">
        <w:tc>
          <w:tcPr>
            <w:tcW w:w="600" w:type="dxa"/>
            <w:shd w:val="clear" w:color="auto" w:fill="FFFFFF"/>
            <w:tcMar>
              <w:top w:w="60" w:type="dxa"/>
              <w:left w:w="80" w:type="dxa"/>
              <w:bottom w:w="60" w:type="dxa"/>
              <w:right w:w="80" w:type="dxa"/>
            </w:tcMar>
          </w:tcPr>
          <w:p w14:paraId="41898408" w14:textId="77777777" w:rsidR="00EF37F1" w:rsidRDefault="00EF37F1" w:rsidP="00B40113">
            <w:pPr>
              <w:jc w:val="center"/>
            </w:pPr>
            <w:r>
              <w:rPr>
                <w:rFonts w:ascii="Arial" w:eastAsia="Arial" w:hAnsi="Arial" w:cs="Arial"/>
                <w:sz w:val="19"/>
                <w:szCs w:val="19"/>
              </w:rPr>
              <w:t>1</w:t>
            </w:r>
          </w:p>
        </w:tc>
        <w:tc>
          <w:tcPr>
            <w:tcW w:w="5360" w:type="dxa"/>
            <w:shd w:val="clear" w:color="auto" w:fill="FFFFFF"/>
            <w:tcMar>
              <w:top w:w="60" w:type="dxa"/>
              <w:left w:w="80" w:type="dxa"/>
              <w:bottom w:w="60" w:type="dxa"/>
              <w:right w:w="80" w:type="dxa"/>
            </w:tcMar>
          </w:tcPr>
          <w:p w14:paraId="539AF0A3" w14:textId="7F00824A" w:rsidR="00EF37F1" w:rsidRDefault="00EF37F1" w:rsidP="00B40113">
            <w:pPr>
              <w:jc w:val="both"/>
            </w:pPr>
            <w:r>
              <w:rPr>
                <w:rFonts w:ascii="Arial" w:eastAsia="Arial" w:hAnsi="Arial" w:cs="Arial"/>
                <w:sz w:val="19"/>
                <w:szCs w:val="19"/>
              </w:rPr>
              <w:t>Reforma, Adequações e Ampliação de Unidade Escolar</w:t>
            </w:r>
          </w:p>
        </w:tc>
        <w:tc>
          <w:tcPr>
            <w:tcW w:w="700" w:type="dxa"/>
            <w:shd w:val="clear" w:color="auto" w:fill="FFFFFF"/>
            <w:tcMar>
              <w:top w:w="60" w:type="dxa"/>
              <w:left w:w="80" w:type="dxa"/>
              <w:bottom w:w="60" w:type="dxa"/>
              <w:right w:w="80" w:type="dxa"/>
            </w:tcMar>
          </w:tcPr>
          <w:p w14:paraId="7A0E6CDC" w14:textId="77777777" w:rsidR="00EF37F1" w:rsidRDefault="00EF37F1" w:rsidP="00B40113">
            <w:pPr>
              <w:jc w:val="center"/>
            </w:pPr>
            <w:r>
              <w:rPr>
                <w:rFonts w:ascii="Arial" w:eastAsia="Arial" w:hAnsi="Arial" w:cs="Arial"/>
                <w:sz w:val="19"/>
                <w:szCs w:val="19"/>
              </w:rPr>
              <w:t>m²</w:t>
            </w:r>
          </w:p>
        </w:tc>
        <w:tc>
          <w:tcPr>
            <w:tcW w:w="1350" w:type="dxa"/>
            <w:shd w:val="clear" w:color="auto" w:fill="FFFFFF"/>
            <w:tcMar>
              <w:top w:w="60" w:type="dxa"/>
              <w:left w:w="80" w:type="dxa"/>
              <w:bottom w:w="60" w:type="dxa"/>
              <w:right w:w="80" w:type="dxa"/>
            </w:tcMar>
          </w:tcPr>
          <w:p w14:paraId="16733759" w14:textId="7BC234BC" w:rsidR="00EF37F1" w:rsidRDefault="002C3E2B" w:rsidP="00B40113">
            <w:pPr>
              <w:jc w:val="center"/>
            </w:pPr>
            <w:r w:rsidRPr="002C3E2B">
              <w:rPr>
                <w:rFonts w:ascii="Arial" w:eastAsia="Arial" w:hAnsi="Arial" w:cs="Arial"/>
                <w:sz w:val="19"/>
                <w:szCs w:val="19"/>
              </w:rPr>
              <w:t>319,83</w:t>
            </w:r>
          </w:p>
        </w:tc>
        <w:tc>
          <w:tcPr>
            <w:tcW w:w="1350" w:type="dxa"/>
            <w:shd w:val="clear" w:color="auto" w:fill="FFFFFF"/>
            <w:tcMar>
              <w:top w:w="60" w:type="dxa"/>
              <w:left w:w="80" w:type="dxa"/>
              <w:bottom w:w="60" w:type="dxa"/>
              <w:right w:w="80" w:type="dxa"/>
            </w:tcMar>
          </w:tcPr>
          <w:p w14:paraId="5D1F1BE2" w14:textId="38D36001" w:rsidR="00EF37F1" w:rsidRDefault="002C3E2B" w:rsidP="00B40113">
            <w:pPr>
              <w:jc w:val="center"/>
            </w:pPr>
            <w:r>
              <w:rPr>
                <w:rFonts w:ascii="Arial" w:eastAsia="Arial" w:hAnsi="Arial" w:cs="Arial"/>
                <w:b/>
                <w:bCs/>
                <w:sz w:val="19"/>
                <w:szCs w:val="19"/>
              </w:rPr>
              <w:t>159,92</w:t>
            </w:r>
          </w:p>
        </w:tc>
      </w:tr>
    </w:tbl>
    <w:p w14:paraId="27E48CBA" w14:textId="77777777" w:rsidR="00EF37F1" w:rsidRDefault="00EF37F1" w:rsidP="00EF37F1">
      <w:pPr>
        <w:spacing w:before="80"/>
      </w:pPr>
    </w:p>
    <w:p w14:paraId="05F78A19" w14:textId="77777777" w:rsidR="00EF37F1" w:rsidRDefault="00EF37F1" w:rsidP="00EF37F1">
      <w:pPr>
        <w:spacing w:before="80" w:after="80"/>
        <w:jc w:val="both"/>
      </w:pPr>
      <w:r>
        <w:rPr>
          <w:rFonts w:ascii="Arial" w:eastAsia="Arial" w:hAnsi="Arial" w:cs="Arial"/>
          <w:b/>
          <w:bCs/>
        </w:rPr>
        <w:t xml:space="preserve">10.1.2.1  </w:t>
      </w:r>
      <w:r>
        <w:rPr>
          <w:rFonts w:ascii="Arial" w:eastAsia="Arial" w:hAnsi="Arial" w:cs="Arial"/>
        </w:rPr>
        <w:t xml:space="preserve">Fica </w:t>
      </w:r>
      <w:r>
        <w:rPr>
          <w:rFonts w:ascii="Arial" w:eastAsia="Arial" w:hAnsi="Arial" w:cs="Arial"/>
          <w:b/>
          <w:bCs/>
        </w:rPr>
        <w:t>vedado</w:t>
      </w:r>
      <w:r>
        <w:rPr>
          <w:rFonts w:ascii="Arial" w:eastAsia="Arial" w:hAnsi="Arial" w:cs="Arial"/>
        </w:rPr>
        <w:t xml:space="preserve"> o somatório de atestados para atender ao quantitativo exigido neste item. A restrição justifica-se pela natureza unitária e tecnicamente indivisível da obra de edificação escolar: a reforma, as adequações de acessibilidade e a ampliação integradas da unidade escolar constituem objeto no qual as etapas estrutural, arquitetônica, hidrossanitária e elétrica apresentam interdependência técnica que impede a execução fracionada sem comprometimento da integridade e da segurança da solução construtiva. O regime de Contratação Semi-Integrada adotado (art. 46, VII, da Lei nº 14.133/2021) impõe ainda à Contratada a responsabilidade pela elaboração de todos os Projetos Executivos — arquitetônico de detalhamento, estrutural, elétrico e hidrossanitário —, exigindo experiência comprovada na gestão integrada de obra de edificação de uso público de complexidade equivalente. A vedação ao somatório aplica-se exclusivamente ao quantitativo de edificação escolar previsto neste item (10.1.2), não se estendendo aos acervos de serviços discriminados no item 10.1.3, para os quais o somatório de atestados é expressamente admitido nos termos do item 10.1.3.1.</w:t>
      </w:r>
    </w:p>
    <w:p w14:paraId="0479A259" w14:textId="77777777" w:rsidR="00EF37F1" w:rsidRDefault="00EF37F1" w:rsidP="00EF37F1">
      <w:pPr>
        <w:spacing w:before="80" w:after="80"/>
        <w:jc w:val="both"/>
      </w:pPr>
      <w:r>
        <w:rPr>
          <w:rFonts w:ascii="Arial" w:eastAsia="Arial" w:hAnsi="Arial" w:cs="Arial"/>
          <w:b/>
          <w:bCs/>
        </w:rPr>
        <w:t xml:space="preserve">10.1.3  </w:t>
      </w:r>
      <w:r>
        <w:rPr>
          <w:rFonts w:ascii="Arial" w:eastAsia="Arial" w:hAnsi="Arial" w:cs="Arial"/>
        </w:rPr>
        <w:t>Comprovação de aptidão para execução de serviço de complexidade tecnológica e operacional equivalente ou superior ao objeto desta contratação, por meio da apresentação de Atestados ou Certidões de Acervo Operacional (CAO), em nome da licitante, expedidos por pessoa(s) de direito público ou privado devidamente registrada no conselho competente, dos serviços discriminados na tabela a seguir:</w:t>
      </w:r>
    </w:p>
    <w:p w14:paraId="4955EBD3" w14:textId="77777777" w:rsidR="00EF37F1" w:rsidRDefault="00EF37F1" w:rsidP="00EF37F1">
      <w:pPr>
        <w:spacing w:before="8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4A0" w:firstRow="1" w:lastRow="0" w:firstColumn="1" w:lastColumn="0" w:noHBand="0" w:noVBand="1"/>
      </w:tblPr>
      <w:tblGrid>
        <w:gridCol w:w="600"/>
        <w:gridCol w:w="4760"/>
        <w:gridCol w:w="700"/>
        <w:gridCol w:w="1600"/>
        <w:gridCol w:w="1700"/>
      </w:tblGrid>
      <w:tr w:rsidR="00EF37F1" w14:paraId="019B9CE4" w14:textId="77777777" w:rsidTr="008724B2">
        <w:tc>
          <w:tcPr>
            <w:tcW w:w="600" w:type="dxa"/>
            <w:shd w:val="clear" w:color="auto" w:fill="1F3864"/>
            <w:tcMar>
              <w:top w:w="60" w:type="dxa"/>
              <w:left w:w="80" w:type="dxa"/>
              <w:bottom w:w="60" w:type="dxa"/>
              <w:right w:w="80" w:type="dxa"/>
            </w:tcMar>
          </w:tcPr>
          <w:p w14:paraId="0044E00A" w14:textId="77777777" w:rsidR="00EF37F1" w:rsidRDefault="00EF37F1" w:rsidP="00B40113">
            <w:pPr>
              <w:jc w:val="center"/>
            </w:pPr>
            <w:r>
              <w:rPr>
                <w:rFonts w:ascii="Arial" w:eastAsia="Arial" w:hAnsi="Arial" w:cs="Arial"/>
                <w:b/>
                <w:bCs/>
                <w:color w:val="FFFFFF"/>
                <w:sz w:val="19"/>
                <w:szCs w:val="19"/>
              </w:rPr>
              <w:t>Item</w:t>
            </w:r>
          </w:p>
        </w:tc>
        <w:tc>
          <w:tcPr>
            <w:tcW w:w="4760" w:type="dxa"/>
            <w:shd w:val="clear" w:color="auto" w:fill="1F3864"/>
            <w:tcMar>
              <w:top w:w="60" w:type="dxa"/>
              <w:left w:w="80" w:type="dxa"/>
              <w:bottom w:w="60" w:type="dxa"/>
              <w:right w:w="80" w:type="dxa"/>
            </w:tcMar>
          </w:tcPr>
          <w:p w14:paraId="6D537FB3" w14:textId="77777777" w:rsidR="00EF37F1" w:rsidRDefault="00EF37F1" w:rsidP="00B40113">
            <w:pPr>
              <w:jc w:val="both"/>
            </w:pPr>
            <w:r>
              <w:rPr>
                <w:rFonts w:ascii="Arial" w:eastAsia="Arial" w:hAnsi="Arial" w:cs="Arial"/>
                <w:b/>
                <w:bCs/>
                <w:color w:val="FFFFFF"/>
                <w:sz w:val="19"/>
                <w:szCs w:val="19"/>
              </w:rPr>
              <w:t>Serviços a Serem Comprovados</w:t>
            </w:r>
          </w:p>
        </w:tc>
        <w:tc>
          <w:tcPr>
            <w:tcW w:w="700" w:type="dxa"/>
            <w:shd w:val="clear" w:color="auto" w:fill="1F3864"/>
            <w:tcMar>
              <w:top w:w="60" w:type="dxa"/>
              <w:left w:w="80" w:type="dxa"/>
              <w:bottom w:w="60" w:type="dxa"/>
              <w:right w:w="80" w:type="dxa"/>
            </w:tcMar>
          </w:tcPr>
          <w:p w14:paraId="3756EC57" w14:textId="77777777" w:rsidR="00EF37F1" w:rsidRDefault="00EF37F1" w:rsidP="00B40113">
            <w:pPr>
              <w:jc w:val="center"/>
            </w:pPr>
            <w:r>
              <w:rPr>
                <w:rFonts w:ascii="Arial" w:eastAsia="Arial" w:hAnsi="Arial" w:cs="Arial"/>
                <w:b/>
                <w:bCs/>
                <w:color w:val="FFFFFF"/>
                <w:sz w:val="19"/>
                <w:szCs w:val="19"/>
              </w:rPr>
              <w:t>Und.</w:t>
            </w:r>
          </w:p>
        </w:tc>
        <w:tc>
          <w:tcPr>
            <w:tcW w:w="1600" w:type="dxa"/>
            <w:shd w:val="clear" w:color="auto" w:fill="1F3864"/>
            <w:tcMar>
              <w:top w:w="60" w:type="dxa"/>
              <w:left w:w="80" w:type="dxa"/>
              <w:bottom w:w="60" w:type="dxa"/>
              <w:right w:w="80" w:type="dxa"/>
            </w:tcMar>
          </w:tcPr>
          <w:p w14:paraId="1CB5A6A4" w14:textId="77777777" w:rsidR="00EF37F1" w:rsidRDefault="00EF37F1" w:rsidP="00B40113">
            <w:pPr>
              <w:jc w:val="center"/>
            </w:pPr>
            <w:r>
              <w:rPr>
                <w:rFonts w:ascii="Arial" w:eastAsia="Arial" w:hAnsi="Arial" w:cs="Arial"/>
                <w:b/>
                <w:bCs/>
                <w:color w:val="FFFFFF"/>
                <w:sz w:val="19"/>
                <w:szCs w:val="19"/>
              </w:rPr>
              <w:t>Quant. Planilha</w:t>
            </w:r>
          </w:p>
        </w:tc>
        <w:tc>
          <w:tcPr>
            <w:tcW w:w="1700" w:type="dxa"/>
            <w:shd w:val="clear" w:color="auto" w:fill="1F3864"/>
            <w:tcMar>
              <w:top w:w="60" w:type="dxa"/>
              <w:left w:w="80" w:type="dxa"/>
              <w:bottom w:w="60" w:type="dxa"/>
              <w:right w:w="80" w:type="dxa"/>
            </w:tcMar>
          </w:tcPr>
          <w:p w14:paraId="7FC69DAB" w14:textId="77777777" w:rsidR="00EF37F1" w:rsidRDefault="00EF37F1" w:rsidP="00B40113">
            <w:pPr>
              <w:jc w:val="center"/>
            </w:pPr>
            <w:r>
              <w:rPr>
                <w:rFonts w:ascii="Arial" w:eastAsia="Arial" w:hAnsi="Arial" w:cs="Arial"/>
                <w:b/>
                <w:bCs/>
                <w:color w:val="FFFFFF"/>
                <w:sz w:val="19"/>
                <w:szCs w:val="19"/>
              </w:rPr>
              <w:t>Quant. Exigida (50%)</w:t>
            </w:r>
          </w:p>
        </w:tc>
      </w:tr>
      <w:tr w:rsidR="00D31FCE" w14:paraId="5B4699A4" w14:textId="77777777" w:rsidTr="00D31FCE">
        <w:tc>
          <w:tcPr>
            <w:tcW w:w="600" w:type="dxa"/>
            <w:shd w:val="clear" w:color="auto" w:fill="auto"/>
            <w:tcMar>
              <w:top w:w="60" w:type="dxa"/>
              <w:left w:w="80" w:type="dxa"/>
              <w:bottom w:w="60" w:type="dxa"/>
              <w:right w:w="80" w:type="dxa"/>
            </w:tcMar>
          </w:tcPr>
          <w:p w14:paraId="49DE7C5E" w14:textId="77777777" w:rsidR="00D31FCE" w:rsidRPr="00D31FCE" w:rsidRDefault="00D31FCE" w:rsidP="00D31FCE">
            <w:pPr>
              <w:jc w:val="center"/>
              <w:rPr>
                <w:rFonts w:ascii="Arial" w:hAnsi="Arial" w:cs="Arial"/>
              </w:rPr>
            </w:pPr>
            <w:r w:rsidRPr="00D31FCE">
              <w:rPr>
                <w:rFonts w:ascii="Arial" w:eastAsia="Arial" w:hAnsi="Arial" w:cs="Arial"/>
                <w:sz w:val="19"/>
                <w:szCs w:val="19"/>
              </w:rPr>
              <w:t>A</w:t>
            </w:r>
          </w:p>
        </w:tc>
        <w:tc>
          <w:tcPr>
            <w:tcW w:w="4760" w:type="dxa"/>
            <w:shd w:val="clear" w:color="auto" w:fill="auto"/>
            <w:tcMar>
              <w:top w:w="60" w:type="dxa"/>
              <w:left w:w="80" w:type="dxa"/>
              <w:bottom w:w="60" w:type="dxa"/>
              <w:right w:w="80" w:type="dxa"/>
            </w:tcMar>
            <w:vAlign w:val="center"/>
          </w:tcPr>
          <w:p w14:paraId="7755FC0F" w14:textId="02E891FF" w:rsidR="00D31FCE" w:rsidRPr="00D31FCE" w:rsidRDefault="00D31FCE" w:rsidP="00D31FCE">
            <w:pPr>
              <w:jc w:val="both"/>
              <w:rPr>
                <w:rFonts w:ascii="Arial" w:hAnsi="Arial" w:cs="Arial"/>
              </w:rPr>
            </w:pPr>
            <w:r w:rsidRPr="00D31FCE">
              <w:rPr>
                <w:rFonts w:ascii="Arial" w:hAnsi="Arial" w:cs="Arial"/>
                <w:color w:val="000000"/>
                <w:sz w:val="16"/>
                <w:szCs w:val="16"/>
              </w:rPr>
              <w:t>LAJE PRÉ-MOLDADA UNIDIRECIONAL, BIAPOIADA, PARA PISO, ENCHIMENTO EM CERÂMICA, VIGOTA CONVENCIONAL, ALTURA TOTAL DA LAJE "LT" = 12 CM (ENCHIMENTO+CAPA) = (8+4). AF_08/2025</w:t>
            </w:r>
          </w:p>
        </w:tc>
        <w:tc>
          <w:tcPr>
            <w:tcW w:w="700" w:type="dxa"/>
            <w:shd w:val="clear" w:color="auto" w:fill="auto"/>
            <w:tcMar>
              <w:top w:w="60" w:type="dxa"/>
              <w:left w:w="80" w:type="dxa"/>
              <w:bottom w:w="60" w:type="dxa"/>
              <w:right w:w="80" w:type="dxa"/>
            </w:tcMar>
          </w:tcPr>
          <w:p w14:paraId="38B3D5EB" w14:textId="7A903719" w:rsidR="00D31FCE" w:rsidRPr="00D31FCE" w:rsidRDefault="00D31FCE" w:rsidP="00D31FCE">
            <w:pPr>
              <w:jc w:val="center"/>
              <w:rPr>
                <w:rFonts w:ascii="Arial" w:hAnsi="Arial" w:cs="Arial"/>
              </w:rPr>
            </w:pPr>
            <w:r w:rsidRPr="00D31FCE">
              <w:rPr>
                <w:rFonts w:ascii="Arial" w:hAnsi="Arial" w:cs="Arial"/>
                <w:color w:val="000000"/>
                <w:sz w:val="18"/>
                <w:szCs w:val="18"/>
              </w:rPr>
              <w:t>M2</w:t>
            </w:r>
          </w:p>
        </w:tc>
        <w:tc>
          <w:tcPr>
            <w:tcW w:w="1600" w:type="dxa"/>
            <w:shd w:val="clear" w:color="auto" w:fill="auto"/>
            <w:tcMar>
              <w:top w:w="60" w:type="dxa"/>
              <w:left w:w="80" w:type="dxa"/>
              <w:bottom w:w="60" w:type="dxa"/>
              <w:right w:w="80" w:type="dxa"/>
            </w:tcMar>
          </w:tcPr>
          <w:p w14:paraId="6622659F" w14:textId="33D0B9D0" w:rsidR="00D31FCE" w:rsidRPr="00D31FCE" w:rsidRDefault="00D31FCE" w:rsidP="00D31FCE">
            <w:pPr>
              <w:jc w:val="center"/>
              <w:rPr>
                <w:rFonts w:ascii="Arial" w:hAnsi="Arial" w:cs="Arial"/>
              </w:rPr>
            </w:pPr>
            <w:r w:rsidRPr="00D31FCE">
              <w:rPr>
                <w:rFonts w:ascii="Arial" w:hAnsi="Arial" w:cs="Arial"/>
                <w:color w:val="000000"/>
                <w:sz w:val="18"/>
                <w:szCs w:val="18"/>
              </w:rPr>
              <w:t>349,13</w:t>
            </w:r>
          </w:p>
        </w:tc>
        <w:tc>
          <w:tcPr>
            <w:tcW w:w="1700" w:type="dxa"/>
            <w:shd w:val="clear" w:color="auto" w:fill="auto"/>
            <w:tcMar>
              <w:top w:w="60" w:type="dxa"/>
              <w:left w:w="80" w:type="dxa"/>
              <w:bottom w:w="60" w:type="dxa"/>
              <w:right w:w="80" w:type="dxa"/>
            </w:tcMar>
          </w:tcPr>
          <w:p w14:paraId="50A16904" w14:textId="2687409E" w:rsidR="00D31FCE" w:rsidRPr="00D31FCE" w:rsidRDefault="00D31FCE" w:rsidP="00D31FCE">
            <w:pPr>
              <w:jc w:val="center"/>
              <w:rPr>
                <w:rFonts w:ascii="Arial" w:hAnsi="Arial" w:cs="Arial"/>
              </w:rPr>
            </w:pPr>
            <w:r w:rsidRPr="00D31FCE">
              <w:rPr>
                <w:rFonts w:ascii="Arial" w:eastAsia="Arial" w:hAnsi="Arial" w:cs="Arial"/>
                <w:b/>
                <w:bCs/>
                <w:sz w:val="19"/>
                <w:szCs w:val="19"/>
              </w:rPr>
              <w:t>174,5</w:t>
            </w:r>
            <w:r>
              <w:rPr>
                <w:rFonts w:ascii="Arial" w:eastAsia="Arial" w:hAnsi="Arial" w:cs="Arial"/>
                <w:b/>
                <w:bCs/>
                <w:sz w:val="19"/>
                <w:szCs w:val="19"/>
              </w:rPr>
              <w:t>7</w:t>
            </w:r>
          </w:p>
        </w:tc>
      </w:tr>
      <w:tr w:rsidR="00D31FCE" w14:paraId="586E2E21" w14:textId="77777777" w:rsidTr="00D31FCE">
        <w:tc>
          <w:tcPr>
            <w:tcW w:w="600" w:type="dxa"/>
            <w:shd w:val="clear" w:color="auto" w:fill="auto"/>
            <w:tcMar>
              <w:top w:w="60" w:type="dxa"/>
              <w:left w:w="80" w:type="dxa"/>
              <w:bottom w:w="60" w:type="dxa"/>
              <w:right w:w="80" w:type="dxa"/>
            </w:tcMar>
          </w:tcPr>
          <w:p w14:paraId="3E810497" w14:textId="77777777" w:rsidR="00D31FCE" w:rsidRPr="00D31FCE" w:rsidRDefault="00D31FCE" w:rsidP="00D31FCE">
            <w:pPr>
              <w:jc w:val="center"/>
              <w:rPr>
                <w:rFonts w:ascii="Arial" w:hAnsi="Arial" w:cs="Arial"/>
              </w:rPr>
            </w:pPr>
            <w:r w:rsidRPr="00D31FCE">
              <w:rPr>
                <w:rFonts w:ascii="Arial" w:eastAsia="Arial" w:hAnsi="Arial" w:cs="Arial"/>
                <w:sz w:val="19"/>
                <w:szCs w:val="19"/>
              </w:rPr>
              <w:t>B</w:t>
            </w:r>
          </w:p>
        </w:tc>
        <w:tc>
          <w:tcPr>
            <w:tcW w:w="4760" w:type="dxa"/>
            <w:shd w:val="clear" w:color="auto" w:fill="auto"/>
            <w:tcMar>
              <w:top w:w="60" w:type="dxa"/>
              <w:left w:w="80" w:type="dxa"/>
              <w:bottom w:w="60" w:type="dxa"/>
              <w:right w:w="80" w:type="dxa"/>
            </w:tcMar>
            <w:vAlign w:val="center"/>
          </w:tcPr>
          <w:p w14:paraId="7699F0CA" w14:textId="342719E7" w:rsidR="00D31FCE" w:rsidRPr="00D31FCE" w:rsidRDefault="00D31FCE" w:rsidP="00D31FCE">
            <w:pPr>
              <w:jc w:val="both"/>
              <w:rPr>
                <w:rFonts w:ascii="Arial" w:hAnsi="Arial" w:cs="Arial"/>
              </w:rPr>
            </w:pPr>
            <w:r w:rsidRPr="00D31FCE">
              <w:rPr>
                <w:rFonts w:ascii="Arial" w:hAnsi="Arial" w:cs="Arial"/>
                <w:color w:val="000000"/>
                <w:sz w:val="16"/>
                <w:szCs w:val="16"/>
              </w:rPr>
              <w:t>EMBOÇO/MASSA ÚNICA, APLICADO MANUALMENTE, TRAÇO 1:2:8, EM BETONEIRA DE 400L, PAREDES INTERNAS, COM EXECUÇÃO DE TALISCAS, EDIFICAÇÃO HABITACIONAL UNIFAMILIAR (CASAS) E EDIFICAÇÃO PÚBLICA PADRÃO.</w:t>
            </w:r>
          </w:p>
        </w:tc>
        <w:tc>
          <w:tcPr>
            <w:tcW w:w="700" w:type="dxa"/>
            <w:shd w:val="clear" w:color="auto" w:fill="auto"/>
            <w:tcMar>
              <w:top w:w="60" w:type="dxa"/>
              <w:left w:w="80" w:type="dxa"/>
              <w:bottom w:w="60" w:type="dxa"/>
              <w:right w:w="80" w:type="dxa"/>
            </w:tcMar>
          </w:tcPr>
          <w:p w14:paraId="0AB770B8" w14:textId="2B010163" w:rsidR="00D31FCE" w:rsidRPr="00D31FCE" w:rsidRDefault="00D31FCE" w:rsidP="00D31FCE">
            <w:pPr>
              <w:jc w:val="center"/>
              <w:rPr>
                <w:rFonts w:ascii="Arial" w:hAnsi="Arial" w:cs="Arial"/>
              </w:rPr>
            </w:pPr>
            <w:r w:rsidRPr="00D31FCE">
              <w:rPr>
                <w:rFonts w:ascii="Arial" w:hAnsi="Arial" w:cs="Arial"/>
                <w:color w:val="000000"/>
                <w:sz w:val="18"/>
                <w:szCs w:val="18"/>
              </w:rPr>
              <w:t>M2</w:t>
            </w:r>
          </w:p>
        </w:tc>
        <w:tc>
          <w:tcPr>
            <w:tcW w:w="1600" w:type="dxa"/>
            <w:shd w:val="clear" w:color="auto" w:fill="auto"/>
            <w:tcMar>
              <w:top w:w="60" w:type="dxa"/>
              <w:left w:w="80" w:type="dxa"/>
              <w:bottom w:w="60" w:type="dxa"/>
              <w:right w:w="80" w:type="dxa"/>
            </w:tcMar>
          </w:tcPr>
          <w:p w14:paraId="3A6BF5B9" w14:textId="4EFE2DBB" w:rsidR="00D31FCE" w:rsidRPr="00D31FCE" w:rsidRDefault="00D31FCE" w:rsidP="00D31FCE">
            <w:pPr>
              <w:jc w:val="center"/>
              <w:rPr>
                <w:rFonts w:ascii="Arial" w:hAnsi="Arial" w:cs="Arial"/>
              </w:rPr>
            </w:pPr>
            <w:r w:rsidRPr="00D31FCE">
              <w:rPr>
                <w:rFonts w:ascii="Arial" w:hAnsi="Arial" w:cs="Arial"/>
                <w:color w:val="000000"/>
                <w:sz w:val="18"/>
                <w:szCs w:val="18"/>
              </w:rPr>
              <w:t>1.473,04</w:t>
            </w:r>
          </w:p>
        </w:tc>
        <w:tc>
          <w:tcPr>
            <w:tcW w:w="1700" w:type="dxa"/>
            <w:shd w:val="clear" w:color="auto" w:fill="auto"/>
            <w:tcMar>
              <w:top w:w="60" w:type="dxa"/>
              <w:left w:w="80" w:type="dxa"/>
              <w:bottom w:w="60" w:type="dxa"/>
              <w:right w:w="80" w:type="dxa"/>
            </w:tcMar>
          </w:tcPr>
          <w:p w14:paraId="5ABE7A7F" w14:textId="53D1350B" w:rsidR="00D31FCE" w:rsidRPr="00D31FCE" w:rsidRDefault="00D31FCE" w:rsidP="00D31FCE">
            <w:pPr>
              <w:jc w:val="center"/>
              <w:rPr>
                <w:rFonts w:ascii="Arial" w:hAnsi="Arial" w:cs="Arial"/>
              </w:rPr>
            </w:pPr>
            <w:r w:rsidRPr="00D31FCE">
              <w:rPr>
                <w:rFonts w:ascii="Arial" w:eastAsia="Arial" w:hAnsi="Arial" w:cs="Arial"/>
                <w:b/>
                <w:bCs/>
                <w:sz w:val="19"/>
                <w:szCs w:val="19"/>
              </w:rPr>
              <w:t>736,52</w:t>
            </w:r>
          </w:p>
        </w:tc>
      </w:tr>
      <w:tr w:rsidR="00D31FCE" w14:paraId="5B20EF45" w14:textId="77777777" w:rsidTr="00D31FCE">
        <w:tc>
          <w:tcPr>
            <w:tcW w:w="600" w:type="dxa"/>
            <w:shd w:val="clear" w:color="auto" w:fill="auto"/>
            <w:tcMar>
              <w:top w:w="60" w:type="dxa"/>
              <w:left w:w="80" w:type="dxa"/>
              <w:bottom w:w="60" w:type="dxa"/>
              <w:right w:w="80" w:type="dxa"/>
            </w:tcMar>
          </w:tcPr>
          <w:p w14:paraId="78E2B946" w14:textId="56197CD9" w:rsidR="00D31FCE" w:rsidRPr="00D31FCE" w:rsidRDefault="00D31FCE" w:rsidP="00D31FCE">
            <w:pPr>
              <w:jc w:val="center"/>
              <w:rPr>
                <w:rFonts w:ascii="Arial" w:eastAsia="Arial" w:hAnsi="Arial" w:cs="Arial"/>
                <w:sz w:val="19"/>
                <w:szCs w:val="19"/>
              </w:rPr>
            </w:pPr>
            <w:r w:rsidRPr="00D31FCE">
              <w:rPr>
                <w:rFonts w:ascii="Arial" w:eastAsia="Arial" w:hAnsi="Arial" w:cs="Arial"/>
                <w:sz w:val="19"/>
                <w:szCs w:val="19"/>
              </w:rPr>
              <w:t>C</w:t>
            </w:r>
          </w:p>
        </w:tc>
        <w:tc>
          <w:tcPr>
            <w:tcW w:w="4760" w:type="dxa"/>
            <w:shd w:val="clear" w:color="auto" w:fill="auto"/>
            <w:tcMar>
              <w:top w:w="60" w:type="dxa"/>
              <w:left w:w="80" w:type="dxa"/>
              <w:bottom w:w="60" w:type="dxa"/>
              <w:right w:w="80" w:type="dxa"/>
            </w:tcMar>
            <w:vAlign w:val="center"/>
          </w:tcPr>
          <w:p w14:paraId="2CEA9C4E" w14:textId="5B198424" w:rsidR="00D31FCE" w:rsidRPr="00D31FCE" w:rsidRDefault="00D31FCE" w:rsidP="00D31FCE">
            <w:pPr>
              <w:jc w:val="both"/>
              <w:rPr>
                <w:rFonts w:ascii="Arial" w:eastAsia="Arial" w:hAnsi="Arial" w:cs="Arial"/>
                <w:sz w:val="19"/>
                <w:szCs w:val="19"/>
                <w:highlight w:val="yellow"/>
              </w:rPr>
            </w:pPr>
            <w:r w:rsidRPr="00D31FCE">
              <w:rPr>
                <w:rFonts w:ascii="Arial" w:hAnsi="Arial" w:cs="Arial"/>
                <w:color w:val="000000"/>
                <w:sz w:val="16"/>
                <w:szCs w:val="16"/>
              </w:rPr>
              <w:t>ALVENARIA DE VEDAÇÃO DE BLOCOS CERÂMICOS FURADOS NA HORIZONTAL DE 9X19X19 CM (ESPESSURA 9 CM) E ARGAMASSA DE ASSENTAMENTO COM PREPARO MANUAL. AF_12/2021</w:t>
            </w:r>
          </w:p>
        </w:tc>
        <w:tc>
          <w:tcPr>
            <w:tcW w:w="700" w:type="dxa"/>
            <w:shd w:val="clear" w:color="auto" w:fill="auto"/>
            <w:tcMar>
              <w:top w:w="60" w:type="dxa"/>
              <w:left w:w="80" w:type="dxa"/>
              <w:bottom w:w="60" w:type="dxa"/>
              <w:right w:w="80" w:type="dxa"/>
            </w:tcMar>
          </w:tcPr>
          <w:p w14:paraId="3F7B2923" w14:textId="609EF919" w:rsidR="00D31FCE" w:rsidRPr="00D31FCE" w:rsidRDefault="00D31FCE" w:rsidP="00D31FCE">
            <w:pPr>
              <w:jc w:val="center"/>
              <w:rPr>
                <w:rFonts w:ascii="Arial" w:eastAsia="Arial" w:hAnsi="Arial" w:cs="Arial"/>
                <w:sz w:val="19"/>
                <w:szCs w:val="19"/>
              </w:rPr>
            </w:pPr>
            <w:r w:rsidRPr="00D31FCE">
              <w:rPr>
                <w:rFonts w:ascii="Arial" w:hAnsi="Arial" w:cs="Arial"/>
                <w:color w:val="000000"/>
                <w:sz w:val="18"/>
                <w:szCs w:val="18"/>
              </w:rPr>
              <w:t>M2</w:t>
            </w:r>
          </w:p>
        </w:tc>
        <w:tc>
          <w:tcPr>
            <w:tcW w:w="1600" w:type="dxa"/>
            <w:shd w:val="clear" w:color="auto" w:fill="auto"/>
            <w:tcMar>
              <w:top w:w="60" w:type="dxa"/>
              <w:left w:w="80" w:type="dxa"/>
              <w:bottom w:w="60" w:type="dxa"/>
              <w:right w:w="80" w:type="dxa"/>
            </w:tcMar>
          </w:tcPr>
          <w:p w14:paraId="72E60485" w14:textId="082D3D46" w:rsidR="00D31FCE" w:rsidRPr="00D31FCE" w:rsidRDefault="00D31FCE" w:rsidP="00D31FCE">
            <w:pPr>
              <w:jc w:val="center"/>
              <w:rPr>
                <w:rFonts w:ascii="Arial" w:eastAsia="Arial" w:hAnsi="Arial" w:cs="Arial"/>
                <w:sz w:val="19"/>
                <w:szCs w:val="19"/>
              </w:rPr>
            </w:pPr>
            <w:r w:rsidRPr="00D31FCE">
              <w:rPr>
                <w:rFonts w:ascii="Arial" w:hAnsi="Arial" w:cs="Arial"/>
                <w:color w:val="000000"/>
                <w:sz w:val="18"/>
                <w:szCs w:val="18"/>
              </w:rPr>
              <w:t>388,59</w:t>
            </w:r>
          </w:p>
        </w:tc>
        <w:tc>
          <w:tcPr>
            <w:tcW w:w="1700" w:type="dxa"/>
            <w:shd w:val="clear" w:color="auto" w:fill="auto"/>
            <w:tcMar>
              <w:top w:w="60" w:type="dxa"/>
              <w:left w:w="80" w:type="dxa"/>
              <w:bottom w:w="60" w:type="dxa"/>
              <w:right w:w="80" w:type="dxa"/>
            </w:tcMar>
          </w:tcPr>
          <w:p w14:paraId="7D48563A" w14:textId="26D397DE" w:rsidR="00D31FCE" w:rsidRPr="00D31FCE" w:rsidRDefault="00D31FCE" w:rsidP="00D31FCE">
            <w:pPr>
              <w:jc w:val="center"/>
              <w:rPr>
                <w:rFonts w:ascii="Arial" w:eastAsia="Arial" w:hAnsi="Arial" w:cs="Arial"/>
                <w:b/>
                <w:bCs/>
                <w:sz w:val="19"/>
                <w:szCs w:val="19"/>
              </w:rPr>
            </w:pPr>
            <w:r w:rsidRPr="00D31FCE">
              <w:rPr>
                <w:rFonts w:ascii="Arial" w:eastAsia="Arial" w:hAnsi="Arial" w:cs="Arial"/>
                <w:b/>
                <w:bCs/>
                <w:sz w:val="19"/>
                <w:szCs w:val="19"/>
              </w:rPr>
              <w:t>194,</w:t>
            </w:r>
            <w:r>
              <w:rPr>
                <w:rFonts w:ascii="Arial" w:eastAsia="Arial" w:hAnsi="Arial" w:cs="Arial"/>
                <w:b/>
                <w:bCs/>
                <w:sz w:val="19"/>
                <w:szCs w:val="19"/>
              </w:rPr>
              <w:t>30</w:t>
            </w:r>
          </w:p>
        </w:tc>
      </w:tr>
      <w:tr w:rsidR="00D31FCE" w14:paraId="003D8A26" w14:textId="77777777" w:rsidTr="00D31FCE">
        <w:tc>
          <w:tcPr>
            <w:tcW w:w="600" w:type="dxa"/>
            <w:shd w:val="clear" w:color="auto" w:fill="auto"/>
            <w:tcMar>
              <w:top w:w="60" w:type="dxa"/>
              <w:left w:w="80" w:type="dxa"/>
              <w:bottom w:w="60" w:type="dxa"/>
              <w:right w:w="80" w:type="dxa"/>
            </w:tcMar>
          </w:tcPr>
          <w:p w14:paraId="21E27514" w14:textId="2AD7771C" w:rsidR="00D31FCE" w:rsidRPr="00D31FCE" w:rsidRDefault="00D31FCE" w:rsidP="00D31FCE">
            <w:pPr>
              <w:jc w:val="center"/>
              <w:rPr>
                <w:rFonts w:ascii="Arial" w:eastAsia="Arial" w:hAnsi="Arial" w:cs="Arial"/>
                <w:sz w:val="19"/>
                <w:szCs w:val="19"/>
              </w:rPr>
            </w:pPr>
            <w:r w:rsidRPr="00D31FCE">
              <w:rPr>
                <w:rFonts w:ascii="Arial" w:eastAsia="Arial" w:hAnsi="Arial" w:cs="Arial"/>
                <w:sz w:val="19"/>
                <w:szCs w:val="19"/>
              </w:rPr>
              <w:t>D</w:t>
            </w:r>
          </w:p>
        </w:tc>
        <w:tc>
          <w:tcPr>
            <w:tcW w:w="4760" w:type="dxa"/>
            <w:shd w:val="clear" w:color="auto" w:fill="auto"/>
            <w:tcMar>
              <w:top w:w="60" w:type="dxa"/>
              <w:left w:w="80" w:type="dxa"/>
              <w:bottom w:w="60" w:type="dxa"/>
              <w:right w:w="80" w:type="dxa"/>
            </w:tcMar>
            <w:vAlign w:val="center"/>
          </w:tcPr>
          <w:p w14:paraId="07B24A26" w14:textId="7CEF2F04" w:rsidR="00D31FCE" w:rsidRPr="00D31FCE" w:rsidRDefault="00D31FCE" w:rsidP="00D31FCE">
            <w:pPr>
              <w:jc w:val="both"/>
              <w:rPr>
                <w:rFonts w:ascii="Arial" w:eastAsia="Arial" w:hAnsi="Arial" w:cs="Arial"/>
                <w:sz w:val="19"/>
                <w:szCs w:val="19"/>
                <w:highlight w:val="yellow"/>
              </w:rPr>
            </w:pPr>
            <w:r w:rsidRPr="00D31FCE">
              <w:rPr>
                <w:rFonts w:ascii="Arial" w:hAnsi="Arial" w:cs="Arial"/>
                <w:color w:val="000000"/>
                <w:sz w:val="16"/>
                <w:szCs w:val="16"/>
              </w:rPr>
              <w:t>CERÂMICA ESMALTADA C/ ARG. PRÉ-FABRICADA ATÉ 10x10cm (100cm²) - DECORATIVA - P/ PAREDE</w:t>
            </w:r>
          </w:p>
        </w:tc>
        <w:tc>
          <w:tcPr>
            <w:tcW w:w="700" w:type="dxa"/>
            <w:shd w:val="clear" w:color="auto" w:fill="auto"/>
            <w:tcMar>
              <w:top w:w="60" w:type="dxa"/>
              <w:left w:w="80" w:type="dxa"/>
              <w:bottom w:w="60" w:type="dxa"/>
              <w:right w:w="80" w:type="dxa"/>
            </w:tcMar>
          </w:tcPr>
          <w:p w14:paraId="5DD34B06" w14:textId="4DC70E85" w:rsidR="00D31FCE" w:rsidRPr="00D31FCE" w:rsidRDefault="00D31FCE" w:rsidP="00D31FCE">
            <w:pPr>
              <w:jc w:val="center"/>
              <w:rPr>
                <w:rFonts w:ascii="Arial" w:eastAsia="Arial" w:hAnsi="Arial" w:cs="Arial"/>
                <w:sz w:val="19"/>
                <w:szCs w:val="19"/>
              </w:rPr>
            </w:pPr>
            <w:r w:rsidRPr="00D31FCE">
              <w:rPr>
                <w:rFonts w:ascii="Arial" w:hAnsi="Arial" w:cs="Arial"/>
                <w:color w:val="000000"/>
                <w:sz w:val="18"/>
                <w:szCs w:val="18"/>
              </w:rPr>
              <w:t>M2</w:t>
            </w:r>
          </w:p>
        </w:tc>
        <w:tc>
          <w:tcPr>
            <w:tcW w:w="1600" w:type="dxa"/>
            <w:shd w:val="clear" w:color="auto" w:fill="auto"/>
            <w:tcMar>
              <w:top w:w="60" w:type="dxa"/>
              <w:left w:w="80" w:type="dxa"/>
              <w:bottom w:w="60" w:type="dxa"/>
              <w:right w:w="80" w:type="dxa"/>
            </w:tcMar>
          </w:tcPr>
          <w:p w14:paraId="0DF2205D" w14:textId="4A944DD7" w:rsidR="00D31FCE" w:rsidRPr="00D31FCE" w:rsidRDefault="00D31FCE" w:rsidP="00D31FCE">
            <w:pPr>
              <w:jc w:val="center"/>
              <w:rPr>
                <w:rFonts w:ascii="Arial" w:eastAsia="Arial" w:hAnsi="Arial" w:cs="Arial"/>
                <w:sz w:val="19"/>
                <w:szCs w:val="19"/>
              </w:rPr>
            </w:pPr>
            <w:r w:rsidRPr="00D31FCE">
              <w:rPr>
                <w:rFonts w:ascii="Arial" w:hAnsi="Arial" w:cs="Arial"/>
                <w:color w:val="000000"/>
                <w:sz w:val="18"/>
                <w:szCs w:val="18"/>
              </w:rPr>
              <w:t>359,24</w:t>
            </w:r>
          </w:p>
        </w:tc>
        <w:tc>
          <w:tcPr>
            <w:tcW w:w="1700" w:type="dxa"/>
            <w:shd w:val="clear" w:color="auto" w:fill="auto"/>
            <w:tcMar>
              <w:top w:w="60" w:type="dxa"/>
              <w:left w:w="80" w:type="dxa"/>
              <w:bottom w:w="60" w:type="dxa"/>
              <w:right w:w="80" w:type="dxa"/>
            </w:tcMar>
          </w:tcPr>
          <w:p w14:paraId="1CD05AF1" w14:textId="2E72BB6A" w:rsidR="00D31FCE" w:rsidRPr="00D31FCE" w:rsidRDefault="00D31FCE" w:rsidP="00D31FCE">
            <w:pPr>
              <w:jc w:val="center"/>
              <w:rPr>
                <w:rFonts w:ascii="Arial" w:eastAsia="Arial" w:hAnsi="Arial" w:cs="Arial"/>
                <w:b/>
                <w:bCs/>
                <w:sz w:val="19"/>
                <w:szCs w:val="19"/>
              </w:rPr>
            </w:pPr>
            <w:r w:rsidRPr="00D31FCE">
              <w:rPr>
                <w:rFonts w:ascii="Arial" w:eastAsia="Arial" w:hAnsi="Arial" w:cs="Arial"/>
                <w:b/>
                <w:bCs/>
                <w:sz w:val="19"/>
                <w:szCs w:val="19"/>
              </w:rPr>
              <w:t>179,62</w:t>
            </w:r>
          </w:p>
        </w:tc>
      </w:tr>
      <w:tr w:rsidR="00D31FCE" w14:paraId="1160AF9D" w14:textId="77777777" w:rsidTr="00D31FCE">
        <w:tc>
          <w:tcPr>
            <w:tcW w:w="600" w:type="dxa"/>
            <w:shd w:val="clear" w:color="auto" w:fill="auto"/>
            <w:tcMar>
              <w:top w:w="60" w:type="dxa"/>
              <w:left w:w="80" w:type="dxa"/>
              <w:bottom w:w="60" w:type="dxa"/>
              <w:right w:w="80" w:type="dxa"/>
            </w:tcMar>
          </w:tcPr>
          <w:p w14:paraId="15EC9995" w14:textId="76B4F3C5" w:rsidR="00D31FCE" w:rsidRPr="00D31FCE" w:rsidRDefault="00D31FCE" w:rsidP="00D31FCE">
            <w:pPr>
              <w:jc w:val="center"/>
              <w:rPr>
                <w:rFonts w:ascii="Arial" w:hAnsi="Arial" w:cs="Arial"/>
              </w:rPr>
            </w:pPr>
            <w:r w:rsidRPr="00D31FCE">
              <w:rPr>
                <w:rFonts w:ascii="Arial" w:hAnsi="Arial" w:cs="Arial"/>
              </w:rPr>
              <w:t>E</w:t>
            </w:r>
          </w:p>
        </w:tc>
        <w:tc>
          <w:tcPr>
            <w:tcW w:w="4760" w:type="dxa"/>
            <w:shd w:val="clear" w:color="auto" w:fill="auto"/>
            <w:tcMar>
              <w:top w:w="60" w:type="dxa"/>
              <w:left w:w="80" w:type="dxa"/>
              <w:bottom w:w="60" w:type="dxa"/>
              <w:right w:w="80" w:type="dxa"/>
            </w:tcMar>
            <w:vAlign w:val="center"/>
          </w:tcPr>
          <w:p w14:paraId="30CCAAB1" w14:textId="34428439" w:rsidR="00D31FCE" w:rsidRPr="00D31FCE" w:rsidRDefault="00D31FCE" w:rsidP="00D31FCE">
            <w:pPr>
              <w:jc w:val="both"/>
              <w:rPr>
                <w:rFonts w:ascii="Arial" w:hAnsi="Arial" w:cs="Arial"/>
              </w:rPr>
            </w:pPr>
            <w:r w:rsidRPr="00D31FCE">
              <w:rPr>
                <w:rFonts w:ascii="Arial" w:hAnsi="Arial" w:cs="Arial"/>
                <w:color w:val="000000"/>
                <w:sz w:val="16"/>
                <w:szCs w:val="16"/>
              </w:rPr>
              <w:t>IMPERMEABILIZAÇÃO DE SUPERFÍCIE COM MANTA ASFÁLTICA, DUAS CAMADAS, INCLUSIVE APLICAÇÃO DE PRIMER ASFÁLTICO, E=3MM E E=4MM. AF_09/2023</w:t>
            </w:r>
          </w:p>
        </w:tc>
        <w:tc>
          <w:tcPr>
            <w:tcW w:w="700" w:type="dxa"/>
            <w:shd w:val="clear" w:color="auto" w:fill="auto"/>
            <w:tcMar>
              <w:top w:w="60" w:type="dxa"/>
              <w:left w:w="80" w:type="dxa"/>
              <w:bottom w:w="60" w:type="dxa"/>
              <w:right w:w="80" w:type="dxa"/>
            </w:tcMar>
          </w:tcPr>
          <w:p w14:paraId="36BD1FAB" w14:textId="4DAD064C" w:rsidR="00D31FCE" w:rsidRPr="00D31FCE" w:rsidRDefault="00D31FCE" w:rsidP="00D31FCE">
            <w:pPr>
              <w:jc w:val="center"/>
              <w:rPr>
                <w:rFonts w:ascii="Arial" w:hAnsi="Arial" w:cs="Arial"/>
              </w:rPr>
            </w:pPr>
            <w:r w:rsidRPr="00D31FCE">
              <w:rPr>
                <w:rFonts w:ascii="Arial" w:hAnsi="Arial" w:cs="Arial"/>
                <w:color w:val="000000"/>
                <w:sz w:val="18"/>
                <w:szCs w:val="18"/>
              </w:rPr>
              <w:t>M2</w:t>
            </w:r>
          </w:p>
        </w:tc>
        <w:tc>
          <w:tcPr>
            <w:tcW w:w="1600" w:type="dxa"/>
            <w:shd w:val="clear" w:color="auto" w:fill="auto"/>
            <w:tcMar>
              <w:top w:w="60" w:type="dxa"/>
              <w:left w:w="80" w:type="dxa"/>
              <w:bottom w:w="60" w:type="dxa"/>
              <w:right w:w="80" w:type="dxa"/>
            </w:tcMar>
          </w:tcPr>
          <w:p w14:paraId="1074B505" w14:textId="2C7ED3A3" w:rsidR="00D31FCE" w:rsidRPr="00D31FCE" w:rsidRDefault="00D31FCE" w:rsidP="00D31FCE">
            <w:pPr>
              <w:jc w:val="center"/>
              <w:rPr>
                <w:rFonts w:ascii="Arial" w:hAnsi="Arial" w:cs="Arial"/>
              </w:rPr>
            </w:pPr>
            <w:r w:rsidRPr="00D31FCE">
              <w:rPr>
                <w:rFonts w:ascii="Arial" w:hAnsi="Arial" w:cs="Arial"/>
                <w:color w:val="000000"/>
                <w:sz w:val="18"/>
                <w:szCs w:val="18"/>
              </w:rPr>
              <w:t>131,63</w:t>
            </w:r>
          </w:p>
        </w:tc>
        <w:tc>
          <w:tcPr>
            <w:tcW w:w="1700" w:type="dxa"/>
            <w:shd w:val="clear" w:color="auto" w:fill="auto"/>
            <w:tcMar>
              <w:top w:w="60" w:type="dxa"/>
              <w:left w:w="80" w:type="dxa"/>
              <w:bottom w:w="60" w:type="dxa"/>
              <w:right w:w="80" w:type="dxa"/>
            </w:tcMar>
          </w:tcPr>
          <w:p w14:paraId="685148BF" w14:textId="49C294AD" w:rsidR="00D31FCE" w:rsidRPr="00D31FCE" w:rsidRDefault="00D31FCE" w:rsidP="00D31FCE">
            <w:pPr>
              <w:jc w:val="center"/>
              <w:rPr>
                <w:rFonts w:ascii="Arial" w:hAnsi="Arial" w:cs="Arial"/>
              </w:rPr>
            </w:pPr>
            <w:r w:rsidRPr="00D31FCE">
              <w:rPr>
                <w:rFonts w:ascii="Arial" w:eastAsia="Arial" w:hAnsi="Arial" w:cs="Arial"/>
                <w:b/>
                <w:bCs/>
                <w:sz w:val="19"/>
                <w:szCs w:val="19"/>
              </w:rPr>
              <w:t>65,8</w:t>
            </w:r>
            <w:r>
              <w:rPr>
                <w:rFonts w:ascii="Arial" w:eastAsia="Arial" w:hAnsi="Arial" w:cs="Arial"/>
                <w:b/>
                <w:bCs/>
                <w:sz w:val="19"/>
                <w:szCs w:val="19"/>
              </w:rPr>
              <w:t>2</w:t>
            </w:r>
          </w:p>
        </w:tc>
      </w:tr>
    </w:tbl>
    <w:p w14:paraId="453DE6E9" w14:textId="77777777" w:rsidR="00EF37F1" w:rsidRDefault="00EF37F1" w:rsidP="00EF37F1">
      <w:pPr>
        <w:spacing w:before="80"/>
      </w:pPr>
    </w:p>
    <w:p w14:paraId="72D0606B" w14:textId="77777777" w:rsidR="00EF37F1" w:rsidRDefault="00EF37F1" w:rsidP="00EF37F1">
      <w:pPr>
        <w:spacing w:before="80" w:after="80"/>
        <w:jc w:val="both"/>
      </w:pPr>
      <w:r>
        <w:rPr>
          <w:rFonts w:ascii="Arial" w:eastAsia="Arial" w:hAnsi="Arial" w:cs="Arial"/>
          <w:b/>
          <w:bCs/>
        </w:rPr>
        <w:t xml:space="preserve">10.1.3.1  </w:t>
      </w:r>
      <w:r>
        <w:rPr>
          <w:rFonts w:ascii="Arial" w:eastAsia="Arial" w:hAnsi="Arial" w:cs="Arial"/>
        </w:rPr>
        <w:t>Será admitido o somatório de atestados para comprovar os quantitativos exigidos dos itens acima.</w:t>
      </w:r>
    </w:p>
    <w:p w14:paraId="3F0FD8AA" w14:textId="77777777" w:rsidR="00EF37F1" w:rsidRDefault="00EF37F1" w:rsidP="00EF37F1">
      <w:pPr>
        <w:spacing w:before="80" w:after="80"/>
        <w:jc w:val="both"/>
      </w:pPr>
      <w:r>
        <w:rPr>
          <w:rFonts w:ascii="Arial" w:eastAsia="Arial" w:hAnsi="Arial" w:cs="Arial"/>
          <w:b/>
          <w:bCs/>
        </w:rPr>
        <w:t xml:space="preserve">10.1.4  </w:t>
      </w:r>
      <w:r>
        <w:rPr>
          <w:rFonts w:ascii="Arial" w:eastAsia="Arial" w:hAnsi="Arial" w:cs="Arial"/>
        </w:rPr>
        <w:t>Serão aceitos atestados ou outros documentos hábeis emitidos por entidades estrangeiras quando acompanhados de tradução para o português, salvo se comprovada a inidoneidade da entidade emissora.</w:t>
      </w:r>
    </w:p>
    <w:p w14:paraId="5DF7CBE5" w14:textId="77777777" w:rsidR="00EF37F1" w:rsidRDefault="00EF37F1" w:rsidP="00EF37F1">
      <w:pPr>
        <w:spacing w:before="160" w:after="80"/>
        <w:rPr>
          <w:rFonts w:ascii="Arial" w:eastAsia="Arial" w:hAnsi="Arial" w:cs="Arial"/>
          <w:b/>
          <w:bCs/>
          <w:color w:val="2E5496"/>
        </w:rPr>
      </w:pPr>
      <w:r>
        <w:rPr>
          <w:rFonts w:ascii="Arial" w:eastAsia="Arial" w:hAnsi="Arial" w:cs="Arial"/>
          <w:b/>
          <w:bCs/>
          <w:color w:val="2E5496"/>
        </w:rPr>
        <w:t>10.2  Qualificação Técnico-Profissional</w:t>
      </w:r>
    </w:p>
    <w:p w14:paraId="0655FDBE" w14:textId="77777777" w:rsidR="00EF37F1" w:rsidRDefault="00EF37F1" w:rsidP="00EF37F1">
      <w:pPr>
        <w:spacing w:before="80" w:after="80"/>
        <w:jc w:val="both"/>
      </w:pPr>
      <w:r>
        <w:rPr>
          <w:rFonts w:ascii="Arial" w:eastAsia="Arial" w:hAnsi="Arial" w:cs="Arial"/>
          <w:b/>
          <w:bCs/>
        </w:rPr>
        <w:t xml:space="preserve">10.2.1  </w:t>
      </w:r>
      <w:r>
        <w:rPr>
          <w:rFonts w:ascii="Arial" w:eastAsia="Arial" w:hAnsi="Arial" w:cs="Arial"/>
        </w:rPr>
        <w:t>O profissional deverá comprovar aptidão técnica para execução de serviços de complexidade tecnológica e operacional equivalente ou superior ao objeto, mediante apresentação de Atestados de Capacidade Técnica ou Certidões de Acervo Técnico (CAT), emitidos por pessoa jurídica de direito público ou privado e registrados no conselho competente, que comprovem que o profissional já executou obra de construção, ampliação ou reforma de edificação escolar de porte e características equivalentes ou superiores às previstas nesta contratação:</w:t>
      </w:r>
    </w:p>
    <w:p w14:paraId="2BF40491" w14:textId="77777777" w:rsidR="00EF37F1" w:rsidRDefault="00EF37F1" w:rsidP="00EF37F1">
      <w:pPr>
        <w:spacing w:before="8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4A0" w:firstRow="1" w:lastRow="0" w:firstColumn="1" w:lastColumn="0" w:noHBand="0" w:noVBand="1"/>
      </w:tblPr>
      <w:tblGrid>
        <w:gridCol w:w="600"/>
        <w:gridCol w:w="8060"/>
        <w:gridCol w:w="700"/>
      </w:tblGrid>
      <w:tr w:rsidR="00EF37F1" w14:paraId="4D423ACE" w14:textId="77777777" w:rsidTr="008724B2">
        <w:tc>
          <w:tcPr>
            <w:tcW w:w="600" w:type="dxa"/>
            <w:shd w:val="clear" w:color="auto" w:fill="1F3864"/>
            <w:tcMar>
              <w:top w:w="60" w:type="dxa"/>
              <w:left w:w="80" w:type="dxa"/>
              <w:bottom w:w="60" w:type="dxa"/>
              <w:right w:w="80" w:type="dxa"/>
            </w:tcMar>
          </w:tcPr>
          <w:p w14:paraId="4B5FFE66" w14:textId="77777777" w:rsidR="00EF37F1" w:rsidRDefault="00EF37F1" w:rsidP="00B40113">
            <w:pPr>
              <w:jc w:val="center"/>
            </w:pPr>
            <w:r>
              <w:rPr>
                <w:rFonts w:ascii="Arial" w:eastAsia="Arial" w:hAnsi="Arial" w:cs="Arial"/>
                <w:b/>
                <w:bCs/>
                <w:color w:val="FFFFFF"/>
                <w:sz w:val="19"/>
                <w:szCs w:val="19"/>
              </w:rPr>
              <w:t>Item</w:t>
            </w:r>
          </w:p>
        </w:tc>
        <w:tc>
          <w:tcPr>
            <w:tcW w:w="8060" w:type="dxa"/>
            <w:shd w:val="clear" w:color="auto" w:fill="1F3864"/>
            <w:tcMar>
              <w:top w:w="60" w:type="dxa"/>
              <w:left w:w="80" w:type="dxa"/>
              <w:bottom w:w="60" w:type="dxa"/>
              <w:right w:w="80" w:type="dxa"/>
            </w:tcMar>
          </w:tcPr>
          <w:p w14:paraId="3CAF7316" w14:textId="77777777" w:rsidR="00EF37F1" w:rsidRDefault="00EF37F1" w:rsidP="00B40113">
            <w:pPr>
              <w:jc w:val="both"/>
            </w:pPr>
            <w:r>
              <w:rPr>
                <w:rFonts w:ascii="Arial" w:eastAsia="Arial" w:hAnsi="Arial" w:cs="Arial"/>
                <w:b/>
                <w:bCs/>
                <w:color w:val="FFFFFF"/>
                <w:sz w:val="19"/>
                <w:szCs w:val="19"/>
              </w:rPr>
              <w:t>Serviços a Serem Comprovados</w:t>
            </w:r>
          </w:p>
        </w:tc>
        <w:tc>
          <w:tcPr>
            <w:tcW w:w="700" w:type="dxa"/>
            <w:shd w:val="clear" w:color="auto" w:fill="1F3864"/>
            <w:tcMar>
              <w:top w:w="60" w:type="dxa"/>
              <w:left w:w="80" w:type="dxa"/>
              <w:bottom w:w="60" w:type="dxa"/>
              <w:right w:w="80" w:type="dxa"/>
            </w:tcMar>
          </w:tcPr>
          <w:p w14:paraId="31DED947" w14:textId="77777777" w:rsidR="00EF37F1" w:rsidRDefault="00EF37F1" w:rsidP="00B40113">
            <w:pPr>
              <w:jc w:val="center"/>
            </w:pPr>
            <w:r>
              <w:rPr>
                <w:rFonts w:ascii="Arial" w:eastAsia="Arial" w:hAnsi="Arial" w:cs="Arial"/>
                <w:b/>
                <w:bCs/>
                <w:color w:val="FFFFFF"/>
                <w:sz w:val="19"/>
                <w:szCs w:val="19"/>
              </w:rPr>
              <w:t>Und.</w:t>
            </w:r>
          </w:p>
        </w:tc>
      </w:tr>
      <w:tr w:rsidR="00760D6D" w14:paraId="7C2D7713" w14:textId="77777777" w:rsidTr="008724B2">
        <w:tc>
          <w:tcPr>
            <w:tcW w:w="600" w:type="dxa"/>
            <w:shd w:val="clear" w:color="auto" w:fill="FFFFFF"/>
            <w:tcMar>
              <w:top w:w="60" w:type="dxa"/>
              <w:left w:w="80" w:type="dxa"/>
              <w:bottom w:w="60" w:type="dxa"/>
              <w:right w:w="80" w:type="dxa"/>
            </w:tcMar>
          </w:tcPr>
          <w:p w14:paraId="00D6CBA7" w14:textId="77777777" w:rsidR="00760D6D" w:rsidRDefault="00760D6D" w:rsidP="00760D6D">
            <w:pPr>
              <w:jc w:val="center"/>
            </w:pPr>
            <w:r>
              <w:rPr>
                <w:rFonts w:ascii="Arial" w:eastAsia="Arial" w:hAnsi="Arial" w:cs="Arial"/>
                <w:sz w:val="19"/>
                <w:szCs w:val="19"/>
              </w:rPr>
              <w:t>1</w:t>
            </w:r>
          </w:p>
        </w:tc>
        <w:tc>
          <w:tcPr>
            <w:tcW w:w="8060" w:type="dxa"/>
            <w:shd w:val="clear" w:color="auto" w:fill="FFFFFF"/>
            <w:tcMar>
              <w:top w:w="60" w:type="dxa"/>
              <w:left w:w="80" w:type="dxa"/>
              <w:bottom w:w="60" w:type="dxa"/>
              <w:right w:w="80" w:type="dxa"/>
            </w:tcMar>
          </w:tcPr>
          <w:p w14:paraId="4B4F7ED7" w14:textId="521D8A9D" w:rsidR="00760D6D" w:rsidRDefault="00760D6D" w:rsidP="00760D6D">
            <w:pPr>
              <w:jc w:val="both"/>
            </w:pPr>
            <w:r>
              <w:rPr>
                <w:rFonts w:ascii="Arial" w:eastAsia="Arial" w:hAnsi="Arial" w:cs="Arial"/>
                <w:sz w:val="19"/>
                <w:szCs w:val="19"/>
              </w:rPr>
              <w:t>Reforma, Adequações e Ampliação de Unidade Escolar</w:t>
            </w:r>
          </w:p>
        </w:tc>
        <w:tc>
          <w:tcPr>
            <w:tcW w:w="700" w:type="dxa"/>
            <w:shd w:val="clear" w:color="auto" w:fill="FFFFFF"/>
            <w:tcMar>
              <w:top w:w="60" w:type="dxa"/>
              <w:left w:w="80" w:type="dxa"/>
              <w:bottom w:w="60" w:type="dxa"/>
              <w:right w:w="80" w:type="dxa"/>
            </w:tcMar>
          </w:tcPr>
          <w:p w14:paraId="43C1C849" w14:textId="77777777" w:rsidR="00760D6D" w:rsidRDefault="00760D6D" w:rsidP="00760D6D">
            <w:pPr>
              <w:jc w:val="center"/>
            </w:pPr>
            <w:r>
              <w:rPr>
                <w:rFonts w:ascii="Arial" w:eastAsia="Arial" w:hAnsi="Arial" w:cs="Arial"/>
                <w:sz w:val="19"/>
                <w:szCs w:val="19"/>
              </w:rPr>
              <w:t>m²</w:t>
            </w:r>
          </w:p>
        </w:tc>
      </w:tr>
    </w:tbl>
    <w:p w14:paraId="773E1CF1" w14:textId="77777777" w:rsidR="00EF37F1" w:rsidRDefault="00EF37F1" w:rsidP="00EF37F1">
      <w:pPr>
        <w:spacing w:before="80"/>
      </w:pPr>
    </w:p>
    <w:p w14:paraId="24E9524C" w14:textId="77777777" w:rsidR="00EF37F1" w:rsidRDefault="00EF37F1" w:rsidP="00EF37F1">
      <w:pPr>
        <w:spacing w:before="80" w:after="80"/>
        <w:jc w:val="both"/>
      </w:pPr>
      <w:r>
        <w:rPr>
          <w:rFonts w:ascii="Arial" w:eastAsia="Arial" w:hAnsi="Arial" w:cs="Arial"/>
          <w:b/>
          <w:bCs/>
        </w:rPr>
        <w:t xml:space="preserve">10.2.2  </w:t>
      </w:r>
      <w:r>
        <w:rPr>
          <w:rFonts w:ascii="Arial" w:eastAsia="Arial" w:hAnsi="Arial" w:cs="Arial"/>
        </w:rPr>
        <w:t>Comprovação da licitante de possuir em seu quadro, na data prevista para entrega da proposta, profissional(is) de nível superior em Engenharia Civil ou Arquitetura, devidamente registrado(s) no CREA ou CAU, com experiência comprovada mediante Certidão de Acervo Técnico — CAT acompanhada do respectivo Atestado, expedida pelo CREA ou CAU onde os serviços foram realizados, indicando como itens de maior relevância os discriminados na tabela a seguir:</w:t>
      </w:r>
    </w:p>
    <w:p w14:paraId="2606F41E" w14:textId="77777777" w:rsidR="00EF37F1" w:rsidRDefault="00EF37F1" w:rsidP="00EF37F1">
      <w:pPr>
        <w:spacing w:before="80"/>
      </w:pPr>
    </w:p>
    <w:tbl>
      <w:tblPr>
        <w:tblW w:w="936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 w:type="dxa"/>
          <w:right w:w="10" w:type="dxa"/>
        </w:tblCellMar>
        <w:tblLook w:val="04A0" w:firstRow="1" w:lastRow="0" w:firstColumn="1" w:lastColumn="0" w:noHBand="0" w:noVBand="1"/>
      </w:tblPr>
      <w:tblGrid>
        <w:gridCol w:w="600"/>
        <w:gridCol w:w="7960"/>
        <w:gridCol w:w="800"/>
      </w:tblGrid>
      <w:tr w:rsidR="00EF37F1" w14:paraId="41DA7B41" w14:textId="77777777" w:rsidTr="008724B2">
        <w:tc>
          <w:tcPr>
            <w:tcW w:w="600" w:type="dxa"/>
            <w:shd w:val="clear" w:color="auto" w:fill="1F3864"/>
            <w:tcMar>
              <w:top w:w="60" w:type="dxa"/>
              <w:left w:w="80" w:type="dxa"/>
              <w:bottom w:w="60" w:type="dxa"/>
              <w:right w:w="80" w:type="dxa"/>
            </w:tcMar>
          </w:tcPr>
          <w:p w14:paraId="73CFF9D0" w14:textId="77777777" w:rsidR="00EF37F1" w:rsidRDefault="00EF37F1" w:rsidP="00B40113">
            <w:pPr>
              <w:jc w:val="center"/>
            </w:pPr>
            <w:r>
              <w:rPr>
                <w:rFonts w:ascii="Arial" w:eastAsia="Arial" w:hAnsi="Arial" w:cs="Arial"/>
                <w:b/>
                <w:bCs/>
                <w:color w:val="FFFFFF"/>
                <w:sz w:val="19"/>
                <w:szCs w:val="19"/>
              </w:rPr>
              <w:t>Item</w:t>
            </w:r>
          </w:p>
        </w:tc>
        <w:tc>
          <w:tcPr>
            <w:tcW w:w="7960" w:type="dxa"/>
            <w:shd w:val="clear" w:color="auto" w:fill="1F3864"/>
            <w:tcMar>
              <w:top w:w="60" w:type="dxa"/>
              <w:left w:w="80" w:type="dxa"/>
              <w:bottom w:w="60" w:type="dxa"/>
              <w:right w:w="80" w:type="dxa"/>
            </w:tcMar>
          </w:tcPr>
          <w:p w14:paraId="0CAF9561" w14:textId="77777777" w:rsidR="00EF37F1" w:rsidRDefault="00EF37F1" w:rsidP="00B40113">
            <w:pPr>
              <w:jc w:val="both"/>
            </w:pPr>
            <w:r>
              <w:rPr>
                <w:rFonts w:ascii="Arial" w:eastAsia="Arial" w:hAnsi="Arial" w:cs="Arial"/>
                <w:b/>
                <w:bCs/>
                <w:color w:val="FFFFFF"/>
                <w:sz w:val="19"/>
                <w:szCs w:val="19"/>
              </w:rPr>
              <w:t>Serviços a Serem Comprovados</w:t>
            </w:r>
          </w:p>
        </w:tc>
        <w:tc>
          <w:tcPr>
            <w:tcW w:w="800" w:type="dxa"/>
            <w:shd w:val="clear" w:color="auto" w:fill="1F3864"/>
            <w:tcMar>
              <w:top w:w="60" w:type="dxa"/>
              <w:left w:w="80" w:type="dxa"/>
              <w:bottom w:w="60" w:type="dxa"/>
              <w:right w:w="80" w:type="dxa"/>
            </w:tcMar>
          </w:tcPr>
          <w:p w14:paraId="4702649B" w14:textId="77777777" w:rsidR="00EF37F1" w:rsidRDefault="00EF37F1" w:rsidP="00B40113">
            <w:pPr>
              <w:jc w:val="center"/>
            </w:pPr>
            <w:r>
              <w:rPr>
                <w:rFonts w:ascii="Arial" w:eastAsia="Arial" w:hAnsi="Arial" w:cs="Arial"/>
                <w:b/>
                <w:bCs/>
                <w:color w:val="FFFFFF"/>
                <w:sz w:val="19"/>
                <w:szCs w:val="19"/>
              </w:rPr>
              <w:t>Und.</w:t>
            </w:r>
          </w:p>
        </w:tc>
      </w:tr>
      <w:tr w:rsidR="00FF281D" w14:paraId="058126D2" w14:textId="77777777" w:rsidTr="00FF281D">
        <w:tc>
          <w:tcPr>
            <w:tcW w:w="600" w:type="dxa"/>
            <w:shd w:val="clear" w:color="auto" w:fill="auto"/>
            <w:tcMar>
              <w:top w:w="60" w:type="dxa"/>
              <w:left w:w="80" w:type="dxa"/>
              <w:bottom w:w="60" w:type="dxa"/>
              <w:right w:w="80" w:type="dxa"/>
            </w:tcMar>
          </w:tcPr>
          <w:p w14:paraId="75B74A7F" w14:textId="176A0475" w:rsidR="00FF281D" w:rsidRDefault="00FF281D" w:rsidP="00FF281D">
            <w:pPr>
              <w:jc w:val="center"/>
            </w:pPr>
            <w:r w:rsidRPr="00D31FCE">
              <w:rPr>
                <w:rFonts w:ascii="Arial" w:eastAsia="Arial" w:hAnsi="Arial" w:cs="Arial"/>
                <w:sz w:val="19"/>
                <w:szCs w:val="19"/>
              </w:rPr>
              <w:t>A</w:t>
            </w:r>
          </w:p>
        </w:tc>
        <w:tc>
          <w:tcPr>
            <w:tcW w:w="7960" w:type="dxa"/>
            <w:shd w:val="clear" w:color="auto" w:fill="auto"/>
            <w:tcMar>
              <w:top w:w="60" w:type="dxa"/>
              <w:left w:w="80" w:type="dxa"/>
              <w:bottom w:w="60" w:type="dxa"/>
              <w:right w:w="80" w:type="dxa"/>
            </w:tcMar>
            <w:vAlign w:val="center"/>
          </w:tcPr>
          <w:p w14:paraId="13B1DAD5" w14:textId="16CA6EB8" w:rsidR="00FF281D" w:rsidRDefault="00FF281D" w:rsidP="00FF281D">
            <w:pPr>
              <w:jc w:val="both"/>
            </w:pPr>
            <w:r w:rsidRPr="00D31FCE">
              <w:rPr>
                <w:rFonts w:ascii="Arial" w:hAnsi="Arial" w:cs="Arial"/>
                <w:color w:val="000000"/>
                <w:sz w:val="16"/>
                <w:szCs w:val="16"/>
              </w:rPr>
              <w:t>LAJE PRÉ-MOLDADA UNIDIRECIONAL, BIAPOIADA, PARA PISO, ENCHIMENTO EM CERÂMICA, VIGOTA CONVENCIONAL, ALTURA TOTAL DA LAJE "LT" = 12 CM (ENCHIMENTO+CAPA) = (8+4). AF_08/2025</w:t>
            </w:r>
          </w:p>
        </w:tc>
        <w:tc>
          <w:tcPr>
            <w:tcW w:w="800" w:type="dxa"/>
            <w:shd w:val="clear" w:color="auto" w:fill="auto"/>
            <w:tcMar>
              <w:top w:w="60" w:type="dxa"/>
              <w:left w:w="80" w:type="dxa"/>
              <w:bottom w:w="60" w:type="dxa"/>
              <w:right w:w="80" w:type="dxa"/>
            </w:tcMar>
          </w:tcPr>
          <w:p w14:paraId="2924D80D" w14:textId="5DC92183" w:rsidR="00FF281D" w:rsidRDefault="00FF281D" w:rsidP="00FF281D">
            <w:pPr>
              <w:jc w:val="center"/>
            </w:pPr>
            <w:r w:rsidRPr="00D31FCE">
              <w:rPr>
                <w:rFonts w:ascii="Arial" w:hAnsi="Arial" w:cs="Arial"/>
                <w:color w:val="000000"/>
                <w:sz w:val="18"/>
                <w:szCs w:val="18"/>
              </w:rPr>
              <w:t>M2</w:t>
            </w:r>
          </w:p>
        </w:tc>
      </w:tr>
      <w:tr w:rsidR="00FF281D" w14:paraId="34053AC5" w14:textId="77777777" w:rsidTr="00FF281D">
        <w:tc>
          <w:tcPr>
            <w:tcW w:w="600" w:type="dxa"/>
            <w:shd w:val="clear" w:color="auto" w:fill="auto"/>
            <w:tcMar>
              <w:top w:w="60" w:type="dxa"/>
              <w:left w:w="80" w:type="dxa"/>
              <w:bottom w:w="60" w:type="dxa"/>
              <w:right w:w="80" w:type="dxa"/>
            </w:tcMar>
          </w:tcPr>
          <w:p w14:paraId="46BAED54" w14:textId="07B8E288" w:rsidR="00FF281D" w:rsidRDefault="00FF281D" w:rsidP="00FF281D">
            <w:pPr>
              <w:jc w:val="center"/>
            </w:pPr>
            <w:r w:rsidRPr="00D31FCE">
              <w:rPr>
                <w:rFonts w:ascii="Arial" w:eastAsia="Arial" w:hAnsi="Arial" w:cs="Arial"/>
                <w:sz w:val="19"/>
                <w:szCs w:val="19"/>
              </w:rPr>
              <w:t>B</w:t>
            </w:r>
          </w:p>
        </w:tc>
        <w:tc>
          <w:tcPr>
            <w:tcW w:w="7960" w:type="dxa"/>
            <w:shd w:val="clear" w:color="auto" w:fill="auto"/>
            <w:tcMar>
              <w:top w:w="60" w:type="dxa"/>
              <w:left w:w="80" w:type="dxa"/>
              <w:bottom w:w="60" w:type="dxa"/>
              <w:right w:w="80" w:type="dxa"/>
            </w:tcMar>
            <w:vAlign w:val="center"/>
          </w:tcPr>
          <w:p w14:paraId="0C2F7B59" w14:textId="0E8A0A9E" w:rsidR="00FF281D" w:rsidRDefault="00FF281D" w:rsidP="00FF281D">
            <w:pPr>
              <w:jc w:val="both"/>
            </w:pPr>
            <w:r w:rsidRPr="00D31FCE">
              <w:rPr>
                <w:rFonts w:ascii="Arial" w:hAnsi="Arial" w:cs="Arial"/>
                <w:color w:val="000000"/>
                <w:sz w:val="16"/>
                <w:szCs w:val="16"/>
              </w:rPr>
              <w:t>EMBOÇO/MASSA ÚNICA, APLICADO MANUALMENTE, TRAÇO 1:2:8, EM BETONEIRA DE 400L, PAREDES INTERNAS, COM EXECUÇÃO DE TALISCAS, EDIFICAÇÃO HABITACIONAL UNIFAMILIAR (CASAS) E EDIFICAÇÃO PÚBLICA PADRÃO.</w:t>
            </w:r>
          </w:p>
        </w:tc>
        <w:tc>
          <w:tcPr>
            <w:tcW w:w="800" w:type="dxa"/>
            <w:shd w:val="clear" w:color="auto" w:fill="auto"/>
            <w:tcMar>
              <w:top w:w="60" w:type="dxa"/>
              <w:left w:w="80" w:type="dxa"/>
              <w:bottom w:w="60" w:type="dxa"/>
              <w:right w:w="80" w:type="dxa"/>
            </w:tcMar>
          </w:tcPr>
          <w:p w14:paraId="149BB1EB" w14:textId="29E18099" w:rsidR="00FF281D" w:rsidRDefault="00FF281D" w:rsidP="00FF281D">
            <w:pPr>
              <w:jc w:val="center"/>
            </w:pPr>
            <w:r w:rsidRPr="00D31FCE">
              <w:rPr>
                <w:rFonts w:ascii="Arial" w:hAnsi="Arial" w:cs="Arial"/>
                <w:color w:val="000000"/>
                <w:sz w:val="18"/>
                <w:szCs w:val="18"/>
              </w:rPr>
              <w:t>M2</w:t>
            </w:r>
          </w:p>
        </w:tc>
      </w:tr>
      <w:tr w:rsidR="00FF281D" w14:paraId="56AB77A7" w14:textId="77777777" w:rsidTr="00FF281D">
        <w:tc>
          <w:tcPr>
            <w:tcW w:w="600" w:type="dxa"/>
            <w:shd w:val="clear" w:color="auto" w:fill="auto"/>
            <w:tcMar>
              <w:top w:w="60" w:type="dxa"/>
              <w:left w:w="80" w:type="dxa"/>
              <w:bottom w:w="60" w:type="dxa"/>
              <w:right w:w="80" w:type="dxa"/>
            </w:tcMar>
          </w:tcPr>
          <w:p w14:paraId="17409B32" w14:textId="4B0F2EB2" w:rsidR="00FF281D" w:rsidRDefault="00FF281D" w:rsidP="00FF281D">
            <w:pPr>
              <w:jc w:val="center"/>
              <w:rPr>
                <w:rFonts w:ascii="Arial" w:eastAsia="Arial" w:hAnsi="Arial" w:cs="Arial"/>
                <w:sz w:val="19"/>
                <w:szCs w:val="19"/>
              </w:rPr>
            </w:pPr>
            <w:r w:rsidRPr="00D31FCE">
              <w:rPr>
                <w:rFonts w:ascii="Arial" w:eastAsia="Arial" w:hAnsi="Arial" w:cs="Arial"/>
                <w:sz w:val="19"/>
                <w:szCs w:val="19"/>
              </w:rPr>
              <w:t>C</w:t>
            </w:r>
          </w:p>
        </w:tc>
        <w:tc>
          <w:tcPr>
            <w:tcW w:w="7960" w:type="dxa"/>
            <w:shd w:val="clear" w:color="auto" w:fill="auto"/>
            <w:tcMar>
              <w:top w:w="60" w:type="dxa"/>
              <w:left w:w="80" w:type="dxa"/>
              <w:bottom w:w="60" w:type="dxa"/>
              <w:right w:w="80" w:type="dxa"/>
            </w:tcMar>
            <w:vAlign w:val="center"/>
          </w:tcPr>
          <w:p w14:paraId="248E9D6A" w14:textId="207F3696" w:rsidR="00FF281D" w:rsidRDefault="00FF281D" w:rsidP="00FF281D">
            <w:pPr>
              <w:jc w:val="both"/>
              <w:rPr>
                <w:rFonts w:ascii="Arial" w:eastAsia="Arial" w:hAnsi="Arial" w:cs="Arial"/>
                <w:sz w:val="19"/>
                <w:szCs w:val="19"/>
              </w:rPr>
            </w:pPr>
            <w:r w:rsidRPr="00D31FCE">
              <w:rPr>
                <w:rFonts w:ascii="Arial" w:hAnsi="Arial" w:cs="Arial"/>
                <w:color w:val="000000"/>
                <w:sz w:val="16"/>
                <w:szCs w:val="16"/>
              </w:rPr>
              <w:t>ALVENARIA DE VEDAÇÃO DE BLOCOS CERÂMICOS FURADOS NA HORIZONTAL DE 9X19X19 CM (ESPESSURA 9 CM) E ARGAMASSA DE ASSENTAMENTO COM PREPARO MANUAL. AF_12/2021</w:t>
            </w:r>
          </w:p>
        </w:tc>
        <w:tc>
          <w:tcPr>
            <w:tcW w:w="800" w:type="dxa"/>
            <w:shd w:val="clear" w:color="auto" w:fill="auto"/>
            <w:tcMar>
              <w:top w:w="60" w:type="dxa"/>
              <w:left w:w="80" w:type="dxa"/>
              <w:bottom w:w="60" w:type="dxa"/>
              <w:right w:w="80" w:type="dxa"/>
            </w:tcMar>
          </w:tcPr>
          <w:p w14:paraId="0E39B398" w14:textId="4B5DDCC0" w:rsidR="00FF281D" w:rsidRDefault="00FF281D" w:rsidP="00FF281D">
            <w:pPr>
              <w:jc w:val="center"/>
              <w:rPr>
                <w:rFonts w:ascii="Arial" w:eastAsia="Arial" w:hAnsi="Arial" w:cs="Arial"/>
                <w:sz w:val="19"/>
                <w:szCs w:val="19"/>
              </w:rPr>
            </w:pPr>
            <w:r w:rsidRPr="00D31FCE">
              <w:rPr>
                <w:rFonts w:ascii="Arial" w:hAnsi="Arial" w:cs="Arial"/>
                <w:color w:val="000000"/>
                <w:sz w:val="18"/>
                <w:szCs w:val="18"/>
              </w:rPr>
              <w:t>M2</w:t>
            </w:r>
          </w:p>
        </w:tc>
      </w:tr>
      <w:tr w:rsidR="00FF281D" w14:paraId="1488B1DA" w14:textId="77777777" w:rsidTr="00FF281D">
        <w:tc>
          <w:tcPr>
            <w:tcW w:w="600" w:type="dxa"/>
            <w:shd w:val="clear" w:color="auto" w:fill="auto"/>
            <w:tcMar>
              <w:top w:w="60" w:type="dxa"/>
              <w:left w:w="80" w:type="dxa"/>
              <w:bottom w:w="60" w:type="dxa"/>
              <w:right w:w="80" w:type="dxa"/>
            </w:tcMar>
          </w:tcPr>
          <w:p w14:paraId="2BDC1DFA" w14:textId="6AEA9DCB" w:rsidR="00FF281D" w:rsidRDefault="00FF281D" w:rsidP="00FF281D">
            <w:pPr>
              <w:jc w:val="center"/>
              <w:rPr>
                <w:rFonts w:ascii="Arial" w:eastAsia="Arial" w:hAnsi="Arial" w:cs="Arial"/>
                <w:sz w:val="19"/>
                <w:szCs w:val="19"/>
              </w:rPr>
            </w:pPr>
            <w:r w:rsidRPr="00D31FCE">
              <w:rPr>
                <w:rFonts w:ascii="Arial" w:eastAsia="Arial" w:hAnsi="Arial" w:cs="Arial"/>
                <w:sz w:val="19"/>
                <w:szCs w:val="19"/>
              </w:rPr>
              <w:t>D</w:t>
            </w:r>
          </w:p>
        </w:tc>
        <w:tc>
          <w:tcPr>
            <w:tcW w:w="7960" w:type="dxa"/>
            <w:shd w:val="clear" w:color="auto" w:fill="auto"/>
            <w:tcMar>
              <w:top w:w="60" w:type="dxa"/>
              <w:left w:w="80" w:type="dxa"/>
              <w:bottom w:w="60" w:type="dxa"/>
              <w:right w:w="80" w:type="dxa"/>
            </w:tcMar>
            <w:vAlign w:val="center"/>
          </w:tcPr>
          <w:p w14:paraId="3676BB50" w14:textId="45B4721A" w:rsidR="00FF281D" w:rsidRDefault="00FF281D" w:rsidP="00FF281D">
            <w:pPr>
              <w:jc w:val="both"/>
              <w:rPr>
                <w:rFonts w:ascii="Arial" w:eastAsia="Arial" w:hAnsi="Arial" w:cs="Arial"/>
                <w:sz w:val="19"/>
                <w:szCs w:val="19"/>
              </w:rPr>
            </w:pPr>
            <w:r w:rsidRPr="00D31FCE">
              <w:rPr>
                <w:rFonts w:ascii="Arial" w:hAnsi="Arial" w:cs="Arial"/>
                <w:color w:val="000000"/>
                <w:sz w:val="16"/>
                <w:szCs w:val="16"/>
              </w:rPr>
              <w:t>CERÂMICA ESMALTADA C/ ARG. PRÉ-FABRICADA ATÉ 10x10cm (100cm²) - DECORATIVA - P/ PAREDE</w:t>
            </w:r>
          </w:p>
        </w:tc>
        <w:tc>
          <w:tcPr>
            <w:tcW w:w="800" w:type="dxa"/>
            <w:shd w:val="clear" w:color="auto" w:fill="auto"/>
            <w:tcMar>
              <w:top w:w="60" w:type="dxa"/>
              <w:left w:w="80" w:type="dxa"/>
              <w:bottom w:w="60" w:type="dxa"/>
              <w:right w:w="80" w:type="dxa"/>
            </w:tcMar>
          </w:tcPr>
          <w:p w14:paraId="03FCCE73" w14:textId="368A24F0" w:rsidR="00FF281D" w:rsidRDefault="00FF281D" w:rsidP="00FF281D">
            <w:pPr>
              <w:jc w:val="center"/>
              <w:rPr>
                <w:rFonts w:ascii="Arial" w:eastAsia="Arial" w:hAnsi="Arial" w:cs="Arial"/>
                <w:sz w:val="19"/>
                <w:szCs w:val="19"/>
              </w:rPr>
            </w:pPr>
            <w:r w:rsidRPr="00D31FCE">
              <w:rPr>
                <w:rFonts w:ascii="Arial" w:hAnsi="Arial" w:cs="Arial"/>
                <w:color w:val="000000"/>
                <w:sz w:val="18"/>
                <w:szCs w:val="18"/>
              </w:rPr>
              <w:t>M2</w:t>
            </w:r>
          </w:p>
        </w:tc>
      </w:tr>
      <w:tr w:rsidR="00FF281D" w14:paraId="7430053F" w14:textId="77777777" w:rsidTr="00FF281D">
        <w:tc>
          <w:tcPr>
            <w:tcW w:w="600" w:type="dxa"/>
            <w:shd w:val="clear" w:color="auto" w:fill="auto"/>
            <w:tcMar>
              <w:top w:w="60" w:type="dxa"/>
              <w:left w:w="80" w:type="dxa"/>
              <w:bottom w:w="60" w:type="dxa"/>
              <w:right w:w="80" w:type="dxa"/>
            </w:tcMar>
          </w:tcPr>
          <w:p w14:paraId="47AC6C76" w14:textId="674CDE88" w:rsidR="00FF281D" w:rsidRDefault="00FF281D" w:rsidP="00FF281D">
            <w:pPr>
              <w:jc w:val="center"/>
            </w:pPr>
            <w:r w:rsidRPr="00D31FCE">
              <w:rPr>
                <w:rFonts w:ascii="Arial" w:hAnsi="Arial" w:cs="Arial"/>
              </w:rPr>
              <w:t>E</w:t>
            </w:r>
          </w:p>
        </w:tc>
        <w:tc>
          <w:tcPr>
            <w:tcW w:w="7960" w:type="dxa"/>
            <w:shd w:val="clear" w:color="auto" w:fill="auto"/>
            <w:tcMar>
              <w:top w:w="60" w:type="dxa"/>
              <w:left w:w="80" w:type="dxa"/>
              <w:bottom w:w="60" w:type="dxa"/>
              <w:right w:w="80" w:type="dxa"/>
            </w:tcMar>
            <w:vAlign w:val="center"/>
          </w:tcPr>
          <w:p w14:paraId="3CC9BCFD" w14:textId="62EE76C3" w:rsidR="00FF281D" w:rsidRDefault="00FF281D" w:rsidP="00FF281D">
            <w:pPr>
              <w:jc w:val="both"/>
            </w:pPr>
            <w:r w:rsidRPr="00D31FCE">
              <w:rPr>
                <w:rFonts w:ascii="Arial" w:hAnsi="Arial" w:cs="Arial"/>
                <w:color w:val="000000"/>
                <w:sz w:val="16"/>
                <w:szCs w:val="16"/>
              </w:rPr>
              <w:t>IMPERMEABILIZAÇÃO DE SUPERFÍCIE COM MANTA ASFÁLTICA, DUAS CAMADAS, INCLUSIVE APLICAÇÃO DE PRIMER ASFÁLTICO, E=3MM E E=4MM. AF_09/2023</w:t>
            </w:r>
          </w:p>
        </w:tc>
        <w:tc>
          <w:tcPr>
            <w:tcW w:w="800" w:type="dxa"/>
            <w:shd w:val="clear" w:color="auto" w:fill="auto"/>
            <w:tcMar>
              <w:top w:w="60" w:type="dxa"/>
              <w:left w:w="80" w:type="dxa"/>
              <w:bottom w:w="60" w:type="dxa"/>
              <w:right w:w="80" w:type="dxa"/>
            </w:tcMar>
          </w:tcPr>
          <w:p w14:paraId="226412C0" w14:textId="0062279F" w:rsidR="00FF281D" w:rsidRDefault="00FF281D" w:rsidP="00FF281D">
            <w:pPr>
              <w:jc w:val="center"/>
            </w:pPr>
            <w:r w:rsidRPr="00D31FCE">
              <w:rPr>
                <w:rFonts w:ascii="Arial" w:hAnsi="Arial" w:cs="Arial"/>
                <w:color w:val="000000"/>
                <w:sz w:val="18"/>
                <w:szCs w:val="18"/>
              </w:rPr>
              <w:t>M2</w:t>
            </w:r>
          </w:p>
        </w:tc>
      </w:tr>
    </w:tbl>
    <w:p w14:paraId="7146363F" w14:textId="77777777" w:rsidR="00EF37F1" w:rsidRDefault="00EF37F1" w:rsidP="00EF37F1">
      <w:pPr>
        <w:spacing w:before="80"/>
      </w:pPr>
    </w:p>
    <w:p w14:paraId="2D9C128A" w14:textId="77777777" w:rsidR="00EF37F1" w:rsidRDefault="00EF37F1" w:rsidP="00EF37F1">
      <w:pPr>
        <w:spacing w:before="80" w:after="80"/>
        <w:jc w:val="both"/>
      </w:pPr>
      <w:r>
        <w:rPr>
          <w:rFonts w:ascii="Arial" w:eastAsia="Arial" w:hAnsi="Arial" w:cs="Arial"/>
          <w:b/>
          <w:bCs/>
        </w:rPr>
        <w:t xml:space="preserve">10.2.3  </w:t>
      </w:r>
      <w:r>
        <w:rPr>
          <w:rFonts w:ascii="Arial" w:eastAsia="Arial" w:hAnsi="Arial" w:cs="Arial"/>
        </w:rPr>
        <w:t>O profissional que não estiver elencado no rol de responsáveis técnicos da Certidão de Registro da pessoa jurídica deverá apresentar a devida Certidão de Registro na entidade de classe competente.</w:t>
      </w:r>
    </w:p>
    <w:p w14:paraId="577FF127" w14:textId="77777777" w:rsidR="00EF37F1" w:rsidRDefault="00EF37F1" w:rsidP="00EF37F1">
      <w:pPr>
        <w:spacing w:before="80" w:after="80"/>
        <w:jc w:val="both"/>
      </w:pPr>
      <w:r>
        <w:rPr>
          <w:rFonts w:ascii="Arial" w:eastAsia="Arial" w:hAnsi="Arial" w:cs="Arial"/>
          <w:b/>
          <w:bCs/>
        </w:rPr>
        <w:t xml:space="preserve">10.2.4  </w:t>
      </w:r>
      <w:r>
        <w:rPr>
          <w:rFonts w:ascii="Arial" w:eastAsia="Arial" w:hAnsi="Arial" w:cs="Arial"/>
        </w:rPr>
        <w:t>O profissional indicado pela licitante e habilitado conforme exigências deste item será o Responsável Técnico do Contrato, representando a Contratada junto à Secretaria de Educação e Inovação Pedagógica de Goiana/PE.</w:t>
      </w:r>
    </w:p>
    <w:p w14:paraId="625347C6" w14:textId="77777777" w:rsidR="00EF37F1" w:rsidRDefault="00EF37F1" w:rsidP="00EF37F1">
      <w:pPr>
        <w:spacing w:before="80" w:after="80"/>
        <w:jc w:val="both"/>
      </w:pPr>
      <w:r>
        <w:rPr>
          <w:rFonts w:ascii="Arial" w:eastAsia="Arial" w:hAnsi="Arial" w:cs="Arial"/>
          <w:b/>
          <w:bCs/>
        </w:rPr>
        <w:t xml:space="preserve">10.2.5  </w:t>
      </w:r>
      <w:r>
        <w:rPr>
          <w:rFonts w:ascii="Arial" w:eastAsia="Arial" w:hAnsi="Arial" w:cs="Arial"/>
        </w:rPr>
        <w:t>O representante legal da licitante deverá emitir declaração informando os responsáveis técnicos que atuarão na execução da obra. O nome indicado deverá ser o mesmo constante dos atestados de responsabilidade técnica apresentados para qualificação técnico-profissional.</w:t>
      </w:r>
    </w:p>
    <w:p w14:paraId="2FF55245" w14:textId="77777777" w:rsidR="00EF37F1" w:rsidRDefault="00EF37F1" w:rsidP="00EF37F1">
      <w:pPr>
        <w:spacing w:before="80" w:after="80"/>
        <w:jc w:val="both"/>
      </w:pPr>
      <w:r>
        <w:rPr>
          <w:rFonts w:ascii="Arial" w:eastAsia="Arial" w:hAnsi="Arial" w:cs="Arial"/>
          <w:b/>
          <w:bCs/>
        </w:rPr>
        <w:t xml:space="preserve">10.2.6  </w:t>
      </w:r>
      <w:r>
        <w:rPr>
          <w:rFonts w:ascii="Arial" w:eastAsia="Arial" w:hAnsi="Arial" w:cs="Arial"/>
        </w:rPr>
        <w:t>O vínculo do profissional com a licitante será comprovado por: cópia da carteira de trabalho (empregado); contrato social (sócio); contrato de prestação de serviços celebrado conforme a legislação civil comum; ou compromisso formal de futura contratação do profissional indicado.</w:t>
      </w:r>
    </w:p>
    <w:p w14:paraId="7161E4A6" w14:textId="77777777" w:rsidR="00EF37F1" w:rsidRDefault="00EF37F1" w:rsidP="00EF37F1">
      <w:pPr>
        <w:spacing w:before="80" w:after="80"/>
        <w:jc w:val="both"/>
      </w:pPr>
      <w:r>
        <w:rPr>
          <w:rFonts w:ascii="Arial" w:eastAsia="Arial" w:hAnsi="Arial" w:cs="Arial"/>
          <w:b/>
          <w:bCs/>
        </w:rPr>
        <w:t xml:space="preserve">10.2.7  </w:t>
      </w:r>
      <w:r>
        <w:rPr>
          <w:rFonts w:ascii="Arial" w:eastAsia="Arial" w:hAnsi="Arial" w:cs="Arial"/>
        </w:rPr>
        <w:t>A relação contendo a indicação do(s) responsável(is) técnico(s) deverá ser acompanhada de declaração de aceitação de seu nome na equipe para a realização do objeto.</w:t>
      </w:r>
    </w:p>
    <w:p w14:paraId="538DAE5D" w14:textId="77777777" w:rsidR="00EF37F1" w:rsidRDefault="00EF37F1" w:rsidP="00EF37F1">
      <w:pPr>
        <w:spacing w:before="80" w:after="80"/>
        <w:jc w:val="both"/>
      </w:pPr>
      <w:r>
        <w:rPr>
          <w:rFonts w:ascii="Arial" w:eastAsia="Arial" w:hAnsi="Arial" w:cs="Arial"/>
          <w:b/>
          <w:bCs/>
        </w:rPr>
        <w:t xml:space="preserve">10.2.8  </w:t>
      </w:r>
      <w:r>
        <w:rPr>
          <w:rFonts w:ascii="Arial" w:eastAsia="Arial" w:hAnsi="Arial" w:cs="Arial"/>
        </w:rPr>
        <w:t>Não serão admitidos atestados de responsabilidade técnica de profissionais que tenham dado causa à aplicação das sanções previstas nos incisos III e IV do caput do art. 156 da Lei Federal nº 14.133/2021, em decorrência de orientação proposta, de prescrição técnica ou de qualquer ato profissional de sua responsabilidade.</w:t>
      </w:r>
    </w:p>
    <w:p w14:paraId="7D66FB93" w14:textId="77777777" w:rsidR="00EF37F1" w:rsidRDefault="00EF37F1" w:rsidP="00EF37F1">
      <w:pPr>
        <w:spacing w:before="80" w:after="80"/>
        <w:jc w:val="both"/>
      </w:pPr>
      <w:r>
        <w:rPr>
          <w:rFonts w:ascii="Arial" w:eastAsia="Arial" w:hAnsi="Arial" w:cs="Arial"/>
          <w:b/>
          <w:bCs/>
        </w:rPr>
        <w:t xml:space="preserve">10.2.9  </w:t>
      </w:r>
      <w:r>
        <w:rPr>
          <w:rFonts w:ascii="Arial" w:eastAsia="Arial" w:hAnsi="Arial" w:cs="Arial"/>
        </w:rPr>
        <w:t>Os profissionais indicados deverão participar da execução dos serviços, sendo admitida sua substituição apenas por profissional de experiência equivalente ou superior, desde que aprovada pela Administração.</w:t>
      </w:r>
    </w:p>
    <w:p w14:paraId="72CE35C7" w14:textId="77777777" w:rsidR="00EF37F1" w:rsidRDefault="00EF37F1" w:rsidP="00EF37F1">
      <w:pPr>
        <w:spacing w:before="80" w:after="80"/>
        <w:jc w:val="both"/>
      </w:pPr>
      <w:r>
        <w:rPr>
          <w:rFonts w:ascii="Arial" w:eastAsia="Arial" w:hAnsi="Arial" w:cs="Arial"/>
          <w:b/>
          <w:bCs/>
        </w:rPr>
        <w:t xml:space="preserve">10.2.10  </w:t>
      </w:r>
      <w:r>
        <w:rPr>
          <w:rFonts w:ascii="Arial" w:eastAsia="Arial" w:hAnsi="Arial" w:cs="Arial"/>
        </w:rPr>
        <w:t>É vedada a indicação de um mesmo profissional por mais de uma empresa licitante, sob pena de inabilitação das licitantes envolvidas.</w:t>
      </w:r>
    </w:p>
    <w:p w14:paraId="6BF20B67" w14:textId="77777777" w:rsidR="00EF37F1" w:rsidRDefault="00EF37F1" w:rsidP="00EF37F1">
      <w:pPr>
        <w:spacing w:before="80" w:after="80"/>
        <w:jc w:val="both"/>
      </w:pPr>
      <w:r>
        <w:rPr>
          <w:rFonts w:ascii="Arial" w:eastAsia="Arial" w:hAnsi="Arial" w:cs="Arial"/>
          <w:b/>
          <w:bCs/>
        </w:rPr>
        <w:t xml:space="preserve">10.2.11  </w:t>
      </w:r>
      <w:r>
        <w:rPr>
          <w:rFonts w:ascii="Arial" w:eastAsia="Arial" w:hAnsi="Arial" w:cs="Arial"/>
        </w:rPr>
        <w:t>Não serão aceitos Atestados de Capacidade Técnica operacional e/ou profissional emitidos pela licitante em seu próprio nome, pelo mesmo grupo econômico, ou que não tenham se originado de contratação fidedigna.</w:t>
      </w:r>
    </w:p>
    <w:p w14:paraId="01C86866"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11. DAS DECLARAÇÕES E VISTORIA TÉCNICA</w:t>
      </w:r>
      <w:bookmarkEnd w:id="20"/>
      <w:bookmarkEnd w:id="21"/>
    </w:p>
    <w:p w14:paraId="0059CA9B" w14:textId="77777777" w:rsidR="00F20C26" w:rsidRDefault="00AE7ABF">
      <w:pPr>
        <w:spacing w:before="80" w:after="80"/>
        <w:jc w:val="both"/>
      </w:pPr>
      <w:r>
        <w:rPr>
          <w:rFonts w:ascii="Arial" w:eastAsia="Arial" w:hAnsi="Arial" w:cs="Arial"/>
        </w:rPr>
        <w:lastRenderedPageBreak/>
        <w:t>A licitante deverá apresentar declaração formal de que analisou todas as peças técnicas (projeto arquitetônico, memorial descritivo, planilhas orçamentárias, cronograma e demais documentos) e está em plena concordância, sem impedimento técnico, jurídico ou financeiro para a execução dos serviços nas condições previstas neste Projeto Básico.</w:t>
      </w:r>
    </w:p>
    <w:p w14:paraId="0FBE3C9C" w14:textId="77777777" w:rsidR="00F20C26" w:rsidRDefault="00AE7ABF">
      <w:pPr>
        <w:spacing w:before="80" w:after="80"/>
        <w:jc w:val="both"/>
      </w:pPr>
      <w:r>
        <w:rPr>
          <w:rFonts w:ascii="Arial" w:eastAsia="Arial" w:hAnsi="Arial" w:cs="Arial"/>
        </w:rPr>
        <w:t>A empresa vencedora ficará responsável por realizar, antes do início de cada etapa, a verificação das condições locais do imóvel, assumindo integral responsabilidade pela correta execução dos serviços de acordo com o Projeto Básico aprovado.</w:t>
      </w:r>
    </w:p>
    <w:p w14:paraId="1027DBCD" w14:textId="77777777" w:rsidR="00F20C26" w:rsidRDefault="00AE7ABF">
      <w:pPr>
        <w:spacing w:before="80" w:after="80"/>
        <w:jc w:val="both"/>
      </w:pPr>
      <w:r>
        <w:rPr>
          <w:rFonts w:ascii="Arial" w:eastAsia="Arial" w:hAnsi="Arial" w:cs="Arial"/>
        </w:rPr>
        <w:t>É facultativa a realização de vistoria técnica prévia ao imóvel, que será disponibilizado para este fim mediante agendamento junto à Secretaria de Educação e Inovação Pedagógica. A não realização da vistoria não eximirá a licitante da responsabilidade pelo pleno conhecimento das condições locais.</w:t>
      </w:r>
    </w:p>
    <w:p w14:paraId="6427F45A"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22" w:name="_Toc99900012"/>
      <w:bookmarkStart w:id="23" w:name="_Toc230937835"/>
      <w:r>
        <w:rPr>
          <w:rFonts w:ascii="Arial" w:eastAsia="Arial" w:hAnsi="Arial" w:cs="Arial"/>
          <w:b/>
          <w:bCs/>
          <w:color w:val="1F3864"/>
          <w:sz w:val="28"/>
          <w:szCs w:val="28"/>
        </w:rPr>
        <w:t>12. DA PROPOSTA DE PREÇOS</w:t>
      </w:r>
      <w:bookmarkEnd w:id="22"/>
      <w:bookmarkEnd w:id="23"/>
    </w:p>
    <w:p w14:paraId="6BD61954" w14:textId="77777777" w:rsidR="00F20C26" w:rsidRDefault="00AE7ABF">
      <w:pPr>
        <w:spacing w:before="80" w:after="80"/>
        <w:jc w:val="both"/>
      </w:pPr>
      <w:r>
        <w:rPr>
          <w:rFonts w:ascii="Arial" w:eastAsia="Arial" w:hAnsi="Arial" w:cs="Arial"/>
        </w:rPr>
        <w:t>A Proposta de Preços deverá ser apresentada em língua portuguesa, contendo:</w:t>
      </w:r>
    </w:p>
    <w:p w14:paraId="0F96964B"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Planilha Orçamentária com preços unitários e totais, abrangendo todos os serviços, materiais, equipamentos e encargos;</w:t>
      </w:r>
    </w:p>
    <w:p w14:paraId="1F106894"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Cronograma Físico-Financeiro com indicação de valores e percentuais de desembolso mensal e acumulado;</w:t>
      </w:r>
    </w:p>
    <w:p w14:paraId="5388CB7C"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Planilha de Composição de Custos Unitários, comprovando a exequibilidade da proposta;</w:t>
      </w:r>
    </w:p>
    <w:p w14:paraId="41F32618"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Detalhamento analítico do BDI e dos encargos sociais, conforme Acórdãos TCU nº 2.622/2013 e nº 950/2013-Plenário;</w:t>
      </w:r>
    </w:p>
    <w:p w14:paraId="28093C97"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Prazo de validade da proposta de, no mínimo, 120 (cento e vinte) dias a contar da data de sua entrega.</w:t>
      </w:r>
    </w:p>
    <w:p w14:paraId="0566267B" w14:textId="77777777" w:rsidR="00F20C26" w:rsidRDefault="00AE7ABF">
      <w:pPr>
        <w:spacing w:before="80" w:after="80"/>
        <w:jc w:val="both"/>
      </w:pPr>
      <w:r>
        <w:rPr>
          <w:rFonts w:ascii="Arial" w:eastAsia="Arial" w:hAnsi="Arial" w:cs="Arial"/>
        </w:rPr>
        <w:t>Exequibilidade: a análise de exequibilidade das propostas seguirá os critérios objetivos estabelecidos na seção 5 deste Projeto Básico (descontos superiores a 15% e a 25% sobre o valor de referência). Para obras e serviços de engenharia, a verificação de exequibilidade é realizada mediante confronto da planilha analítica com os custos referenciais SINAPI, e não pela aplicação automática do percentual do art. 59, §4º, da Lei nº 14.133/2021 — dispositivo destinado a contratações de bens e serviços sem fornecimento de mão de obra em regime de dedicação exclusiva. Garantia adicional poderá ser exigida quando identificado risco concreto de inexequibilidade, nos termos do art. 59, §5º, da Lei nº 14.133/2021.</w:t>
      </w:r>
    </w:p>
    <w:p w14:paraId="3ADEE3F2"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24" w:name="_Toc99900013"/>
      <w:bookmarkStart w:id="25" w:name="_Toc230937836"/>
      <w:r>
        <w:rPr>
          <w:rFonts w:ascii="Arial" w:eastAsia="Arial" w:hAnsi="Arial" w:cs="Arial"/>
          <w:b/>
          <w:bCs/>
          <w:color w:val="1F3864"/>
          <w:sz w:val="28"/>
          <w:szCs w:val="28"/>
        </w:rPr>
        <w:t>13. DOS PAGAMENTOS</w:t>
      </w:r>
      <w:bookmarkEnd w:id="24"/>
      <w:bookmarkEnd w:id="25"/>
    </w:p>
    <w:p w14:paraId="13DB9BA6" w14:textId="77777777" w:rsidR="00F20C26" w:rsidRDefault="00AE7ABF">
      <w:pPr>
        <w:spacing w:before="80" w:after="80"/>
        <w:jc w:val="both"/>
      </w:pPr>
      <w:r>
        <w:rPr>
          <w:rFonts w:ascii="Arial" w:eastAsia="Arial" w:hAnsi="Arial" w:cs="Arial"/>
        </w:rPr>
        <w:t>Os pagamentos serão realizados conforme medições mensais dos serviços executados e aprovados pela Fiscalização, mediante apresentação de Nota Fiscal e boletim de medição, observadas as condições previstas neste Projeto Básico e no contrato.</w:t>
      </w:r>
    </w:p>
    <w:p w14:paraId="6AEEF5E3" w14:textId="77777777" w:rsidR="00F20C26" w:rsidRDefault="00AE7ABF">
      <w:pPr>
        <w:spacing w:before="80" w:after="80"/>
        <w:jc w:val="both"/>
      </w:pPr>
      <w:r>
        <w:rPr>
          <w:rFonts w:ascii="Arial" w:eastAsia="Arial" w:hAnsi="Arial" w:cs="Arial"/>
        </w:rPr>
        <w:t>Após a entrega do boletim de medição, a Fiscalização terá até 10 (dez) dias úteis para análise, conferência e atesto. O pagamento será efetuado no prazo máximo de 30 (trinta) dias, contados da liquidação da despesa.</w:t>
      </w:r>
    </w:p>
    <w:p w14:paraId="6C5BE359" w14:textId="77777777" w:rsidR="00F20C26" w:rsidRDefault="00AE7ABF">
      <w:pPr>
        <w:spacing w:before="80" w:after="80"/>
        <w:jc w:val="both"/>
      </w:pPr>
      <w:r>
        <w:rPr>
          <w:rFonts w:ascii="Arial" w:eastAsia="Arial" w:hAnsi="Arial" w:cs="Arial"/>
        </w:rPr>
        <w:t>Constituem condições para o pagamento da primeira medição: ART/RRT de execução; comprovação de CNO (Cadastro Nacional de Obras); CND do INSS; FGTS regular; seguro de responsabilidade civil e garantia contratual quando exigida. O pagamento da última medição ficará condicionado à aprovação do recebimento provisório e à entrega de todos os entregáveis técnicos finais.</w:t>
      </w:r>
    </w:p>
    <w:p w14:paraId="1C2DBE1A" w14:textId="77777777" w:rsidR="00F20C26" w:rsidRDefault="00AE7ABF">
      <w:pPr>
        <w:spacing w:before="80" w:after="80"/>
        <w:jc w:val="both"/>
      </w:pPr>
      <w:r>
        <w:rPr>
          <w:rFonts w:ascii="Arial" w:eastAsia="Arial" w:hAnsi="Arial" w:cs="Arial"/>
        </w:rPr>
        <w:t>A Administração poderá promover retenções, glosas ou suspensão de pagamento quando constatadas inconformidades técnicas, ausência de documentação obrigatória ou serviços rejeitados.</w:t>
      </w:r>
    </w:p>
    <w:p w14:paraId="21E2AD29"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26" w:name="_Toc99900014"/>
      <w:bookmarkStart w:id="27" w:name="_Toc230937837"/>
      <w:r>
        <w:rPr>
          <w:rFonts w:ascii="Arial" w:eastAsia="Arial" w:hAnsi="Arial" w:cs="Arial"/>
          <w:b/>
          <w:bCs/>
          <w:color w:val="1F3864"/>
          <w:sz w:val="28"/>
          <w:szCs w:val="28"/>
        </w:rPr>
        <w:t>14. DO REAJUSTAMENTO E REEQUILÍBRIO ECONÔMICO-FINANCEIRO</w:t>
      </w:r>
      <w:bookmarkEnd w:id="26"/>
      <w:bookmarkEnd w:id="27"/>
    </w:p>
    <w:p w14:paraId="1019BCD6" w14:textId="77777777" w:rsidR="00F20C26" w:rsidRDefault="00AE7ABF">
      <w:pPr>
        <w:spacing w:before="80" w:after="80"/>
        <w:jc w:val="both"/>
      </w:pPr>
      <w:r>
        <w:rPr>
          <w:rFonts w:ascii="Arial" w:eastAsia="Arial" w:hAnsi="Arial" w:cs="Arial"/>
        </w:rPr>
        <w:t xml:space="preserve">Os preços contratados serão reajustados após decorridos 12 (doze) meses da data-base do orçamento estimativo da contratação (SINAPI/PE — Março/2026), nos termos do art. 25, §7º, da Lei nº 14.133/2021. </w:t>
      </w:r>
      <w:r>
        <w:rPr>
          <w:rFonts w:ascii="Arial" w:eastAsia="Arial" w:hAnsi="Arial" w:cs="Arial"/>
        </w:rPr>
        <w:lastRenderedPageBreak/>
        <w:t>Para fins de reajuste, será adotado o Índice Nacional da Construção Civil — INCC-DI, divulgado pela Fundação Getúlio Vargas — FGV.</w:t>
      </w:r>
    </w:p>
    <w:p w14:paraId="466E2766" w14:textId="77777777" w:rsidR="00F20C26" w:rsidRDefault="00AE7ABF">
      <w:pPr>
        <w:spacing w:before="80" w:after="80"/>
        <w:jc w:val="both"/>
      </w:pPr>
      <w:r>
        <w:rPr>
          <w:rFonts w:ascii="Arial" w:eastAsia="Arial" w:hAnsi="Arial" w:cs="Arial"/>
        </w:rPr>
        <w:t>O reajuste incidirá exclusivamente sobre as parcelas ainda não executadas do contrato, sendo calculado pela fórmula: R = V × (I1 - I0) / I0, onde R é o valor do reajustamento, V é o valor contratual da parcela, I1 é o índice INCC-DI do mês de reajuste e I0 é o índice INCC-DI da data-base do orçamento.</w:t>
      </w:r>
    </w:p>
    <w:p w14:paraId="0AEA3CBD" w14:textId="77777777" w:rsidR="00F20C26" w:rsidRDefault="00AE7ABF">
      <w:pPr>
        <w:spacing w:before="80" w:after="80"/>
        <w:jc w:val="both"/>
      </w:pPr>
      <w:r>
        <w:rPr>
          <w:rFonts w:ascii="Arial" w:eastAsia="Arial" w:hAnsi="Arial" w:cs="Arial"/>
        </w:rPr>
        <w:t>Nos casos de desequilíbrio econômico-financeiro devidamente comprovado, decorrente de fato superveniente, imprevisível ou de consequências incalculáveis, poderá ser restabelecida a relação econômico-financeira inicialmente pactuada, nos termos do art. 124, II, 'd', da Lei nº 14.133/2021, mediante formalização de termo aditivo ou apostilamento.</w:t>
      </w:r>
    </w:p>
    <w:p w14:paraId="5728D97A"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28" w:name="_Toc99900015"/>
      <w:bookmarkStart w:id="29" w:name="_Toc230937838"/>
      <w:r>
        <w:rPr>
          <w:rFonts w:ascii="Arial" w:eastAsia="Arial" w:hAnsi="Arial" w:cs="Arial"/>
          <w:b/>
          <w:bCs/>
          <w:color w:val="1F3864"/>
          <w:sz w:val="28"/>
          <w:szCs w:val="28"/>
        </w:rPr>
        <w:t>15. DO RECEBIMENTO DO OBJETO</w:t>
      </w:r>
      <w:bookmarkEnd w:id="28"/>
      <w:bookmarkEnd w:id="29"/>
    </w:p>
    <w:p w14:paraId="552C0DB6" w14:textId="77777777" w:rsidR="00F20C26" w:rsidRDefault="00AE7ABF">
      <w:pPr>
        <w:spacing w:before="80" w:after="80"/>
        <w:jc w:val="both"/>
      </w:pPr>
      <w:r>
        <w:rPr>
          <w:rFonts w:ascii="Arial" w:eastAsia="Arial" w:hAnsi="Arial" w:cs="Arial"/>
        </w:rPr>
        <w:t>A Contratante, por meio do responsável pela fiscalização, providenciará Termo Circunstanciado de Recebimento Provisório no prazo máximo de 15 (quinze) dias contados da solicitação da Contratada, após a entrega de todos os entregáveis mínimos. Efetuado o recebimento provisório, haverá período de observação de até 60 (sessenta) dias, nos termos do art. 119 da Lei nº 14.133/2021.</w:t>
      </w:r>
    </w:p>
    <w:p w14:paraId="1616EAA4"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15.1  Do Recebimento Provisório</w:t>
      </w:r>
    </w:p>
    <w:p w14:paraId="08346229" w14:textId="77777777" w:rsidR="00F20C26" w:rsidRDefault="00AE7ABF">
      <w:pPr>
        <w:spacing w:before="80" w:after="80"/>
        <w:jc w:val="both"/>
      </w:pPr>
      <w:r>
        <w:rPr>
          <w:rFonts w:ascii="Arial" w:eastAsia="Arial" w:hAnsi="Arial" w:cs="Arial"/>
        </w:rPr>
        <w:t>O recebimento provisório ficará condicionado à verificação das especificações técnicas e à apresentação dos entregáveis mínimos, incluindo: relatório técnico de execução; registros fotográficos de todas as etapas; ART/RRT de execução; laudo elétrico e hidráulico; relatório de conformidade de acessibilidade; e Diário de Obra atualizado. O recebimento provisório não implica aceitação definitiva.</w:t>
      </w:r>
    </w:p>
    <w:p w14:paraId="5CA6646F" w14:textId="77777777" w:rsidR="00F20C26" w:rsidRDefault="00AE7ABF">
      <w:pPr>
        <w:spacing w:before="160" w:after="80"/>
        <w:rPr>
          <w:rFonts w:ascii="Arial" w:eastAsia="Arial" w:hAnsi="Arial" w:cs="Arial"/>
          <w:b/>
          <w:bCs/>
          <w:color w:val="2E5496"/>
        </w:rPr>
      </w:pPr>
      <w:r>
        <w:rPr>
          <w:rFonts w:ascii="Arial" w:eastAsia="Arial" w:hAnsi="Arial" w:cs="Arial"/>
          <w:b/>
          <w:bCs/>
          <w:color w:val="2E5496"/>
        </w:rPr>
        <w:t>15.2  Do Recebimento Definitivo</w:t>
      </w:r>
    </w:p>
    <w:p w14:paraId="7667D03C" w14:textId="77777777" w:rsidR="00F20C26" w:rsidRDefault="00AE7ABF">
      <w:pPr>
        <w:spacing w:before="80" w:after="80"/>
        <w:jc w:val="both"/>
      </w:pPr>
      <w:r>
        <w:rPr>
          <w:rFonts w:ascii="Arial" w:eastAsia="Arial" w:hAnsi="Arial" w:cs="Arial"/>
        </w:rPr>
        <w:t>O recebimento definitivo ocorrerá após o período de observação, condicionado à correção de pendências, apresentação de As-Built, CND da Obra (INSS/PCND) e CRS/FGTS, e ao pleno funcionamento de todos os sistemas instalados. Será formalizado por Termo de Recebimento Definitivo. Mesmo após o recebimento definitivo, a Contratada permanece responsável por vícios ocultos e defeitos constatados posteriormente.</w:t>
      </w:r>
    </w:p>
    <w:p w14:paraId="07AC8CCE"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30" w:name="_Toc99900016"/>
      <w:bookmarkStart w:id="31" w:name="_Toc230937839"/>
      <w:r>
        <w:rPr>
          <w:rFonts w:ascii="Arial" w:eastAsia="Arial" w:hAnsi="Arial" w:cs="Arial"/>
          <w:b/>
          <w:bCs/>
          <w:color w:val="1F3864"/>
          <w:sz w:val="28"/>
          <w:szCs w:val="28"/>
        </w:rPr>
        <w:t>16. DO ACOMPANHAMENTO E FISCALIZAÇÃO DOS SERVIÇOS</w:t>
      </w:r>
      <w:bookmarkEnd w:id="30"/>
      <w:bookmarkEnd w:id="31"/>
    </w:p>
    <w:p w14:paraId="07779A31"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16.1  Designação e Identificação do Fiscal Titular</w:t>
      </w:r>
    </w:p>
    <w:p w14:paraId="1262F26A" w14:textId="77777777" w:rsidR="00822E99" w:rsidRDefault="00822E99" w:rsidP="00822E99">
      <w:pPr>
        <w:spacing w:before="80" w:after="60"/>
        <w:jc w:val="both"/>
        <w:rPr>
          <w:rFonts w:ascii="Arial" w:eastAsia="Arial" w:hAnsi="Arial" w:cs="Arial"/>
        </w:rPr>
      </w:pPr>
      <w:r>
        <w:rPr>
          <w:rFonts w:ascii="Arial" w:eastAsia="Arial" w:hAnsi="Arial" w:cs="Arial"/>
        </w:rPr>
        <w:t xml:space="preserve">O acompanhamento e a fiscalização do contrato decorrente desta licitação serão exercidos pelo </w:t>
      </w:r>
      <w:r>
        <w:rPr>
          <w:rFonts w:ascii="Arial" w:eastAsia="Arial" w:hAnsi="Arial" w:cs="Arial"/>
          <w:b/>
          <w:bCs/>
        </w:rPr>
        <w:t>Engenheiro Civil Marcelo Ferreira da Silva Júnior</w:t>
      </w:r>
      <w:r>
        <w:rPr>
          <w:rFonts w:ascii="Arial" w:eastAsia="Arial" w:hAnsi="Arial" w:cs="Arial"/>
        </w:rPr>
        <w:t>, inscrito no CREA sob o nº 161.780.363-4, designado Assessor Especial da Secretaria de Educação e Inovação Pedagógica do Município de Goiana/PE pela Portaria nº 967/2026, na função de Fiscal Titular do contrato, nos termos dos arts. 117 e 119 da Lei nº 14.133/2021.</w:t>
      </w:r>
    </w:p>
    <w:p w14:paraId="78FA9137" w14:textId="7B77FE8F" w:rsidR="00822E99" w:rsidRDefault="00822E99" w:rsidP="00822E99">
      <w:pPr>
        <w:spacing w:before="60" w:after="60"/>
        <w:jc w:val="both"/>
        <w:rPr>
          <w:rFonts w:ascii="Arial" w:eastAsia="Arial" w:hAnsi="Arial" w:cs="Arial"/>
        </w:rPr>
      </w:pPr>
      <w:r>
        <w:rPr>
          <w:rFonts w:ascii="Arial" w:eastAsia="Arial" w:hAnsi="Arial" w:cs="Arial"/>
        </w:rPr>
        <w:t>Na ausência ou impedimento do Fiscal Titular, suas atribuições serão exercidas pelo suplente designado pela Secretaria de Educação mediante ato administrativo específico, sem necessidade de aditamento contratual.</w:t>
      </w:r>
    </w:p>
    <w:p w14:paraId="3FA1DA79" w14:textId="77777777" w:rsidR="00822E99" w:rsidRDefault="00822E99" w:rsidP="00822E99">
      <w:pPr>
        <w:spacing w:before="60" w:after="60"/>
        <w:rPr>
          <w:rFonts w:ascii="Arial" w:eastAsia="Arial" w:hAnsi="Arial" w:cs="Arial"/>
        </w:rPr>
      </w:pPr>
    </w:p>
    <w:p w14:paraId="3F473896"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16.2  Atribuições da Fiscalização</w:t>
      </w:r>
    </w:p>
    <w:p w14:paraId="2A52AA29" w14:textId="77777777" w:rsidR="00822E99" w:rsidRDefault="00822E99" w:rsidP="00822E99">
      <w:pPr>
        <w:spacing w:before="80" w:after="40"/>
        <w:jc w:val="both"/>
        <w:rPr>
          <w:rFonts w:ascii="Arial" w:eastAsia="Arial" w:hAnsi="Arial" w:cs="Arial"/>
        </w:rPr>
      </w:pPr>
      <w:r>
        <w:rPr>
          <w:rFonts w:ascii="Arial" w:eastAsia="Arial" w:hAnsi="Arial" w:cs="Arial"/>
        </w:rPr>
        <w:t>Compete à Fiscalização, sem prejuízo de outras atribuições previstas em lei e no instrumento contratual, exercer as seguintes funções durante toda a vigência do contrato:</w:t>
      </w:r>
    </w:p>
    <w:p w14:paraId="4056AE4D"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Emitir a Ordem de Serviço autorizando o início dos trabalhos, após verificação das condições de canteiro, ART/RRT de execução e demais documentos exigidos na primeira medição;</w:t>
      </w:r>
    </w:p>
    <w:p w14:paraId="58699DC8"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Acompanhar sistematicamente a execução de cada etapa da obra, verificando conformidade com os projetos aprovados, as especificações técnicas do Projeto Básico e o Memorial Descritivo;</w:t>
      </w:r>
    </w:p>
    <w:p w14:paraId="66D6EB61"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Rejeitar, no todo ou em parte, materiais, serviços ou etapas executadas em desconformidade com as especificações ou com os projetos, determinando a correção às expensas exclusivas da Contratada, sem direito a prazo adicional;</w:t>
      </w:r>
    </w:p>
    <w:p w14:paraId="5E10CD64"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lastRenderedPageBreak/>
        <w:t>Solicitar testes, ensaios, laudos e verificações técnicas que entender necessários, inclusive os de controle tecnológico previstos na seção 22.7 deste Projeto Básico, podendo exigir a paralisação do serviço seguinte até a apresentação dos resultados;</w:t>
      </w:r>
    </w:p>
    <w:p w14:paraId="45A45769"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Analisar e atestar os boletins de medição, o Diário de Obra e toda a documentação técnica apresentada pela Contratada, devolvendo-os com ressalvas fundamentadas quando apresentarem inconformidades;</w:t>
      </w:r>
    </w:p>
    <w:p w14:paraId="4CBA2811"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Registrar no Diário de Obra todas as ocorrências, notificações, determinações, orientações técnicas e ressalvas relacionadas à execução, com data e rubrica;</w:t>
      </w:r>
    </w:p>
    <w:p w14:paraId="1C9FF49C"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Verificar o cumprimento das normas de segurança do trabalho (NR-18, NR-35 e demais aplicáveis), podendo determinar a paralisação de frente de serviço em caso de risco iminente à integridade dos trabalhadores;</w:t>
      </w:r>
    </w:p>
    <w:p w14:paraId="3F77D5BF"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Verificar a regularidade trabalhista e previdenciária da Contratada a cada medição, exigindo as certidões previstas no kit de medição (seção 9.1) e consultando o Cadastro de Empregadores da Lista Suja do MTE (Portaria Interministerial MTE/MDHC/MIR nº 18/2024) nos termos do item 4.1 deste Projeto Básico;</w:t>
      </w:r>
    </w:p>
    <w:p w14:paraId="734FC864"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Emitir Termos de Recebimento Provisório e Definitivo, nas condições e prazos definidos na seção 15 deste Projeto Básico;</w:t>
      </w:r>
    </w:p>
    <w:p w14:paraId="56C79385"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Instruir o processo administrativo sancionatório sempre que constatar descumprimento contratual, nos termos da seção 23 deste Projeto Básico.</w:t>
      </w:r>
    </w:p>
    <w:p w14:paraId="4173446F" w14:textId="77777777" w:rsidR="00822E99" w:rsidRDefault="00822E99" w:rsidP="00822E99">
      <w:pPr>
        <w:spacing w:before="60" w:after="60"/>
        <w:rPr>
          <w:rFonts w:ascii="Arial" w:eastAsia="Arial" w:hAnsi="Arial" w:cs="Arial"/>
        </w:rPr>
      </w:pPr>
    </w:p>
    <w:p w14:paraId="7E153E79"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16.3  Limites da Atuação da Fiscalização</w:t>
      </w:r>
    </w:p>
    <w:p w14:paraId="100A943B" w14:textId="77777777" w:rsidR="00822E99" w:rsidRDefault="00822E99" w:rsidP="00822E99">
      <w:pPr>
        <w:spacing w:before="80" w:after="60"/>
        <w:jc w:val="both"/>
        <w:rPr>
          <w:rFonts w:ascii="Arial" w:eastAsia="Arial" w:hAnsi="Arial" w:cs="Arial"/>
        </w:rPr>
      </w:pPr>
      <w:r>
        <w:rPr>
          <w:rFonts w:ascii="Arial" w:eastAsia="Arial" w:hAnsi="Arial" w:cs="Arial"/>
        </w:rPr>
        <w:t>A atuação da Fiscalização não exclui nem reduz a responsabilidade técnica, civil, administrativa e contratual da Contratada pela correta execução dos serviços, pelos danos causados à Administração ou a terceiros e pelo cumprimento integral de todas as obrigações assumidas no contrato — art. 120 da Lei nº 14.133/2021.</w:t>
      </w:r>
    </w:p>
    <w:p w14:paraId="01174048" w14:textId="08DC7073" w:rsidR="00F20C26" w:rsidRDefault="00822E99" w:rsidP="00822E99">
      <w:pPr>
        <w:spacing w:before="80" w:after="80"/>
        <w:jc w:val="both"/>
      </w:pPr>
      <w:r>
        <w:rPr>
          <w:rFonts w:ascii="Arial" w:eastAsia="Arial" w:hAnsi="Arial" w:cs="Arial"/>
        </w:rPr>
        <w:t>As decisões técnicas da Fiscalização que exorbitem os limites deste Projeto Básico, impliquem alteração do objeto ou gerem ônus financeiro não previsto somente produzirão efeitos após aprovação formal pela autoridade competente da Secretaria de Educação e Inovação Pedagógica, vedada a execução de serviços extras sem instrumento aditivo prévio.</w:t>
      </w:r>
    </w:p>
    <w:p w14:paraId="7409B709"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32" w:name="_Toc99900017"/>
      <w:bookmarkStart w:id="33" w:name="_Toc230937840"/>
      <w:r>
        <w:rPr>
          <w:rFonts w:ascii="Arial" w:eastAsia="Arial" w:hAnsi="Arial" w:cs="Arial"/>
          <w:b/>
          <w:bCs/>
          <w:color w:val="1F3864"/>
          <w:sz w:val="28"/>
          <w:szCs w:val="28"/>
        </w:rPr>
        <w:t>17. DO DIÁRIO DE OBRA E REGISTROS TÉCNICOS</w:t>
      </w:r>
      <w:bookmarkEnd w:id="32"/>
      <w:bookmarkEnd w:id="33"/>
    </w:p>
    <w:p w14:paraId="33BFCCE8" w14:textId="77777777" w:rsidR="00F20C26" w:rsidRDefault="00AE7ABF">
      <w:pPr>
        <w:spacing w:before="80" w:after="80"/>
        <w:jc w:val="both"/>
      </w:pPr>
      <w:r>
        <w:rPr>
          <w:rFonts w:ascii="Arial" w:eastAsia="Arial" w:hAnsi="Arial" w:cs="Arial"/>
        </w:rPr>
        <w:t>A Contratada deverá manter Diário de Obra atualizado durante toda a execução, em meio físico ou eletrônico disponível para consulta imediata da Fiscalização. O Diário deverá conter, no mínimo:</w:t>
      </w:r>
    </w:p>
    <w:p w14:paraId="6024B03A"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Data das atividades executadas e identificação do trecho/ambiente da obra;</w:t>
      </w:r>
    </w:p>
    <w:p w14:paraId="7A899A00"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Nome dos profissionais presentes, incluindo o Responsável Técnico;</w:t>
      </w:r>
    </w:p>
    <w:p w14:paraId="0BE5F8A6"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Serviços executados e materiais utilizados;</w:t>
      </w:r>
    </w:p>
    <w:p w14:paraId="1080BB85"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Intercorrências técnicas, paralisações e respectivas justificativas;</w:t>
      </w:r>
    </w:p>
    <w:p w14:paraId="35A68E2C"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Condições climáticas que impactem a execução;</w:t>
      </w:r>
    </w:p>
    <w:p w14:paraId="51A8F1F2"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Orientações emitidas pela Fiscalização;</w:t>
      </w:r>
    </w:p>
    <w:p w14:paraId="5956A116" w14:textId="77777777" w:rsidR="00F20C26" w:rsidRDefault="00AE7ABF">
      <w:pPr>
        <w:pStyle w:val="PargrafodaLista"/>
        <w:numPr>
          <w:ilvl w:val="0"/>
          <w:numId w:val="2"/>
        </w:numPr>
        <w:spacing w:before="60" w:after="60"/>
        <w:jc w:val="both"/>
        <w:rPr>
          <w:rFonts w:ascii="Arial" w:eastAsia="Arial" w:hAnsi="Arial" w:cs="Arial"/>
        </w:rPr>
      </w:pPr>
      <w:r>
        <w:rPr>
          <w:rFonts w:ascii="Arial" w:eastAsia="Arial" w:hAnsi="Arial" w:cs="Arial"/>
        </w:rPr>
        <w:t>Registro de testes operacionais realizados (elétrico, hidráulico, estrutural).</w:t>
      </w:r>
    </w:p>
    <w:p w14:paraId="6B6EB077" w14:textId="77777777" w:rsidR="00F20C26" w:rsidRDefault="00AE7ABF">
      <w:pPr>
        <w:spacing w:before="80" w:after="80"/>
        <w:jc w:val="both"/>
      </w:pPr>
      <w:r>
        <w:rPr>
          <w:rFonts w:ascii="Arial" w:eastAsia="Arial" w:hAnsi="Arial" w:cs="Arial"/>
        </w:rPr>
        <w:t>A Contratada deverá manter registro fotográfico de todas as etapas da execução, incluindo antes, durante e após cada intervenção. A ausência ou inconsistência do Diário de Obra poderá ensejar rejeição da medição correspondente.</w:t>
      </w:r>
    </w:p>
    <w:p w14:paraId="1074BF84"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34" w:name="_Toc99900018"/>
      <w:bookmarkStart w:id="35" w:name="_Toc230937841"/>
      <w:r>
        <w:rPr>
          <w:rFonts w:ascii="Arial" w:eastAsia="Arial" w:hAnsi="Arial" w:cs="Arial"/>
          <w:b/>
          <w:bCs/>
          <w:color w:val="1F3864"/>
          <w:sz w:val="28"/>
          <w:szCs w:val="28"/>
        </w:rPr>
        <w:t>18. DA SUBCONTRATAÇÃO</w:t>
      </w:r>
      <w:bookmarkEnd w:id="34"/>
      <w:bookmarkEnd w:id="35"/>
    </w:p>
    <w:p w14:paraId="69E3EF36" w14:textId="77777777" w:rsidR="00F20C26" w:rsidRDefault="00AE7ABF">
      <w:pPr>
        <w:spacing w:before="80" w:after="80"/>
        <w:jc w:val="both"/>
      </w:pPr>
      <w:r>
        <w:rPr>
          <w:rFonts w:ascii="Arial" w:eastAsia="Arial" w:hAnsi="Arial" w:cs="Arial"/>
        </w:rPr>
        <w:t>A subcontratação parcial do objeto poderá ser admitida, desde que previamente autorizada pela Administração e não implique transferência integral das responsabilidades assumidas pela Contratada. Não será admitida a subcontratação integral do objeto.</w:t>
      </w:r>
    </w:p>
    <w:p w14:paraId="685CD6A9" w14:textId="77777777" w:rsidR="00F20C26" w:rsidRDefault="00AE7ABF">
      <w:pPr>
        <w:spacing w:before="80" w:after="80"/>
        <w:jc w:val="both"/>
      </w:pPr>
      <w:r>
        <w:rPr>
          <w:rFonts w:ascii="Arial" w:eastAsia="Arial" w:hAnsi="Arial" w:cs="Arial"/>
        </w:rPr>
        <w:lastRenderedPageBreak/>
        <w:t>A eventual subcontratação não excluirá nem reduzirá a responsabilidade técnica, civil, administrativa e contratual da Contratada. A subcontratação dependerá de análise e aprovação prévia da Fiscalização, com apresentação de: identificação do subcontratado, comprovação de capacidade técnica e documentação de regularidade.</w:t>
      </w:r>
    </w:p>
    <w:p w14:paraId="4CA40EC0" w14:textId="77777777" w:rsidR="00F20C26" w:rsidRDefault="00AE7ABF">
      <w:pPr>
        <w:spacing w:before="80" w:after="80"/>
        <w:jc w:val="both"/>
      </w:pPr>
      <w:r>
        <w:rPr>
          <w:rFonts w:ascii="Arial" w:eastAsia="Arial" w:hAnsi="Arial" w:cs="Arial"/>
        </w:rPr>
        <w:t>Não poderão ser subcontratadas as parcelas de maior relevância técnica, especialmente aquelas relacionadas à responsabilidade técnica principal da execução e às disciplinas de instalações elétricas e hidrossanitárias.</w:t>
      </w:r>
    </w:p>
    <w:p w14:paraId="4CD6B12B"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36" w:name="_Toc99900019"/>
      <w:bookmarkStart w:id="37" w:name="_Toc230937842"/>
      <w:r>
        <w:rPr>
          <w:rFonts w:ascii="Arial" w:eastAsia="Arial" w:hAnsi="Arial" w:cs="Arial"/>
          <w:b/>
          <w:bCs/>
          <w:color w:val="1F3864"/>
          <w:sz w:val="28"/>
          <w:szCs w:val="28"/>
        </w:rPr>
        <w:t>19. DAS OBRIGAÇÕES DAS PARTES</w:t>
      </w:r>
      <w:bookmarkEnd w:id="36"/>
      <w:bookmarkEnd w:id="37"/>
    </w:p>
    <w:p w14:paraId="3F8C6262" w14:textId="77777777" w:rsidR="00B86A2C" w:rsidRDefault="00B86A2C" w:rsidP="00B86A2C">
      <w:pPr>
        <w:spacing w:before="160" w:after="80"/>
        <w:rPr>
          <w:rFonts w:ascii="Arial" w:eastAsia="Arial" w:hAnsi="Arial" w:cs="Arial"/>
          <w:b/>
          <w:bCs/>
          <w:color w:val="2E5496"/>
        </w:rPr>
      </w:pPr>
      <w:bookmarkStart w:id="38" w:name="_Toc99900020"/>
      <w:bookmarkStart w:id="39" w:name="_Toc230937843"/>
      <w:r>
        <w:rPr>
          <w:rFonts w:ascii="Arial" w:eastAsia="Arial" w:hAnsi="Arial" w:cs="Arial"/>
          <w:b/>
          <w:bCs/>
          <w:color w:val="2E5496"/>
        </w:rPr>
        <w:t>19.1  Obrigações da Contratada</w:t>
      </w:r>
    </w:p>
    <w:p w14:paraId="07A7138F"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Comprovar registro junto ao CREA e/ou CAU e manter engenheiro/arquiteto responsável técnico durante toda a vigência contratual;</w:t>
      </w:r>
    </w:p>
    <w:p w14:paraId="2FA61324"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Providenciar, até 30 (trinta) dias após a assinatura do contrato: matrícula da obra junto ao INSS (CNO); seguro de responsabilidade civil (RCC); ART/RRT de execução;</w:t>
      </w:r>
    </w:p>
    <w:p w14:paraId="11391CC7"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Manter, durante toda a execução, as condições de habilitação e regularidade fiscal, trabalhista e previdenciária exigidas na licitação;</w:t>
      </w:r>
    </w:p>
    <w:p w14:paraId="5711C9D2"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Assumir integral responsabilidade pelos encargos trabalhistas, previdenciários, fiscais e comerciais decorrentes da execução;</w:t>
      </w:r>
    </w:p>
    <w:p w14:paraId="60785AB9"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Obedecer às normas de higiene, medicina e segurança do trabalho (NR-06, NR-18 e demais normas aplicáveis);</w:t>
      </w:r>
    </w:p>
    <w:p w14:paraId="043D5875"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Planejar os serviços para minimizar interferências nas atividades escolares, respeitando horários e condições definidos pela Administração;</w:t>
      </w:r>
    </w:p>
    <w:p w14:paraId="40772D89"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Manter a área da obra devidamente sinalizada, isolada e em condições seguras durante toda a execução;</w:t>
      </w:r>
    </w:p>
    <w:p w14:paraId="371AC0FA"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Reparar ou substituir, às suas expensas, serviços executados com vícios, defeitos ou incorreções;</w:t>
      </w:r>
    </w:p>
    <w:p w14:paraId="186A195B"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Proteger instalações existentes e reparar danos causados às edificações vizinhas ou a terceiros;</w:t>
      </w:r>
    </w:p>
    <w:p w14:paraId="395B6611"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Promover destinação adequada dos resíduos, observando a legislação ambiental e o PGRCC;</w:t>
      </w:r>
    </w:p>
    <w:p w14:paraId="026761E3"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Comunicar imediatamente à Fiscalização quaisquer intercorrências técnicas relevantes;</w:t>
      </w:r>
    </w:p>
    <w:p w14:paraId="5322EE6C"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Não empregar menor de 18 anos em trabalho noturno, perigoso ou insalubre, nem menor de 16 anos em qualquer trabalho, salvo na condição de aprendiz.</w:t>
      </w:r>
    </w:p>
    <w:p w14:paraId="7E217E79"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Manter-se, durante toda a vigência contratual, em regularidade perante o Cadastro de Empregadores que tenham submetido trabalhadores a condições análogas à escravidão (Portaria Interministerial MTE/MDHC/MIR nº 18/2024), comunicando imediatamente à Fiscalização qualquer alteração dessa situação, sob pena de rescisão unilateral do contrato, nos termos do art. 137 da Lei nº 14.133/2021.</w:t>
      </w:r>
    </w:p>
    <w:p w14:paraId="65FDE59C" w14:textId="77777777" w:rsidR="00B86A2C" w:rsidRDefault="00B86A2C" w:rsidP="00B86A2C">
      <w:pPr>
        <w:spacing w:before="160" w:after="80"/>
        <w:rPr>
          <w:rFonts w:ascii="Arial" w:eastAsia="Arial" w:hAnsi="Arial" w:cs="Arial"/>
          <w:b/>
          <w:bCs/>
          <w:color w:val="2E5496"/>
        </w:rPr>
      </w:pPr>
      <w:r>
        <w:rPr>
          <w:rFonts w:ascii="Arial" w:eastAsia="Arial" w:hAnsi="Arial" w:cs="Arial"/>
          <w:b/>
          <w:bCs/>
          <w:color w:val="2E5496"/>
        </w:rPr>
        <w:t>19.2  Obrigações da Contratante</w:t>
      </w:r>
    </w:p>
    <w:p w14:paraId="585E830A"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Emitir Ordem de Serviço autorizando o início da obra e fornecer acesso ao imóvel;</w:t>
      </w:r>
    </w:p>
    <w:p w14:paraId="3CD5E9A7"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Acompanhar e fiscalizar a execução por representante da Secretaria de Educação;</w:t>
      </w:r>
    </w:p>
    <w:p w14:paraId="75718F65"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Efetuar os pagamentos conforme previsto neste Projeto Básico e no contrato;</w:t>
      </w:r>
    </w:p>
    <w:p w14:paraId="20970CD4" w14:textId="77777777" w:rsidR="00B86A2C" w:rsidRDefault="00B86A2C" w:rsidP="00B86A2C">
      <w:pPr>
        <w:pStyle w:val="PargrafodaLista"/>
        <w:numPr>
          <w:ilvl w:val="0"/>
          <w:numId w:val="2"/>
        </w:numPr>
        <w:spacing w:before="60" w:after="60"/>
        <w:jc w:val="both"/>
        <w:rPr>
          <w:rFonts w:ascii="Arial" w:eastAsia="Arial" w:hAnsi="Arial" w:cs="Arial"/>
        </w:rPr>
      </w:pPr>
      <w:r>
        <w:rPr>
          <w:rFonts w:ascii="Arial" w:eastAsia="Arial" w:hAnsi="Arial" w:cs="Arial"/>
        </w:rPr>
        <w:t>Atestar o recebimento, rejeitando-o quando não estiver de acordo com as especificações.</w:t>
      </w:r>
    </w:p>
    <w:p w14:paraId="6B5F27B5"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20. DAS ESPECIFICAÇÕES TÉCNICAS DOS SERVIÇOS DE REFORMA</w:t>
      </w:r>
      <w:bookmarkEnd w:id="38"/>
      <w:bookmarkEnd w:id="39"/>
    </w:p>
    <w:p w14:paraId="53D123FE" w14:textId="77777777" w:rsidR="00822E99" w:rsidRDefault="00822E99" w:rsidP="00822E99">
      <w:pPr>
        <w:spacing w:before="80" w:after="60"/>
        <w:jc w:val="both"/>
        <w:rPr>
          <w:rFonts w:ascii="Arial" w:eastAsia="Arial" w:hAnsi="Arial" w:cs="Arial"/>
        </w:rPr>
      </w:pPr>
      <w:r>
        <w:rPr>
          <w:rFonts w:ascii="Arial" w:eastAsia="Arial" w:hAnsi="Arial" w:cs="Arial"/>
        </w:rPr>
        <w:t>Os serviços de reforma, adequações e ampliação da Escola Municipal João Gonçalves de Azevedo deverão ser executados em estrita conformidade com os projetos aprovados, o Memorial Descritivo, as especificações do presente Projeto Básico e as normas técnicas da seção 22. O descumprimento de qualquer especificação autoriza a Fiscalização a rejeitar o serviço e exigir reexecução às expensas da Contratada, sem direito a prazo adicional.</w:t>
      </w:r>
    </w:p>
    <w:p w14:paraId="195EA1D8" w14:textId="77777777" w:rsidR="00822E99" w:rsidRDefault="00822E99" w:rsidP="00822E99">
      <w:pPr>
        <w:spacing w:before="60" w:after="60"/>
        <w:jc w:val="both"/>
        <w:rPr>
          <w:rFonts w:ascii="Arial" w:eastAsia="Arial" w:hAnsi="Arial" w:cs="Arial"/>
        </w:rPr>
      </w:pPr>
      <w:r>
        <w:rPr>
          <w:rFonts w:ascii="Arial" w:eastAsia="Arial" w:hAnsi="Arial" w:cs="Arial"/>
        </w:rPr>
        <w:lastRenderedPageBreak/>
        <w:t>Todos os materiais a empregar deverão ser de primeira qualidade, novos, sem defeitos, com certificação do fabricante e em conformidade com as normas ABNT aplicáveis. A Fiscalização poderá, a qualquer tempo, exigir amostras, laudos de qualidade ou substituição de material que não atenda às especificações, mesmo após o início da aplicação.</w:t>
      </w:r>
    </w:p>
    <w:p w14:paraId="5E73ADF7" w14:textId="77777777" w:rsidR="00822E99" w:rsidRDefault="00822E99" w:rsidP="00822E99">
      <w:pPr>
        <w:spacing w:before="60" w:after="60"/>
        <w:rPr>
          <w:rFonts w:ascii="Arial" w:eastAsia="Arial" w:hAnsi="Arial" w:cs="Arial"/>
        </w:rPr>
      </w:pPr>
    </w:p>
    <w:p w14:paraId="16E5B60C"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20.1  Serviços Preliminares, Demolições e Retiradas</w:t>
      </w:r>
    </w:p>
    <w:p w14:paraId="0585B19F" w14:textId="77777777" w:rsidR="00822E99" w:rsidRDefault="00822E99" w:rsidP="00822E99">
      <w:pPr>
        <w:spacing w:before="80" w:after="40"/>
        <w:jc w:val="both"/>
        <w:rPr>
          <w:rFonts w:ascii="Arial" w:eastAsia="Arial" w:hAnsi="Arial" w:cs="Arial"/>
        </w:rPr>
      </w:pPr>
      <w:r>
        <w:rPr>
          <w:rFonts w:ascii="Arial" w:eastAsia="Arial" w:hAnsi="Arial" w:cs="Arial"/>
        </w:rPr>
        <w:t>Os serviços preliminares compreendem a instalação e manutenção do canteiro, as demolições seletivas, o corte e a retirada de elementos construtivos indicados nos projetos. Referências SINAPI: composições de demolição de alvenaria, revestimento, cobertura e instalações — SINAPI/PE — Março/2026 — Não Desonerado.</w:t>
      </w:r>
    </w:p>
    <w:p w14:paraId="74FBCA45"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Demolição de alvenaria, revestimentos e elementos de cobertura indicados nos projetos, com segregação e destinação de resíduos conforme PGRCC e Resolução CONAMA nº 307/2002;</w:t>
      </w:r>
    </w:p>
    <w:p w14:paraId="7A8BAB07"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Retirada seletiva de esquadrias, louças, metais e instalações existentes a serem reutilizados ou descartados conforme indicação da Fiscalização e inventário prévio;</w:t>
      </w:r>
    </w:p>
    <w:p w14:paraId="5B2D3662"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Serviços de limpeza e preparo das superfícies existentes para recebimento dos novos revestimentos, tratamento de fissuras e regularização de pisos.</w:t>
      </w:r>
    </w:p>
    <w:p w14:paraId="708C3DC4" w14:textId="77777777" w:rsidR="00822E99" w:rsidRDefault="00822E99" w:rsidP="00822E99">
      <w:pPr>
        <w:spacing w:before="60" w:after="60"/>
        <w:rPr>
          <w:rFonts w:ascii="Arial" w:eastAsia="Arial" w:hAnsi="Arial" w:cs="Arial"/>
        </w:rPr>
      </w:pPr>
    </w:p>
    <w:p w14:paraId="4F2A852F"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20.2  Estrutura — Laje Pré-Moldada Unidirecional (8+4)</w:t>
      </w:r>
    </w:p>
    <w:p w14:paraId="2D443504" w14:textId="77777777" w:rsidR="00822E99" w:rsidRDefault="00822E99" w:rsidP="00822E99">
      <w:pPr>
        <w:spacing w:before="80" w:after="40"/>
        <w:jc w:val="both"/>
        <w:rPr>
          <w:rFonts w:ascii="Arial" w:eastAsia="Arial" w:hAnsi="Arial" w:cs="Arial"/>
        </w:rPr>
      </w:pPr>
      <w:r>
        <w:rPr>
          <w:rFonts w:ascii="Arial" w:eastAsia="Arial" w:hAnsi="Arial" w:cs="Arial"/>
        </w:rPr>
        <w:t>Execução de laje pré-moldada unidirecional com vigotes de concreto e lajotas cerâmicas ou EPS, capa de concreto de 4 cm (fck mínimo de 20 MPa) com tela de distribuição. Referência: SINAPI AF_11/2020_PA — lajotas + capa de concreto + escoramento. Quantidade de planilha: 293,15 m².</w:t>
      </w:r>
    </w:p>
    <w:p w14:paraId="2CB2A53C"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Vigotes pré-moldados certificados pelo fabricante com laudo de carga admissível; verificação visual de cada elemento no ato do recebimento;</w:t>
      </w:r>
    </w:p>
    <w:p w14:paraId="5C79ACE9"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Escoramento durante concretagem e desforma somente após atingido o fck mínimo aos 28 dias — laudo de rompimento de corpos de prova exigido;</w:t>
      </w:r>
    </w:p>
    <w:p w14:paraId="42EB56BD"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Capa de concreto executada em única concretagem contínua por painel, com vibração e cura úmida mínima de 7 dias.</w:t>
      </w:r>
    </w:p>
    <w:p w14:paraId="596B604F" w14:textId="77777777" w:rsidR="00822E99" w:rsidRDefault="00822E99" w:rsidP="00822E99">
      <w:pPr>
        <w:spacing w:before="60" w:after="60"/>
        <w:rPr>
          <w:rFonts w:ascii="Arial" w:eastAsia="Arial" w:hAnsi="Arial" w:cs="Arial"/>
        </w:rPr>
      </w:pPr>
    </w:p>
    <w:p w14:paraId="075A93C4"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20.3  Cobertura — Telha Metálica Termoacústica sobre Estrutura em Perfis Metálicos</w:t>
      </w:r>
    </w:p>
    <w:p w14:paraId="38E36A3F" w14:textId="5096C139" w:rsidR="00822E99" w:rsidRDefault="00822E99" w:rsidP="00822E99">
      <w:pPr>
        <w:spacing w:before="80" w:after="40"/>
        <w:jc w:val="both"/>
        <w:rPr>
          <w:rFonts w:ascii="Arial" w:eastAsia="Arial" w:hAnsi="Arial" w:cs="Arial"/>
        </w:rPr>
      </w:pPr>
      <w:r w:rsidRPr="00AD4E62">
        <w:rPr>
          <w:rFonts w:ascii="Arial" w:eastAsia="Arial" w:hAnsi="Arial" w:cs="Arial"/>
        </w:rPr>
        <w:t>Substituição integral do sistema de cobertura por telha ondulada de fibrocimento e=6mm, sobre estrutura em madeira (pontaletes e terças) com pintura imunizante 2 demãos, cumeeiras de fibrocimento ondulada e=6mm e rufos em chapa de aço galvanizado nº 26 (corte 33 cm). Forro interno: réguas de PVC frisado com estrutura bidirecional de fixação (SINAPI 96116 — AF_08/2023_PS). Referências: SINAPI 94210 (telha), 94223 (cumeeira), 100327 (rufo), 100384 (pontaletes), 92543 (terças), 96116 (forro) — SINAPI/PE — Março/2026.</w:t>
      </w:r>
    </w:p>
    <w:p w14:paraId="076FB487"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Projeto estrutural da cobertura assinado por RT com ART específica; verificação de cargas na estrutura existente ou nova;</w:t>
      </w:r>
    </w:p>
    <w:p w14:paraId="636D5703"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Calhas em chapa galvanizada nº 24, com declividade mínima de 0,5% e capacidade de escoamento compatível com a área de cobertura — NBR 10844:1989;</w:t>
      </w:r>
    </w:p>
    <w:p w14:paraId="74B0023A"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Rufos e arremates em chapa galvanizada ou alumínio em todos os encontros com paredes e platibandas, com sobreposição mínima de 15 cm.</w:t>
      </w:r>
    </w:p>
    <w:p w14:paraId="1F5259BE" w14:textId="77777777" w:rsidR="00822E99" w:rsidRDefault="00822E99" w:rsidP="00822E99">
      <w:pPr>
        <w:spacing w:before="60" w:after="60"/>
        <w:rPr>
          <w:rFonts w:ascii="Arial" w:eastAsia="Arial" w:hAnsi="Arial" w:cs="Arial"/>
        </w:rPr>
      </w:pPr>
    </w:p>
    <w:p w14:paraId="35498C71" w14:textId="77777777" w:rsidR="00822E99" w:rsidRPr="00AD4E62" w:rsidRDefault="00822E99" w:rsidP="00822E99">
      <w:pPr>
        <w:spacing w:before="160" w:after="80"/>
        <w:jc w:val="both"/>
        <w:rPr>
          <w:rFonts w:ascii="Arial" w:eastAsia="Arial" w:hAnsi="Arial" w:cs="Arial"/>
          <w:b/>
          <w:bCs/>
          <w:color w:val="2E5496"/>
        </w:rPr>
      </w:pPr>
      <w:r w:rsidRPr="00AD4E62">
        <w:rPr>
          <w:rFonts w:ascii="Arial" w:eastAsia="Arial" w:hAnsi="Arial" w:cs="Arial"/>
          <w:b/>
          <w:bCs/>
          <w:color w:val="2E5496"/>
        </w:rPr>
        <w:t>20.4  Impermeabilização — Manta Asfáltica (SINAPI 98547)</w:t>
      </w:r>
    </w:p>
    <w:p w14:paraId="619D8A4A" w14:textId="3143504A" w:rsidR="00822E99" w:rsidRPr="00AD4E62" w:rsidRDefault="00822E99" w:rsidP="00822E99">
      <w:pPr>
        <w:spacing w:before="80" w:after="40"/>
        <w:jc w:val="both"/>
        <w:rPr>
          <w:rFonts w:ascii="Arial" w:eastAsia="Arial" w:hAnsi="Arial" w:cs="Arial"/>
        </w:rPr>
      </w:pPr>
      <w:r w:rsidRPr="00AD4E62">
        <w:rPr>
          <w:rFonts w:ascii="Arial" w:eastAsia="Arial" w:hAnsi="Arial" w:cs="Arial"/>
        </w:rPr>
        <w:t>Impermeabilização de lajes, calhas e áreas molhadas com manta asfáltica, duas camadas (E=3mm + E=4mm), inclusive aplicação de primer asfáltico, conforme ABNT NBR 9574:2008 e NBR 9575:2010. Referência: SINAPI 98547 — AF_09/2023.</w:t>
      </w:r>
    </w:p>
    <w:p w14:paraId="73CF1E68" w14:textId="77777777" w:rsidR="00822E99" w:rsidRPr="00AD4E62" w:rsidRDefault="00822E99" w:rsidP="00822E99">
      <w:pPr>
        <w:pStyle w:val="PargrafodaLista"/>
        <w:numPr>
          <w:ilvl w:val="0"/>
          <w:numId w:val="2"/>
        </w:numPr>
        <w:spacing w:before="60" w:after="60"/>
        <w:jc w:val="both"/>
        <w:rPr>
          <w:rFonts w:ascii="Arial" w:eastAsia="Arial" w:hAnsi="Arial" w:cs="Arial"/>
        </w:rPr>
      </w:pPr>
      <w:r w:rsidRPr="00AD4E62">
        <w:rPr>
          <w:rFonts w:ascii="Arial" w:eastAsia="Arial" w:hAnsi="Arial" w:cs="Arial"/>
        </w:rPr>
        <w:t>Preparo do substrato: regularização com argamassa de cimento e areia (traço 1:3), arredondamento de cantos e rodapés (mínimo R=3 cm), limpeza e aplicação de primer asfáltico antes da colocação da primeira camada de manta;</w:t>
      </w:r>
    </w:p>
    <w:p w14:paraId="6BCE80B4" w14:textId="77777777" w:rsidR="00822E99" w:rsidRPr="00AD4E62" w:rsidRDefault="00822E99" w:rsidP="00822E99">
      <w:pPr>
        <w:pStyle w:val="PargrafodaLista"/>
        <w:numPr>
          <w:ilvl w:val="0"/>
          <w:numId w:val="2"/>
        </w:numPr>
        <w:spacing w:before="60" w:after="60"/>
        <w:jc w:val="both"/>
        <w:rPr>
          <w:rFonts w:ascii="Arial" w:eastAsia="Arial" w:hAnsi="Arial" w:cs="Arial"/>
        </w:rPr>
      </w:pPr>
      <w:r w:rsidRPr="00AD4E62">
        <w:rPr>
          <w:rFonts w:ascii="Arial" w:eastAsia="Arial" w:hAnsi="Arial" w:cs="Arial"/>
        </w:rPr>
        <w:lastRenderedPageBreak/>
        <w:t>Aplicação da primeira camada de manta (E=3mm) com maçarico a gás, garantindo completa aderência ao substrato; emendas com sobreposição mínima de 10 cm (longitudinal) e 15 cm (transversal); após resfriamento e aprovação da Fiscalização, aplicação da segunda camada (E=4mm) em sentido cruzado;</w:t>
      </w:r>
    </w:p>
    <w:p w14:paraId="6C2C5C38" w14:textId="77777777" w:rsidR="00822E99" w:rsidRPr="00AD4E62" w:rsidRDefault="00822E99" w:rsidP="00822E99">
      <w:pPr>
        <w:pStyle w:val="PargrafodaLista"/>
        <w:numPr>
          <w:ilvl w:val="0"/>
          <w:numId w:val="2"/>
        </w:numPr>
        <w:spacing w:before="60" w:after="60"/>
        <w:jc w:val="both"/>
        <w:rPr>
          <w:rFonts w:ascii="Arial" w:eastAsia="Arial" w:hAnsi="Arial" w:cs="Arial"/>
        </w:rPr>
      </w:pPr>
      <w:r w:rsidRPr="00AD4E62">
        <w:rPr>
          <w:rFonts w:ascii="Arial" w:eastAsia="Arial" w:hAnsi="Arial" w:cs="Arial"/>
          <w:b/>
          <w:bCs/>
        </w:rPr>
        <w:t>Teste de estanqueidade obrigatório</w:t>
      </w:r>
      <w:r w:rsidRPr="00AD4E62">
        <w:rPr>
          <w:rFonts w:ascii="Arial" w:eastAsia="Arial" w:hAnsi="Arial" w:cs="Arial"/>
        </w:rPr>
        <w:t>: inundação com lâmina d'água mínima de 2 cm por 72 horas antes da proteção mecânica, com registro fotográfico datado e assinado pelo RT e pela Fiscalização — NBR 9574:2008, item 7.3.</w:t>
      </w:r>
    </w:p>
    <w:p w14:paraId="7CDAC0A8"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Proteção mecânica: argamassa de cimento e areia sobre tela de fibra de vidro após aprovação do teste de estanqueidade.</w:t>
      </w:r>
    </w:p>
    <w:p w14:paraId="6F1DF805" w14:textId="77777777" w:rsidR="00822E99" w:rsidRDefault="00822E99" w:rsidP="00822E99">
      <w:pPr>
        <w:spacing w:before="60" w:after="60"/>
        <w:rPr>
          <w:rFonts w:ascii="Arial" w:eastAsia="Arial" w:hAnsi="Arial" w:cs="Arial"/>
        </w:rPr>
      </w:pPr>
    </w:p>
    <w:p w14:paraId="6BC0D5EB"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20.5  Piso de Granilite/Marmorite Polido</w:t>
      </w:r>
    </w:p>
    <w:p w14:paraId="5FDB8D2F" w14:textId="0DAA0A4F" w:rsidR="00822E99" w:rsidRDefault="00822E99" w:rsidP="00822E99">
      <w:pPr>
        <w:spacing w:before="80" w:after="40"/>
        <w:jc w:val="both"/>
        <w:rPr>
          <w:rFonts w:ascii="Arial" w:eastAsia="Arial" w:hAnsi="Arial" w:cs="Arial"/>
        </w:rPr>
      </w:pPr>
      <w:r>
        <w:rPr>
          <w:rFonts w:ascii="Arial" w:eastAsia="Arial" w:hAnsi="Arial" w:cs="Arial"/>
        </w:rPr>
        <w:t>Execução de piso monolítico de granilite ou marmorite polido in loco, com espessura mínima de 15 mm, sobre contrapiso regularizado. Referência: SINAPI AF_06/2022.</w:t>
      </w:r>
    </w:p>
    <w:p w14:paraId="04C424D0"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Contrapiso de cimento e areia (traço 1:4) com espessura mínima de 3 cm, nivelado e caimentado conforme indicação de projeto;</w:t>
      </w:r>
    </w:p>
    <w:p w14:paraId="73C4DFC7" w14:textId="4300DC26" w:rsidR="00822E99" w:rsidRPr="00AD4E62" w:rsidRDefault="00822E99" w:rsidP="00822E99">
      <w:pPr>
        <w:pStyle w:val="PargrafodaLista"/>
        <w:numPr>
          <w:ilvl w:val="0"/>
          <w:numId w:val="2"/>
        </w:numPr>
        <w:spacing w:before="60" w:after="60"/>
        <w:jc w:val="both"/>
        <w:rPr>
          <w:rFonts w:ascii="Arial" w:eastAsia="Arial" w:hAnsi="Arial" w:cs="Arial"/>
        </w:rPr>
      </w:pPr>
      <w:r w:rsidRPr="00AD4E62">
        <w:rPr>
          <w:rFonts w:ascii="Arial" w:eastAsia="Arial" w:hAnsi="Arial" w:cs="Arial"/>
        </w:rPr>
        <w:t>Assentamento de revestimento cerâmico esmaltado 60×60 cm (SINAPI 87257 — AF_02/2023_PE</w:t>
      </w:r>
      <w:r w:rsidR="00FF281D" w:rsidRPr="00AD4E62">
        <w:rPr>
          <w:rFonts w:ascii="Arial" w:eastAsia="Arial" w:hAnsi="Arial" w:cs="Arial"/>
        </w:rPr>
        <w:t xml:space="preserve">) </w:t>
      </w:r>
      <w:r w:rsidRPr="00AD4E62">
        <w:rPr>
          <w:rFonts w:ascii="Arial" w:eastAsia="Arial" w:hAnsi="Arial" w:cs="Arial"/>
        </w:rPr>
        <w:t xml:space="preserve">com argamassa pré-fabricada AC-II, em cruzeta plástica, rejuntamento na cor aprovada pela Fiscalização; área de acesso: piso </w:t>
      </w:r>
      <w:proofErr w:type="spellStart"/>
      <w:r w:rsidRPr="00AD4E62">
        <w:rPr>
          <w:rFonts w:ascii="Arial" w:eastAsia="Arial" w:hAnsi="Arial" w:cs="Arial"/>
        </w:rPr>
        <w:t>fulget</w:t>
      </w:r>
      <w:proofErr w:type="spellEnd"/>
      <w:r w:rsidRPr="00AD4E62">
        <w:rPr>
          <w:rFonts w:ascii="Arial" w:eastAsia="Arial" w:hAnsi="Arial" w:cs="Arial"/>
        </w:rPr>
        <w:t xml:space="preserve"> (granito lavado) moldado in loco — ORSE 40652;</w:t>
      </w:r>
    </w:p>
    <w:p w14:paraId="62C9D98A" w14:textId="77777777" w:rsidR="00822E99" w:rsidRPr="00AD4E62" w:rsidRDefault="00822E99" w:rsidP="00822E99">
      <w:pPr>
        <w:pStyle w:val="PargrafodaLista"/>
        <w:numPr>
          <w:ilvl w:val="0"/>
          <w:numId w:val="2"/>
        </w:numPr>
        <w:spacing w:before="60" w:after="60"/>
        <w:jc w:val="both"/>
        <w:rPr>
          <w:rFonts w:ascii="Arial" w:eastAsia="Arial" w:hAnsi="Arial" w:cs="Arial"/>
        </w:rPr>
      </w:pPr>
      <w:r w:rsidRPr="00AD4E62">
        <w:rPr>
          <w:rFonts w:ascii="Arial" w:eastAsia="Arial" w:hAnsi="Arial" w:cs="Arial"/>
        </w:rPr>
        <w:t>Verificação de aderência por percussão após cura mínima de 7 dias; planeza verificada com régua de 2 m (tolerância ≤ 3 mm) — ABNT NBR 13753:1996 e NBR 13816:1997; amostra de cor e textura aprovada pela Fiscalização antes do início da aplicação.</w:t>
      </w:r>
    </w:p>
    <w:p w14:paraId="74AB73E6" w14:textId="77777777" w:rsidR="00822E99" w:rsidRDefault="00822E99" w:rsidP="00822E99">
      <w:pPr>
        <w:spacing w:before="60" w:after="60"/>
        <w:rPr>
          <w:rFonts w:ascii="Arial" w:eastAsia="Arial" w:hAnsi="Arial" w:cs="Arial"/>
        </w:rPr>
      </w:pPr>
    </w:p>
    <w:p w14:paraId="708A268D"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20.6  Revestimentos, Cerâmica e Pintura</w:t>
      </w:r>
    </w:p>
    <w:p w14:paraId="7EF5F3EB" w14:textId="77777777" w:rsidR="00822E99" w:rsidRDefault="00822E99" w:rsidP="00822E99">
      <w:pPr>
        <w:spacing w:before="80" w:after="40"/>
        <w:jc w:val="both"/>
        <w:rPr>
          <w:rFonts w:ascii="Arial" w:eastAsia="Arial" w:hAnsi="Arial" w:cs="Arial"/>
        </w:rPr>
      </w:pPr>
      <w:r>
        <w:rPr>
          <w:rFonts w:ascii="Arial" w:eastAsia="Arial" w:hAnsi="Arial" w:cs="Arial"/>
        </w:rPr>
        <w:t>Execução de revestimentos em argamassa, aplicação de cerâmica e pintura em conformidade com as especificações do Memorial Descritivo. Amostras de cor, textura e acabamento deverão ser aprovadas pela Fiscalização antes do início de cada serviço. Referências: SINAPI/PE — Março/2026.</w:t>
      </w:r>
    </w:p>
    <w:p w14:paraId="3C9B7296"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Emboço e reboco em argamassa industrializada ou traço definido no Memorial, espessura conforme NBR 13749:2013; faces internas e externas;</w:t>
      </w:r>
    </w:p>
    <w:p w14:paraId="3287B3D8"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Revestimento cerâmico em áreas molhadas (banheiros, cozinha) com peças PEI ≥ 3, assentadas com argamassa colante AC-II e rejunte flexível — NBR 13755:2017;</w:t>
      </w:r>
    </w:p>
    <w:p w14:paraId="1B0B26A9"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Pintura interna com tinta acrílica premium, mínimo 2 demãos sobre massa corrida PVA; pintura externa com tinta acrílica elastomérica, mínimo 2 demãos sobre selador; cores conforme Memorial Descritivo.</w:t>
      </w:r>
    </w:p>
    <w:p w14:paraId="15D6D5EC" w14:textId="77777777" w:rsidR="00822E99" w:rsidRDefault="00822E99" w:rsidP="00822E99">
      <w:pPr>
        <w:spacing w:before="60" w:after="60"/>
        <w:rPr>
          <w:rFonts w:ascii="Arial" w:eastAsia="Arial" w:hAnsi="Arial" w:cs="Arial"/>
        </w:rPr>
      </w:pPr>
    </w:p>
    <w:p w14:paraId="6DD97EDF"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20.7  Esquadrias — Janelas em Alumínio e Portas em Madeira</w:t>
      </w:r>
    </w:p>
    <w:p w14:paraId="4BE51D6F" w14:textId="77777777" w:rsidR="00822E99" w:rsidRDefault="00822E99" w:rsidP="00822E99">
      <w:pPr>
        <w:spacing w:before="80" w:after="40"/>
        <w:jc w:val="both"/>
        <w:rPr>
          <w:rFonts w:ascii="Arial" w:eastAsia="Arial" w:hAnsi="Arial" w:cs="Arial"/>
        </w:rPr>
      </w:pPr>
      <w:r>
        <w:rPr>
          <w:rFonts w:ascii="Arial" w:eastAsia="Arial" w:hAnsi="Arial" w:cs="Arial"/>
        </w:rPr>
        <w:t>Fornecimento e instalação de esquadrias conforme especificações do Memorial Descritivo e projetos de esquadrias. Referências: SINAPI/PE — Março/2026.</w:t>
      </w:r>
    </w:p>
    <w:p w14:paraId="2FA6FEDF"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Janelas em perfil de alumínio anodizado ou pintado (espessura mínima de parede 1,4 mm), com vidro temperado incolor de 6 mm, sistema de correr ou maxim-ar conforme projeto; vedação perimetral com silicone neutro;</w:t>
      </w:r>
    </w:p>
    <w:p w14:paraId="348C78CB"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Portas internas em madeira maciça ou MDF revestido, com batentes e guarnições; ferragens em aço inoxidável; dimensões e sentido de abertura conforme projeto e NBR 9050:2020 (acessibilidade);</w:t>
      </w:r>
    </w:p>
    <w:p w14:paraId="0C02DE0A"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Porta de acesso principal com folha em alumínio e vidro temperado ou conforme especificação de projeto; instalação com prumo, nível e verificação de folga operacional antes do aceite.</w:t>
      </w:r>
    </w:p>
    <w:p w14:paraId="650CD463" w14:textId="77777777" w:rsidR="00822E99" w:rsidRDefault="00822E99" w:rsidP="00822E99">
      <w:pPr>
        <w:spacing w:before="60" w:after="60"/>
        <w:rPr>
          <w:rFonts w:ascii="Arial" w:eastAsia="Arial" w:hAnsi="Arial" w:cs="Arial"/>
        </w:rPr>
      </w:pPr>
    </w:p>
    <w:p w14:paraId="383CC0FE"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20.8  Instalações Elétricas — Retirada Total e Nova Execução</w:t>
      </w:r>
    </w:p>
    <w:p w14:paraId="0DC4A0C0" w14:textId="77777777" w:rsidR="00822E99" w:rsidRDefault="00822E99" w:rsidP="00822E99">
      <w:pPr>
        <w:spacing w:before="80" w:after="40"/>
        <w:jc w:val="both"/>
        <w:rPr>
          <w:rFonts w:ascii="Arial" w:eastAsia="Arial" w:hAnsi="Arial" w:cs="Arial"/>
        </w:rPr>
      </w:pPr>
      <w:r>
        <w:rPr>
          <w:rFonts w:ascii="Arial" w:eastAsia="Arial" w:hAnsi="Arial" w:cs="Arial"/>
        </w:rPr>
        <w:t>Retirada integral das instalações elétricas existentes e execução de novo sistema conforme projeto elétrico aprovado, NBR 5410:2004 e NR-10. Referências: SINAPI/PE — Março/2026.</w:t>
      </w:r>
    </w:p>
    <w:p w14:paraId="4B579C5F"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lastRenderedPageBreak/>
        <w:t>Eletrodutos em PVC rígido corrugado (embutidos) ou eletroduto metálico (aparentes), dimensionados conforme NBR 5410 para taxa de ocupação máxima de 40%;</w:t>
      </w:r>
    </w:p>
    <w:p w14:paraId="7B16D24F"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Cabos com isolamento 750V (internos) e 1000V (externos), bitolas conforme projeto, passados após a conclusão dos revestimentos;</w:t>
      </w:r>
    </w:p>
    <w:p w14:paraId="358F0CD2"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Quadro de distribuição com barramento e disjuntores termomagnéticos dimensionados por circuito; aterramento com haste Copperweld e cabo nu de 10 mm²; SPDA conforme ABNT NBR 5419:2015 quando exigido em projeto;</w:t>
      </w:r>
    </w:p>
    <w:p w14:paraId="4BEBB253" w14:textId="77777777" w:rsidR="00822E99" w:rsidRPr="005C5AF6" w:rsidRDefault="00822E99" w:rsidP="00822E99">
      <w:pPr>
        <w:pStyle w:val="PargrafodaLista"/>
        <w:numPr>
          <w:ilvl w:val="0"/>
          <w:numId w:val="2"/>
        </w:numPr>
        <w:spacing w:before="60" w:after="60"/>
        <w:jc w:val="both"/>
        <w:rPr>
          <w:rFonts w:ascii="Arial" w:eastAsia="Arial" w:hAnsi="Arial" w:cs="Arial"/>
        </w:rPr>
      </w:pPr>
      <w:r w:rsidRPr="005C5AF6">
        <w:rPr>
          <w:rFonts w:ascii="Arial" w:eastAsia="Arial" w:hAnsi="Arial" w:cs="Arial"/>
          <w:b/>
          <w:bCs/>
        </w:rPr>
        <w:t>Laudo elétrico final obrigatório</w:t>
      </w:r>
      <w:r w:rsidRPr="005C5AF6">
        <w:rPr>
          <w:rFonts w:ascii="Arial" w:eastAsia="Arial" w:hAnsi="Arial" w:cs="Arial"/>
        </w:rPr>
        <w:t>: medição de resistência de aterramento (máx. 10 Ω — NBR 5419), teste de continuidade dos circuitos e verificação de funcionamento de todos os pontos, emitido por profissional habilitado junto ao CREA/PE.</w:t>
      </w:r>
    </w:p>
    <w:p w14:paraId="2C24F26B" w14:textId="77777777" w:rsidR="00822E99" w:rsidRDefault="00822E99" w:rsidP="00822E99">
      <w:pPr>
        <w:spacing w:before="60" w:after="60"/>
        <w:rPr>
          <w:rFonts w:ascii="Arial" w:eastAsia="Arial" w:hAnsi="Arial" w:cs="Arial"/>
        </w:rPr>
      </w:pPr>
    </w:p>
    <w:p w14:paraId="2074CBAA"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20.9  Instalações Hidrossanitárias — Substituição Integral</w:t>
      </w:r>
    </w:p>
    <w:p w14:paraId="3BB5F59A" w14:textId="77777777" w:rsidR="00822E99" w:rsidRDefault="00822E99" w:rsidP="00822E99">
      <w:pPr>
        <w:spacing w:before="80" w:after="40"/>
        <w:jc w:val="both"/>
        <w:rPr>
          <w:rFonts w:ascii="Arial" w:eastAsia="Arial" w:hAnsi="Arial" w:cs="Arial"/>
        </w:rPr>
      </w:pPr>
      <w:r>
        <w:rPr>
          <w:rFonts w:ascii="Arial" w:eastAsia="Arial" w:hAnsi="Arial" w:cs="Arial"/>
        </w:rPr>
        <w:t>Substituição integral das instalações de água fria, esgoto sanitário e água pluvial, conforme projeto hidrossanitário aprovado, NBR 5626:2020 e NBR 8160:1999. Referências: SINAPI/PE — Março/2026.</w:t>
      </w:r>
    </w:p>
    <w:p w14:paraId="4E9BDB4D"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Tubulações de água fria em CPVC ou PPR (áreas molhadas) e PVC soldável (áreas secas), dimensionadas conforme projeto, com inclinação mínima de 0,5% nas horizontais;</w:t>
      </w:r>
    </w:p>
    <w:p w14:paraId="4C390851"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Tubulações de esgoto sanitário em PVC serie normal, com diâmetros e declividades conforme NBR 8160:1999; caixas de passagem e caixas sifonadas em todos os pontos exigidos em projeto;</w:t>
      </w:r>
    </w:p>
    <w:p w14:paraId="4300E21E"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Caixa d'água em fibra de vidro ou polietileno com tampa e extravasor, dimensionada para reserva mínima de 200 L por sanitário — NBR 5626:2020;</w:t>
      </w:r>
    </w:p>
    <w:p w14:paraId="64FA63DB" w14:textId="77777777" w:rsidR="00822E99" w:rsidRDefault="00822E99" w:rsidP="00822E99">
      <w:pPr>
        <w:spacing w:before="60" w:after="60"/>
        <w:rPr>
          <w:rFonts w:ascii="Arial" w:eastAsia="Arial" w:hAnsi="Arial" w:cs="Arial"/>
        </w:rPr>
      </w:pPr>
    </w:p>
    <w:p w14:paraId="74D5AD69" w14:textId="77777777" w:rsidR="00822E99" w:rsidRDefault="00822E99" w:rsidP="00822E99">
      <w:pPr>
        <w:spacing w:before="160" w:after="80"/>
        <w:jc w:val="both"/>
        <w:rPr>
          <w:rFonts w:ascii="Arial" w:eastAsia="Arial" w:hAnsi="Arial" w:cs="Arial"/>
          <w:b/>
          <w:bCs/>
          <w:color w:val="2E5496"/>
        </w:rPr>
      </w:pPr>
      <w:proofErr w:type="gramStart"/>
      <w:r>
        <w:rPr>
          <w:rFonts w:ascii="Arial" w:eastAsia="Arial" w:hAnsi="Arial" w:cs="Arial"/>
          <w:b/>
          <w:bCs/>
          <w:color w:val="2E5496"/>
        </w:rPr>
        <w:t>20.10  Adequações</w:t>
      </w:r>
      <w:proofErr w:type="gramEnd"/>
      <w:r>
        <w:rPr>
          <w:rFonts w:ascii="Arial" w:eastAsia="Arial" w:hAnsi="Arial" w:cs="Arial"/>
          <w:b/>
          <w:bCs/>
          <w:color w:val="2E5496"/>
        </w:rPr>
        <w:t xml:space="preserve"> de Acessibilidade Universal — ABNT NBR 9050:2020</w:t>
      </w:r>
    </w:p>
    <w:p w14:paraId="446A81B7" w14:textId="77777777" w:rsidR="00822E99" w:rsidRDefault="00822E99" w:rsidP="00822E99">
      <w:pPr>
        <w:spacing w:before="80" w:after="40"/>
        <w:jc w:val="both"/>
        <w:rPr>
          <w:rFonts w:ascii="Arial" w:eastAsia="Arial" w:hAnsi="Arial" w:cs="Arial"/>
        </w:rPr>
      </w:pPr>
      <w:r>
        <w:rPr>
          <w:rFonts w:ascii="Arial" w:eastAsia="Arial" w:hAnsi="Arial" w:cs="Arial"/>
        </w:rPr>
        <w:t>Todas as adaptações de acessibilidade deverão atender rigorosamente à ABNT NBR 9050:2020 e à Lei Federal nº 13.146/2015 (LBI). A Fiscalização poderá exigir laudo de conformidade antes do recebimento definitivo.</w:t>
      </w:r>
    </w:p>
    <w:p w14:paraId="44FF2AF6"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Rampas com inclinação máxima de 8,33% (1:12), largura mínima livre de 1,20 m, patamares intermediários conforme NBR 9050:2020, item 6.6;</w:t>
      </w:r>
    </w:p>
    <w:p w14:paraId="0C200546"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Piso tátil direcional e de alerta em toda a rota acessível, em material contrastante com o piso adjacente e com resistência ao deslizamento mínima PEI 4;</w:t>
      </w:r>
    </w:p>
    <w:p w14:paraId="4377031B"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Sanitários adaptados com barra de apoio em inox (diâmetro 38 mm, resistência mínima 150 kgf), lavatório suspenso e demais adequações conforme NBR 9050:2020, item 7.7;</w:t>
      </w:r>
    </w:p>
    <w:p w14:paraId="47BEF0E2"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Circulações internas com largura mínima de 1,50 m livres de obstáculos; portas com vão livre mínimo de 0,80 m e altura de 2,10 m.</w:t>
      </w:r>
    </w:p>
    <w:p w14:paraId="032BF249" w14:textId="77777777" w:rsidR="00822E99" w:rsidRDefault="00822E99" w:rsidP="00822E99">
      <w:pPr>
        <w:spacing w:before="60" w:after="60"/>
        <w:rPr>
          <w:rFonts w:ascii="Arial" w:eastAsia="Arial" w:hAnsi="Arial" w:cs="Arial"/>
        </w:rPr>
      </w:pPr>
    </w:p>
    <w:p w14:paraId="47FA8860" w14:textId="77777777" w:rsidR="00822E99" w:rsidRDefault="00822E99" w:rsidP="00822E99">
      <w:pPr>
        <w:spacing w:before="160" w:after="80"/>
        <w:jc w:val="both"/>
        <w:rPr>
          <w:rFonts w:ascii="Arial" w:eastAsia="Arial" w:hAnsi="Arial" w:cs="Arial"/>
          <w:b/>
          <w:bCs/>
          <w:color w:val="2E5496"/>
        </w:rPr>
      </w:pPr>
      <w:r>
        <w:rPr>
          <w:rFonts w:ascii="Arial" w:eastAsia="Arial" w:hAnsi="Arial" w:cs="Arial"/>
          <w:b/>
          <w:bCs/>
          <w:color w:val="2E5496"/>
        </w:rPr>
        <w:t>20.11  Ampliação — 8,73 m² em Alvenaria Estrutural</w:t>
      </w:r>
    </w:p>
    <w:p w14:paraId="714EAB02" w14:textId="77777777" w:rsidR="00822E99" w:rsidRDefault="00822E99" w:rsidP="00822E99">
      <w:pPr>
        <w:spacing w:before="80" w:after="40"/>
        <w:jc w:val="both"/>
        <w:rPr>
          <w:rFonts w:ascii="Arial" w:eastAsia="Arial" w:hAnsi="Arial" w:cs="Arial"/>
        </w:rPr>
      </w:pPr>
      <w:r>
        <w:rPr>
          <w:rFonts w:ascii="Arial" w:eastAsia="Arial" w:hAnsi="Arial" w:cs="Arial"/>
        </w:rPr>
        <w:t>Execução da área de ampliação de 8,73 m² em alvenaria estrutural integrada à edificação existente, com fundações, estrutura, cobertura e instalações compatíveis com o sistema construtivo existente. O projeto estrutural deverá ser assinado por RT com ART específica.</w:t>
      </w:r>
    </w:p>
    <w:p w14:paraId="72035E4A"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Fundações em sapatas ou radier conforme projeto estrutural, com acompanhamento do Responsável Técnico na concretagem;</w:t>
      </w:r>
    </w:p>
    <w:p w14:paraId="064532C0"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Alvenaria em blocos de concreto ou cerâmico, modulada conforme NBR 15270:2005, com amarração adequada à estrutura existente e vergas e contravergas em todos os vãos;</w:t>
      </w:r>
    </w:p>
    <w:p w14:paraId="27B89896" w14:textId="77777777" w:rsidR="00822E99" w:rsidRDefault="00822E99" w:rsidP="00822E99">
      <w:pPr>
        <w:pStyle w:val="PargrafodaLista"/>
        <w:numPr>
          <w:ilvl w:val="0"/>
          <w:numId w:val="2"/>
        </w:numPr>
        <w:spacing w:before="60" w:after="60"/>
        <w:jc w:val="both"/>
        <w:rPr>
          <w:rFonts w:ascii="Arial" w:eastAsia="Arial" w:hAnsi="Arial" w:cs="Arial"/>
        </w:rPr>
      </w:pPr>
      <w:r>
        <w:rPr>
          <w:rFonts w:ascii="Arial" w:eastAsia="Arial" w:hAnsi="Arial" w:cs="Arial"/>
        </w:rPr>
        <w:t>Cobertura integrada ao sistema da edificação existente, com rufos e arremates que garantam a estanqueidade na junção.</w:t>
      </w:r>
    </w:p>
    <w:p w14:paraId="6FC28C1B" w14:textId="77777777" w:rsidR="00822E99" w:rsidRDefault="00822E99" w:rsidP="00822E99">
      <w:pPr>
        <w:spacing w:before="60" w:after="60"/>
        <w:rPr>
          <w:rFonts w:ascii="Arial" w:eastAsia="Arial" w:hAnsi="Arial" w:cs="Arial"/>
        </w:rPr>
      </w:pPr>
    </w:p>
    <w:p w14:paraId="7852AC35" w14:textId="1585CAF1" w:rsidR="00F20C26" w:rsidRDefault="00822E99" w:rsidP="00822E99">
      <w:pPr>
        <w:spacing w:before="80" w:after="80"/>
        <w:jc w:val="both"/>
      </w:pPr>
      <w:r>
        <w:rPr>
          <w:rFonts w:ascii="Arial" w:eastAsia="Arial" w:hAnsi="Arial" w:cs="Arial"/>
        </w:rPr>
        <w:t>Os serviços somente serão considerados concluídos, para fins de emissão do Termo de Recebimento Provisório, após: (a) execução completa de todos os itens da planilha orçamentária, conforme projetos aprovados; (b) aprovação nos testes operacionais das instalações elétricas e hidrossanitárias; (c) apresentação dos laudos técnicos exigidos na seção 22.7; e (d) limpeza geral e desmobilização do canteiro.</w:t>
      </w:r>
    </w:p>
    <w:p w14:paraId="16A554E2"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40" w:name="_Toc99900021"/>
      <w:bookmarkStart w:id="41" w:name="_Toc230937844"/>
      <w:r>
        <w:rPr>
          <w:rFonts w:ascii="Arial" w:eastAsia="Arial" w:hAnsi="Arial" w:cs="Arial"/>
          <w:b/>
          <w:bCs/>
          <w:color w:val="1F3864"/>
          <w:sz w:val="28"/>
          <w:szCs w:val="28"/>
        </w:rPr>
        <w:lastRenderedPageBreak/>
        <w:t>21. DA SEGURANÇA, SINALIZAÇÃO E PROTEÇÃO DA ÁREA DE EXECUÇÃO</w:t>
      </w:r>
      <w:bookmarkEnd w:id="40"/>
      <w:bookmarkEnd w:id="41"/>
    </w:p>
    <w:p w14:paraId="13D3F792" w14:textId="77777777" w:rsidR="008660B8" w:rsidRDefault="008660B8" w:rsidP="008660B8">
      <w:pPr>
        <w:spacing w:before="80" w:after="60"/>
        <w:jc w:val="both"/>
        <w:rPr>
          <w:rFonts w:ascii="Arial" w:eastAsia="Arial" w:hAnsi="Arial" w:cs="Arial"/>
        </w:rPr>
      </w:pPr>
      <w:r>
        <w:rPr>
          <w:rFonts w:ascii="Arial" w:eastAsia="Arial" w:hAnsi="Arial" w:cs="Arial"/>
        </w:rPr>
        <w:t>A Escola Municipal João Gonçalves de Azevedo estará desativada durante toda a execução das obras, sendo o imóvel de uso exclusivo do canteiro pelo período contratual. Ainda assim, a Contratada deverá adotar integralmente as medidas de segurança, sinalização e proteção exigidas pela legislação vigente, com vistas à proteção dos trabalhadores do canteiro, dos moradores e transeuntes do entorno e da integridade dos elementos construtivos preservados.</w:t>
      </w:r>
    </w:p>
    <w:p w14:paraId="45CD659E"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21.1  Responsabilidade Integral e Plano de Segurança do Canteiro</w:t>
      </w:r>
    </w:p>
    <w:p w14:paraId="73C04679" w14:textId="77777777" w:rsidR="008660B8" w:rsidRDefault="008660B8" w:rsidP="008660B8">
      <w:pPr>
        <w:spacing w:before="80" w:after="60"/>
        <w:jc w:val="both"/>
        <w:rPr>
          <w:rFonts w:ascii="Arial" w:eastAsia="Arial" w:hAnsi="Arial" w:cs="Arial"/>
        </w:rPr>
      </w:pPr>
      <w:r>
        <w:rPr>
          <w:rFonts w:ascii="Arial" w:eastAsia="Arial" w:hAnsi="Arial" w:cs="Arial"/>
        </w:rPr>
        <w:t>A Contratada é integralmente responsável pela segurança do canteiro de obras e de sua área de influência, respondendo civil, administrativa e penalmente por acidentes, danos materiais e lesões decorrentes de falha nas medidas de proteção, independentemente de culpa concorrente de terceiros.</w:t>
      </w:r>
    </w:p>
    <w:p w14:paraId="325C7543" w14:textId="77777777" w:rsidR="008660B8" w:rsidRDefault="008660B8" w:rsidP="008660B8">
      <w:pPr>
        <w:spacing w:before="60" w:after="40"/>
        <w:jc w:val="both"/>
        <w:rPr>
          <w:rFonts w:ascii="Arial" w:eastAsia="Arial" w:hAnsi="Arial" w:cs="Arial"/>
        </w:rPr>
      </w:pPr>
      <w:r>
        <w:rPr>
          <w:rFonts w:ascii="Arial" w:eastAsia="Arial" w:hAnsi="Arial" w:cs="Arial"/>
        </w:rPr>
        <w:t>Em até 5 (cinco) dias corridos após a emissão da Ordem de Serviço, a Contratada deverá submeter à aprovação da Fiscalização o Plano de Segurança do Canteiro — PSC, contendo obrigatoriamente:</w:t>
      </w:r>
    </w:p>
    <w:p w14:paraId="200B54FF"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Planta de layout do canteiro com delimitação das zonas de obra, áreas de armazenamento de materiais, instalações provisórias e rotas de fuga, em escala mínima de 1:100;</w:t>
      </w:r>
    </w:p>
    <w:p w14:paraId="6DC88351"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Memória descritiva dos dispositivos de isolamento perimetral, sinalização e proteção coletiva a serem instalados antes do início dos serviços;</w:t>
      </w:r>
    </w:p>
    <w:p w14:paraId="40629B9C"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Plano de contingência para evacuação do canteiro em caso de acidente ou emergência, com identificação dos responsáveis, pontos de encontro e contatos dos serviços de emergência (SAMU — 192, Bombeiros — 193, Polícia Militar — 190);</w:t>
      </w:r>
    </w:p>
    <w:p w14:paraId="21F879C7"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Identificação do profissional de Segurança do Trabalho responsável pelo canteiro — Técnico ou Engenheiro de Segurança do Trabalho — com apresentação de ART/RRT específica para gestão de SST na obra.</w:t>
      </w:r>
    </w:p>
    <w:p w14:paraId="5464936B" w14:textId="77777777" w:rsidR="008660B8" w:rsidRDefault="008660B8" w:rsidP="008660B8">
      <w:pPr>
        <w:spacing w:before="60" w:after="60"/>
        <w:jc w:val="both"/>
        <w:rPr>
          <w:rFonts w:ascii="Arial" w:eastAsia="Arial" w:hAnsi="Arial" w:cs="Arial"/>
        </w:rPr>
      </w:pPr>
      <w:r>
        <w:rPr>
          <w:rFonts w:ascii="Arial" w:eastAsia="Arial" w:hAnsi="Arial" w:cs="Arial"/>
        </w:rPr>
        <w:t>A não aprovação do PSC ou sua apresentação intempestiva configura infração contratual média, passível de multa nos termos do item 23.2 deste Projeto Básico.</w:t>
      </w:r>
    </w:p>
    <w:p w14:paraId="31785EB1" w14:textId="77777777" w:rsidR="008660B8" w:rsidRDefault="008660B8" w:rsidP="008660B8">
      <w:pPr>
        <w:spacing w:before="60" w:after="60"/>
        <w:rPr>
          <w:rFonts w:ascii="Arial" w:eastAsia="Arial" w:hAnsi="Arial" w:cs="Arial"/>
        </w:rPr>
      </w:pPr>
    </w:p>
    <w:p w14:paraId="71D57893"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21.2  Isolamento Perimetral e Tapumes</w:t>
      </w:r>
    </w:p>
    <w:p w14:paraId="257F9C29" w14:textId="77777777" w:rsidR="008660B8" w:rsidRDefault="008660B8" w:rsidP="008660B8">
      <w:pPr>
        <w:spacing w:before="80" w:after="40"/>
        <w:jc w:val="both"/>
        <w:rPr>
          <w:rFonts w:ascii="Arial" w:eastAsia="Arial" w:hAnsi="Arial" w:cs="Arial"/>
        </w:rPr>
      </w:pPr>
      <w:r>
        <w:rPr>
          <w:rFonts w:ascii="Arial" w:eastAsia="Arial" w:hAnsi="Arial" w:cs="Arial"/>
        </w:rPr>
        <w:t>O perímetro do canteiro deverá ser isolado de forma a impedir o acesso de pessoas não autorizadas e prevenir a projeção de materiais e fragmentos para o logradouro público e imóveis lindeiros. Os dispositivos de isolamento observarão os seguintes requisitos mínimos:</w:t>
      </w:r>
    </w:p>
    <w:p w14:paraId="2B969502"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Tapumes rígidos:</w:t>
      </w:r>
      <w:r>
        <w:rPr>
          <w:rFonts w:ascii="Arial" w:eastAsia="Arial" w:hAnsi="Arial" w:cs="Arial"/>
        </w:rPr>
        <w:t xml:space="preserve"> altura mínima de 2,20 m a partir do nível do passeio, em chapa metálica, madeira compensada ou painéis modulares, com resistência estrutural suficiente para suportar empuxo lateral acidental; fixação estável sem risco de tombamento; ausência de frestas, pontas salientes ou arestas cortantes voltadas para o espaço público;</w:t>
      </w:r>
    </w:p>
    <w:p w14:paraId="4ADF2579"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Tela de proteção contra projeção de materiais:</w:t>
      </w:r>
      <w:r>
        <w:rPr>
          <w:rFonts w:ascii="Arial" w:eastAsia="Arial" w:hAnsi="Arial" w:cs="Arial"/>
        </w:rPr>
        <w:t xml:space="preserve"> instalação de tela de polipropileno de malha fina em toda a extensão de tapume voltada para logradouro público ou imóvel lindeiro, com sobreposição de no mínimo 0,30 m acima da borda superior do tapume;</w:t>
      </w:r>
    </w:p>
    <w:p w14:paraId="6DAD7230"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Bandejas de proteção:</w:t>
      </w:r>
      <w:r>
        <w:rPr>
          <w:rFonts w:ascii="Arial" w:eastAsia="Arial" w:hAnsi="Arial" w:cs="Arial"/>
        </w:rPr>
        <w:t xml:space="preserve"> obrigatórias sempre que houver execução de serviços acima de 2,0 m com risco de queda de materiais, ferramentas ou entulho na direção do logradouro ou de edificações vizinhas — NR-18/2020, item 18.14;</w:t>
      </w:r>
    </w:p>
    <w:p w14:paraId="32029679"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Porta de acesso ao canteiro:</w:t>
      </w:r>
      <w:r>
        <w:rPr>
          <w:rFonts w:ascii="Arial" w:eastAsia="Arial" w:hAnsi="Arial" w:cs="Arial"/>
        </w:rPr>
        <w:t xml:space="preserve"> largura mínima de 1,20 m, dotada de cadeado ou fechadura, com abertura controlada pelo encarregado ou Responsável Técnico; sinalização de "PROIBIDA A ENTRADA — OBRA EM ANDAMENTO" e símbolo de EPI obrigatório na face externa;</w:t>
      </w:r>
    </w:p>
    <w:p w14:paraId="28535D53"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Acesso de veículos de carga:</w:t>
      </w:r>
      <w:r>
        <w:rPr>
          <w:rFonts w:ascii="Arial" w:eastAsia="Arial" w:hAnsi="Arial" w:cs="Arial"/>
        </w:rPr>
        <w:t xml:space="preserve"> obrigatória a presença de manobreiro credenciado durante todas as manobras no interior do terreno e na via pública; sinalização viária com cones e cavaletes no acesso à obra durante as operações de carga e descarga.</w:t>
      </w:r>
    </w:p>
    <w:p w14:paraId="213009ED" w14:textId="77777777" w:rsidR="008660B8" w:rsidRDefault="008660B8" w:rsidP="008660B8">
      <w:pPr>
        <w:spacing w:before="60" w:after="60"/>
        <w:rPr>
          <w:rFonts w:ascii="Arial" w:eastAsia="Arial" w:hAnsi="Arial" w:cs="Arial"/>
        </w:rPr>
      </w:pPr>
    </w:p>
    <w:p w14:paraId="4AF99B98"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21.3  Instalações Provisórias do Canteiro — NR-18</w:t>
      </w:r>
    </w:p>
    <w:p w14:paraId="64D2EF88" w14:textId="77777777" w:rsidR="008660B8" w:rsidRDefault="008660B8" w:rsidP="008660B8">
      <w:pPr>
        <w:spacing w:before="80" w:after="40"/>
        <w:jc w:val="both"/>
        <w:rPr>
          <w:rFonts w:ascii="Arial" w:eastAsia="Arial" w:hAnsi="Arial" w:cs="Arial"/>
        </w:rPr>
      </w:pPr>
      <w:r>
        <w:rPr>
          <w:rFonts w:ascii="Arial" w:eastAsia="Arial" w:hAnsi="Arial" w:cs="Arial"/>
        </w:rPr>
        <w:t>As instalações provisórias deverão ser implantadas conforme as exigências da NR-18/2020 antes do início dos serviços, permanecendo em operação e conservação durante toda a vigência contratual:</w:t>
      </w:r>
    </w:p>
    <w:p w14:paraId="0B3C2208"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lastRenderedPageBreak/>
        <w:t>Instalações sanitárias:</w:t>
      </w:r>
      <w:r>
        <w:rPr>
          <w:rFonts w:ascii="Arial" w:eastAsia="Arial" w:hAnsi="Arial" w:cs="Arial"/>
        </w:rPr>
        <w:t xml:space="preserve"> vasos sanitários, lavatórios e chuveiros na proporção mínima de 1 conjunto para cada 20 trabalhadores por turno, com separação por sexo, ventilação e iluminação naturais ou artificiais — NR-18/2020, item 18.4.2;</w:t>
      </w:r>
    </w:p>
    <w:p w14:paraId="1CF2366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Vestiários:</w:t>
      </w:r>
      <w:r>
        <w:rPr>
          <w:rFonts w:ascii="Arial" w:eastAsia="Arial" w:hAnsi="Arial" w:cs="Arial"/>
        </w:rPr>
        <w:t xml:space="preserve"> armários individuais com chave para guarda de pertences, banco e iluminação artificial — NR-18/2020, item 18.4.3;</w:t>
      </w:r>
    </w:p>
    <w:p w14:paraId="131E727A"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Refeitório ou local de refeições:</w:t>
      </w:r>
      <w:r>
        <w:rPr>
          <w:rFonts w:ascii="Arial" w:eastAsia="Arial" w:hAnsi="Arial" w:cs="Arial"/>
        </w:rPr>
        <w:t xml:space="preserve"> protegido de intempéries, com mesa e assento para todos os trabalhadores do turno, lixeira com tampa, ponto de água para higienização das mãos e não adjacente a locais de armazenamento de produtos químicos — NR-18/2020, item 18.4.4;</w:t>
      </w:r>
    </w:p>
    <w:p w14:paraId="121A705D"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Almoxarifado e depósito de materiais:</w:t>
      </w:r>
      <w:r>
        <w:rPr>
          <w:rFonts w:ascii="Arial" w:eastAsia="Arial" w:hAnsi="Arial" w:cs="Arial"/>
        </w:rPr>
        <w:t xml:space="preserve"> coberto, com piso firme e nivelado, organizado para evitar tombamento de pilhas; produtos químicos (tintas, solventes, impermeabilizantes) armazenados em área ventilada, separada e sinalizada como área de risco;</w:t>
      </w:r>
    </w:p>
    <w:p w14:paraId="1B55628D"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Instalação elétrica provisória:</w:t>
      </w:r>
      <w:r>
        <w:rPr>
          <w:rFonts w:ascii="Arial" w:eastAsia="Arial" w:hAnsi="Arial" w:cs="Arial"/>
        </w:rPr>
        <w:t xml:space="preserve"> executada por profissional habilitado, com aterramento, disjuntores dimensionados por circuito, cabos em eletroduto ou cabo PP, e quadro de distribuição trancável — NR-10 e NR-18/2020, item 18.21;</w:t>
      </w:r>
    </w:p>
    <w:p w14:paraId="35B268A1"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b/>
          <w:bCs/>
        </w:rPr>
        <w:t>Extintores de incêndio:</w:t>
      </w:r>
      <w:r>
        <w:rPr>
          <w:rFonts w:ascii="Arial" w:eastAsia="Arial" w:hAnsi="Arial" w:cs="Arial"/>
        </w:rPr>
        <w:t xml:space="preserve"> mínimo de 1 extintor de pó ABC (6 kg) a cada 200 m² de área do canteiro, com validade de carga e inspeção semestral, posicionados em locais sinalizados e acessíveis.</w:t>
      </w:r>
    </w:p>
    <w:p w14:paraId="1864C52D" w14:textId="77777777" w:rsidR="008660B8" w:rsidRDefault="008660B8" w:rsidP="008660B8">
      <w:pPr>
        <w:spacing w:before="60" w:after="60"/>
        <w:rPr>
          <w:rFonts w:ascii="Arial" w:eastAsia="Arial" w:hAnsi="Arial" w:cs="Arial"/>
        </w:rPr>
      </w:pPr>
    </w:p>
    <w:p w14:paraId="6CED1D45"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21.4  Sinalização de Segurança e de Emergência</w:t>
      </w:r>
    </w:p>
    <w:p w14:paraId="5F88DCAC" w14:textId="77777777" w:rsidR="008660B8" w:rsidRDefault="008660B8" w:rsidP="008660B8">
      <w:pPr>
        <w:spacing w:before="80" w:after="40"/>
        <w:jc w:val="both"/>
        <w:rPr>
          <w:rFonts w:ascii="Arial" w:eastAsia="Arial" w:hAnsi="Arial" w:cs="Arial"/>
        </w:rPr>
      </w:pPr>
      <w:r>
        <w:rPr>
          <w:rFonts w:ascii="Arial" w:eastAsia="Arial" w:hAnsi="Arial" w:cs="Arial"/>
        </w:rPr>
        <w:t>A sinalização de segurança deverá ser instalada antes do início de qualquer serviço e mantida íntegra e legível durante toda a obra, em conformidade com a ABNT NBR 7195:1995 (cores de segurança) e a ABNT NBR 13434:2004 (sinalização contra incêndio e pânico):</w:t>
      </w:r>
    </w:p>
    <w:p w14:paraId="20868F06"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Placas de proibição (fundo branco, círculo e barra vermelhos): "Proibida a entrada de pessoas não autorizadas", "Proibido fumar", "Proibido uso de celular em área de risco elétrico";</w:t>
      </w:r>
    </w:p>
    <w:p w14:paraId="6529992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Placas de advertência (fundo amarelo, triângulo preto): "Risco de queda", "Risco elétrico", "Carga suspensa", "Piso escorregadio" — instaladas no ponto de risco com visibilidade mínima de 10 m;</w:t>
      </w:r>
    </w:p>
    <w:p w14:paraId="07E5E51C"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Placas de obrigação (fundo azul, pictograma branco): "Use capacete", "Use óculos de proteção", "Use botina de segurança", "Use luvas" — afixadas na entrada do canteiro e nas frentes de serviço;</w:t>
      </w:r>
    </w:p>
    <w:p w14:paraId="19931886"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Sinalização de rotas de fuga e saídas de emergência (fundo verde, seta branca): instalada em todos os ambientes da obra com pictogramas fotoluminescentes, conforme ABNT NBR 13434:2004;</w:t>
      </w:r>
    </w:p>
    <w:p w14:paraId="3B208CBE"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Iluminação de emergência: obrigatória nos acessos e corredores de circulação interna do canteiro, com autonomia mínima de 2 horas (ABNT NBR 10898:2013), acionada automaticamente em caso de falta de energia;</w:t>
      </w:r>
    </w:p>
    <w:p w14:paraId="6AC43A79"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Diário de verificação de sinalização: o encarregado de segurança deverá registrar diariamente no Diário de Obra o estado da sinalização e dos dispositivos de proteção coletiva, com rubrica do Responsável Técnico.</w:t>
      </w:r>
    </w:p>
    <w:p w14:paraId="050431EA" w14:textId="77777777" w:rsidR="008660B8" w:rsidRDefault="008660B8" w:rsidP="008660B8">
      <w:pPr>
        <w:spacing w:before="60" w:after="60"/>
        <w:rPr>
          <w:rFonts w:ascii="Arial" w:eastAsia="Arial" w:hAnsi="Arial" w:cs="Arial"/>
        </w:rPr>
      </w:pPr>
    </w:p>
    <w:p w14:paraId="0CFB9E86"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21.5  Proteção de Elementos Construtivos e Instalações a Preservar</w:t>
      </w:r>
    </w:p>
    <w:p w14:paraId="2BFD3D38" w14:textId="77777777" w:rsidR="008660B8" w:rsidRDefault="008660B8" w:rsidP="008660B8">
      <w:pPr>
        <w:spacing w:before="80" w:after="40"/>
        <w:jc w:val="both"/>
        <w:rPr>
          <w:rFonts w:ascii="Arial" w:eastAsia="Arial" w:hAnsi="Arial" w:cs="Arial"/>
        </w:rPr>
      </w:pPr>
      <w:r>
        <w:rPr>
          <w:rFonts w:ascii="Arial" w:eastAsia="Arial" w:hAnsi="Arial" w:cs="Arial"/>
        </w:rPr>
        <w:t>Os elementos da edificação e as instalações que não sejam objeto de intervenção — identificados nos projetos e na planilha de serviços — deverão ser protegidos antes do início dos serviços adjacentes, respondendo a Contratada integralmente pelos danos causados a qualquer componente preservado:</w:t>
      </w:r>
    </w:p>
    <w:p w14:paraId="2D224C36"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Levantamento fotográfico prévio: registro completo do estado de todos os ambientes, fachadas e elementos a preservar, realizado antes do início dos serviços e entregue à Fiscalização em até 5 dias após a Ordem de Serviço, com identificação de data e local em cada imagem;</w:t>
      </w:r>
    </w:p>
    <w:p w14:paraId="17D2764E"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Instalações ativas (elétrica, hidráulica, dados): mapeamento e sinalização antes dos serviços de demolição ou escavação; vedação de pontos de passagem abertos com espuma de poliuretano ou bucha de borracha para impedir entrada de umidade e poeira nos dutos;</w:t>
      </w:r>
    </w:p>
    <w:p w14:paraId="00115B24"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Pisos, revestimentos e esquadrias a preservar: proteção com papelão duplo ou manta de polietileno (mínimo 3 mm) fixada com fita crepe, vedando todas as frestas; substituição às expensas da Contratada em caso de dano;</w:t>
      </w:r>
    </w:p>
    <w:p w14:paraId="34E22E86"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lastRenderedPageBreak/>
        <w:t>Cobertura e estrutura existente: antes de qualquer intervenção em cobertura, proteger com lona impermeável os ambientes abaixo para evitar infiltrações em caso de chuva durante a execução; lona removida somente após a conclusão e impermeabilização da área intervencionada;</w:t>
      </w:r>
    </w:p>
    <w:p w14:paraId="641F983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Árvores e vegetação: vedado o corte, poda ou dano a espécimes arbóreos no entorno sem autorização formal da Fiscalização e, quando exigido, licença ambiental do órgão municipal competente.</w:t>
      </w:r>
    </w:p>
    <w:p w14:paraId="2B1FF6D6" w14:textId="77777777" w:rsidR="008660B8" w:rsidRDefault="008660B8" w:rsidP="008660B8">
      <w:pPr>
        <w:spacing w:before="60" w:after="60"/>
        <w:rPr>
          <w:rFonts w:ascii="Arial" w:eastAsia="Arial" w:hAnsi="Arial" w:cs="Arial"/>
        </w:rPr>
      </w:pPr>
    </w:p>
    <w:p w14:paraId="044D3CB3"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21.6  Trabalho em Altura — Procedimentos Específicos (NR-35)</w:t>
      </w:r>
    </w:p>
    <w:p w14:paraId="221E410C" w14:textId="77777777" w:rsidR="008660B8" w:rsidRDefault="008660B8" w:rsidP="008660B8">
      <w:pPr>
        <w:spacing w:before="80" w:after="40"/>
        <w:jc w:val="both"/>
        <w:rPr>
          <w:rFonts w:ascii="Arial" w:eastAsia="Arial" w:hAnsi="Arial" w:cs="Arial"/>
        </w:rPr>
      </w:pPr>
      <w:r>
        <w:rPr>
          <w:rFonts w:ascii="Arial" w:eastAsia="Arial" w:hAnsi="Arial" w:cs="Arial"/>
        </w:rPr>
        <w:t>Todo serviço executado a partir de 2,0 m acima do nível de referência — incluindo instalação de lajes pré-moldadas, impermeabilização de cobertura, pintura de fachadas e execução de calhas — está sujeito às disposições da NR-35/2012 e às seguintes exigências:</w:t>
      </w:r>
    </w:p>
    <w:p w14:paraId="7DB22EAA"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Permissão de Trabalho em Altura — PTA: emitida e assinada pelo responsável pela segurança antes de cada jornada ou mudança de condição de trabalho; arquivada no Diário de Obra com identificação do serviço, local e trabalhadores;</w:t>
      </w:r>
    </w:p>
    <w:p w14:paraId="37B530A3"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Treinamento NR-35: certificado válido exigido para todos os trabalhadores que executem serviços em altura (carga horária mínima de 8h teóricas + 8h práticas), com cópia mantida no canteiro à disposição da Fiscalização;</w:t>
      </w:r>
    </w:p>
    <w:p w14:paraId="3D17A0E0"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Equipamentos de proteção contra quedas: cinto de segurança tipo paraquedista (CA válido) com talabarte de dupla trava e absorvedor de energia; linha de vida horizontal certificada e ponto de ancoragem dimensionado para carga mínima de 15 kN;</w:t>
      </w:r>
    </w:p>
    <w:p w14:paraId="4E838C0A"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Andaimes tubulares ou fachadeiros: montagem, desmontagem e modificação exclusivamente por trabalhador habilitado — NR-18/2020, item 18.15; inspeção visual obrigatória pelo encarregado antes de cada jornada de uso; proibido sobrecarregar plataformas acima da capacidade nominal;</w:t>
      </w:r>
    </w:p>
    <w:p w14:paraId="27A02D3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Proteção perimetral de bordas livres em lajes: guarda-corpo rígido com travessão superior a 1,20 m, travessão intermediário a 0,70 m e rodapé de 0,20 m instalado em toda borda livre antes do início dos serviços sobre a laje — NR-18/2020, item 18.13;</w:t>
      </w:r>
    </w:p>
    <w:p w14:paraId="46F402D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Abertura de vãos em lajes e pisos: imediata proteção com tampa estrutural (chapas de madeira ou metálicas) presa por parafusos ou pregos, sinalizadas com fita zebrada e placa de advertência, vedada a remoção das tampas exceto durante a própria execução do serviço.</w:t>
      </w:r>
    </w:p>
    <w:p w14:paraId="1A1E5DE8" w14:textId="77777777" w:rsidR="008660B8" w:rsidRDefault="008660B8" w:rsidP="008660B8">
      <w:pPr>
        <w:spacing w:before="60" w:after="60"/>
        <w:rPr>
          <w:rFonts w:ascii="Arial" w:eastAsia="Arial" w:hAnsi="Arial" w:cs="Arial"/>
        </w:rPr>
      </w:pPr>
    </w:p>
    <w:p w14:paraId="1A0558A9" w14:textId="77777777" w:rsidR="008660B8" w:rsidRDefault="008660B8" w:rsidP="008660B8">
      <w:pPr>
        <w:spacing w:before="160" w:after="80"/>
        <w:jc w:val="both"/>
        <w:rPr>
          <w:rFonts w:ascii="Arial" w:eastAsia="Arial" w:hAnsi="Arial" w:cs="Arial"/>
          <w:b/>
          <w:bCs/>
          <w:color w:val="2E5496"/>
        </w:rPr>
      </w:pPr>
      <w:r>
        <w:rPr>
          <w:rFonts w:ascii="Arial" w:eastAsia="Arial" w:hAnsi="Arial" w:cs="Arial"/>
          <w:b/>
          <w:bCs/>
          <w:color w:val="2E5496"/>
        </w:rPr>
        <w:t>21.7  Limpeza Contínua, Destinação de Entulho e Encerramento do Canteiro</w:t>
      </w:r>
    </w:p>
    <w:p w14:paraId="5A271AE4" w14:textId="77777777" w:rsidR="008660B8" w:rsidRDefault="008660B8" w:rsidP="008660B8">
      <w:pPr>
        <w:spacing w:before="80" w:after="40"/>
        <w:jc w:val="both"/>
        <w:rPr>
          <w:rFonts w:ascii="Arial" w:eastAsia="Arial" w:hAnsi="Arial" w:cs="Arial"/>
        </w:rPr>
      </w:pPr>
      <w:r>
        <w:rPr>
          <w:rFonts w:ascii="Arial" w:eastAsia="Arial" w:hAnsi="Arial" w:cs="Arial"/>
        </w:rPr>
        <w:t>A Contratada é responsável pela limpeza contínua do canteiro e pela correta destinação de todos os resíduos gerados, conforme o PGRCC apresentado nos termos do item 22.4 e da Resolução CONAMA nº 307/2002:</w:t>
      </w:r>
    </w:p>
    <w:p w14:paraId="293F9251"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Limpeza diária ao final de cada jornada: entulho acondicionado em caçamba ou baia segregada; ferramentas e materiais recolhidos e guardados; passagens e escadas desobstruídas; vedado o acúmulo de entulho por mais de 5 dias corridos;</w:t>
      </w:r>
    </w:p>
    <w:p w14:paraId="06DD0013"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Caçambas coletoras: posicionadas em local que não obstrua acesso ao canteiro ou passeio público; cobertas com lona quando não em operação; manifesto de destinação de resíduos (MTR) emitido pelo transportador licenciado arquivado em dossiê na obra;</w:t>
      </w:r>
    </w:p>
    <w:p w14:paraId="675899CA"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Segregação de resíduos por classe: Classe A (concreto, tijolos, argamassa, cerâmica), Classe B (metais, plásticos, papel, vidro), Classe C (gesso) e Classe D (resíduos perigosos — tintas, solventes, amianto se detectado) em baias identificadas por cor conforme Resolução CONAMA nº 307/2002 e NBR 10004:2004;</w:t>
      </w:r>
    </w:p>
    <w:p w14:paraId="4D10BFC3"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Controle de poeira e particulados: umedecimento de superfícies antes de demolições, cortes e escavações; instalação de barreira de contenção na face interna dos tapumes voltada para imóveis lindeiros, sempre que os serviços gerarem emissão significativa de particulados;</w:t>
      </w:r>
    </w:p>
    <w:p w14:paraId="16996C77"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t>Limpeza final e desmobilização: ao término da obra, após o recebimento provisório, a Contratada deverá remover integralmente o canteiro, tapumes, baias, equipamentos e resíduos remanescentes, entregando a edificação limpa, varrida, com vidros e esquadrias limpos, e em condições de imediata utilização pela escola — prazo máximo de 15 dias após o recebimento provisório;</w:t>
      </w:r>
    </w:p>
    <w:p w14:paraId="16E2D5CB" w14:textId="77777777" w:rsidR="008660B8" w:rsidRDefault="008660B8" w:rsidP="008660B8">
      <w:pPr>
        <w:pStyle w:val="PargrafodaLista"/>
        <w:numPr>
          <w:ilvl w:val="0"/>
          <w:numId w:val="2"/>
        </w:numPr>
        <w:spacing w:before="60" w:after="60"/>
        <w:jc w:val="both"/>
        <w:rPr>
          <w:rFonts w:ascii="Arial" w:eastAsia="Arial" w:hAnsi="Arial" w:cs="Arial"/>
        </w:rPr>
      </w:pPr>
      <w:r>
        <w:rPr>
          <w:rFonts w:ascii="Arial" w:eastAsia="Arial" w:hAnsi="Arial" w:cs="Arial"/>
        </w:rPr>
        <w:lastRenderedPageBreak/>
        <w:t>Relatório de encerramento ambiental: documento firmado pelo Responsável Técnico atestando a destinação de todos os resíduos, com os respectivos MTRs e notas fiscais dos transportadores licenciados, entregue à Fiscalização como condição para a lavratura do Termo de Recebimento Definitivo.</w:t>
      </w:r>
    </w:p>
    <w:p w14:paraId="173087F1" w14:textId="77777777" w:rsidR="008660B8" w:rsidRDefault="008660B8" w:rsidP="008660B8">
      <w:pPr>
        <w:spacing w:before="60" w:after="60"/>
        <w:rPr>
          <w:rFonts w:ascii="Arial" w:eastAsia="Arial" w:hAnsi="Arial" w:cs="Arial"/>
        </w:rPr>
      </w:pPr>
    </w:p>
    <w:p w14:paraId="6CDA6E44" w14:textId="0406379D" w:rsidR="00F20C26" w:rsidRDefault="008660B8" w:rsidP="008660B8">
      <w:pPr>
        <w:spacing w:before="80" w:after="80"/>
        <w:jc w:val="both"/>
      </w:pPr>
      <w:r>
        <w:rPr>
          <w:rFonts w:ascii="Arial" w:eastAsia="Arial" w:hAnsi="Arial" w:cs="Arial"/>
        </w:rPr>
        <w:t>O descumprimento de qualquer obrigação desta seção que coloque em risco a segurança dos trabalhadores ou a integridade do entorno da obra autoriza a Fiscalização a determinar a paralisação imediata dos serviços na frente afetada, sem que isso configure motivo para prorrogação de prazo ou reequilíbrio econômico-financeiro do contrato, respondendo a Contratada pelas multas previstas na seção 23 deste Projeto Básico.</w:t>
      </w:r>
    </w:p>
    <w:p w14:paraId="12C51D65"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bookmarkStart w:id="42" w:name="_Toc99900022"/>
      <w:bookmarkStart w:id="43" w:name="_Toc230937845"/>
      <w:r>
        <w:rPr>
          <w:rFonts w:ascii="Arial" w:eastAsia="Arial" w:hAnsi="Arial" w:cs="Arial"/>
          <w:b/>
          <w:bCs/>
          <w:color w:val="1F3864"/>
          <w:sz w:val="28"/>
          <w:szCs w:val="28"/>
        </w:rPr>
        <w:t>22. DAS NORMAS TÉCNICAS E REGULAMENTAÇÕES APLICÁVEIS</w:t>
      </w:r>
      <w:bookmarkEnd w:id="42"/>
      <w:bookmarkEnd w:id="43"/>
    </w:p>
    <w:p w14:paraId="4D68F902" w14:textId="77777777" w:rsidR="00447AEA" w:rsidRDefault="00447AEA" w:rsidP="00447AEA">
      <w:pPr>
        <w:spacing w:before="80" w:after="60"/>
        <w:jc w:val="both"/>
        <w:rPr>
          <w:rFonts w:ascii="Arial" w:eastAsia="Arial" w:hAnsi="Arial" w:cs="Arial"/>
        </w:rPr>
      </w:pPr>
      <w:bookmarkStart w:id="44" w:name="_Toc99900023"/>
      <w:bookmarkStart w:id="45" w:name="_Toc230937846"/>
      <w:r>
        <w:rPr>
          <w:rFonts w:ascii="Arial" w:eastAsia="Arial" w:hAnsi="Arial" w:cs="Arial"/>
        </w:rPr>
        <w:t>A execução de todos os serviços objeto deste Projeto Básico deverá observar rigorosamente o conjunto de normas técnicas, regulamentadoras e disposições legais listadas nesta seção, sem prejuízo de outras aplicáveis à natureza específica de cada atividade. O desconhecimento das normas não exime a Contratada de seu cumprimento.</w:t>
      </w:r>
    </w:p>
    <w:p w14:paraId="4F25A528"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22.1  Normas ABNT — Execução, Materiais e Desempenho</w:t>
      </w:r>
    </w:p>
    <w:p w14:paraId="723DCACB" w14:textId="77777777" w:rsidR="00447AEA" w:rsidRDefault="00447AEA" w:rsidP="00447AEA">
      <w:pPr>
        <w:spacing w:before="80" w:after="40"/>
        <w:jc w:val="both"/>
        <w:rPr>
          <w:rFonts w:ascii="Arial" w:eastAsia="Arial" w:hAnsi="Arial" w:cs="Arial"/>
        </w:rPr>
      </w:pPr>
      <w:r>
        <w:rPr>
          <w:rFonts w:ascii="Arial" w:eastAsia="Arial" w:hAnsi="Arial" w:cs="Arial"/>
        </w:rPr>
        <w:t>São normas de observância obrigatória na execução dos serviços, incluindo fornecimento de materiais, controle tecnológico e recebimento do objeto:</w:t>
      </w:r>
    </w:p>
    <w:p w14:paraId="4799B0BA"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6118:2023</w:t>
      </w:r>
      <w:r>
        <w:rPr>
          <w:rFonts w:ascii="Arial" w:eastAsia="Arial" w:hAnsi="Arial" w:cs="Arial"/>
        </w:rPr>
        <w:t xml:space="preserve"> — Projeto de Estruturas de Concreto Armado e Protendido — Procedimento;</w:t>
      </w:r>
    </w:p>
    <w:p w14:paraId="6E1DA775"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7190-1:2022</w:t>
      </w:r>
      <w:r>
        <w:rPr>
          <w:rFonts w:ascii="Arial" w:eastAsia="Arial" w:hAnsi="Arial" w:cs="Arial"/>
        </w:rPr>
        <w:t xml:space="preserve"> — Projeto de Estruturas de Madeira — Parte 1: Critérios de Dimensionamento;</w:t>
      </w:r>
    </w:p>
    <w:p w14:paraId="02AE362F"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12655:2022</w:t>
      </w:r>
      <w:r>
        <w:rPr>
          <w:rFonts w:ascii="Arial" w:eastAsia="Arial" w:hAnsi="Arial" w:cs="Arial"/>
        </w:rPr>
        <w:t xml:space="preserve"> — Concreto de Cimento Portland — Preparo, Controle, Recebimento e Aceitação;</w:t>
      </w:r>
    </w:p>
    <w:p w14:paraId="70615428"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5739:2018</w:t>
      </w:r>
      <w:r>
        <w:rPr>
          <w:rFonts w:ascii="Arial" w:eastAsia="Arial" w:hAnsi="Arial" w:cs="Arial"/>
        </w:rPr>
        <w:t xml:space="preserve"> — Concreto — Ensaio de Compressão de Corpos de Prova Cilíndricos;</w:t>
      </w:r>
    </w:p>
    <w:p w14:paraId="60E66D61"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7480:2007</w:t>
      </w:r>
      <w:r>
        <w:rPr>
          <w:rFonts w:ascii="Arial" w:eastAsia="Arial" w:hAnsi="Arial" w:cs="Arial"/>
        </w:rPr>
        <w:t xml:space="preserve"> — Aço Destinado a Armaduras para Estruturas de Concreto Armado — Especificação;</w:t>
      </w:r>
    </w:p>
    <w:p w14:paraId="02FF13E9"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15270:2005</w:t>
      </w:r>
      <w:r>
        <w:rPr>
          <w:rFonts w:ascii="Arial" w:eastAsia="Arial" w:hAnsi="Arial" w:cs="Arial"/>
        </w:rPr>
        <w:t xml:space="preserve"> — Componentes Cerâmicos — Blocos e Tijolos para Alvenaria Estrutural e de Vedação;</w:t>
      </w:r>
    </w:p>
    <w:p w14:paraId="0EAB73D1"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13749:2013</w:t>
      </w:r>
      <w:r>
        <w:rPr>
          <w:rFonts w:ascii="Arial" w:eastAsia="Arial" w:hAnsi="Arial" w:cs="Arial"/>
        </w:rPr>
        <w:t xml:space="preserve"> — Revestimento de Paredes e Tetos de Argamassas Inorgânicas — Especificação;</w:t>
      </w:r>
    </w:p>
    <w:p w14:paraId="6286C5CF"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13755:2017</w:t>
      </w:r>
      <w:r>
        <w:rPr>
          <w:rFonts w:ascii="Arial" w:eastAsia="Arial" w:hAnsi="Arial" w:cs="Arial"/>
        </w:rPr>
        <w:t xml:space="preserve"> — Revestimento de Paredes Externas e Fachadas com Placas Cerâmicas e com Utilização de Argamassa Colante — Procedimento;</w:t>
      </w:r>
    </w:p>
    <w:p w14:paraId="675F7F79"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9817:1987</w:t>
      </w:r>
      <w:r>
        <w:rPr>
          <w:rFonts w:ascii="Arial" w:eastAsia="Arial" w:hAnsi="Arial" w:cs="Arial"/>
        </w:rPr>
        <w:t xml:space="preserve"> — Execução de Piso de Alta Resistência com Agregado Incorporado à Superfície do Concreto;</w:t>
      </w:r>
    </w:p>
    <w:p w14:paraId="55AA26AA"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9574:2008</w:t>
      </w:r>
      <w:r>
        <w:rPr>
          <w:rFonts w:ascii="Arial" w:eastAsia="Arial" w:hAnsi="Arial" w:cs="Arial"/>
        </w:rPr>
        <w:t xml:space="preserve"> — Execução de Impermeabilização;</w:t>
      </w:r>
    </w:p>
    <w:p w14:paraId="7B9A1C33"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9575:2010</w:t>
      </w:r>
      <w:r>
        <w:rPr>
          <w:rFonts w:ascii="Arial" w:eastAsia="Arial" w:hAnsi="Arial" w:cs="Arial"/>
        </w:rPr>
        <w:t xml:space="preserve"> — Impermeabilização — Seleção e Projeto;</w:t>
      </w:r>
    </w:p>
    <w:p w14:paraId="6238C590"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15873:2010</w:t>
      </w:r>
      <w:r>
        <w:rPr>
          <w:rFonts w:ascii="Arial" w:eastAsia="Arial" w:hAnsi="Arial" w:cs="Arial"/>
        </w:rPr>
        <w:t xml:space="preserve"> — Coordenação Modular para Construção no Brasil — Terminologia e Símbolos Gráficos;</w:t>
      </w:r>
    </w:p>
    <w:p w14:paraId="37001B07"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15575:2021</w:t>
      </w:r>
      <w:r>
        <w:rPr>
          <w:rFonts w:ascii="Arial" w:eastAsia="Arial" w:hAnsi="Arial" w:cs="Arial"/>
        </w:rPr>
        <w:t xml:space="preserve"> (Partes 1 a 6) — Edificações Habitacionais — Desempenho — aplicável por analogia às edificações escolares públicas quanto aos requisitos de estanqueidade, conforto térmico-acústico, durabilidade e manutenibilidade;</w:t>
      </w:r>
    </w:p>
    <w:p w14:paraId="1A199CBC"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5410:2004 (+ Emenda 2008)</w:t>
      </w:r>
      <w:r>
        <w:rPr>
          <w:rFonts w:ascii="Arial" w:eastAsia="Arial" w:hAnsi="Arial" w:cs="Arial"/>
        </w:rPr>
        <w:t xml:space="preserve"> — Instalações Elétricas de Baixa Tensão;</w:t>
      </w:r>
    </w:p>
    <w:p w14:paraId="639E8CD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14039:2005</w:t>
      </w:r>
      <w:r>
        <w:rPr>
          <w:rFonts w:ascii="Arial" w:eastAsia="Arial" w:hAnsi="Arial" w:cs="Arial"/>
        </w:rPr>
        <w:t xml:space="preserve"> — Instalações Elétricas de Média Tensão — de 1,0 kV a 36,2 kV;</w:t>
      </w:r>
    </w:p>
    <w:p w14:paraId="548D3ACA"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5626:2020</w:t>
      </w:r>
      <w:r>
        <w:rPr>
          <w:rFonts w:ascii="Arial" w:eastAsia="Arial" w:hAnsi="Arial" w:cs="Arial"/>
        </w:rPr>
        <w:t xml:space="preserve"> — Sistemas Prediais de Água Fria e Água Quente — Projeto, Execução, Operação e Manutenção;</w:t>
      </w:r>
    </w:p>
    <w:p w14:paraId="491543CE"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8160:1999</w:t>
      </w:r>
      <w:r>
        <w:rPr>
          <w:rFonts w:ascii="Arial" w:eastAsia="Arial" w:hAnsi="Arial" w:cs="Arial"/>
        </w:rPr>
        <w:t xml:space="preserve"> — Sistemas Prediais de Esgoto Sanitário — Projeto e Execução;</w:t>
      </w:r>
    </w:p>
    <w:p w14:paraId="4FD7094E"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10844:1989</w:t>
      </w:r>
      <w:r>
        <w:rPr>
          <w:rFonts w:ascii="Arial" w:eastAsia="Arial" w:hAnsi="Arial" w:cs="Arial"/>
        </w:rPr>
        <w:t xml:space="preserve"> — Instalações Prediais de Águas Pluviais;</w:t>
      </w:r>
    </w:p>
    <w:p w14:paraId="078CDC84"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13714:2000</w:t>
      </w:r>
      <w:r>
        <w:rPr>
          <w:rFonts w:ascii="Arial" w:eastAsia="Arial" w:hAnsi="Arial" w:cs="Arial"/>
        </w:rPr>
        <w:t xml:space="preserve"> — Sistemas de Hidrantes e de Mangotinhos para Combate a Incêndio;</w:t>
      </w:r>
    </w:p>
    <w:p w14:paraId="41F46C00" w14:textId="77777777" w:rsidR="00447AEA" w:rsidRDefault="00447AEA" w:rsidP="00447AEA">
      <w:pPr>
        <w:spacing w:before="60" w:after="60"/>
        <w:rPr>
          <w:rFonts w:ascii="Arial" w:eastAsia="Arial" w:hAnsi="Arial" w:cs="Arial"/>
        </w:rPr>
      </w:pPr>
    </w:p>
    <w:p w14:paraId="58E010BE"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22.2  Acessibilidade Universal</w:t>
      </w:r>
    </w:p>
    <w:p w14:paraId="26EF3393" w14:textId="77777777" w:rsidR="00447AEA" w:rsidRDefault="00447AEA" w:rsidP="00447AEA">
      <w:pPr>
        <w:spacing w:before="80" w:after="40"/>
        <w:jc w:val="both"/>
        <w:rPr>
          <w:rFonts w:ascii="Arial" w:eastAsia="Arial" w:hAnsi="Arial" w:cs="Arial"/>
        </w:rPr>
      </w:pPr>
      <w:r>
        <w:rPr>
          <w:rFonts w:ascii="Arial" w:eastAsia="Arial" w:hAnsi="Arial" w:cs="Arial"/>
        </w:rPr>
        <w:t>Por tratar-se de equipamento público de educação, a obra deverá atender integralmente aos requisitos de acessibilidade universal, sendo vedada qualquer solução que crie barreira ou restrinja o acesso de pessoas com deficiência ou mobilidade reduzida:</w:t>
      </w:r>
    </w:p>
    <w:p w14:paraId="419A4D1E"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9050:2020</w:t>
      </w:r>
      <w:r>
        <w:rPr>
          <w:rFonts w:ascii="Arial" w:eastAsia="Arial" w:hAnsi="Arial" w:cs="Arial"/>
        </w:rPr>
        <w:t xml:space="preserve"> — Acessibilidade a Edificações, Mobiliário, Espaços e Equipamentos Urbanos — norma de observância compulsória;</w:t>
      </w:r>
    </w:p>
    <w:p w14:paraId="578D5303"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13.146/2015</w:t>
      </w:r>
      <w:r>
        <w:rPr>
          <w:rFonts w:ascii="Arial" w:eastAsia="Arial" w:hAnsi="Arial" w:cs="Arial"/>
        </w:rPr>
        <w:t xml:space="preserve"> — Lei Brasileira de Inclusão da Pessoa com Deficiência (Estatuto da Pessoa com Deficiência) — arts. 53 a 62 (acessibilidade na educação);</w:t>
      </w:r>
    </w:p>
    <w:p w14:paraId="63B66F2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Decreto Federal nº 5.296/2004</w:t>
      </w:r>
      <w:r>
        <w:rPr>
          <w:rFonts w:ascii="Arial" w:eastAsia="Arial" w:hAnsi="Arial" w:cs="Arial"/>
        </w:rPr>
        <w:t xml:space="preserve"> — Regulamenta as Leis nºs 10.048/2000 e 10.098/2000, estabelecendo normas e critérios para a promoção da acessibilidade;</w:t>
      </w:r>
    </w:p>
    <w:p w14:paraId="68D24B68"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10.098/2000</w:t>
      </w:r>
      <w:r>
        <w:rPr>
          <w:rFonts w:ascii="Arial" w:eastAsia="Arial" w:hAnsi="Arial" w:cs="Arial"/>
        </w:rPr>
        <w:t xml:space="preserve"> — Estabelece normas gerais e critérios básicos para a promoção da acessibilidade das pessoas portadoras de deficiência ou com mobilidade reduzida;</w:t>
      </w:r>
    </w:p>
    <w:p w14:paraId="66A3CFBD" w14:textId="77777777" w:rsidR="00447AEA" w:rsidRDefault="00447AEA" w:rsidP="00447AEA">
      <w:pPr>
        <w:spacing w:before="60" w:after="60"/>
        <w:jc w:val="both"/>
        <w:rPr>
          <w:rFonts w:ascii="Arial" w:eastAsia="Arial" w:hAnsi="Arial" w:cs="Arial"/>
        </w:rPr>
      </w:pPr>
      <w:r>
        <w:rPr>
          <w:rFonts w:ascii="Arial" w:eastAsia="Arial" w:hAnsi="Arial" w:cs="Arial"/>
        </w:rPr>
        <w:t>A Fiscalização poderá exigir laudos de conformidade com a ABNT NBR 9050:2020 elaborados pelo Responsável Técnico da obra antes do recebimento definitivo, especialmente quanto a rampas, banheiros adaptados, sinalização tátil e vagas de estacionamento.</w:t>
      </w:r>
    </w:p>
    <w:p w14:paraId="35656246" w14:textId="77777777" w:rsidR="00447AEA" w:rsidRDefault="00447AEA" w:rsidP="00447AEA">
      <w:pPr>
        <w:spacing w:before="60" w:after="60"/>
        <w:rPr>
          <w:rFonts w:ascii="Arial" w:eastAsia="Arial" w:hAnsi="Arial" w:cs="Arial"/>
        </w:rPr>
      </w:pPr>
    </w:p>
    <w:p w14:paraId="0D77DE64"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22.3  Segurança e Saúde no Trabalho na Construção</w:t>
      </w:r>
    </w:p>
    <w:p w14:paraId="4A9B5654" w14:textId="77777777" w:rsidR="00447AEA" w:rsidRDefault="00447AEA" w:rsidP="00447AEA">
      <w:pPr>
        <w:spacing w:before="80" w:after="40"/>
        <w:jc w:val="both"/>
        <w:rPr>
          <w:rFonts w:ascii="Arial" w:eastAsia="Arial" w:hAnsi="Arial" w:cs="Arial"/>
        </w:rPr>
      </w:pPr>
      <w:r>
        <w:rPr>
          <w:rFonts w:ascii="Arial" w:eastAsia="Arial" w:hAnsi="Arial" w:cs="Arial"/>
        </w:rPr>
        <w:t>São de observância obrigatória as seguintes Normas Regulamentadoras do Ministério do Trabalho e Emprego, cabendo à Contratada manter os documentos comprobatórios de conformidade à disposição da Fiscalização durante toda a obra:</w:t>
      </w:r>
    </w:p>
    <w:p w14:paraId="444BB09A"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NR-06/2023</w:t>
      </w:r>
      <w:r>
        <w:rPr>
          <w:rFonts w:ascii="Arial" w:eastAsia="Arial" w:hAnsi="Arial" w:cs="Arial"/>
        </w:rPr>
        <w:t xml:space="preserve"> — Equipamentos de Proteção Individual — EPI: obrigatoriedade de fornecimento e controle de uso, com registro em ficha individual;</w:t>
      </w:r>
    </w:p>
    <w:p w14:paraId="26C2E6DA"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NR-07/2023</w:t>
      </w:r>
      <w:r>
        <w:rPr>
          <w:rFonts w:ascii="Arial" w:eastAsia="Arial" w:hAnsi="Arial" w:cs="Arial"/>
        </w:rPr>
        <w:t xml:space="preserve"> — Programa de Controle Médico de Saúde Ocupacional — PCMSO: ASOs atualizados para todos os trabalhadores;</w:t>
      </w:r>
    </w:p>
    <w:p w14:paraId="1E1F0A0C"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NR-09/2023</w:t>
      </w:r>
      <w:r>
        <w:rPr>
          <w:rFonts w:ascii="Arial" w:eastAsia="Arial" w:hAnsi="Arial" w:cs="Arial"/>
        </w:rPr>
        <w:t xml:space="preserve"> — Avaliação e Controle das Exposições Ocupacionais a Agentes Físicos, Químicos e Biológicos — LTCAT e monitoramentos periódicos;</w:t>
      </w:r>
    </w:p>
    <w:p w14:paraId="27D12176"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NR-10/2016</w:t>
      </w:r>
      <w:r>
        <w:rPr>
          <w:rFonts w:ascii="Arial" w:eastAsia="Arial" w:hAnsi="Arial" w:cs="Arial"/>
        </w:rPr>
        <w:t xml:space="preserve"> — Segurança em Instalações e Serviços em Eletricidade: obrigatória para toda intervenção na rede elétrica da edificação;</w:t>
      </w:r>
    </w:p>
    <w:p w14:paraId="1CFD8110"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NR-15/2022</w:t>
      </w:r>
      <w:r>
        <w:rPr>
          <w:rFonts w:ascii="Arial" w:eastAsia="Arial" w:hAnsi="Arial" w:cs="Arial"/>
        </w:rPr>
        <w:t xml:space="preserve"> — Atividades e Operações Insalubres: controle e laudo de insalubridade quando aplicável;</w:t>
      </w:r>
    </w:p>
    <w:p w14:paraId="444D0A7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NR-18/2020</w:t>
      </w:r>
      <w:r>
        <w:rPr>
          <w:rFonts w:ascii="Arial" w:eastAsia="Arial" w:hAnsi="Arial" w:cs="Arial"/>
        </w:rPr>
        <w:t xml:space="preserve"> — Condições e Meio Ambiente de Trabalho na Indústria da Construção: PCMAT obrigatório para obras com 20 ou mais trabalhadores, instalações de canteiro, ordem e limpeza, proteção coletiva e sinalização de segurança;</w:t>
      </w:r>
    </w:p>
    <w:p w14:paraId="5A9683C4"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NR-35/2012</w:t>
      </w:r>
      <w:r>
        <w:rPr>
          <w:rFonts w:ascii="Arial" w:eastAsia="Arial" w:hAnsi="Arial" w:cs="Arial"/>
        </w:rPr>
        <w:t xml:space="preserve"> — Trabalho em Altura: obrigatória para qualquer atividade realizada acima de 2,0 m do nível de referência, com emissão de Permissão de Trabalho em Altura — PTA;</w:t>
      </w:r>
    </w:p>
    <w:p w14:paraId="5B49D390"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NR-05/2019</w:t>
      </w:r>
      <w:r>
        <w:rPr>
          <w:rFonts w:ascii="Arial" w:eastAsia="Arial" w:hAnsi="Arial" w:cs="Arial"/>
        </w:rPr>
        <w:t xml:space="preserve"> — CIPA — Comissão Interna de Prevenção de Acidentes e Assédio: dimensionada conforme o quadro III da norma para o CNAE da obra.</w:t>
      </w:r>
    </w:p>
    <w:p w14:paraId="3A462197" w14:textId="77777777" w:rsidR="00447AEA" w:rsidRDefault="00447AEA" w:rsidP="00447AEA">
      <w:pPr>
        <w:spacing w:before="60" w:after="60"/>
        <w:jc w:val="both"/>
        <w:rPr>
          <w:rFonts w:ascii="Arial" w:eastAsia="Arial" w:hAnsi="Arial" w:cs="Arial"/>
        </w:rPr>
      </w:pPr>
      <w:r>
        <w:rPr>
          <w:rFonts w:ascii="Arial" w:eastAsia="Arial" w:hAnsi="Arial" w:cs="Arial"/>
        </w:rPr>
        <w:t>A ocorrência de acidente de trabalho com afastamento deverá ser comunicada à Fiscalização no prazo de 24 horas, com cópia da CAT — Comunicação de Acidente de Trabalho. Acidentes graves ou fatais interrompem automaticamente os serviços na frente de trabalho afetada até a conclusão da investigação e emissão de laudo técnico.</w:t>
      </w:r>
    </w:p>
    <w:p w14:paraId="2F83755F" w14:textId="77777777" w:rsidR="00447AEA" w:rsidRDefault="00447AEA" w:rsidP="00447AEA">
      <w:pPr>
        <w:spacing w:before="60" w:after="60"/>
        <w:rPr>
          <w:rFonts w:ascii="Arial" w:eastAsia="Arial" w:hAnsi="Arial" w:cs="Arial"/>
        </w:rPr>
      </w:pPr>
    </w:p>
    <w:p w14:paraId="613A9D58"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22.4  Meio Ambiente, Resíduos Sólidos e Controle Ambiental</w:t>
      </w:r>
    </w:p>
    <w:p w14:paraId="20B31F06" w14:textId="77777777" w:rsidR="00447AEA" w:rsidRDefault="00447AEA" w:rsidP="00447AEA">
      <w:pPr>
        <w:spacing w:before="80" w:after="40"/>
        <w:jc w:val="both"/>
        <w:rPr>
          <w:rFonts w:ascii="Arial" w:eastAsia="Arial" w:hAnsi="Arial" w:cs="Arial"/>
        </w:rPr>
      </w:pPr>
      <w:r>
        <w:rPr>
          <w:rFonts w:ascii="Arial" w:eastAsia="Arial" w:hAnsi="Arial" w:cs="Arial"/>
        </w:rPr>
        <w:t>A execução da obra deverá atender à legislação ambiental vigente, sendo vedado o lançamento de resíduos, efluentes ou material particulado em logradouros públicos, corpos hídricos ou solo sem tratamento adequado:</w:t>
      </w:r>
    </w:p>
    <w:p w14:paraId="12B9EBCB"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12.305/2010</w:t>
      </w:r>
      <w:r>
        <w:rPr>
          <w:rFonts w:ascii="Arial" w:eastAsia="Arial" w:hAnsi="Arial" w:cs="Arial"/>
        </w:rPr>
        <w:t xml:space="preserve"> — Política Nacional de Resíduos Sólidos: responsabilidade da Contratada pela gestão, acondicionamento, transporte e destinação final dos resíduos gerados;</w:t>
      </w:r>
    </w:p>
    <w:p w14:paraId="01979095"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lastRenderedPageBreak/>
        <w:t>Resolução CONAMA nº 307/2002 e alterações</w:t>
      </w:r>
      <w:r>
        <w:rPr>
          <w:rFonts w:ascii="Arial" w:eastAsia="Arial" w:hAnsi="Arial" w:cs="Arial"/>
        </w:rPr>
        <w:t xml:space="preserve"> (Resoluções CONAMA nºs 348/2004, 431/2011 e 469/2015) — Gestão dos Resíduos da Construção Civil — RCC: o PGRCC (Plano de Gerenciamento de Resíduos da Construção Civil) deverá ser apresentado em até 15 dias após a emissão da Ordem de Serviço;</w:t>
      </w:r>
    </w:p>
    <w:p w14:paraId="2E9262B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10004:2004</w:t>
      </w:r>
      <w:r>
        <w:rPr>
          <w:rFonts w:ascii="Arial" w:eastAsia="Arial" w:hAnsi="Arial" w:cs="Arial"/>
        </w:rPr>
        <w:t xml:space="preserve"> — Resíduos Sólidos — Classificação: orientação para segregação e destinação de resíduos perigosos gerados na obra (tintas, solventes, amianto, se houver);</w:t>
      </w:r>
    </w:p>
    <w:p w14:paraId="40E113D7"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9.605/1998</w:t>
      </w:r>
      <w:r>
        <w:rPr>
          <w:rFonts w:ascii="Arial" w:eastAsia="Arial" w:hAnsi="Arial" w:cs="Arial"/>
        </w:rPr>
        <w:t xml:space="preserve"> — Lei de Crimes Ambientais: a Contratada responde civil, administrativa e penalmente por danos ambientais causados durante a execução;</w:t>
      </w:r>
    </w:p>
    <w:p w14:paraId="15C307E5"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Legislação Municipal e Estadual (Pernambuco)</w:t>
      </w:r>
      <w:r>
        <w:rPr>
          <w:rFonts w:ascii="Arial" w:eastAsia="Arial" w:hAnsi="Arial" w:cs="Arial"/>
        </w:rPr>
        <w:t xml:space="preserve"> — normas da CPRH (Agência Estadual de Meio Ambiente) e da Secretaria de Meio Ambiente de Goiana/PE aplicáveis ao empreendimento, incluindo eventuais licenças ambientais necessárias.</w:t>
      </w:r>
    </w:p>
    <w:p w14:paraId="7612A3D2" w14:textId="77777777" w:rsidR="00447AEA" w:rsidRDefault="00447AEA" w:rsidP="00447AEA">
      <w:pPr>
        <w:spacing w:before="60" w:after="60"/>
        <w:rPr>
          <w:rFonts w:ascii="Arial" w:eastAsia="Arial" w:hAnsi="Arial" w:cs="Arial"/>
        </w:rPr>
      </w:pPr>
    </w:p>
    <w:p w14:paraId="4423A201"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22.5  Legislação Urbanística, Edilícia e de Prevenção a Incêndio</w:t>
      </w:r>
    </w:p>
    <w:p w14:paraId="260ADDCD"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Código de Obras e Edificações do Município de Goiana/PE</w:t>
      </w:r>
      <w:r>
        <w:rPr>
          <w:rFonts w:ascii="Arial" w:eastAsia="Arial" w:hAnsi="Arial" w:cs="Arial"/>
        </w:rPr>
        <w:t xml:space="preserve"> — parâmetros urbanísticos, afastamentos, coeficientes de aproveitamento e demais condicionantes edilícias aplicáveis;</w:t>
      </w:r>
    </w:p>
    <w:p w14:paraId="09EBC85C"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Instrução Técnica do Corpo de Bombeiros de Pernambuco</w:t>
      </w:r>
      <w:r>
        <w:rPr>
          <w:rFonts w:ascii="Arial" w:eastAsia="Arial" w:hAnsi="Arial" w:cs="Arial"/>
        </w:rPr>
        <w:t xml:space="preserve"> (CBMPE) aplicáveis às edificações de uso público do grupo F-5 (ensino) — saídas de emergência, iluminação de emergência, sinalização de segurança, extintores e sistemas de hidrantes;</w:t>
      </w:r>
    </w:p>
    <w:p w14:paraId="35721E74"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9077:2001</w:t>
      </w:r>
      <w:r>
        <w:rPr>
          <w:rFonts w:ascii="Arial" w:eastAsia="Arial" w:hAnsi="Arial" w:cs="Arial"/>
        </w:rPr>
        <w:t xml:space="preserve"> — Saídas de Emergência em Edifícios: largura mínima de portas, corredores e escadas de saída;</w:t>
      </w:r>
    </w:p>
    <w:p w14:paraId="76072858"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10898:2013</w:t>
      </w:r>
      <w:r>
        <w:rPr>
          <w:rFonts w:ascii="Arial" w:eastAsia="Arial" w:hAnsi="Arial" w:cs="Arial"/>
        </w:rPr>
        <w:t xml:space="preserve"> — Sistema de Iluminação de Emergência;</w:t>
      </w:r>
    </w:p>
    <w:p w14:paraId="0BA3C0DE"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ABNT NBR 13434:2004</w:t>
      </w:r>
      <w:r>
        <w:rPr>
          <w:rFonts w:ascii="Arial" w:eastAsia="Arial" w:hAnsi="Arial" w:cs="Arial"/>
        </w:rPr>
        <w:t xml:space="preserve"> — Sinalização de Segurança Contra Incêndio e Pânico — Parte 1 e 2;</w:t>
      </w:r>
    </w:p>
    <w:p w14:paraId="242AB2BB"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Resolução ANVISA RDC nº 50/2002 e atualizações</w:t>
      </w:r>
      <w:r>
        <w:rPr>
          <w:rFonts w:ascii="Arial" w:eastAsia="Arial" w:hAnsi="Arial" w:cs="Arial"/>
        </w:rPr>
        <w:t xml:space="preserve"> — Regulamento Técnico para Planejamento, Programação, Elaboração e Avaliação de Projetos Físicos de Estabelecimentos Assistenciais — aplicável por analogia a instalações sanitárias e de abastecimento d'água em equipamentos públicos.</w:t>
      </w:r>
    </w:p>
    <w:p w14:paraId="15177E9C" w14:textId="77777777" w:rsidR="00447AEA" w:rsidRDefault="00447AEA" w:rsidP="00447AEA">
      <w:pPr>
        <w:spacing w:before="60" w:after="60"/>
        <w:rPr>
          <w:rFonts w:ascii="Arial" w:eastAsia="Arial" w:hAnsi="Arial" w:cs="Arial"/>
        </w:rPr>
      </w:pPr>
    </w:p>
    <w:p w14:paraId="4160F5DF"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22.6  Legislação Trabalhista, Previdenciária e de Combate ao Trabalho Irregular</w:t>
      </w:r>
    </w:p>
    <w:p w14:paraId="3FC545A0" w14:textId="77777777" w:rsidR="00447AEA" w:rsidRDefault="00447AEA" w:rsidP="00447AEA">
      <w:pPr>
        <w:spacing w:before="80" w:after="40"/>
        <w:jc w:val="both"/>
        <w:rPr>
          <w:rFonts w:ascii="Arial" w:eastAsia="Arial" w:hAnsi="Arial" w:cs="Arial"/>
        </w:rPr>
      </w:pPr>
      <w:r>
        <w:rPr>
          <w:rFonts w:ascii="Arial" w:eastAsia="Arial" w:hAnsi="Arial" w:cs="Arial"/>
        </w:rPr>
        <w:t>A Contratada deverá observar integralmente a legislação trabalhista e previdenciária vigente, respondendo perante a Administração por qualquer irregularidade apurada pela Inspeção do Trabalho ou pelos órgãos de controle:</w:t>
      </w:r>
    </w:p>
    <w:p w14:paraId="0E0CEE4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Consolidação das Leis do Trabalho — CLT (Decreto-Lei nº 5.452/1943 e alterações)</w:t>
      </w:r>
      <w:r>
        <w:rPr>
          <w:rFonts w:ascii="Arial" w:eastAsia="Arial" w:hAnsi="Arial" w:cs="Arial"/>
        </w:rPr>
        <w:t xml:space="preserve"> — vínculos empregatícios, jornada, FGTS, PCMAT, terceirização e subcontratação;</w:t>
      </w:r>
    </w:p>
    <w:p w14:paraId="211D195E"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8.212/1991</w:t>
      </w:r>
      <w:r>
        <w:rPr>
          <w:rFonts w:ascii="Arial" w:eastAsia="Arial" w:hAnsi="Arial" w:cs="Arial"/>
        </w:rPr>
        <w:t xml:space="preserve"> — Plano de Custeio da Seguridade Social: recolhimento de contribuições previdenciárias sobre a folha de pagamento da obra (matrícula CNO obrigatória);</w:t>
      </w:r>
    </w:p>
    <w:p w14:paraId="7462F83F"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9.711/1998 e IN RFB nº 971/2009</w:t>
      </w:r>
      <w:r>
        <w:rPr>
          <w:rFonts w:ascii="Arial" w:eastAsia="Arial" w:hAnsi="Arial" w:cs="Arial"/>
        </w:rPr>
        <w:t xml:space="preserve"> — Retenção previdenciária de 11% sobre o valor bruto das notas fiscais de serviços de construção civil (cessão de mão de obra);</w:t>
      </w:r>
    </w:p>
    <w:p w14:paraId="13DA859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9.029/1995</w:t>
      </w:r>
      <w:r>
        <w:rPr>
          <w:rFonts w:ascii="Arial" w:eastAsia="Arial" w:hAnsi="Arial" w:cs="Arial"/>
        </w:rPr>
        <w:t xml:space="preserve"> — Proibição de práticas discriminatórias e limitativas no acesso e manutenção de emprego;</w:t>
      </w:r>
    </w:p>
    <w:p w14:paraId="4142EF1B"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Portaria Interministerial MTE/MDHC/MIR nº 18, de 13/09/2024</w:t>
      </w:r>
      <w:r>
        <w:rPr>
          <w:rFonts w:ascii="Arial" w:eastAsia="Arial" w:hAnsi="Arial" w:cs="Arial"/>
        </w:rPr>
        <w:t xml:space="preserve"> — Cadastro de Empregadores que tenham submetido trabalhadores a condições análogas à escravidão: vedação absoluta à participação e contratação de empresa inscrita, nos termos do item 4.1 deste Projeto Básico;</w:t>
      </w:r>
    </w:p>
    <w:p w14:paraId="3FDBBA12"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Lei Federal nº 9.787/1999 e Decreto nº 2.271/1997</w:t>
      </w:r>
      <w:r>
        <w:rPr>
          <w:rFonts w:ascii="Arial" w:eastAsia="Arial" w:hAnsi="Arial" w:cs="Arial"/>
        </w:rPr>
        <w:t xml:space="preserve"> — Terceirização de serviços na Administração Pública: responsabilidade subsidiária da Contratante e obrigações de fiscalização do contrato sobre encargos trabalhistas e previdenciários.</w:t>
      </w:r>
    </w:p>
    <w:p w14:paraId="6B7E2784" w14:textId="77777777" w:rsidR="00447AEA" w:rsidRDefault="00447AEA" w:rsidP="00447AEA">
      <w:pPr>
        <w:spacing w:before="60" w:after="60"/>
        <w:rPr>
          <w:rFonts w:ascii="Arial" w:eastAsia="Arial" w:hAnsi="Arial" w:cs="Arial"/>
        </w:rPr>
      </w:pPr>
    </w:p>
    <w:p w14:paraId="61BEF121" w14:textId="77777777" w:rsidR="00447AEA" w:rsidRDefault="00447AEA" w:rsidP="00447AEA">
      <w:pPr>
        <w:spacing w:before="160" w:after="80"/>
        <w:jc w:val="both"/>
        <w:rPr>
          <w:rFonts w:ascii="Arial" w:eastAsia="Arial" w:hAnsi="Arial" w:cs="Arial"/>
          <w:b/>
          <w:bCs/>
          <w:color w:val="2E5496"/>
        </w:rPr>
      </w:pPr>
      <w:r>
        <w:rPr>
          <w:rFonts w:ascii="Arial" w:eastAsia="Arial" w:hAnsi="Arial" w:cs="Arial"/>
          <w:b/>
          <w:bCs/>
          <w:color w:val="2E5496"/>
        </w:rPr>
        <w:t>22.7  Controle Tecnológico de Materiais e Serviços</w:t>
      </w:r>
    </w:p>
    <w:p w14:paraId="75357AB1" w14:textId="77777777" w:rsidR="00447AEA" w:rsidRDefault="00447AEA" w:rsidP="00447AEA">
      <w:pPr>
        <w:spacing w:before="80" w:after="40"/>
        <w:jc w:val="both"/>
        <w:rPr>
          <w:rFonts w:ascii="Arial" w:eastAsia="Arial" w:hAnsi="Arial" w:cs="Arial"/>
        </w:rPr>
      </w:pPr>
      <w:r>
        <w:rPr>
          <w:rFonts w:ascii="Arial" w:eastAsia="Arial" w:hAnsi="Arial" w:cs="Arial"/>
        </w:rPr>
        <w:t>A Contratada deverá realizar o controle tecnológico dos materiais e serviços de maior impacto estrutural, apresentando os ensaios e laudos à Fiscalização antes do prosseguimento da etapa subsequente:</w:t>
      </w:r>
    </w:p>
    <w:p w14:paraId="1FB0D43C"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lastRenderedPageBreak/>
        <w:t>Concreto estrutural (se aplicável):</w:t>
      </w:r>
      <w:r>
        <w:rPr>
          <w:rFonts w:ascii="Arial" w:eastAsia="Arial" w:hAnsi="Arial" w:cs="Arial"/>
        </w:rPr>
        <w:t xml:space="preserve"> ensaio de consistência (slump test — ABNT NBR NM 67:1998), moldagem e rompimento de corpos de prova aos 7 e 28 dias (ABNT NBR 5739:2018), na proporção mínima de 1 (um) conjunto de 4 CPs a cada 10 m³ concretados;</w:t>
      </w:r>
    </w:p>
    <w:p w14:paraId="5DCAC60E" w14:textId="77777777" w:rsidR="00447AEA" w:rsidRPr="00AD4E62"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Laje pré-moldada unidirecional (8+4):</w:t>
      </w:r>
      <w:r>
        <w:rPr>
          <w:rFonts w:ascii="Arial" w:eastAsia="Arial" w:hAnsi="Arial" w:cs="Arial"/>
        </w:rPr>
        <w:t xml:space="preserve"> certificados de conformidade do fabricante com laudos de cargas admissíveis; verificação visual dos elementos no ato do recebimento; ensaio de carga em </w:t>
      </w:r>
      <w:r w:rsidRPr="00AD4E62">
        <w:rPr>
          <w:rFonts w:ascii="Arial" w:eastAsia="Arial" w:hAnsi="Arial" w:cs="Arial"/>
        </w:rPr>
        <w:t>elementos suspeitos, a critério da Fiscalização;</w:t>
      </w:r>
    </w:p>
    <w:p w14:paraId="471CF322" w14:textId="77777777" w:rsidR="00447AEA" w:rsidRDefault="00447AEA" w:rsidP="00447AEA">
      <w:pPr>
        <w:pStyle w:val="PargrafodaLista"/>
        <w:numPr>
          <w:ilvl w:val="0"/>
          <w:numId w:val="2"/>
        </w:numPr>
        <w:spacing w:before="60" w:after="60"/>
        <w:jc w:val="both"/>
        <w:rPr>
          <w:rFonts w:ascii="Arial" w:eastAsia="Arial" w:hAnsi="Arial" w:cs="Arial"/>
        </w:rPr>
      </w:pPr>
      <w:r w:rsidRPr="00AD4E62">
        <w:rPr>
          <w:rFonts w:ascii="Arial" w:eastAsia="Arial" w:hAnsi="Arial" w:cs="Arial"/>
          <w:b/>
          <w:bCs/>
        </w:rPr>
        <w:t>Impermeabilização (manta asfáltica — 2 camadas E=3mm+E=4mm, SINAPI 98547):</w:t>
      </w:r>
      <w:r w:rsidRPr="00AD4E62">
        <w:rPr>
          <w:rFonts w:ascii="Arial" w:eastAsia="Arial" w:hAnsi="Arial" w:cs="Arial"/>
        </w:rPr>
        <w:t xml:space="preserve"> ensaio de estanqueidade por inundação mínima de 72 horas (ABNT NBR 9574:2008, item 7.3) antes da proteção mecânica, com registro fotográfico datado e assinado</w:t>
      </w:r>
      <w:r>
        <w:rPr>
          <w:rFonts w:ascii="Arial" w:eastAsia="Arial" w:hAnsi="Arial" w:cs="Arial"/>
        </w:rPr>
        <w:t xml:space="preserve"> pelo RT;</w:t>
      </w:r>
    </w:p>
    <w:p w14:paraId="3CA83658"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Piso de granilite/marmorite:</w:t>
      </w:r>
      <w:r>
        <w:rPr>
          <w:rFonts w:ascii="Arial" w:eastAsia="Arial" w:hAnsi="Arial" w:cs="Arial"/>
        </w:rPr>
        <w:t xml:space="preserve"> verificação de planeza com régua de 2 m (tolerância ≤ 3 mm) e teste de percussão (ABNT NBR 13753:1996 e ABNT NBR 13816:1997);</w:t>
      </w:r>
    </w:p>
    <w:p w14:paraId="1C39A364"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Instalações elétricas:</w:t>
      </w:r>
      <w:r>
        <w:rPr>
          <w:rFonts w:ascii="Arial" w:eastAsia="Arial" w:hAnsi="Arial" w:cs="Arial"/>
        </w:rPr>
        <w:t xml:space="preserve"> laudo de medição de resistência de aterramento (mínimo 1 ponto por SPDA instalado) e teste de continuidade dos circuitos, com relatório emitido por profissional habilitado junto ao CREA/PE;</w:t>
      </w:r>
    </w:p>
    <w:p w14:paraId="6A3DE980" w14:textId="77777777" w:rsidR="00447AEA" w:rsidRDefault="00447AEA" w:rsidP="00447AEA">
      <w:pPr>
        <w:pStyle w:val="PargrafodaLista"/>
        <w:numPr>
          <w:ilvl w:val="0"/>
          <w:numId w:val="2"/>
        </w:numPr>
        <w:spacing w:before="60" w:after="60"/>
        <w:jc w:val="both"/>
        <w:rPr>
          <w:rFonts w:ascii="Arial" w:eastAsia="Arial" w:hAnsi="Arial" w:cs="Arial"/>
        </w:rPr>
      </w:pPr>
      <w:r>
        <w:rPr>
          <w:rFonts w:ascii="Arial" w:eastAsia="Arial" w:hAnsi="Arial" w:cs="Arial"/>
          <w:b/>
          <w:bCs/>
        </w:rPr>
        <w:t>Instalações hidrossanitárias:</w:t>
      </w:r>
      <w:r>
        <w:rPr>
          <w:rFonts w:ascii="Arial" w:eastAsia="Arial" w:hAnsi="Arial" w:cs="Arial"/>
        </w:rPr>
        <w:t xml:space="preserve"> teste de estanqueidade das tubulações de água (pressão mínima de 1,5 × a pressão de trabalho por 4 horas — ABNT NBR 5626:2020, item 10) e de esgoto (enchimento total das tubulações por 15 minutos).</w:t>
      </w:r>
    </w:p>
    <w:p w14:paraId="6433B9DA" w14:textId="77777777" w:rsidR="00447AEA" w:rsidRDefault="00447AEA" w:rsidP="00447AEA">
      <w:pPr>
        <w:spacing w:before="60" w:after="60"/>
        <w:rPr>
          <w:rFonts w:ascii="Arial" w:eastAsia="Arial" w:hAnsi="Arial" w:cs="Arial"/>
        </w:rPr>
      </w:pPr>
    </w:p>
    <w:p w14:paraId="2F6DBEAE" w14:textId="77777777" w:rsidR="00447AEA" w:rsidRDefault="00447AEA" w:rsidP="00447AEA">
      <w:pPr>
        <w:spacing w:before="80" w:after="80"/>
        <w:jc w:val="both"/>
        <w:rPr>
          <w:rFonts w:ascii="Arial" w:eastAsia="Arial" w:hAnsi="Arial" w:cs="Arial"/>
        </w:rPr>
      </w:pPr>
      <w:r>
        <w:rPr>
          <w:rFonts w:ascii="Arial" w:eastAsia="Arial" w:hAnsi="Arial" w:cs="Arial"/>
        </w:rPr>
        <w:t>Em caso de conflito entre normas ou entre a norma e as especificações do Projeto Básico, prevalecerá sempre a solução mais restritiva em termos de segurança, qualidade e acessibilidade. A Fiscalização poderá, motivadamente, exigir a substituição de material ou solução técnica que, mesmo normativamente aceita, apresente desempenho insatisfatório ou incompatível com o uso escolar do equipamento.</w:t>
      </w:r>
    </w:p>
    <w:p w14:paraId="4D668095"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23. DAS PENALIDADES E MULTAS</w:t>
      </w:r>
      <w:bookmarkEnd w:id="44"/>
      <w:bookmarkEnd w:id="45"/>
    </w:p>
    <w:p w14:paraId="5D1B2BA7" w14:textId="77777777" w:rsidR="000D34CF" w:rsidRDefault="000D34CF" w:rsidP="000D34CF">
      <w:pPr>
        <w:spacing w:before="160" w:after="80"/>
        <w:jc w:val="both"/>
        <w:rPr>
          <w:rFonts w:ascii="Arial" w:eastAsia="Arial" w:hAnsi="Arial" w:cs="Arial"/>
          <w:b/>
          <w:bCs/>
          <w:color w:val="2E5496"/>
        </w:rPr>
      </w:pPr>
      <w:bookmarkStart w:id="46" w:name="_Toc99900024"/>
      <w:bookmarkStart w:id="47" w:name="_Toc230937847"/>
      <w:r>
        <w:rPr>
          <w:rFonts w:ascii="Arial" w:eastAsia="Arial" w:hAnsi="Arial" w:cs="Arial"/>
          <w:b/>
          <w:bCs/>
          <w:color w:val="2E5496"/>
        </w:rPr>
        <w:t>23.1  Das Sanções Aplicáveis</w:t>
      </w:r>
    </w:p>
    <w:p w14:paraId="76669289" w14:textId="77777777" w:rsidR="000D34CF" w:rsidRDefault="000D34CF" w:rsidP="000D34CF">
      <w:pPr>
        <w:spacing w:before="80" w:after="60"/>
        <w:jc w:val="both"/>
        <w:rPr>
          <w:rFonts w:ascii="Arial" w:eastAsia="Arial" w:hAnsi="Arial" w:cs="Arial"/>
        </w:rPr>
      </w:pPr>
      <w:r>
        <w:rPr>
          <w:rFonts w:ascii="Arial" w:eastAsia="Arial" w:hAnsi="Arial" w:cs="Arial"/>
        </w:rPr>
        <w:t>O descumprimento total ou parcial das obrigações assumidas pela Contratada sujeitará a aplicação das sanções previstas nos arts. 155 a 163 da Lei nº 14.133/2021, assegurado o contraditório e a ampla defesa em processo administrativo regular, sem prejuízo das responsabilidades civil e penal cabíveis e da reparação integral dos danos causados à Administração.</w:t>
      </w:r>
    </w:p>
    <w:p w14:paraId="58108F0C" w14:textId="77777777" w:rsidR="000D34CF" w:rsidRDefault="000D34CF" w:rsidP="000D34CF">
      <w:pPr>
        <w:spacing w:before="60" w:after="40"/>
        <w:jc w:val="both"/>
        <w:rPr>
          <w:rFonts w:ascii="Arial" w:eastAsia="Arial" w:hAnsi="Arial" w:cs="Arial"/>
        </w:rPr>
      </w:pPr>
      <w:r>
        <w:rPr>
          <w:rFonts w:ascii="Arial" w:eastAsia="Arial" w:hAnsi="Arial" w:cs="Arial"/>
        </w:rPr>
        <w:t>São sanções aplicáveis, isolada ou cumulativamente, conforme a gravidade da infração, os antecedentes da Contratada, a proporcionalidade e a razoabilidade:</w:t>
      </w:r>
    </w:p>
    <w:p w14:paraId="0E4CB42D"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Advertência</w:t>
      </w:r>
      <w:r>
        <w:rPr>
          <w:rFonts w:ascii="Arial" w:eastAsia="Arial" w:hAnsi="Arial" w:cs="Arial"/>
        </w:rPr>
        <w:t>, por infrações de menor potencial ofensivo, devidamente documentadas nos autos do processo administrativo — art. 156, I, da Lei nº 14.133/2021;</w:t>
      </w:r>
    </w:p>
    <w:p w14:paraId="2FA8DCA5"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Multa</w:t>
      </w:r>
      <w:r>
        <w:rPr>
          <w:rFonts w:ascii="Arial" w:eastAsia="Arial" w:hAnsi="Arial" w:cs="Arial"/>
        </w:rPr>
        <w:t>, nas modalidades e percentuais definidos no item 23.2 deste Projeto Básico — art. 156, II, da Lei nº 14.133/2021;</w:t>
      </w:r>
    </w:p>
    <w:p w14:paraId="7C25658D"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Impedimento de licitar e contratar</w:t>
      </w:r>
      <w:r>
        <w:rPr>
          <w:rFonts w:ascii="Arial" w:eastAsia="Arial" w:hAnsi="Arial" w:cs="Arial"/>
        </w:rPr>
        <w:t xml:space="preserve"> com o Município de Goiana/PE pelo prazo de 6 meses a 3 anos, quando a infração for praticada no âmbito do contrato decorrente desta licitação — art. 156, III, da Lei nº 14.133/2021;</w:t>
      </w:r>
    </w:p>
    <w:p w14:paraId="41B5DA98"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Declaração de inidoneidade para licitar ou contratar</w:t>
      </w:r>
      <w:r>
        <w:rPr>
          <w:rFonts w:ascii="Arial" w:eastAsia="Arial" w:hAnsi="Arial" w:cs="Arial"/>
        </w:rPr>
        <w:t xml:space="preserve"> com toda a Administração Pública direta e indireta pelo prazo de 3 a 6 anos, nas hipóteses de infrações graves previstas no art. 155, §§ 1º e 4º, da Lei nº 14.133/2021 — art. 156, IV.</w:t>
      </w:r>
    </w:p>
    <w:p w14:paraId="788FC32B" w14:textId="77777777" w:rsidR="000D34CF" w:rsidRDefault="000D34CF" w:rsidP="000D34CF">
      <w:pPr>
        <w:spacing w:before="60" w:after="60"/>
        <w:rPr>
          <w:rFonts w:ascii="Arial" w:eastAsia="Arial" w:hAnsi="Arial" w:cs="Arial"/>
        </w:rPr>
      </w:pPr>
    </w:p>
    <w:p w14:paraId="3E3F538A" w14:textId="77777777" w:rsidR="000D34CF" w:rsidRDefault="000D34CF" w:rsidP="000D34CF">
      <w:pPr>
        <w:spacing w:before="160" w:after="80"/>
        <w:jc w:val="both"/>
        <w:rPr>
          <w:rFonts w:ascii="Arial" w:eastAsia="Arial" w:hAnsi="Arial" w:cs="Arial"/>
          <w:b/>
          <w:bCs/>
          <w:color w:val="2E5496"/>
        </w:rPr>
      </w:pPr>
      <w:r>
        <w:rPr>
          <w:rFonts w:ascii="Arial" w:eastAsia="Arial" w:hAnsi="Arial" w:cs="Arial"/>
          <w:b/>
          <w:bCs/>
          <w:color w:val="2E5496"/>
        </w:rPr>
        <w:t>23.2  Da Multa — Hipóteses, Bases de Cálculo e Percentuais</w:t>
      </w:r>
    </w:p>
    <w:p w14:paraId="1E74A5FC" w14:textId="77777777" w:rsidR="000D34CF" w:rsidRDefault="000D34CF" w:rsidP="000D34CF">
      <w:pPr>
        <w:spacing w:before="80" w:after="40"/>
        <w:jc w:val="both"/>
        <w:rPr>
          <w:rFonts w:ascii="Arial" w:eastAsia="Arial" w:hAnsi="Arial" w:cs="Arial"/>
        </w:rPr>
      </w:pPr>
      <w:r>
        <w:rPr>
          <w:rFonts w:ascii="Arial" w:eastAsia="Arial" w:hAnsi="Arial" w:cs="Arial"/>
        </w:rPr>
        <w:t>As multas observarão as seguintes bases de cálculo e percentuais, incidindo sobre o valor global do contrato atualizado:</w:t>
      </w:r>
    </w:p>
    <w:p w14:paraId="7C1067A5"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moratória por atraso no início dos serviços após a emissão da Ordem de Serviço: </w:t>
      </w:r>
      <w:r>
        <w:rPr>
          <w:rFonts w:ascii="Arial" w:eastAsia="Arial" w:hAnsi="Arial" w:cs="Arial"/>
        </w:rPr>
        <w:t>0,3% (três décimos por cento) do valor do contrato por dia de atraso, limitada a 15% (quinze por cento); atingido o limite, configurar-se-á inexecução parcial.</w:t>
      </w:r>
    </w:p>
    <w:p w14:paraId="1C652080"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moratória por atraso em etapa do cronograma físico-financeiro: </w:t>
      </w:r>
      <w:r>
        <w:rPr>
          <w:rFonts w:ascii="Arial" w:eastAsia="Arial" w:hAnsi="Arial" w:cs="Arial"/>
        </w:rPr>
        <w:t>0,2% (dois décimos por cento) do valor da etapa atrasada por dia, limitada a 10% (dez por cento) do valor da respectiva etapa.</w:t>
      </w:r>
    </w:p>
    <w:p w14:paraId="6E9C9634"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lastRenderedPageBreak/>
        <w:t xml:space="preserve">Multa moratória por atraso na entrega final da obra: </w:t>
      </w:r>
      <w:r>
        <w:rPr>
          <w:rFonts w:ascii="Arial" w:eastAsia="Arial" w:hAnsi="Arial" w:cs="Arial"/>
        </w:rPr>
        <w:t>0,5% (cinco décimos por cento) do valor contratual por dia corrido, limitada a 20% (vinte por cento). Superado o limite, a Administração poderá optar pela rescisão do contrato sem prejuízo da cobrança da multa já incidente.</w:t>
      </w:r>
    </w:p>
    <w:p w14:paraId="083B4294"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compensatória por inexecução parcial: </w:t>
      </w:r>
      <w:r>
        <w:rPr>
          <w:rFonts w:ascii="Arial" w:eastAsia="Arial" w:hAnsi="Arial" w:cs="Arial"/>
        </w:rPr>
        <w:t>10% (dez por cento) sobre o valor da parcela não executada ou entregue em desconformidade, sem prejuízo da obrigação de refazer ou reparar os serviços.</w:t>
      </w:r>
    </w:p>
    <w:p w14:paraId="6475DAA4"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compensatória por inexecução total: </w:t>
      </w:r>
      <w:r>
        <w:rPr>
          <w:rFonts w:ascii="Arial" w:eastAsia="Arial" w:hAnsi="Arial" w:cs="Arial"/>
        </w:rPr>
        <w:t>20% (vinte por cento) sobre o valor global do contrato, nos casos de rescisão por culpa exclusiva da Contratada — art. 137 c/c art. 156, § 3º, da Lei nº 14.133/2021.</w:t>
      </w:r>
    </w:p>
    <w:p w14:paraId="1851AC3C"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por descumprimento de obrigação acessória não sanável: </w:t>
      </w:r>
      <w:r>
        <w:rPr>
          <w:rFonts w:ascii="Arial" w:eastAsia="Arial" w:hAnsi="Arial" w:cs="Arial"/>
        </w:rPr>
        <w:t>1% (um por cento) do valor mensal do contrato por ocorrência, até o limite de 5% (cinco por cento) acumulados, nas hipóteses de: não apresentação do Diário de Obra; ausência do Responsável Técnico nas etapas críticas; não recolhimento das certidões do kit de medição; ou recusa injustificada à inspeção da Fiscalização.</w:t>
      </w:r>
    </w:p>
    <w:p w14:paraId="1049276E"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 xml:space="preserve">Multa específica por violação trabalhista — Lista Suja do MTE: </w:t>
      </w:r>
      <w:r>
        <w:rPr>
          <w:rFonts w:ascii="Arial" w:eastAsia="Arial" w:hAnsi="Arial" w:cs="Arial"/>
        </w:rPr>
        <w:t>10% (dez por cento) do valor contratual remanescente, aplicada quando constatada a inscrição da Contratada no Cadastro de Empregadores que tenham submetido trabalhadores a condições análogas à escravidão (Portaria Interministerial MTE/MDHC/MIR nº 18/2024) durante a vigência contratual, sem prejuízo da rescisão unilateral imediata do contrato — art. 137, I, c/c art. 139 da Lei nº 14.133/2021.</w:t>
      </w:r>
    </w:p>
    <w:p w14:paraId="617A7230" w14:textId="77777777" w:rsidR="000D34CF" w:rsidRDefault="000D34CF" w:rsidP="000D34CF">
      <w:pPr>
        <w:spacing w:before="60" w:after="60"/>
        <w:rPr>
          <w:rFonts w:ascii="Arial" w:eastAsia="Arial" w:hAnsi="Arial" w:cs="Arial"/>
        </w:rPr>
      </w:pPr>
    </w:p>
    <w:p w14:paraId="317B835D" w14:textId="77777777" w:rsidR="000D34CF" w:rsidRDefault="000D34CF" w:rsidP="000D34CF">
      <w:pPr>
        <w:spacing w:before="160" w:after="80"/>
        <w:jc w:val="both"/>
        <w:rPr>
          <w:rFonts w:ascii="Arial" w:eastAsia="Arial" w:hAnsi="Arial" w:cs="Arial"/>
          <w:b/>
          <w:bCs/>
          <w:color w:val="2E5496"/>
        </w:rPr>
      </w:pPr>
      <w:r>
        <w:rPr>
          <w:rFonts w:ascii="Arial" w:eastAsia="Arial" w:hAnsi="Arial" w:cs="Arial"/>
          <w:b/>
          <w:bCs/>
          <w:color w:val="2E5496"/>
        </w:rPr>
        <w:t>23.3  Das Hipóteses de Infração e Gradação Sancionatória</w:t>
      </w:r>
    </w:p>
    <w:p w14:paraId="6A6B5E26" w14:textId="77777777" w:rsidR="000D34CF" w:rsidRDefault="000D34CF" w:rsidP="000D34CF">
      <w:pPr>
        <w:spacing w:before="80" w:after="40"/>
        <w:jc w:val="both"/>
        <w:rPr>
          <w:rFonts w:ascii="Arial" w:eastAsia="Arial" w:hAnsi="Arial" w:cs="Arial"/>
        </w:rPr>
      </w:pPr>
      <w:r>
        <w:rPr>
          <w:rFonts w:ascii="Arial" w:eastAsia="Arial" w:hAnsi="Arial" w:cs="Arial"/>
        </w:rPr>
        <w:t>As infrações sujeitarão a Contratada às sanções graduadas conforme a seguinte tipologia, observado o disposto no art. 155 e no § 1º do art. 156 da Lei nº 14.133/2021:</w:t>
      </w:r>
    </w:p>
    <w:p w14:paraId="3407D011"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Infrações leves</w:t>
      </w:r>
      <w:r>
        <w:rPr>
          <w:rFonts w:ascii="Arial" w:eastAsia="Arial" w:hAnsi="Arial" w:cs="Arial"/>
        </w:rPr>
        <w:t xml:space="preserve"> (advertência e/ou multa moratória): atraso injustificado de até 5 dias corridos no início dos serviços ou em etapa do cronograma; não apresentação de documento técnico exigido dentro do prazo; ausência pontual e justificável do Responsável Técnico.</w:t>
      </w:r>
    </w:p>
    <w:p w14:paraId="2AC5E41C"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Infrações médias</w:t>
      </w:r>
      <w:r>
        <w:rPr>
          <w:rFonts w:ascii="Arial" w:eastAsia="Arial" w:hAnsi="Arial" w:cs="Arial"/>
        </w:rPr>
        <w:t xml:space="preserve"> (multa moratória/compensatória + impedimento de licitar): atraso superior a 5 dias corridos; execução de serviços em desacordo com as especificações técnicas do Projeto Básico ou com os projetos aprovados; utilização de materiais em desconformidade com as normas ABNT; descumprimento reiterado de determinação da Fiscalização; recusa injustificada em corrigir serviços rejeitados; não recolhimento de encargos INSS/FGTS apurado em auditoria.</w:t>
      </w:r>
    </w:p>
    <w:p w14:paraId="04CCC80A" w14:textId="77777777" w:rsidR="000D34CF" w:rsidRDefault="000D34CF" w:rsidP="000D34CF">
      <w:pPr>
        <w:pStyle w:val="PargrafodaLista"/>
        <w:numPr>
          <w:ilvl w:val="0"/>
          <w:numId w:val="2"/>
        </w:numPr>
        <w:spacing w:before="60" w:after="60"/>
        <w:jc w:val="both"/>
        <w:rPr>
          <w:rFonts w:ascii="Arial" w:eastAsia="Arial" w:hAnsi="Arial" w:cs="Arial"/>
        </w:rPr>
      </w:pPr>
      <w:r>
        <w:rPr>
          <w:rFonts w:ascii="Arial" w:eastAsia="Arial" w:hAnsi="Arial" w:cs="Arial"/>
          <w:b/>
          <w:bCs/>
        </w:rPr>
        <w:t>Infrações graves</w:t>
      </w:r>
      <w:r>
        <w:rPr>
          <w:rFonts w:ascii="Arial" w:eastAsia="Arial" w:hAnsi="Arial" w:cs="Arial"/>
        </w:rPr>
        <w:t xml:space="preserve"> (rescisão unilateral + multa compensatória + declaração de inidoneidade): abandono do canteiro de obras por prazo superior a 15 dias corridos sem justificativa aceita pela Administração; inexecução total do objeto; fraude à execução; prestação de declaração falsa durante a habilitação ou execução contratual; subcontratação total do objeto sem autorização; inscrição da Contratada na Lista Suja do MTE durante a vigência contratual; prática de atos lesivos à Administração Pública tipificados na Lei nº 12.846/2013.</w:t>
      </w:r>
    </w:p>
    <w:p w14:paraId="3F22CE25" w14:textId="77777777" w:rsidR="000D34CF" w:rsidRDefault="000D34CF" w:rsidP="000D34CF">
      <w:pPr>
        <w:spacing w:before="60" w:after="60"/>
        <w:rPr>
          <w:rFonts w:ascii="Arial" w:eastAsia="Arial" w:hAnsi="Arial" w:cs="Arial"/>
        </w:rPr>
      </w:pPr>
    </w:p>
    <w:p w14:paraId="354B4938" w14:textId="77777777" w:rsidR="000D34CF" w:rsidRDefault="000D34CF" w:rsidP="000D34CF">
      <w:pPr>
        <w:spacing w:before="160" w:after="80"/>
        <w:jc w:val="both"/>
        <w:rPr>
          <w:rFonts w:ascii="Arial" w:eastAsia="Arial" w:hAnsi="Arial" w:cs="Arial"/>
          <w:b/>
          <w:bCs/>
          <w:color w:val="2E5496"/>
        </w:rPr>
      </w:pPr>
      <w:r>
        <w:rPr>
          <w:rFonts w:ascii="Arial" w:eastAsia="Arial" w:hAnsi="Arial" w:cs="Arial"/>
          <w:b/>
          <w:bCs/>
          <w:color w:val="2E5496"/>
        </w:rPr>
        <w:t>23.4  Do Processo Administrativo Sancionatório</w:t>
      </w:r>
    </w:p>
    <w:p w14:paraId="2444B2C7" w14:textId="77777777" w:rsidR="000D34CF" w:rsidRDefault="000D34CF" w:rsidP="000D34CF">
      <w:pPr>
        <w:spacing w:before="80" w:after="60"/>
        <w:jc w:val="both"/>
        <w:rPr>
          <w:rFonts w:ascii="Arial" w:eastAsia="Arial" w:hAnsi="Arial" w:cs="Arial"/>
        </w:rPr>
      </w:pPr>
      <w:r>
        <w:rPr>
          <w:rFonts w:ascii="Arial" w:eastAsia="Arial" w:hAnsi="Arial" w:cs="Arial"/>
        </w:rPr>
        <w:t>A aplicação de qualquer sanção será precedida de processo administrativo com notificação formal da Contratada, prazo mínimo de 15 (quinze) dias úteis para apresentação de defesa prévia e documentos, e decisão motivada pela autoridade competente — art. 157 da Lei nº 14.133/2021.</w:t>
      </w:r>
    </w:p>
    <w:p w14:paraId="7A8B3011" w14:textId="77777777" w:rsidR="000D34CF" w:rsidRDefault="000D34CF" w:rsidP="000D34CF">
      <w:pPr>
        <w:spacing w:before="60" w:after="60"/>
        <w:jc w:val="both"/>
        <w:rPr>
          <w:rFonts w:ascii="Arial" w:eastAsia="Arial" w:hAnsi="Arial" w:cs="Arial"/>
        </w:rPr>
      </w:pPr>
      <w:r>
        <w:rPr>
          <w:rFonts w:ascii="Arial" w:eastAsia="Arial" w:hAnsi="Arial" w:cs="Arial"/>
        </w:rPr>
        <w:t>Da decisão que aplicar sanção caberá recurso hierárquico no prazo de 15 (quinze) dias úteis, contados da intimação, sem efeito suspensivo automático, salvo decisão motivada da autoridade competente concedendo efeito suspensivo — art. 157, § 1º, da Lei nº 14.133/2021.</w:t>
      </w:r>
    </w:p>
    <w:p w14:paraId="48BFE9B9" w14:textId="77777777" w:rsidR="000D34CF" w:rsidRDefault="000D34CF" w:rsidP="000D34CF">
      <w:pPr>
        <w:spacing w:before="60" w:after="60"/>
        <w:jc w:val="both"/>
        <w:rPr>
          <w:rFonts w:ascii="Arial" w:eastAsia="Arial" w:hAnsi="Arial" w:cs="Arial"/>
        </w:rPr>
      </w:pPr>
      <w:r>
        <w:rPr>
          <w:rFonts w:ascii="Arial" w:eastAsia="Arial" w:hAnsi="Arial" w:cs="Arial"/>
        </w:rPr>
        <w:t>A multa aplicada e não recolhida no prazo de 30 (trinta) dias poderá ser descontada das faturas pendentes de pagamento ou cobrada judicialmente, com correção pela taxa SELIC, sem prejuízo da inscrição em dívida ativa do Município — art. 156, § 8º, da Lei nº 14.133/2021.</w:t>
      </w:r>
    </w:p>
    <w:p w14:paraId="05762744" w14:textId="77777777" w:rsidR="000D34CF" w:rsidRDefault="000D34CF" w:rsidP="000D34CF">
      <w:pPr>
        <w:spacing w:before="60" w:after="60"/>
        <w:jc w:val="both"/>
        <w:rPr>
          <w:rFonts w:ascii="Arial" w:eastAsia="Arial" w:hAnsi="Arial" w:cs="Arial"/>
        </w:rPr>
      </w:pPr>
      <w:r>
        <w:rPr>
          <w:rFonts w:ascii="Arial" w:eastAsia="Arial" w:hAnsi="Arial" w:cs="Arial"/>
        </w:rPr>
        <w:t>As sanções de impedimento de licitar e contratar e de declaração de inidoneidade serão registradas no Cadastro Nacional de Empresas Inidôneas e Suspensas — CEIS/CNEP, em cumprimento ao art. 161 da Lei nº 14.133/2021, com consequente publicidade e abrangência nacional.</w:t>
      </w:r>
    </w:p>
    <w:p w14:paraId="20CD1301" w14:textId="77777777" w:rsidR="000D34CF" w:rsidRDefault="000D34CF" w:rsidP="000D34CF">
      <w:pPr>
        <w:spacing w:before="60" w:after="60"/>
        <w:rPr>
          <w:rFonts w:ascii="Arial" w:eastAsia="Arial" w:hAnsi="Arial" w:cs="Arial"/>
        </w:rPr>
      </w:pPr>
    </w:p>
    <w:p w14:paraId="765EC2C9" w14:textId="77777777" w:rsidR="000D34CF" w:rsidRDefault="000D34CF" w:rsidP="000D34CF">
      <w:pPr>
        <w:spacing w:before="160" w:after="80"/>
        <w:jc w:val="both"/>
        <w:rPr>
          <w:rFonts w:ascii="Arial" w:eastAsia="Arial" w:hAnsi="Arial" w:cs="Arial"/>
          <w:b/>
          <w:bCs/>
          <w:color w:val="2E5496"/>
        </w:rPr>
      </w:pPr>
      <w:r>
        <w:rPr>
          <w:rFonts w:ascii="Arial" w:eastAsia="Arial" w:hAnsi="Arial" w:cs="Arial"/>
          <w:b/>
          <w:bCs/>
          <w:color w:val="2E5496"/>
        </w:rPr>
        <w:lastRenderedPageBreak/>
        <w:t>23.5  Da Comunicação às Autoridades Externas</w:t>
      </w:r>
    </w:p>
    <w:p w14:paraId="2C63866B" w14:textId="77777777" w:rsidR="000D34CF" w:rsidRDefault="000D34CF" w:rsidP="000D34CF">
      <w:pPr>
        <w:spacing w:before="80" w:after="80"/>
        <w:jc w:val="both"/>
        <w:rPr>
          <w:rFonts w:ascii="Arial" w:eastAsia="Arial" w:hAnsi="Arial" w:cs="Arial"/>
        </w:rPr>
      </w:pPr>
      <w:r>
        <w:rPr>
          <w:rFonts w:ascii="Arial" w:eastAsia="Arial" w:hAnsi="Arial" w:cs="Arial"/>
        </w:rPr>
        <w:t>Verificada a prática de fato que configure ilícito trabalhista grave, fraude, ato lesivo à Administração ou submissão de trabalhadores a condições análogas à escravidão, a Secretaria de Educação de Goiana/PE providenciará a comunicação formal e imediata ao Ministério Público do Trabalho, ao Ministério Público Estadual, à Inspeção do Trabalho do Ministério do Trabalho e Emprego e à Advocacia-Geral do Município, para adoção das medidas de sua competência, independentemente das sanções administrativas aplicadas neste contrato — art. 158 da Lei nº 14.133/2021 e Portaria Interministerial MTE/MDHC/MIR nº 18/2024.</w:t>
      </w:r>
    </w:p>
    <w:p w14:paraId="1925C098" w14:textId="77777777" w:rsidR="00F20C26" w:rsidRDefault="00AE7ABF">
      <w:pPr>
        <w:pBdr>
          <w:bottom w:val="single" w:sz="6" w:space="4" w:color="2E5E9E"/>
        </w:pBdr>
        <w:spacing w:before="320" w:after="100"/>
        <w:outlineLvl w:val="0"/>
        <w:rPr>
          <w:rFonts w:ascii="Arial" w:eastAsia="Arial" w:hAnsi="Arial" w:cs="Arial"/>
          <w:b/>
          <w:bCs/>
          <w:color w:val="1F3864"/>
          <w:sz w:val="28"/>
          <w:szCs w:val="28"/>
        </w:rPr>
      </w:pPr>
      <w:r>
        <w:rPr>
          <w:rFonts w:ascii="Arial" w:eastAsia="Arial" w:hAnsi="Arial" w:cs="Arial"/>
          <w:b/>
          <w:bCs/>
          <w:color w:val="1F3864"/>
          <w:sz w:val="28"/>
          <w:szCs w:val="28"/>
        </w:rPr>
        <w:t>24. DAS DISPOSIÇÕES GERAIS</w:t>
      </w:r>
      <w:bookmarkEnd w:id="46"/>
      <w:bookmarkEnd w:id="47"/>
    </w:p>
    <w:p w14:paraId="585A4183" w14:textId="77777777" w:rsidR="00F20C26" w:rsidRDefault="00AE7ABF">
      <w:pPr>
        <w:spacing w:before="80" w:after="80"/>
        <w:jc w:val="both"/>
      </w:pPr>
      <w:r>
        <w:rPr>
          <w:rFonts w:ascii="Arial" w:eastAsia="Arial" w:hAnsi="Arial" w:cs="Arial"/>
        </w:rPr>
        <w:t>Os serviços serão medidos conforme os critérios definidos neste Projeto Básico, de acordo com o quantitativo efetivamente realizado e o preço pactuado. O valor da contratação é global, representando o preço total pela execução integral do objeto nas condições estipuladas.</w:t>
      </w:r>
    </w:p>
    <w:p w14:paraId="19902492" w14:textId="77777777" w:rsidR="00F20C26" w:rsidRDefault="00AE7ABF">
      <w:pPr>
        <w:spacing w:before="80" w:after="80"/>
        <w:jc w:val="both"/>
      </w:pPr>
      <w:r>
        <w:rPr>
          <w:rFonts w:ascii="Arial" w:eastAsia="Arial" w:hAnsi="Arial" w:cs="Arial"/>
        </w:rPr>
        <w:t>Se a licitante vencedora deixar de assinar o Contrato dentro de 5 (cinco) dias úteis da notificação, sem justificativa aceita pela Administração, restará caduco seu direito de vencedora, sujeitando-se às penalidades da Lei.</w:t>
      </w:r>
    </w:p>
    <w:p w14:paraId="49D7B0AF" w14:textId="77777777" w:rsidR="00F20C26" w:rsidRDefault="00AE7ABF">
      <w:pPr>
        <w:spacing w:before="80" w:after="80"/>
        <w:jc w:val="both"/>
      </w:pPr>
      <w:r>
        <w:rPr>
          <w:rFonts w:ascii="Arial" w:eastAsia="Arial" w:hAnsi="Arial" w:cs="Arial"/>
        </w:rPr>
        <w:t>As omissões, ambiguidades ou divergências eventualmente identificadas nos documentos técnicos deverão ser submetidas à Fiscalização para esclarecimento antes do início dos serviços, não podendo ser utilizadas como justificativa para descumprimento contratual.</w:t>
      </w:r>
    </w:p>
    <w:p w14:paraId="72A1F387" w14:textId="77777777" w:rsidR="00F20C26" w:rsidRDefault="00AE7ABF">
      <w:pPr>
        <w:pBdr>
          <w:top w:val="single" w:sz="4" w:space="8" w:color="2E5E9E"/>
        </w:pBdr>
        <w:spacing w:before="160" w:after="80"/>
        <w:jc w:val="right"/>
        <w:rPr>
          <w:rFonts w:ascii="Arial" w:eastAsia="Arial" w:hAnsi="Arial" w:cs="Arial"/>
          <w:i/>
          <w:iCs/>
          <w:color w:val="555555"/>
          <w:sz w:val="18"/>
          <w:szCs w:val="18"/>
        </w:rPr>
      </w:pPr>
      <w:r>
        <w:rPr>
          <w:rFonts w:ascii="Arial" w:eastAsia="Arial" w:hAnsi="Arial" w:cs="Arial"/>
          <w:i/>
          <w:iCs/>
          <w:color w:val="555555"/>
          <w:sz w:val="18"/>
          <w:szCs w:val="18"/>
        </w:rPr>
        <w:t>Goiana/PE, 26 de maio de 2026</w:t>
      </w:r>
    </w:p>
    <w:tbl>
      <w:tblPr>
        <w:tblW w:w="9360" w:type="dxa"/>
        <w:jc w:val="center"/>
        <w:tblCellMar>
          <w:left w:w="10" w:type="dxa"/>
          <w:right w:w="10" w:type="dxa"/>
        </w:tblCellMar>
        <w:tblLook w:val="0000" w:firstRow="0" w:lastRow="0" w:firstColumn="0" w:lastColumn="0" w:noHBand="0" w:noVBand="0"/>
      </w:tblPr>
      <w:tblGrid>
        <w:gridCol w:w="4680"/>
        <w:gridCol w:w="4680"/>
      </w:tblGrid>
      <w:tr w:rsidR="00F20C26" w14:paraId="72DED15C" w14:textId="77777777" w:rsidTr="00192CBC">
        <w:trPr>
          <w:jc w:val="center"/>
        </w:trPr>
        <w:tc>
          <w:tcPr>
            <w:tcW w:w="4680" w:type="dxa"/>
            <w:tcMar>
              <w:top w:w="160" w:type="dxa"/>
              <w:left w:w="0" w:type="dxa"/>
              <w:bottom w:w="80" w:type="dxa"/>
              <w:right w:w="120" w:type="dxa"/>
            </w:tcMar>
            <w:vAlign w:val="bottom"/>
          </w:tcPr>
          <w:p w14:paraId="3F54CC6E" w14:textId="77777777" w:rsidR="00F20C26" w:rsidRDefault="00AE7ABF" w:rsidP="00192CBC">
            <w:pPr>
              <w:jc w:val="center"/>
              <w:rPr>
                <w:rFonts w:ascii="Arial" w:eastAsia="Arial" w:hAnsi="Arial" w:cs="Arial"/>
                <w:b/>
                <w:bCs/>
                <w:sz w:val="18"/>
                <w:szCs w:val="18"/>
              </w:rPr>
            </w:pPr>
            <w:r>
              <w:rPr>
                <w:rFonts w:ascii="Arial" w:eastAsia="Arial" w:hAnsi="Arial" w:cs="Arial"/>
                <w:b/>
                <w:bCs/>
                <w:sz w:val="18"/>
                <w:szCs w:val="18"/>
              </w:rPr>
              <w:t>_______________________________________</w:t>
            </w:r>
          </w:p>
          <w:p w14:paraId="3333716D" w14:textId="77777777" w:rsidR="00F20C26" w:rsidRDefault="00AE7ABF" w:rsidP="00192CBC">
            <w:pPr>
              <w:jc w:val="center"/>
              <w:rPr>
                <w:rFonts w:ascii="Arial" w:eastAsia="Arial" w:hAnsi="Arial" w:cs="Arial"/>
                <w:b/>
                <w:bCs/>
              </w:rPr>
            </w:pPr>
            <w:r>
              <w:rPr>
                <w:rFonts w:ascii="Arial" w:eastAsia="Arial" w:hAnsi="Arial" w:cs="Arial"/>
                <w:b/>
                <w:bCs/>
              </w:rPr>
              <w:t>MARCELO FERREIRA DA SILVA JÚNIOR</w:t>
            </w:r>
          </w:p>
          <w:p w14:paraId="579337CA" w14:textId="77777777" w:rsidR="00F20C26" w:rsidRDefault="00AE7ABF" w:rsidP="00192CBC">
            <w:pPr>
              <w:jc w:val="center"/>
              <w:rPr>
                <w:rFonts w:ascii="Arial" w:eastAsia="Arial" w:hAnsi="Arial" w:cs="Arial"/>
                <w:i/>
                <w:iCs/>
                <w:sz w:val="18"/>
                <w:szCs w:val="18"/>
              </w:rPr>
            </w:pPr>
            <w:r>
              <w:rPr>
                <w:rFonts w:ascii="Arial" w:eastAsia="Arial" w:hAnsi="Arial" w:cs="Arial"/>
                <w:i/>
                <w:iCs/>
                <w:sz w:val="18"/>
                <w:szCs w:val="18"/>
              </w:rPr>
              <w:t>Engenheiro Civil — CREA 161.780.363-4</w:t>
            </w:r>
          </w:p>
          <w:p w14:paraId="45D02E61" w14:textId="77777777" w:rsidR="00F20C26" w:rsidRDefault="00AE7ABF" w:rsidP="00192CBC">
            <w:pPr>
              <w:jc w:val="center"/>
              <w:rPr>
                <w:rFonts w:ascii="Arial" w:eastAsia="Arial" w:hAnsi="Arial" w:cs="Arial"/>
                <w:i/>
                <w:iCs/>
                <w:sz w:val="18"/>
                <w:szCs w:val="18"/>
              </w:rPr>
            </w:pPr>
            <w:r>
              <w:rPr>
                <w:rFonts w:ascii="Arial" w:eastAsia="Arial" w:hAnsi="Arial" w:cs="Arial"/>
                <w:i/>
                <w:iCs/>
                <w:sz w:val="18"/>
                <w:szCs w:val="18"/>
              </w:rPr>
              <w:t>Assessor Especial — Portaria 967/2026</w:t>
            </w:r>
          </w:p>
          <w:p w14:paraId="5E900B97" w14:textId="77777777" w:rsidR="00F20C26" w:rsidRDefault="00AE7ABF" w:rsidP="00192CBC">
            <w:pPr>
              <w:jc w:val="center"/>
              <w:rPr>
                <w:rFonts w:ascii="Arial" w:eastAsia="Arial" w:hAnsi="Arial" w:cs="Arial"/>
                <w:i/>
                <w:iCs/>
                <w:sz w:val="18"/>
                <w:szCs w:val="18"/>
              </w:rPr>
            </w:pPr>
            <w:r>
              <w:rPr>
                <w:rFonts w:ascii="Arial" w:eastAsia="Arial" w:hAnsi="Arial" w:cs="Arial"/>
                <w:i/>
                <w:iCs/>
                <w:sz w:val="18"/>
                <w:szCs w:val="18"/>
              </w:rPr>
              <w:t>Secretaria de Educação e Inovação Pedagógica</w:t>
            </w:r>
          </w:p>
        </w:tc>
        <w:tc>
          <w:tcPr>
            <w:tcW w:w="4680" w:type="dxa"/>
            <w:tcMar>
              <w:top w:w="160" w:type="dxa"/>
              <w:left w:w="120" w:type="dxa"/>
              <w:bottom w:w="80" w:type="dxa"/>
              <w:right w:w="0" w:type="dxa"/>
            </w:tcMar>
            <w:vAlign w:val="bottom"/>
          </w:tcPr>
          <w:p w14:paraId="57197D37" w14:textId="77777777" w:rsidR="00F20C26" w:rsidRDefault="00AE7ABF" w:rsidP="00192CBC">
            <w:pPr>
              <w:jc w:val="center"/>
              <w:rPr>
                <w:rFonts w:ascii="Arial" w:eastAsia="Arial" w:hAnsi="Arial" w:cs="Arial"/>
                <w:b/>
                <w:bCs/>
                <w:sz w:val="18"/>
                <w:szCs w:val="18"/>
              </w:rPr>
            </w:pPr>
            <w:r>
              <w:rPr>
                <w:rFonts w:ascii="Arial" w:eastAsia="Arial" w:hAnsi="Arial" w:cs="Arial"/>
                <w:b/>
                <w:bCs/>
                <w:sz w:val="18"/>
                <w:szCs w:val="18"/>
              </w:rPr>
              <w:t>_______________________________________</w:t>
            </w:r>
          </w:p>
          <w:p w14:paraId="0D8B8521" w14:textId="0AF6F499" w:rsidR="00D65027" w:rsidRDefault="00D65027" w:rsidP="00192CBC">
            <w:pPr>
              <w:jc w:val="center"/>
              <w:rPr>
                <w:rFonts w:ascii="Arial" w:eastAsia="Arial" w:hAnsi="Arial" w:cs="Arial"/>
                <w:b/>
                <w:bCs/>
              </w:rPr>
            </w:pPr>
            <w:r>
              <w:rPr>
                <w:rFonts w:ascii="Arial" w:eastAsia="Arial" w:hAnsi="Arial" w:cs="Arial"/>
                <w:b/>
                <w:bCs/>
              </w:rPr>
              <w:t>CHARLAN RODRIGUES ARRUDA</w:t>
            </w:r>
          </w:p>
          <w:p w14:paraId="3C7F00F4" w14:textId="480E0C1A" w:rsidR="00D65027" w:rsidRDefault="00D65027" w:rsidP="00192CBC">
            <w:pPr>
              <w:jc w:val="center"/>
              <w:rPr>
                <w:rFonts w:ascii="Arial" w:eastAsia="Arial" w:hAnsi="Arial" w:cs="Arial"/>
                <w:i/>
                <w:iCs/>
                <w:sz w:val="18"/>
                <w:szCs w:val="18"/>
              </w:rPr>
            </w:pPr>
            <w:r>
              <w:rPr>
                <w:rFonts w:ascii="Arial" w:eastAsia="Arial" w:hAnsi="Arial" w:cs="Arial"/>
                <w:i/>
                <w:iCs/>
                <w:sz w:val="18"/>
                <w:szCs w:val="18"/>
              </w:rPr>
              <w:t>Engenheiro Civil — CREA 161.775.013-1</w:t>
            </w:r>
          </w:p>
          <w:p w14:paraId="6F5472CB" w14:textId="54728263" w:rsidR="00D65027" w:rsidRDefault="00D65027" w:rsidP="00192CBC">
            <w:pPr>
              <w:jc w:val="center"/>
              <w:rPr>
                <w:rFonts w:ascii="Arial" w:eastAsia="Arial" w:hAnsi="Arial" w:cs="Arial"/>
                <w:i/>
                <w:iCs/>
                <w:sz w:val="18"/>
                <w:szCs w:val="18"/>
              </w:rPr>
            </w:pPr>
            <w:r>
              <w:rPr>
                <w:rFonts w:ascii="Arial" w:eastAsia="Arial" w:hAnsi="Arial" w:cs="Arial"/>
                <w:i/>
                <w:iCs/>
                <w:sz w:val="18"/>
                <w:szCs w:val="18"/>
              </w:rPr>
              <w:t>Assessor Especial — Portaria 966/2026</w:t>
            </w:r>
          </w:p>
          <w:p w14:paraId="3178659C" w14:textId="15C4D401" w:rsidR="00F20C26" w:rsidRDefault="00D65027" w:rsidP="00192CBC">
            <w:pPr>
              <w:jc w:val="center"/>
              <w:rPr>
                <w:rFonts w:ascii="Arial" w:eastAsia="Arial" w:hAnsi="Arial" w:cs="Arial"/>
                <w:i/>
                <w:iCs/>
                <w:sz w:val="18"/>
                <w:szCs w:val="18"/>
              </w:rPr>
            </w:pPr>
            <w:r>
              <w:rPr>
                <w:rFonts w:ascii="Arial" w:eastAsia="Arial" w:hAnsi="Arial" w:cs="Arial"/>
                <w:i/>
                <w:iCs/>
                <w:sz w:val="18"/>
                <w:szCs w:val="18"/>
              </w:rPr>
              <w:t>Secretaria de Educação e Inovação Pedagógica</w:t>
            </w:r>
          </w:p>
        </w:tc>
      </w:tr>
    </w:tbl>
    <w:p w14:paraId="69129F65" w14:textId="77777777" w:rsidR="00F20C26" w:rsidRDefault="00F20C26">
      <w:pPr>
        <w:spacing w:before="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F20C26" w14:paraId="7E78B643"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80" w:type="dxa"/>
              <w:left w:w="140" w:type="dxa"/>
              <w:bottom w:w="80" w:type="dxa"/>
              <w:right w:w="140" w:type="dxa"/>
            </w:tcMar>
          </w:tcPr>
          <w:p w14:paraId="0A79D1F7" w14:textId="77777777" w:rsidR="00F20C26" w:rsidRDefault="00AE7ABF">
            <w:pPr>
              <w:rPr>
                <w:rFonts w:ascii="Arial" w:hAnsi="Arial" w:cs="Arial"/>
              </w:rPr>
            </w:pPr>
            <w:r>
              <w:rPr>
                <w:rFonts w:ascii="Arial" w:eastAsia="Arial" w:hAnsi="Arial" w:cs="Arial"/>
                <w:b/>
                <w:bCs/>
                <w:i/>
                <w:iCs/>
                <w:sz w:val="18"/>
                <w:szCs w:val="18"/>
              </w:rPr>
              <w:t xml:space="preserve">Fundamento legal:  </w:t>
            </w:r>
            <w:r>
              <w:rPr>
                <w:rFonts w:ascii="Arial" w:eastAsia="Arial" w:hAnsi="Arial" w:cs="Arial"/>
                <w:i/>
                <w:iCs/>
                <w:sz w:val="18"/>
                <w:szCs w:val="18"/>
              </w:rPr>
              <w:t>Arts. 6º, XXV, e 18, VIII, da Lei nº 14.133/2021 — Projeto Básico como documento obrigatório da fase preparatória da licitação de obra e serviço de engenharia.</w:t>
            </w:r>
          </w:p>
        </w:tc>
      </w:tr>
    </w:tbl>
    <w:p w14:paraId="77F517C1" w14:textId="77777777" w:rsidR="00F20C26" w:rsidRDefault="00F20C26">
      <w:pPr>
        <w:spacing w:before="120"/>
      </w:pPr>
    </w:p>
    <w:sectPr w:rsidR="00F20C26" w:rsidSect="005C0F0B">
      <w:headerReference w:type="default" r:id="rId8"/>
      <w:footerReference w:type="default" r:id="rId9"/>
      <w:pgSz w:w="11906" w:h="16838"/>
      <w:pgMar w:top="2127" w:right="1080" w:bottom="1276" w:left="1440" w:header="708" w:footer="3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2D89B" w14:textId="77777777" w:rsidR="00FA730F" w:rsidRDefault="00FA730F" w:rsidP="001D4B2A">
      <w:r>
        <w:separator/>
      </w:r>
    </w:p>
  </w:endnote>
  <w:endnote w:type="continuationSeparator" w:id="0">
    <w:p w14:paraId="42BA014A" w14:textId="77777777" w:rsidR="00FA730F" w:rsidRDefault="00FA730F" w:rsidP="001D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15B6E" w14:textId="77777777" w:rsidR="005C0F0B" w:rsidRPr="006B41FA" w:rsidRDefault="005C0F0B" w:rsidP="005C0F0B">
    <w:pPr>
      <w:pStyle w:val="Rodap"/>
      <w:jc w:val="right"/>
      <w:rPr>
        <w:rFonts w:ascii="Arial" w:hAnsi="Arial" w:cs="Arial"/>
      </w:rPr>
    </w:pPr>
    <w:r w:rsidRPr="006B41FA">
      <w:rPr>
        <w:rFonts w:ascii="Arial" w:hAnsi="Arial" w:cs="Arial"/>
      </w:rPr>
      <w:t xml:space="preserve">Página </w:t>
    </w:r>
    <w:r w:rsidRPr="006B41FA">
      <w:rPr>
        <w:rFonts w:ascii="Arial" w:hAnsi="Arial" w:cs="Arial"/>
        <w:b/>
        <w:bCs/>
        <w:sz w:val="24"/>
        <w:szCs w:val="24"/>
      </w:rPr>
      <w:fldChar w:fldCharType="begin"/>
    </w:r>
    <w:r w:rsidRPr="006B41FA">
      <w:rPr>
        <w:rFonts w:ascii="Arial" w:hAnsi="Arial" w:cs="Arial"/>
        <w:b/>
        <w:bCs/>
      </w:rPr>
      <w:instrText>PAGE</w:instrText>
    </w:r>
    <w:r w:rsidRPr="006B41FA">
      <w:rPr>
        <w:rFonts w:ascii="Arial" w:hAnsi="Arial" w:cs="Arial"/>
        <w:b/>
        <w:bCs/>
        <w:sz w:val="24"/>
        <w:szCs w:val="24"/>
      </w:rPr>
      <w:fldChar w:fldCharType="separate"/>
    </w:r>
    <w:r>
      <w:rPr>
        <w:rFonts w:ascii="Arial" w:hAnsi="Arial" w:cs="Arial"/>
        <w:b/>
        <w:bCs/>
        <w:sz w:val="24"/>
        <w:szCs w:val="24"/>
      </w:rPr>
      <w:t>1</w:t>
    </w:r>
    <w:r w:rsidRPr="006B41FA">
      <w:rPr>
        <w:rFonts w:ascii="Arial" w:hAnsi="Arial" w:cs="Arial"/>
        <w:b/>
        <w:bCs/>
        <w:sz w:val="24"/>
        <w:szCs w:val="24"/>
      </w:rPr>
      <w:fldChar w:fldCharType="end"/>
    </w:r>
    <w:r w:rsidRPr="006B41FA">
      <w:rPr>
        <w:rFonts w:ascii="Arial" w:hAnsi="Arial" w:cs="Arial"/>
      </w:rPr>
      <w:t xml:space="preserve"> de </w:t>
    </w:r>
    <w:r w:rsidRPr="006B41FA">
      <w:rPr>
        <w:rFonts w:ascii="Arial" w:hAnsi="Arial" w:cs="Arial"/>
        <w:b/>
        <w:bCs/>
        <w:sz w:val="24"/>
        <w:szCs w:val="24"/>
      </w:rPr>
      <w:fldChar w:fldCharType="begin"/>
    </w:r>
    <w:r w:rsidRPr="006B41FA">
      <w:rPr>
        <w:rFonts w:ascii="Arial" w:hAnsi="Arial" w:cs="Arial"/>
        <w:b/>
        <w:bCs/>
      </w:rPr>
      <w:instrText>NUMPAGES</w:instrText>
    </w:r>
    <w:r w:rsidRPr="006B41FA">
      <w:rPr>
        <w:rFonts w:ascii="Arial" w:hAnsi="Arial" w:cs="Arial"/>
        <w:b/>
        <w:bCs/>
        <w:sz w:val="24"/>
        <w:szCs w:val="24"/>
      </w:rPr>
      <w:fldChar w:fldCharType="separate"/>
    </w:r>
    <w:r>
      <w:rPr>
        <w:rFonts w:ascii="Arial" w:hAnsi="Arial" w:cs="Arial"/>
        <w:b/>
        <w:bCs/>
        <w:sz w:val="24"/>
        <w:szCs w:val="24"/>
      </w:rPr>
      <w:t>8</w:t>
    </w:r>
    <w:r w:rsidRPr="006B41FA">
      <w:rPr>
        <w:rFonts w:ascii="Arial" w:hAnsi="Arial" w:cs="Arial"/>
        <w:b/>
        <w:bCs/>
        <w:sz w:val="24"/>
        <w:szCs w:val="24"/>
      </w:rPr>
      <w:fldChar w:fldCharType="end"/>
    </w:r>
  </w:p>
  <w:p w14:paraId="021B1754" w14:textId="77777777" w:rsidR="005C0F0B" w:rsidRDefault="005C0F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70459" w14:textId="77777777" w:rsidR="00FA730F" w:rsidRDefault="00FA730F" w:rsidP="001D4B2A">
      <w:r>
        <w:separator/>
      </w:r>
    </w:p>
  </w:footnote>
  <w:footnote w:type="continuationSeparator" w:id="0">
    <w:p w14:paraId="1136240E" w14:textId="77777777" w:rsidR="00FA730F" w:rsidRDefault="00FA730F" w:rsidP="001D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6E29" w14:textId="01F2BEFF" w:rsidR="008724B2" w:rsidRDefault="008724B2">
    <w:pPr>
      <w:pStyle w:val="Cabealho"/>
    </w:pPr>
    <w:r>
      <w:rPr>
        <w:noProof/>
      </w:rPr>
      <w:drawing>
        <wp:anchor distT="0" distB="0" distL="114300" distR="114300" simplePos="0" relativeHeight="251659264" behindDoc="1" locked="0" layoutInCell="1" allowOverlap="1" wp14:anchorId="5895DCA1" wp14:editId="1D1CD1B5">
          <wp:simplePos x="0" y="0"/>
          <wp:positionH relativeFrom="page">
            <wp:posOffset>9525</wp:posOffset>
          </wp:positionH>
          <wp:positionV relativeFrom="paragraph">
            <wp:posOffset>-438785</wp:posOffset>
          </wp:positionV>
          <wp:extent cx="7531991" cy="106560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991" cy="10656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34B6"/>
    <w:multiLevelType w:val="hybridMultilevel"/>
    <w:tmpl w:val="B3401344"/>
    <w:lvl w:ilvl="0" w:tplc="04160017">
      <w:start w:val="1"/>
      <w:numFmt w:val="lowerLetter"/>
      <w:lvlText w:val="%1)"/>
      <w:lvlJc w:val="left"/>
      <w:pPr>
        <w:ind w:left="720" w:hanging="360"/>
      </w:pPr>
    </w:lvl>
    <w:lvl w:ilvl="1" w:tplc="946EB84E">
      <w:numFmt w:val="decimal"/>
      <w:lvlText w:val=""/>
      <w:lvlJc w:val="left"/>
    </w:lvl>
    <w:lvl w:ilvl="2" w:tplc="012EBCA2">
      <w:numFmt w:val="decimal"/>
      <w:lvlText w:val=""/>
      <w:lvlJc w:val="left"/>
    </w:lvl>
    <w:lvl w:ilvl="3" w:tplc="169007A6">
      <w:numFmt w:val="decimal"/>
      <w:lvlText w:val=""/>
      <w:lvlJc w:val="left"/>
    </w:lvl>
    <w:lvl w:ilvl="4" w:tplc="A6FA53A2">
      <w:numFmt w:val="decimal"/>
      <w:lvlText w:val=""/>
      <w:lvlJc w:val="left"/>
    </w:lvl>
    <w:lvl w:ilvl="5" w:tplc="EF52E200">
      <w:numFmt w:val="decimal"/>
      <w:lvlText w:val=""/>
      <w:lvlJc w:val="left"/>
    </w:lvl>
    <w:lvl w:ilvl="6" w:tplc="C09CD73E">
      <w:numFmt w:val="decimal"/>
      <w:lvlText w:val=""/>
      <w:lvlJc w:val="left"/>
    </w:lvl>
    <w:lvl w:ilvl="7" w:tplc="F4F61DFA">
      <w:numFmt w:val="decimal"/>
      <w:lvlText w:val=""/>
      <w:lvlJc w:val="left"/>
    </w:lvl>
    <w:lvl w:ilvl="8" w:tplc="436C0AF6">
      <w:numFmt w:val="decimal"/>
      <w:lvlText w:val=""/>
      <w:lvlJc w:val="left"/>
    </w:lvl>
  </w:abstractNum>
  <w:abstractNum w:abstractNumId="1" w15:restartNumberingAfterBreak="0">
    <w:nsid w:val="04BC5255"/>
    <w:multiLevelType w:val="multilevel"/>
    <w:tmpl w:val="82AC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D4F3B"/>
    <w:multiLevelType w:val="multilevel"/>
    <w:tmpl w:val="BE0E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21DEC"/>
    <w:multiLevelType w:val="multilevel"/>
    <w:tmpl w:val="5AD8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969CB"/>
    <w:multiLevelType w:val="hybridMultilevel"/>
    <w:tmpl w:val="B4B655C2"/>
    <w:lvl w:ilvl="0" w:tplc="4C8631BE">
      <w:start w:val="1"/>
      <w:numFmt w:val="bullet"/>
      <w:lvlText w:val="●"/>
      <w:lvlJc w:val="left"/>
      <w:pPr>
        <w:ind w:left="720" w:hanging="360"/>
      </w:pPr>
    </w:lvl>
    <w:lvl w:ilvl="1" w:tplc="C30A06E8">
      <w:start w:val="1"/>
      <w:numFmt w:val="bullet"/>
      <w:lvlText w:val="○"/>
      <w:lvlJc w:val="left"/>
      <w:pPr>
        <w:ind w:left="1440" w:hanging="360"/>
      </w:pPr>
    </w:lvl>
    <w:lvl w:ilvl="2" w:tplc="325C51B2">
      <w:start w:val="1"/>
      <w:numFmt w:val="bullet"/>
      <w:lvlText w:val="■"/>
      <w:lvlJc w:val="left"/>
      <w:pPr>
        <w:ind w:left="2160" w:hanging="360"/>
      </w:pPr>
    </w:lvl>
    <w:lvl w:ilvl="3" w:tplc="7536049E">
      <w:start w:val="1"/>
      <w:numFmt w:val="bullet"/>
      <w:lvlText w:val="●"/>
      <w:lvlJc w:val="left"/>
      <w:pPr>
        <w:ind w:left="2880" w:hanging="360"/>
      </w:pPr>
    </w:lvl>
    <w:lvl w:ilvl="4" w:tplc="70CCD096">
      <w:start w:val="1"/>
      <w:numFmt w:val="bullet"/>
      <w:lvlText w:val="○"/>
      <w:lvlJc w:val="left"/>
      <w:pPr>
        <w:ind w:left="3600" w:hanging="360"/>
      </w:pPr>
    </w:lvl>
    <w:lvl w:ilvl="5" w:tplc="9EB85EFE">
      <w:start w:val="1"/>
      <w:numFmt w:val="bullet"/>
      <w:lvlText w:val="■"/>
      <w:lvlJc w:val="left"/>
      <w:pPr>
        <w:ind w:left="4320" w:hanging="360"/>
      </w:pPr>
    </w:lvl>
    <w:lvl w:ilvl="6" w:tplc="91FE54D4">
      <w:start w:val="1"/>
      <w:numFmt w:val="bullet"/>
      <w:lvlText w:val="●"/>
      <w:lvlJc w:val="left"/>
      <w:pPr>
        <w:ind w:left="5040" w:hanging="360"/>
      </w:pPr>
    </w:lvl>
    <w:lvl w:ilvl="7" w:tplc="DF3EF772">
      <w:start w:val="1"/>
      <w:numFmt w:val="bullet"/>
      <w:lvlText w:val="●"/>
      <w:lvlJc w:val="left"/>
      <w:pPr>
        <w:ind w:left="5760" w:hanging="360"/>
      </w:pPr>
    </w:lvl>
    <w:lvl w:ilvl="8" w:tplc="821A9500">
      <w:start w:val="1"/>
      <w:numFmt w:val="bullet"/>
      <w:lvlText w:val="●"/>
      <w:lvlJc w:val="left"/>
      <w:pPr>
        <w:ind w:left="6480" w:hanging="360"/>
      </w:pPr>
    </w:lvl>
  </w:abstractNum>
  <w:abstractNum w:abstractNumId="5" w15:restartNumberingAfterBreak="0">
    <w:nsid w:val="37CC5EE1"/>
    <w:multiLevelType w:val="multilevel"/>
    <w:tmpl w:val="7170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62EE5"/>
    <w:multiLevelType w:val="hybridMultilevel"/>
    <w:tmpl w:val="E5D23FC6"/>
    <w:lvl w:ilvl="0" w:tplc="70140EA8">
      <w:start w:val="1"/>
      <w:numFmt w:val="bullet"/>
      <w:lvlText w:val="•"/>
      <w:lvlJc w:val="left"/>
      <w:pPr>
        <w:ind w:left="720" w:hanging="360"/>
      </w:pPr>
    </w:lvl>
    <w:lvl w:ilvl="1" w:tplc="946EB84E">
      <w:numFmt w:val="decimal"/>
      <w:lvlText w:val=""/>
      <w:lvlJc w:val="left"/>
    </w:lvl>
    <w:lvl w:ilvl="2" w:tplc="012EBCA2">
      <w:numFmt w:val="decimal"/>
      <w:lvlText w:val=""/>
      <w:lvlJc w:val="left"/>
    </w:lvl>
    <w:lvl w:ilvl="3" w:tplc="169007A6">
      <w:numFmt w:val="decimal"/>
      <w:lvlText w:val=""/>
      <w:lvlJc w:val="left"/>
    </w:lvl>
    <w:lvl w:ilvl="4" w:tplc="A6FA53A2">
      <w:numFmt w:val="decimal"/>
      <w:lvlText w:val=""/>
      <w:lvlJc w:val="left"/>
    </w:lvl>
    <w:lvl w:ilvl="5" w:tplc="EF52E200">
      <w:numFmt w:val="decimal"/>
      <w:lvlText w:val=""/>
      <w:lvlJc w:val="left"/>
    </w:lvl>
    <w:lvl w:ilvl="6" w:tplc="C09CD73E">
      <w:numFmt w:val="decimal"/>
      <w:lvlText w:val=""/>
      <w:lvlJc w:val="left"/>
    </w:lvl>
    <w:lvl w:ilvl="7" w:tplc="F4F61DFA">
      <w:numFmt w:val="decimal"/>
      <w:lvlText w:val=""/>
      <w:lvlJc w:val="left"/>
    </w:lvl>
    <w:lvl w:ilvl="8" w:tplc="436C0AF6">
      <w:numFmt w:val="decimal"/>
      <w:lvlText w:val=""/>
      <w:lvlJc w:val="left"/>
    </w:lvl>
  </w:abstractNum>
  <w:abstractNum w:abstractNumId="7" w15:restartNumberingAfterBreak="0">
    <w:nsid w:val="612D40FA"/>
    <w:multiLevelType w:val="hybridMultilevel"/>
    <w:tmpl w:val="D004B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6BF722F"/>
    <w:multiLevelType w:val="hybridMultilevel"/>
    <w:tmpl w:val="6E7E30A8"/>
    <w:lvl w:ilvl="0" w:tplc="04160017">
      <w:start w:val="1"/>
      <w:numFmt w:val="lowerLetter"/>
      <w:lvlText w:val="%1)"/>
      <w:lvlJc w:val="left"/>
      <w:pPr>
        <w:ind w:left="720" w:hanging="360"/>
      </w:pPr>
    </w:lvl>
    <w:lvl w:ilvl="1" w:tplc="946EB84E">
      <w:numFmt w:val="decimal"/>
      <w:lvlText w:val=""/>
      <w:lvlJc w:val="left"/>
    </w:lvl>
    <w:lvl w:ilvl="2" w:tplc="012EBCA2">
      <w:numFmt w:val="decimal"/>
      <w:lvlText w:val=""/>
      <w:lvlJc w:val="left"/>
    </w:lvl>
    <w:lvl w:ilvl="3" w:tplc="169007A6">
      <w:numFmt w:val="decimal"/>
      <w:lvlText w:val=""/>
      <w:lvlJc w:val="left"/>
    </w:lvl>
    <w:lvl w:ilvl="4" w:tplc="A6FA53A2">
      <w:numFmt w:val="decimal"/>
      <w:lvlText w:val=""/>
      <w:lvlJc w:val="left"/>
    </w:lvl>
    <w:lvl w:ilvl="5" w:tplc="EF52E200">
      <w:numFmt w:val="decimal"/>
      <w:lvlText w:val=""/>
      <w:lvlJc w:val="left"/>
    </w:lvl>
    <w:lvl w:ilvl="6" w:tplc="C09CD73E">
      <w:numFmt w:val="decimal"/>
      <w:lvlText w:val=""/>
      <w:lvlJc w:val="left"/>
    </w:lvl>
    <w:lvl w:ilvl="7" w:tplc="F4F61DFA">
      <w:numFmt w:val="decimal"/>
      <w:lvlText w:val=""/>
      <w:lvlJc w:val="left"/>
    </w:lvl>
    <w:lvl w:ilvl="8" w:tplc="436C0AF6">
      <w:numFmt w:val="decimal"/>
      <w:lvlText w:val=""/>
      <w:lvlJc w:val="left"/>
    </w:lvl>
  </w:abstractNum>
  <w:abstractNum w:abstractNumId="9" w15:restartNumberingAfterBreak="0">
    <w:nsid w:val="75B1468A"/>
    <w:multiLevelType w:val="multilevel"/>
    <w:tmpl w:val="DA6C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startOverride w:val="1"/>
    </w:lvlOverride>
  </w:num>
  <w:num w:numId="2">
    <w:abstractNumId w:val="6"/>
  </w:num>
  <w:num w:numId="3">
    <w:abstractNumId w:val="5"/>
  </w:num>
  <w:num w:numId="4">
    <w:abstractNumId w:val="2"/>
  </w:num>
  <w:num w:numId="5">
    <w:abstractNumId w:val="9"/>
  </w:num>
  <w:num w:numId="6">
    <w:abstractNumId w:val="1"/>
  </w:num>
  <w:num w:numId="7">
    <w:abstractNumId w:val="3"/>
  </w:num>
  <w:num w:numId="8">
    <w:abstractNumId w:val="6"/>
  </w:num>
  <w:num w:numId="9">
    <w:abstractNumId w:val="0"/>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10"/>
    <w:rsid w:val="000D34CF"/>
    <w:rsid w:val="000E6983"/>
    <w:rsid w:val="001655E1"/>
    <w:rsid w:val="00192CBC"/>
    <w:rsid w:val="001D4B2A"/>
    <w:rsid w:val="002768CA"/>
    <w:rsid w:val="002B2810"/>
    <w:rsid w:val="002C3E2B"/>
    <w:rsid w:val="002F56DE"/>
    <w:rsid w:val="00362A66"/>
    <w:rsid w:val="00430338"/>
    <w:rsid w:val="004324EC"/>
    <w:rsid w:val="00447AEA"/>
    <w:rsid w:val="004D2B42"/>
    <w:rsid w:val="005056C6"/>
    <w:rsid w:val="0057644A"/>
    <w:rsid w:val="005B2013"/>
    <w:rsid w:val="005B3239"/>
    <w:rsid w:val="005B493C"/>
    <w:rsid w:val="005C0F0B"/>
    <w:rsid w:val="005C5AF6"/>
    <w:rsid w:val="006131F9"/>
    <w:rsid w:val="00760D6D"/>
    <w:rsid w:val="00791949"/>
    <w:rsid w:val="00822E99"/>
    <w:rsid w:val="008265DC"/>
    <w:rsid w:val="008423F2"/>
    <w:rsid w:val="008660B8"/>
    <w:rsid w:val="008724B2"/>
    <w:rsid w:val="008A3B9A"/>
    <w:rsid w:val="008F4E08"/>
    <w:rsid w:val="00906654"/>
    <w:rsid w:val="0092097B"/>
    <w:rsid w:val="009356A2"/>
    <w:rsid w:val="0093792E"/>
    <w:rsid w:val="009C154D"/>
    <w:rsid w:val="009F0252"/>
    <w:rsid w:val="00A46404"/>
    <w:rsid w:val="00A46925"/>
    <w:rsid w:val="00A573DE"/>
    <w:rsid w:val="00A70D4A"/>
    <w:rsid w:val="00A775B7"/>
    <w:rsid w:val="00AD4E62"/>
    <w:rsid w:val="00AD54E7"/>
    <w:rsid w:val="00AE7ABF"/>
    <w:rsid w:val="00B016EA"/>
    <w:rsid w:val="00B029C8"/>
    <w:rsid w:val="00B86A2C"/>
    <w:rsid w:val="00C91E2F"/>
    <w:rsid w:val="00D31FCE"/>
    <w:rsid w:val="00D65027"/>
    <w:rsid w:val="00D87285"/>
    <w:rsid w:val="00DC322B"/>
    <w:rsid w:val="00DE3BA6"/>
    <w:rsid w:val="00E10867"/>
    <w:rsid w:val="00E75E0E"/>
    <w:rsid w:val="00E76383"/>
    <w:rsid w:val="00EA2D01"/>
    <w:rsid w:val="00EF37F1"/>
    <w:rsid w:val="00F03078"/>
    <w:rsid w:val="00F20C26"/>
    <w:rsid w:val="00F54F24"/>
    <w:rsid w:val="00FA31CA"/>
    <w:rsid w:val="00FA730F"/>
    <w:rsid w:val="00FC2D29"/>
    <w:rsid w:val="00FD54CA"/>
    <w:rsid w:val="00FF28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98037"/>
  <w15:docId w15:val="{FF423A87-B125-4874-A6D5-A005D3B21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1D4B2A"/>
    <w:pPr>
      <w:tabs>
        <w:tab w:val="center" w:pos="4252"/>
        <w:tab w:val="right" w:pos="8504"/>
      </w:tabs>
    </w:pPr>
  </w:style>
  <w:style w:type="character" w:customStyle="1" w:styleId="CabealhoChar">
    <w:name w:val="Cabeçalho Char"/>
    <w:basedOn w:val="Fontepargpadro"/>
    <w:link w:val="Cabealho"/>
    <w:uiPriority w:val="99"/>
    <w:rsid w:val="001D4B2A"/>
  </w:style>
  <w:style w:type="paragraph" w:styleId="Rodap">
    <w:name w:val="footer"/>
    <w:basedOn w:val="Normal"/>
    <w:link w:val="RodapChar"/>
    <w:uiPriority w:val="99"/>
    <w:unhideWhenUsed/>
    <w:rsid w:val="001D4B2A"/>
    <w:pPr>
      <w:tabs>
        <w:tab w:val="center" w:pos="4252"/>
        <w:tab w:val="right" w:pos="8504"/>
      </w:tabs>
    </w:pPr>
  </w:style>
  <w:style w:type="character" w:customStyle="1" w:styleId="RodapChar">
    <w:name w:val="Rodapé Char"/>
    <w:basedOn w:val="Fontepargpadro"/>
    <w:link w:val="Rodap"/>
    <w:uiPriority w:val="99"/>
    <w:rsid w:val="001D4B2A"/>
  </w:style>
  <w:style w:type="paragraph" w:styleId="NormalWeb">
    <w:name w:val="Normal (Web)"/>
    <w:basedOn w:val="Normal"/>
    <w:uiPriority w:val="99"/>
    <w:semiHidden/>
    <w:unhideWhenUsed/>
    <w:rsid w:val="00A46925"/>
    <w:pPr>
      <w:spacing w:before="100" w:beforeAutospacing="1" w:after="100" w:afterAutospacing="1"/>
    </w:pPr>
    <w:rPr>
      <w:sz w:val="24"/>
      <w:szCs w:val="24"/>
    </w:rPr>
  </w:style>
  <w:style w:type="character" w:styleId="TextodoEspaoReservado">
    <w:name w:val="Placeholder Text"/>
    <w:basedOn w:val="Fontepargpadro"/>
    <w:uiPriority w:val="99"/>
    <w:semiHidden/>
    <w:rsid w:val="00A46925"/>
    <w:rPr>
      <w:color w:val="808080"/>
    </w:rPr>
  </w:style>
  <w:style w:type="table" w:styleId="TabeladeGradeClara">
    <w:name w:val="Grid Table Light"/>
    <w:basedOn w:val="Tabelanormal"/>
    <w:uiPriority w:val="40"/>
    <w:rsid w:val="0079194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bealhodoSumrio">
    <w:name w:val="TOC Heading"/>
    <w:basedOn w:val="Ttulo1"/>
    <w:next w:val="Normal"/>
    <w:uiPriority w:val="39"/>
    <w:unhideWhenUsed/>
    <w:qFormat/>
    <w:rsid w:val="005B2013"/>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5B20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788">
      <w:bodyDiv w:val="1"/>
      <w:marLeft w:val="0"/>
      <w:marRight w:val="0"/>
      <w:marTop w:val="0"/>
      <w:marBottom w:val="0"/>
      <w:divBdr>
        <w:top w:val="none" w:sz="0" w:space="0" w:color="auto"/>
        <w:left w:val="none" w:sz="0" w:space="0" w:color="auto"/>
        <w:bottom w:val="none" w:sz="0" w:space="0" w:color="auto"/>
        <w:right w:val="none" w:sz="0" w:space="0" w:color="auto"/>
      </w:divBdr>
    </w:div>
    <w:div w:id="11104834">
      <w:bodyDiv w:val="1"/>
      <w:marLeft w:val="0"/>
      <w:marRight w:val="0"/>
      <w:marTop w:val="0"/>
      <w:marBottom w:val="0"/>
      <w:divBdr>
        <w:top w:val="none" w:sz="0" w:space="0" w:color="auto"/>
        <w:left w:val="none" w:sz="0" w:space="0" w:color="auto"/>
        <w:bottom w:val="none" w:sz="0" w:space="0" w:color="auto"/>
        <w:right w:val="none" w:sz="0" w:space="0" w:color="auto"/>
      </w:divBdr>
    </w:div>
    <w:div w:id="32317880">
      <w:bodyDiv w:val="1"/>
      <w:marLeft w:val="0"/>
      <w:marRight w:val="0"/>
      <w:marTop w:val="0"/>
      <w:marBottom w:val="0"/>
      <w:divBdr>
        <w:top w:val="none" w:sz="0" w:space="0" w:color="auto"/>
        <w:left w:val="none" w:sz="0" w:space="0" w:color="auto"/>
        <w:bottom w:val="none" w:sz="0" w:space="0" w:color="auto"/>
        <w:right w:val="none" w:sz="0" w:space="0" w:color="auto"/>
      </w:divBdr>
    </w:div>
    <w:div w:id="102310926">
      <w:bodyDiv w:val="1"/>
      <w:marLeft w:val="0"/>
      <w:marRight w:val="0"/>
      <w:marTop w:val="0"/>
      <w:marBottom w:val="0"/>
      <w:divBdr>
        <w:top w:val="none" w:sz="0" w:space="0" w:color="auto"/>
        <w:left w:val="none" w:sz="0" w:space="0" w:color="auto"/>
        <w:bottom w:val="none" w:sz="0" w:space="0" w:color="auto"/>
        <w:right w:val="none" w:sz="0" w:space="0" w:color="auto"/>
      </w:divBdr>
    </w:div>
    <w:div w:id="112555199">
      <w:bodyDiv w:val="1"/>
      <w:marLeft w:val="0"/>
      <w:marRight w:val="0"/>
      <w:marTop w:val="0"/>
      <w:marBottom w:val="0"/>
      <w:divBdr>
        <w:top w:val="none" w:sz="0" w:space="0" w:color="auto"/>
        <w:left w:val="none" w:sz="0" w:space="0" w:color="auto"/>
        <w:bottom w:val="none" w:sz="0" w:space="0" w:color="auto"/>
        <w:right w:val="none" w:sz="0" w:space="0" w:color="auto"/>
      </w:divBdr>
    </w:div>
    <w:div w:id="175001669">
      <w:bodyDiv w:val="1"/>
      <w:marLeft w:val="0"/>
      <w:marRight w:val="0"/>
      <w:marTop w:val="0"/>
      <w:marBottom w:val="0"/>
      <w:divBdr>
        <w:top w:val="none" w:sz="0" w:space="0" w:color="auto"/>
        <w:left w:val="none" w:sz="0" w:space="0" w:color="auto"/>
        <w:bottom w:val="none" w:sz="0" w:space="0" w:color="auto"/>
        <w:right w:val="none" w:sz="0" w:space="0" w:color="auto"/>
      </w:divBdr>
    </w:div>
    <w:div w:id="212498928">
      <w:bodyDiv w:val="1"/>
      <w:marLeft w:val="0"/>
      <w:marRight w:val="0"/>
      <w:marTop w:val="0"/>
      <w:marBottom w:val="0"/>
      <w:divBdr>
        <w:top w:val="none" w:sz="0" w:space="0" w:color="auto"/>
        <w:left w:val="none" w:sz="0" w:space="0" w:color="auto"/>
        <w:bottom w:val="none" w:sz="0" w:space="0" w:color="auto"/>
        <w:right w:val="none" w:sz="0" w:space="0" w:color="auto"/>
      </w:divBdr>
    </w:div>
    <w:div w:id="380324468">
      <w:bodyDiv w:val="1"/>
      <w:marLeft w:val="0"/>
      <w:marRight w:val="0"/>
      <w:marTop w:val="0"/>
      <w:marBottom w:val="0"/>
      <w:divBdr>
        <w:top w:val="none" w:sz="0" w:space="0" w:color="auto"/>
        <w:left w:val="none" w:sz="0" w:space="0" w:color="auto"/>
        <w:bottom w:val="none" w:sz="0" w:space="0" w:color="auto"/>
        <w:right w:val="none" w:sz="0" w:space="0" w:color="auto"/>
      </w:divBdr>
    </w:div>
    <w:div w:id="518010394">
      <w:bodyDiv w:val="1"/>
      <w:marLeft w:val="0"/>
      <w:marRight w:val="0"/>
      <w:marTop w:val="0"/>
      <w:marBottom w:val="0"/>
      <w:divBdr>
        <w:top w:val="none" w:sz="0" w:space="0" w:color="auto"/>
        <w:left w:val="none" w:sz="0" w:space="0" w:color="auto"/>
        <w:bottom w:val="none" w:sz="0" w:space="0" w:color="auto"/>
        <w:right w:val="none" w:sz="0" w:space="0" w:color="auto"/>
      </w:divBdr>
    </w:div>
    <w:div w:id="602347279">
      <w:bodyDiv w:val="1"/>
      <w:marLeft w:val="0"/>
      <w:marRight w:val="0"/>
      <w:marTop w:val="0"/>
      <w:marBottom w:val="0"/>
      <w:divBdr>
        <w:top w:val="none" w:sz="0" w:space="0" w:color="auto"/>
        <w:left w:val="none" w:sz="0" w:space="0" w:color="auto"/>
        <w:bottom w:val="none" w:sz="0" w:space="0" w:color="auto"/>
        <w:right w:val="none" w:sz="0" w:space="0" w:color="auto"/>
      </w:divBdr>
    </w:div>
    <w:div w:id="676033619">
      <w:bodyDiv w:val="1"/>
      <w:marLeft w:val="0"/>
      <w:marRight w:val="0"/>
      <w:marTop w:val="0"/>
      <w:marBottom w:val="0"/>
      <w:divBdr>
        <w:top w:val="none" w:sz="0" w:space="0" w:color="auto"/>
        <w:left w:val="none" w:sz="0" w:space="0" w:color="auto"/>
        <w:bottom w:val="none" w:sz="0" w:space="0" w:color="auto"/>
        <w:right w:val="none" w:sz="0" w:space="0" w:color="auto"/>
      </w:divBdr>
    </w:div>
    <w:div w:id="732386393">
      <w:bodyDiv w:val="1"/>
      <w:marLeft w:val="0"/>
      <w:marRight w:val="0"/>
      <w:marTop w:val="0"/>
      <w:marBottom w:val="0"/>
      <w:divBdr>
        <w:top w:val="none" w:sz="0" w:space="0" w:color="auto"/>
        <w:left w:val="none" w:sz="0" w:space="0" w:color="auto"/>
        <w:bottom w:val="none" w:sz="0" w:space="0" w:color="auto"/>
        <w:right w:val="none" w:sz="0" w:space="0" w:color="auto"/>
      </w:divBdr>
    </w:div>
    <w:div w:id="1034306840">
      <w:bodyDiv w:val="1"/>
      <w:marLeft w:val="0"/>
      <w:marRight w:val="0"/>
      <w:marTop w:val="0"/>
      <w:marBottom w:val="0"/>
      <w:divBdr>
        <w:top w:val="none" w:sz="0" w:space="0" w:color="auto"/>
        <w:left w:val="none" w:sz="0" w:space="0" w:color="auto"/>
        <w:bottom w:val="none" w:sz="0" w:space="0" w:color="auto"/>
        <w:right w:val="none" w:sz="0" w:space="0" w:color="auto"/>
      </w:divBdr>
    </w:div>
    <w:div w:id="1036734915">
      <w:bodyDiv w:val="1"/>
      <w:marLeft w:val="0"/>
      <w:marRight w:val="0"/>
      <w:marTop w:val="0"/>
      <w:marBottom w:val="0"/>
      <w:divBdr>
        <w:top w:val="none" w:sz="0" w:space="0" w:color="auto"/>
        <w:left w:val="none" w:sz="0" w:space="0" w:color="auto"/>
        <w:bottom w:val="none" w:sz="0" w:space="0" w:color="auto"/>
        <w:right w:val="none" w:sz="0" w:space="0" w:color="auto"/>
      </w:divBdr>
    </w:div>
    <w:div w:id="1077434161">
      <w:bodyDiv w:val="1"/>
      <w:marLeft w:val="0"/>
      <w:marRight w:val="0"/>
      <w:marTop w:val="0"/>
      <w:marBottom w:val="0"/>
      <w:divBdr>
        <w:top w:val="none" w:sz="0" w:space="0" w:color="auto"/>
        <w:left w:val="none" w:sz="0" w:space="0" w:color="auto"/>
        <w:bottom w:val="none" w:sz="0" w:space="0" w:color="auto"/>
        <w:right w:val="none" w:sz="0" w:space="0" w:color="auto"/>
      </w:divBdr>
    </w:div>
    <w:div w:id="1141188619">
      <w:bodyDiv w:val="1"/>
      <w:marLeft w:val="0"/>
      <w:marRight w:val="0"/>
      <w:marTop w:val="0"/>
      <w:marBottom w:val="0"/>
      <w:divBdr>
        <w:top w:val="none" w:sz="0" w:space="0" w:color="auto"/>
        <w:left w:val="none" w:sz="0" w:space="0" w:color="auto"/>
        <w:bottom w:val="none" w:sz="0" w:space="0" w:color="auto"/>
        <w:right w:val="none" w:sz="0" w:space="0" w:color="auto"/>
      </w:divBdr>
    </w:div>
    <w:div w:id="1244070462">
      <w:bodyDiv w:val="1"/>
      <w:marLeft w:val="0"/>
      <w:marRight w:val="0"/>
      <w:marTop w:val="0"/>
      <w:marBottom w:val="0"/>
      <w:divBdr>
        <w:top w:val="none" w:sz="0" w:space="0" w:color="auto"/>
        <w:left w:val="none" w:sz="0" w:space="0" w:color="auto"/>
        <w:bottom w:val="none" w:sz="0" w:space="0" w:color="auto"/>
        <w:right w:val="none" w:sz="0" w:space="0" w:color="auto"/>
      </w:divBdr>
    </w:div>
    <w:div w:id="1411808176">
      <w:bodyDiv w:val="1"/>
      <w:marLeft w:val="0"/>
      <w:marRight w:val="0"/>
      <w:marTop w:val="0"/>
      <w:marBottom w:val="0"/>
      <w:divBdr>
        <w:top w:val="none" w:sz="0" w:space="0" w:color="auto"/>
        <w:left w:val="none" w:sz="0" w:space="0" w:color="auto"/>
        <w:bottom w:val="none" w:sz="0" w:space="0" w:color="auto"/>
        <w:right w:val="none" w:sz="0" w:space="0" w:color="auto"/>
      </w:divBdr>
    </w:div>
    <w:div w:id="1524979452">
      <w:bodyDiv w:val="1"/>
      <w:marLeft w:val="0"/>
      <w:marRight w:val="0"/>
      <w:marTop w:val="0"/>
      <w:marBottom w:val="0"/>
      <w:divBdr>
        <w:top w:val="none" w:sz="0" w:space="0" w:color="auto"/>
        <w:left w:val="none" w:sz="0" w:space="0" w:color="auto"/>
        <w:bottom w:val="none" w:sz="0" w:space="0" w:color="auto"/>
        <w:right w:val="none" w:sz="0" w:space="0" w:color="auto"/>
      </w:divBdr>
    </w:div>
    <w:div w:id="1581215272">
      <w:bodyDiv w:val="1"/>
      <w:marLeft w:val="0"/>
      <w:marRight w:val="0"/>
      <w:marTop w:val="0"/>
      <w:marBottom w:val="0"/>
      <w:divBdr>
        <w:top w:val="none" w:sz="0" w:space="0" w:color="auto"/>
        <w:left w:val="none" w:sz="0" w:space="0" w:color="auto"/>
        <w:bottom w:val="none" w:sz="0" w:space="0" w:color="auto"/>
        <w:right w:val="none" w:sz="0" w:space="0" w:color="auto"/>
      </w:divBdr>
    </w:div>
    <w:div w:id="1589194516">
      <w:bodyDiv w:val="1"/>
      <w:marLeft w:val="0"/>
      <w:marRight w:val="0"/>
      <w:marTop w:val="0"/>
      <w:marBottom w:val="0"/>
      <w:divBdr>
        <w:top w:val="none" w:sz="0" w:space="0" w:color="auto"/>
        <w:left w:val="none" w:sz="0" w:space="0" w:color="auto"/>
        <w:bottom w:val="none" w:sz="0" w:space="0" w:color="auto"/>
        <w:right w:val="none" w:sz="0" w:space="0" w:color="auto"/>
      </w:divBdr>
    </w:div>
    <w:div w:id="1700619900">
      <w:bodyDiv w:val="1"/>
      <w:marLeft w:val="0"/>
      <w:marRight w:val="0"/>
      <w:marTop w:val="0"/>
      <w:marBottom w:val="0"/>
      <w:divBdr>
        <w:top w:val="none" w:sz="0" w:space="0" w:color="auto"/>
        <w:left w:val="none" w:sz="0" w:space="0" w:color="auto"/>
        <w:bottom w:val="none" w:sz="0" w:space="0" w:color="auto"/>
        <w:right w:val="none" w:sz="0" w:space="0" w:color="auto"/>
      </w:divBdr>
    </w:div>
    <w:div w:id="2063597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FA7FE-C041-4309-8CBC-1AD9766A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13448</Words>
  <Characters>72625</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Charlan</cp:lastModifiedBy>
  <cp:revision>6</cp:revision>
  <cp:lastPrinted>2026-06-19T15:24:00Z</cp:lastPrinted>
  <dcterms:created xsi:type="dcterms:W3CDTF">2026-06-19T01:34:00Z</dcterms:created>
  <dcterms:modified xsi:type="dcterms:W3CDTF">2026-06-19T15:27:00Z</dcterms:modified>
</cp:coreProperties>
</file>