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3FD50" w14:textId="77777777" w:rsidR="004208B9" w:rsidRPr="00323D71" w:rsidRDefault="004208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370B2978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13FA1161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7E6305EC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303280A2" w14:textId="77777777" w:rsidR="00B625DA" w:rsidRPr="00323D71" w:rsidRDefault="00B625DA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39571213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0054B22C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677CD268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478FC5CC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03426477" w14:textId="2514D36B" w:rsidR="00893582" w:rsidRPr="008F0FEC" w:rsidRDefault="00893582" w:rsidP="00CF6A81">
      <w:pPr>
        <w:pStyle w:val="PargrafodaLista"/>
        <w:spacing w:after="0" w:line="276" w:lineRule="auto"/>
        <w:ind w:left="0"/>
        <w:jc w:val="center"/>
        <w:rPr>
          <w:rFonts w:ascii="Arial" w:eastAsia="Arial" w:hAnsi="Arial" w:cs="Arial"/>
          <w:b/>
          <w:sz w:val="24"/>
          <w:szCs w:val="24"/>
        </w:rPr>
      </w:pPr>
      <w:r w:rsidRPr="008F0FEC">
        <w:rPr>
          <w:rFonts w:ascii="Arial" w:eastAsia="Arial" w:hAnsi="Arial" w:cs="Arial"/>
          <w:b/>
          <w:sz w:val="24"/>
          <w:szCs w:val="24"/>
        </w:rPr>
        <w:t>MAPA DE RISCOS</w:t>
      </w:r>
    </w:p>
    <w:p w14:paraId="0FB35B11" w14:textId="4BC161F3" w:rsidR="00B625DA" w:rsidRPr="008F0FEC" w:rsidRDefault="0086663E" w:rsidP="00CF6A81">
      <w:pPr>
        <w:pStyle w:val="PargrafodaLista"/>
        <w:spacing w:after="0" w:line="276" w:lineRule="auto"/>
        <w:ind w:left="0"/>
        <w:jc w:val="center"/>
        <w:rPr>
          <w:rFonts w:ascii="Arial" w:eastAsia="Arial" w:hAnsi="Arial" w:cs="Arial"/>
          <w:bCs/>
          <w:sz w:val="24"/>
          <w:szCs w:val="24"/>
        </w:rPr>
      </w:pPr>
      <w:r w:rsidRPr="008F0FEC">
        <w:rPr>
          <w:rFonts w:ascii="Arial" w:eastAsia="Arial" w:hAnsi="Arial" w:cs="Arial"/>
          <w:bCs/>
          <w:sz w:val="24"/>
          <w:szCs w:val="24"/>
        </w:rPr>
        <w:t>Construção</w:t>
      </w:r>
      <w:r w:rsidR="00B625DA" w:rsidRPr="008F0FEC">
        <w:rPr>
          <w:rFonts w:ascii="Arial" w:eastAsia="Arial" w:hAnsi="Arial" w:cs="Arial"/>
          <w:bCs/>
          <w:sz w:val="24"/>
          <w:szCs w:val="24"/>
        </w:rPr>
        <w:t xml:space="preserve"> da Escola Municipa</w:t>
      </w:r>
      <w:r w:rsidR="00813362" w:rsidRPr="008F0FEC">
        <w:rPr>
          <w:rFonts w:ascii="Arial" w:eastAsia="Arial" w:hAnsi="Arial" w:cs="Arial"/>
          <w:bCs/>
          <w:sz w:val="24"/>
          <w:szCs w:val="24"/>
        </w:rPr>
        <w:t>l</w:t>
      </w:r>
    </w:p>
    <w:p w14:paraId="1136B86C" w14:textId="72F0A866" w:rsidR="00B625DA" w:rsidRPr="008F0FEC" w:rsidRDefault="0086663E" w:rsidP="00CF6A81">
      <w:pPr>
        <w:spacing w:after="0" w:line="276" w:lineRule="auto"/>
        <w:jc w:val="center"/>
        <w:rPr>
          <w:rFonts w:ascii="Arial" w:eastAsia="Arial" w:hAnsi="Arial" w:cs="Arial"/>
          <w:bCs/>
          <w:sz w:val="24"/>
          <w:szCs w:val="24"/>
        </w:rPr>
      </w:pPr>
      <w:r w:rsidRPr="008F0FEC">
        <w:rPr>
          <w:rFonts w:ascii="Arial" w:eastAsia="Arial" w:hAnsi="Arial" w:cs="Arial"/>
          <w:bCs/>
          <w:sz w:val="24"/>
          <w:szCs w:val="24"/>
        </w:rPr>
        <w:t>Adélia Carneiro Pedrosa</w:t>
      </w:r>
    </w:p>
    <w:p w14:paraId="4C5B47F1" w14:textId="77777777" w:rsidR="00CF6A81" w:rsidRPr="008F0FEC" w:rsidRDefault="00CF6A81" w:rsidP="00CF6A81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8F0FEC">
        <w:rPr>
          <w:rFonts w:ascii="Arial" w:hAnsi="Arial" w:cs="Arial"/>
          <w:sz w:val="24"/>
          <w:szCs w:val="24"/>
        </w:rPr>
        <w:br w:type="page"/>
      </w:r>
    </w:p>
    <w:p w14:paraId="5D2C0141" w14:textId="7A37FDEC" w:rsidR="00F9421D" w:rsidRPr="00323D71" w:rsidRDefault="00F9421D" w:rsidP="00CF6A81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7C391591" w14:textId="77777777" w:rsidR="00F9421D" w:rsidRPr="00323D71" w:rsidRDefault="00F9421D" w:rsidP="00CF6A81">
      <w:pPr>
        <w:pStyle w:val="Ttulo2"/>
        <w:spacing w:before="0" w:line="276" w:lineRule="auto"/>
        <w:rPr>
          <w:rFonts w:ascii="Arial" w:hAnsi="Arial" w:cs="Arial"/>
          <w:color w:val="auto"/>
          <w:sz w:val="20"/>
          <w:szCs w:val="20"/>
        </w:rPr>
      </w:pPr>
      <w:r w:rsidRPr="00323D71">
        <w:rPr>
          <w:rFonts w:ascii="Arial" w:hAnsi="Arial" w:cs="Arial"/>
          <w:color w:val="auto"/>
          <w:sz w:val="20"/>
          <w:szCs w:val="20"/>
        </w:rPr>
        <w:t>MAPA DE RISCOS (MATRIZ DE ALOCAÇÃO DE RISCOS)</w:t>
      </w:r>
    </w:p>
    <w:p w14:paraId="37C5F0CF" w14:textId="5F51B931" w:rsidR="0077540D" w:rsidRDefault="00F9421D" w:rsidP="0086663E">
      <w:pPr>
        <w:pStyle w:val="NormalWeb"/>
        <w:spacing w:after="0" w:line="276" w:lineRule="auto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Objeto:</w:t>
      </w:r>
      <w:r w:rsidRPr="00323D71">
        <w:rPr>
          <w:rFonts w:ascii="Arial" w:hAnsi="Arial" w:cs="Arial"/>
          <w:sz w:val="20"/>
          <w:szCs w:val="20"/>
        </w:rPr>
        <w:t xml:space="preserve"> </w:t>
      </w:r>
      <w:r w:rsidR="0086663E" w:rsidRPr="0086663E">
        <w:rPr>
          <w:rFonts w:ascii="Arial" w:hAnsi="Arial" w:cs="Arial"/>
          <w:sz w:val="20"/>
          <w:szCs w:val="20"/>
        </w:rPr>
        <w:t>Construção da Escola Municipal</w:t>
      </w:r>
      <w:r w:rsidR="0086663E">
        <w:rPr>
          <w:rFonts w:ascii="Arial" w:hAnsi="Arial" w:cs="Arial"/>
          <w:sz w:val="20"/>
          <w:szCs w:val="20"/>
        </w:rPr>
        <w:t xml:space="preserve"> </w:t>
      </w:r>
      <w:r w:rsidR="0086663E" w:rsidRPr="0086663E">
        <w:rPr>
          <w:rFonts w:ascii="Arial" w:hAnsi="Arial" w:cs="Arial"/>
          <w:sz w:val="20"/>
          <w:szCs w:val="20"/>
        </w:rPr>
        <w:t>Adélia Carneiro Pedrosa</w:t>
      </w:r>
      <w:r w:rsidRPr="00323D71">
        <w:rPr>
          <w:rFonts w:ascii="Arial" w:hAnsi="Arial" w:cs="Arial"/>
          <w:sz w:val="20"/>
          <w:szCs w:val="20"/>
        </w:rPr>
        <w:t>.</w:t>
      </w:r>
    </w:p>
    <w:p w14:paraId="34FD5EA7" w14:textId="4611E689" w:rsidR="00F9421D" w:rsidRPr="00323D71" w:rsidRDefault="00F9421D" w:rsidP="00CF6A81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Regime de Execução:</w:t>
      </w:r>
      <w:r w:rsidRPr="00323D71">
        <w:rPr>
          <w:rFonts w:ascii="Arial" w:hAnsi="Arial" w:cs="Arial"/>
          <w:sz w:val="20"/>
          <w:szCs w:val="20"/>
        </w:rPr>
        <w:t xml:space="preserve"> Empreitada por Preço Unitário.</w:t>
      </w:r>
    </w:p>
    <w:p w14:paraId="15BAD771" w14:textId="59F28E25" w:rsidR="00F9421D" w:rsidRPr="00323D71" w:rsidRDefault="00751187" w:rsidP="00CF6A8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2A883470">
          <v:rect id="_x0000_i1025" style="width:0;height:1.5pt" o:hralign="center" o:hrstd="t" o:hr="t" fillcolor="#a0a0a0" stroked="f"/>
        </w:pict>
      </w:r>
    </w:p>
    <w:p w14:paraId="3BE7C432" w14:textId="77777777" w:rsidR="00F9421D" w:rsidRPr="00323D71" w:rsidRDefault="00F9421D" w:rsidP="00CF6A81">
      <w:pPr>
        <w:pStyle w:val="Ttulo3"/>
        <w:spacing w:before="0" w:line="276" w:lineRule="auto"/>
        <w:rPr>
          <w:rFonts w:ascii="Arial" w:hAnsi="Arial" w:cs="Arial"/>
          <w:color w:val="auto"/>
          <w:sz w:val="20"/>
          <w:szCs w:val="20"/>
        </w:rPr>
      </w:pPr>
      <w:r w:rsidRPr="00323D71">
        <w:rPr>
          <w:rFonts w:ascii="Arial" w:hAnsi="Arial" w:cs="Arial"/>
          <w:color w:val="auto"/>
          <w:sz w:val="20"/>
          <w:szCs w:val="20"/>
        </w:rPr>
        <w:t>FASE – PLANEJAMENTO</w:t>
      </w:r>
    </w:p>
    <w:p w14:paraId="455E8A34" w14:textId="77777777" w:rsidR="00F9421D" w:rsidRPr="00323D71" w:rsidRDefault="00F9421D" w:rsidP="00CF6A81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323D71">
        <w:rPr>
          <w:rFonts w:ascii="Arial" w:hAnsi="Arial" w:cs="Arial"/>
          <w:sz w:val="20"/>
          <w:szCs w:val="20"/>
        </w:rPr>
        <w:t>(Fase que culmina na instrução processual e na licitação. Envolve a análise prévia de riscos).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7"/>
        <w:gridCol w:w="2011"/>
        <w:gridCol w:w="506"/>
        <w:gridCol w:w="485"/>
        <w:gridCol w:w="3197"/>
        <w:gridCol w:w="3142"/>
        <w:gridCol w:w="1773"/>
        <w:gridCol w:w="1872"/>
      </w:tblGrid>
      <w:tr w:rsidR="00323D71" w:rsidRPr="00323D71" w14:paraId="11991DC2" w14:textId="77777777" w:rsidTr="00CF6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8D72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RISCO</w:t>
            </w:r>
          </w:p>
        </w:tc>
        <w:tc>
          <w:tcPr>
            <w:tcW w:w="1981" w:type="dxa"/>
            <w:vAlign w:val="center"/>
            <w:hideMark/>
          </w:tcPr>
          <w:p w14:paraId="3D924949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DESCRIÇÃO DO IMPACTO (Consequência)</w:t>
            </w:r>
          </w:p>
        </w:tc>
        <w:tc>
          <w:tcPr>
            <w:tcW w:w="476" w:type="dxa"/>
            <w:vAlign w:val="center"/>
            <w:hideMark/>
          </w:tcPr>
          <w:p w14:paraId="30123AC1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455" w:type="dxa"/>
            <w:vAlign w:val="center"/>
            <w:hideMark/>
          </w:tcPr>
          <w:p w14:paraId="4664D1A9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167" w:type="dxa"/>
            <w:vAlign w:val="center"/>
            <w:hideMark/>
          </w:tcPr>
          <w:p w14:paraId="24CC082E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AÇÃO PREVENTIVA / CONTROLE</w:t>
            </w:r>
          </w:p>
        </w:tc>
        <w:tc>
          <w:tcPr>
            <w:tcW w:w="0" w:type="auto"/>
            <w:vAlign w:val="center"/>
            <w:hideMark/>
          </w:tcPr>
          <w:p w14:paraId="426280A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AÇÃO DE CONTINGÊNCIA</w:t>
            </w:r>
          </w:p>
        </w:tc>
        <w:tc>
          <w:tcPr>
            <w:tcW w:w="0" w:type="auto"/>
            <w:vAlign w:val="center"/>
            <w:hideMark/>
          </w:tcPr>
          <w:p w14:paraId="57EDC255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RESPONSÁVEL PELA GESTÃO/AÇÃO</w:t>
            </w:r>
          </w:p>
        </w:tc>
        <w:tc>
          <w:tcPr>
            <w:tcW w:w="0" w:type="auto"/>
            <w:vAlign w:val="center"/>
            <w:hideMark/>
          </w:tcPr>
          <w:p w14:paraId="57451DE7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ALOCAÇÃO DE RISCO</w:t>
            </w:r>
          </w:p>
        </w:tc>
      </w:tr>
      <w:tr w:rsidR="00323D71" w:rsidRPr="00323D71" w14:paraId="2CA4AE20" w14:textId="77777777" w:rsidTr="00CF6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7521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1. Incorreta identificação da demanda</w:t>
            </w:r>
          </w:p>
        </w:tc>
        <w:tc>
          <w:tcPr>
            <w:tcW w:w="1981" w:type="dxa"/>
            <w:vAlign w:val="center"/>
            <w:hideMark/>
          </w:tcPr>
          <w:p w14:paraId="2BB572E2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Instrução processual inadequada. Falha no atendimento da necessidade.</w:t>
            </w:r>
          </w:p>
        </w:tc>
        <w:tc>
          <w:tcPr>
            <w:tcW w:w="476" w:type="dxa"/>
            <w:vAlign w:val="center"/>
            <w:hideMark/>
          </w:tcPr>
          <w:p w14:paraId="6B050DDC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5" w:type="dxa"/>
            <w:vAlign w:val="center"/>
            <w:hideMark/>
          </w:tcPr>
          <w:p w14:paraId="3BF18EE2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167" w:type="dxa"/>
            <w:vAlign w:val="center"/>
            <w:hideMark/>
          </w:tcPr>
          <w:p w14:paraId="3D03458D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Identificar e envolver setores/servidores com conhecimento técnico e legal para a instrução inicial, solicitando ratificação/retificação dos objetos.</w:t>
            </w:r>
          </w:p>
        </w:tc>
        <w:tc>
          <w:tcPr>
            <w:tcW w:w="0" w:type="auto"/>
            <w:vAlign w:val="center"/>
            <w:hideMark/>
          </w:tcPr>
          <w:p w14:paraId="418FF6B5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Parar o processo no estágio em que se encontrar e proceder à retificação dos artefatos técnicos.</w:t>
            </w:r>
          </w:p>
        </w:tc>
        <w:tc>
          <w:tcPr>
            <w:tcW w:w="0" w:type="auto"/>
            <w:vAlign w:val="center"/>
            <w:hideMark/>
          </w:tcPr>
          <w:p w14:paraId="4AF85858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Gerente de Projetos (Administração)</w:t>
            </w:r>
          </w:p>
        </w:tc>
        <w:tc>
          <w:tcPr>
            <w:tcW w:w="0" w:type="auto"/>
            <w:vAlign w:val="center"/>
            <w:hideMark/>
          </w:tcPr>
          <w:p w14:paraId="3461F299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323D71" w:rsidRPr="00323D71" w14:paraId="0E8BCC68" w14:textId="77777777" w:rsidTr="00CF6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8D399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2. Estimativa inadequada de quantitativo (excedentes/supressões)</w:t>
            </w:r>
          </w:p>
        </w:tc>
        <w:tc>
          <w:tcPr>
            <w:tcW w:w="1981" w:type="dxa"/>
            <w:vAlign w:val="center"/>
            <w:hideMark/>
          </w:tcPr>
          <w:p w14:paraId="019A637C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 xml:space="preserve">Falha no atendimento das necessidades. </w:t>
            </w: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Impossibilidade de aditivo contratual (acréscimo ou supressão).</w:t>
            </w:r>
          </w:p>
        </w:tc>
        <w:tc>
          <w:tcPr>
            <w:tcW w:w="476" w:type="dxa"/>
            <w:vAlign w:val="center"/>
            <w:hideMark/>
          </w:tcPr>
          <w:p w14:paraId="1AE749CA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5" w:type="dxa"/>
            <w:vAlign w:val="center"/>
            <w:hideMark/>
          </w:tcPr>
          <w:p w14:paraId="360697A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167" w:type="dxa"/>
            <w:vAlign w:val="center"/>
            <w:hideMark/>
          </w:tcPr>
          <w:p w14:paraId="35F4119C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Adequado levantamento das necessidades com base em Projetos Básicos e Planilhas Orçamentárias elaboradas pela Secretaria de Educação e Inovação.</w:t>
            </w:r>
          </w:p>
        </w:tc>
        <w:tc>
          <w:tcPr>
            <w:tcW w:w="0" w:type="auto"/>
            <w:vAlign w:val="center"/>
            <w:hideMark/>
          </w:tcPr>
          <w:p w14:paraId="6F54511B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Análise da possibilidade de aditivo contratual, respeitando os limites legais: até 25% (geral) ou até 50% (reforma de edifício/equipamento) do valor inicial atualizado.</w:t>
            </w:r>
          </w:p>
        </w:tc>
        <w:tc>
          <w:tcPr>
            <w:tcW w:w="0" w:type="auto"/>
            <w:vAlign w:val="center"/>
            <w:hideMark/>
          </w:tcPr>
          <w:p w14:paraId="10B864EF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Gerente de Projetos (Administração)</w:t>
            </w:r>
          </w:p>
        </w:tc>
        <w:tc>
          <w:tcPr>
            <w:tcW w:w="0" w:type="auto"/>
            <w:vAlign w:val="center"/>
            <w:hideMark/>
          </w:tcPr>
          <w:p w14:paraId="0D04DC80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</w:tr>
      <w:tr w:rsidR="00323D71" w:rsidRPr="00323D71" w14:paraId="214AD4AC" w14:textId="77777777" w:rsidTr="00CF6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D6436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3. Fracasso da licitação (propostas inexequíveis ou desertas)</w:t>
            </w:r>
          </w:p>
        </w:tc>
        <w:tc>
          <w:tcPr>
            <w:tcW w:w="1981" w:type="dxa"/>
            <w:vAlign w:val="center"/>
            <w:hideMark/>
          </w:tcPr>
          <w:p w14:paraId="7C6A2875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 xml:space="preserve">Atrasos na execução do objeto e indisposição dos ambientes. Contratação com preço </w:t>
            </w:r>
            <w:r w:rsidRPr="00323D71">
              <w:rPr>
                <w:rFonts w:ascii="Arial" w:hAnsi="Arial" w:cs="Arial"/>
                <w:sz w:val="20"/>
                <w:szCs w:val="20"/>
              </w:rPr>
              <w:lastRenderedPageBreak/>
              <w:t>manifestamente inexequível.</w:t>
            </w:r>
          </w:p>
        </w:tc>
        <w:tc>
          <w:tcPr>
            <w:tcW w:w="476" w:type="dxa"/>
            <w:vAlign w:val="center"/>
            <w:hideMark/>
          </w:tcPr>
          <w:p w14:paraId="0F9EFD3A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455" w:type="dxa"/>
            <w:vAlign w:val="center"/>
            <w:hideMark/>
          </w:tcPr>
          <w:p w14:paraId="61656320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167" w:type="dxa"/>
            <w:vAlign w:val="center"/>
            <w:hideMark/>
          </w:tcPr>
          <w:p w14:paraId="0998A04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Realizar o adequado levantamento de preços (SINAPI/ORSE/SEINFRA) e condições compatíveis e atualizados. Utilizar a inversão de fases para verificar qualificação técnica antes do julgamento.</w:t>
            </w:r>
          </w:p>
        </w:tc>
        <w:tc>
          <w:tcPr>
            <w:tcW w:w="0" w:type="auto"/>
            <w:vAlign w:val="center"/>
            <w:hideMark/>
          </w:tcPr>
          <w:p w14:paraId="3F49EC4F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Repetição do certame ou, se for o caso, contratação direta por dispensa (Art. 75, III). Formar grupo de trabalho com conhecimento técnico.</w:t>
            </w:r>
          </w:p>
        </w:tc>
        <w:tc>
          <w:tcPr>
            <w:tcW w:w="0" w:type="auto"/>
            <w:vAlign w:val="center"/>
            <w:hideMark/>
          </w:tcPr>
          <w:p w14:paraId="11FB59BC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Gerente de Projetos / Comissão de Licitação</w:t>
            </w:r>
          </w:p>
        </w:tc>
        <w:tc>
          <w:tcPr>
            <w:tcW w:w="0" w:type="auto"/>
            <w:vAlign w:val="center"/>
            <w:hideMark/>
          </w:tcPr>
          <w:p w14:paraId="72AE3C4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323D71" w:rsidRPr="00323D71" w14:paraId="22877DB9" w14:textId="77777777" w:rsidTr="00CF6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D878D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4. Impugnação do edital</w:t>
            </w:r>
          </w:p>
        </w:tc>
        <w:tc>
          <w:tcPr>
            <w:tcW w:w="1981" w:type="dxa"/>
            <w:vAlign w:val="center"/>
            <w:hideMark/>
          </w:tcPr>
          <w:p w14:paraId="3DD6077C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Atraso na contratação da empresa.</w:t>
            </w:r>
          </w:p>
        </w:tc>
        <w:tc>
          <w:tcPr>
            <w:tcW w:w="476" w:type="dxa"/>
            <w:vAlign w:val="center"/>
            <w:hideMark/>
          </w:tcPr>
          <w:p w14:paraId="56EA0307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5" w:type="dxa"/>
            <w:vAlign w:val="center"/>
            <w:hideMark/>
          </w:tcPr>
          <w:p w14:paraId="6A82FB5B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167" w:type="dxa"/>
            <w:vAlign w:val="center"/>
            <w:hideMark/>
          </w:tcPr>
          <w:p w14:paraId="3DF1CDC4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Elaborar o edital corretamente e compatibilizar informações com o Projeto Básico/TR. Análise e parecer do órgão de assessoramento jurídico (Art. 53).</w:t>
            </w:r>
          </w:p>
        </w:tc>
        <w:tc>
          <w:tcPr>
            <w:tcW w:w="0" w:type="auto"/>
            <w:vAlign w:val="center"/>
            <w:hideMark/>
          </w:tcPr>
          <w:p w14:paraId="006FADC7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Responder e divulgar a resposta à impugnação em sítio eletrônico oficial no prazo legal (Art. 164).</w:t>
            </w:r>
          </w:p>
        </w:tc>
        <w:tc>
          <w:tcPr>
            <w:tcW w:w="0" w:type="auto"/>
            <w:vAlign w:val="center"/>
            <w:hideMark/>
          </w:tcPr>
          <w:p w14:paraId="576A490A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Gerente de Projetos / Departamento Jurídico</w:t>
            </w:r>
          </w:p>
        </w:tc>
        <w:tc>
          <w:tcPr>
            <w:tcW w:w="0" w:type="auto"/>
            <w:vAlign w:val="center"/>
            <w:hideMark/>
          </w:tcPr>
          <w:p w14:paraId="2380E2BF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323D71" w:rsidRPr="00323D71" w14:paraId="7F524B6C" w14:textId="77777777" w:rsidTr="00CF6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EEEDC" w14:textId="2A18222C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5. Não atendimento dos requisitos de Qualificação Técnica</w:t>
            </w:r>
          </w:p>
        </w:tc>
        <w:tc>
          <w:tcPr>
            <w:tcW w:w="1981" w:type="dxa"/>
            <w:vAlign w:val="center"/>
            <w:hideMark/>
          </w:tcPr>
          <w:p w14:paraId="634E40C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Risco de contratar empresa sem capacidade (P2, I5 no original) de realizar as parcelas de maior relevância do objeto.</w:t>
            </w:r>
          </w:p>
        </w:tc>
        <w:tc>
          <w:tcPr>
            <w:tcW w:w="476" w:type="dxa"/>
            <w:vAlign w:val="center"/>
            <w:hideMark/>
          </w:tcPr>
          <w:p w14:paraId="4C18818A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5" w:type="dxa"/>
            <w:vAlign w:val="center"/>
            <w:hideMark/>
          </w:tcPr>
          <w:p w14:paraId="632E6425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167" w:type="dxa"/>
            <w:vAlign w:val="center"/>
            <w:hideMark/>
          </w:tcPr>
          <w:p w14:paraId="05C4D78E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Análise rigorosa dos Atestados de Capacidade Técnica Operacional e Profissional, exigindo quantitativos mínimos (</w:t>
            </w:r>
            <w:proofErr w:type="spellStart"/>
            <w:r w:rsidRPr="00323D71">
              <w:rPr>
                <w:rFonts w:ascii="Arial" w:hAnsi="Arial" w:cs="Arial"/>
                <w:sz w:val="20"/>
                <w:szCs w:val="20"/>
              </w:rPr>
              <w:t>ex</w:t>
            </w:r>
            <w:proofErr w:type="spellEnd"/>
            <w:r w:rsidRPr="00323D71">
              <w:rPr>
                <w:rFonts w:ascii="Arial" w:hAnsi="Arial" w:cs="Arial"/>
                <w:sz w:val="20"/>
                <w:szCs w:val="20"/>
              </w:rPr>
              <w:t>: 50% dos itens de maior relevância).</w:t>
            </w:r>
          </w:p>
        </w:tc>
        <w:tc>
          <w:tcPr>
            <w:tcW w:w="0" w:type="auto"/>
            <w:vAlign w:val="center"/>
            <w:hideMark/>
          </w:tcPr>
          <w:p w14:paraId="6B8E1C94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Inabilitação do licitante na fase de habilitação (antecedendo o julgamento). Convocação de remanescentes.</w:t>
            </w:r>
          </w:p>
        </w:tc>
        <w:tc>
          <w:tcPr>
            <w:tcW w:w="0" w:type="auto"/>
            <w:vAlign w:val="center"/>
            <w:hideMark/>
          </w:tcPr>
          <w:p w14:paraId="45EB4A3C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Comissão de Licitação</w:t>
            </w:r>
          </w:p>
        </w:tc>
        <w:tc>
          <w:tcPr>
            <w:tcW w:w="0" w:type="auto"/>
            <w:vAlign w:val="center"/>
            <w:hideMark/>
          </w:tcPr>
          <w:p w14:paraId="6E8BABFF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</w:tbl>
    <w:p w14:paraId="13245CC2" w14:textId="77777777" w:rsidR="00F9421D" w:rsidRPr="00323D71" w:rsidRDefault="00751187" w:rsidP="00CF6A8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46507A17">
          <v:rect id="_x0000_i1026" style="width:0;height:1.5pt" o:hralign="center" o:hrstd="t" o:hr="t" fillcolor="#a0a0a0" stroked="f"/>
        </w:pict>
      </w:r>
    </w:p>
    <w:p w14:paraId="75072EF4" w14:textId="77777777" w:rsidR="00F9421D" w:rsidRPr="00323D71" w:rsidRDefault="00F9421D" w:rsidP="00CF6A81">
      <w:pPr>
        <w:pStyle w:val="Ttulo3"/>
        <w:spacing w:before="0" w:line="276" w:lineRule="auto"/>
        <w:rPr>
          <w:rFonts w:ascii="Arial" w:hAnsi="Arial" w:cs="Arial"/>
          <w:color w:val="auto"/>
          <w:sz w:val="20"/>
          <w:szCs w:val="20"/>
        </w:rPr>
      </w:pPr>
      <w:r w:rsidRPr="00323D71">
        <w:rPr>
          <w:rFonts w:ascii="Arial" w:hAnsi="Arial" w:cs="Arial"/>
          <w:color w:val="auto"/>
          <w:sz w:val="20"/>
          <w:szCs w:val="20"/>
        </w:rPr>
        <w:t>FASE – GESTÃO CONTRATUAL E EXECUÇÃO DO OBJETO CONTRATADO</w:t>
      </w:r>
    </w:p>
    <w:p w14:paraId="2FA1347D" w14:textId="77777777" w:rsidR="00F9421D" w:rsidRPr="00323D71" w:rsidRDefault="00F9421D" w:rsidP="00CF6A81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323D71">
        <w:rPr>
          <w:rFonts w:ascii="Arial" w:hAnsi="Arial" w:cs="Arial"/>
          <w:sz w:val="20"/>
          <w:szCs w:val="20"/>
        </w:rPr>
        <w:t>(Fase que envolve a execução física da obra, a fiscalização e a manutenção do equilíbrio contratual).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5"/>
        <w:gridCol w:w="1981"/>
        <w:gridCol w:w="424"/>
        <w:gridCol w:w="490"/>
        <w:gridCol w:w="3324"/>
        <w:gridCol w:w="3247"/>
        <w:gridCol w:w="1592"/>
        <w:gridCol w:w="1840"/>
      </w:tblGrid>
      <w:tr w:rsidR="00323D71" w:rsidRPr="00323D71" w14:paraId="56954743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56675DF9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RISCO</w:t>
            </w:r>
          </w:p>
        </w:tc>
        <w:tc>
          <w:tcPr>
            <w:tcW w:w="1951" w:type="dxa"/>
            <w:vAlign w:val="center"/>
            <w:hideMark/>
          </w:tcPr>
          <w:p w14:paraId="568D0CFF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DESCRIÇÃO DO IMPACTO (Consequência)</w:t>
            </w:r>
          </w:p>
        </w:tc>
        <w:tc>
          <w:tcPr>
            <w:tcW w:w="394" w:type="dxa"/>
            <w:vAlign w:val="center"/>
            <w:hideMark/>
          </w:tcPr>
          <w:p w14:paraId="7C386FEB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460" w:type="dxa"/>
            <w:vAlign w:val="center"/>
            <w:hideMark/>
          </w:tcPr>
          <w:p w14:paraId="1C2A900C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294" w:type="dxa"/>
            <w:vAlign w:val="center"/>
            <w:hideMark/>
          </w:tcPr>
          <w:p w14:paraId="27E4D1A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AÇÃO PREVENTIVA / CONTROLE</w:t>
            </w:r>
          </w:p>
        </w:tc>
        <w:tc>
          <w:tcPr>
            <w:tcW w:w="3217" w:type="dxa"/>
            <w:vAlign w:val="center"/>
            <w:hideMark/>
          </w:tcPr>
          <w:p w14:paraId="104B1350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AÇÃO DE CONTINGÊNCIA</w:t>
            </w:r>
          </w:p>
        </w:tc>
        <w:tc>
          <w:tcPr>
            <w:tcW w:w="1562" w:type="dxa"/>
            <w:vAlign w:val="center"/>
            <w:hideMark/>
          </w:tcPr>
          <w:p w14:paraId="2B30A746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RESPONSÁVEL PELA GESTÃO/AÇÃO</w:t>
            </w:r>
          </w:p>
        </w:tc>
        <w:tc>
          <w:tcPr>
            <w:tcW w:w="1795" w:type="dxa"/>
            <w:vAlign w:val="center"/>
            <w:hideMark/>
          </w:tcPr>
          <w:p w14:paraId="048DFFA6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ALOCAÇÃO DE RISCO</w:t>
            </w:r>
          </w:p>
        </w:tc>
      </w:tr>
      <w:tr w:rsidR="00323D71" w:rsidRPr="00323D71" w14:paraId="5DA04429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37DBCBE1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1. Execução do objeto contratual em desacordo com o Contrato</w:t>
            </w:r>
          </w:p>
        </w:tc>
        <w:tc>
          <w:tcPr>
            <w:tcW w:w="1951" w:type="dxa"/>
            <w:vAlign w:val="center"/>
            <w:hideMark/>
          </w:tcPr>
          <w:p w14:paraId="062937DB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Falha no atendimento das necessidades. Vícios, defeitos ou incorreções na execução.</w:t>
            </w:r>
          </w:p>
        </w:tc>
        <w:tc>
          <w:tcPr>
            <w:tcW w:w="394" w:type="dxa"/>
            <w:vAlign w:val="center"/>
            <w:hideMark/>
          </w:tcPr>
          <w:p w14:paraId="76507A1D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0" w:type="dxa"/>
            <w:vAlign w:val="center"/>
            <w:hideMark/>
          </w:tcPr>
          <w:p w14:paraId="08699529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94" w:type="dxa"/>
            <w:vAlign w:val="center"/>
            <w:hideMark/>
          </w:tcPr>
          <w:p w14:paraId="558C0BA7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Fiscalização mensal a ser realizada pelo Fiscal do Contrato. Determinação clara do objeto e capacitação da equipe de fiscalização.</w:t>
            </w:r>
          </w:p>
        </w:tc>
        <w:tc>
          <w:tcPr>
            <w:tcW w:w="3217" w:type="dxa"/>
            <w:vAlign w:val="center"/>
            <w:hideMark/>
          </w:tcPr>
          <w:p w14:paraId="78A7E3A0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Instauração de procedimento de inadimplência e aplicação de penalidades contratuais. Obrigação da Contratada de reparar, corrigir ou substituir o objeto às suas expensas.</w:t>
            </w:r>
          </w:p>
        </w:tc>
        <w:tc>
          <w:tcPr>
            <w:tcW w:w="1562" w:type="dxa"/>
            <w:vAlign w:val="center"/>
            <w:hideMark/>
          </w:tcPr>
          <w:p w14:paraId="5BD468C9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Fiscal de Contratos / Departamento Jurídico</w:t>
            </w:r>
          </w:p>
        </w:tc>
        <w:tc>
          <w:tcPr>
            <w:tcW w:w="1795" w:type="dxa"/>
            <w:vAlign w:val="center"/>
            <w:hideMark/>
          </w:tcPr>
          <w:p w14:paraId="7EC4C401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323D71" w:rsidRPr="00323D71" w14:paraId="5376B333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6863C504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2. Atrasos na execução do contrato ou baixa produtividade</w:t>
            </w:r>
          </w:p>
        </w:tc>
        <w:tc>
          <w:tcPr>
            <w:tcW w:w="1951" w:type="dxa"/>
            <w:vAlign w:val="center"/>
            <w:hideMark/>
          </w:tcPr>
          <w:p w14:paraId="568A086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 xml:space="preserve">Aumento do custo e demora na entrega da obra. </w:t>
            </w:r>
            <w:r w:rsidRPr="00323D71">
              <w:rPr>
                <w:rFonts w:ascii="Arial" w:hAnsi="Arial" w:cs="Arial"/>
                <w:sz w:val="20"/>
                <w:szCs w:val="20"/>
              </w:rPr>
              <w:lastRenderedPageBreak/>
              <w:t>Descontinuidade dos serviços.</w:t>
            </w:r>
          </w:p>
        </w:tc>
        <w:tc>
          <w:tcPr>
            <w:tcW w:w="394" w:type="dxa"/>
            <w:vAlign w:val="center"/>
            <w:hideMark/>
          </w:tcPr>
          <w:p w14:paraId="08719BCF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460" w:type="dxa"/>
            <w:vAlign w:val="center"/>
            <w:hideMark/>
          </w:tcPr>
          <w:p w14:paraId="09730AC0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94" w:type="dxa"/>
            <w:vAlign w:val="center"/>
            <w:hideMark/>
          </w:tcPr>
          <w:p w14:paraId="1D702438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Fiscalização e medição mensal.</w:t>
            </w:r>
            <w:r w:rsidRPr="00323D71">
              <w:rPr>
                <w:rFonts w:ascii="Arial" w:hAnsi="Arial" w:cs="Arial"/>
                <w:sz w:val="20"/>
                <w:szCs w:val="20"/>
              </w:rPr>
              <w:t xml:space="preserve"> Verificação do cronograma físico-financeiro. Registro das condições meteorológicas no Diário de Obra.</w:t>
            </w:r>
          </w:p>
        </w:tc>
        <w:tc>
          <w:tcPr>
            <w:tcW w:w="3217" w:type="dxa"/>
            <w:vAlign w:val="center"/>
            <w:hideMark/>
          </w:tcPr>
          <w:p w14:paraId="722A4238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 xml:space="preserve">Instauração de procedimento de inadimplência contratual com aplicação de multa de mora. Se for </w:t>
            </w:r>
            <w:r w:rsidRPr="00323D71">
              <w:rPr>
                <w:rFonts w:ascii="Arial" w:hAnsi="Arial" w:cs="Arial"/>
                <w:sz w:val="20"/>
                <w:szCs w:val="20"/>
              </w:rPr>
              <w:lastRenderedPageBreak/>
              <w:t>o caso, extinção unilateral do contrato.</w:t>
            </w:r>
          </w:p>
        </w:tc>
        <w:tc>
          <w:tcPr>
            <w:tcW w:w="1562" w:type="dxa"/>
            <w:vAlign w:val="center"/>
            <w:hideMark/>
          </w:tcPr>
          <w:p w14:paraId="5A3B624B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lastRenderedPageBreak/>
              <w:t>Fiscal de Contratos / Departamento Jurídico</w:t>
            </w:r>
          </w:p>
        </w:tc>
        <w:tc>
          <w:tcPr>
            <w:tcW w:w="1795" w:type="dxa"/>
            <w:vAlign w:val="center"/>
            <w:hideMark/>
          </w:tcPr>
          <w:p w14:paraId="3336AC24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323D71" w:rsidRPr="00323D71" w14:paraId="0BFCDC75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0BC5885E" w14:textId="26359124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3. Descoberta de Patologias Estruturais Ocultas/Complexidade de Recuperação Estrutural.</w:t>
            </w:r>
          </w:p>
        </w:tc>
        <w:tc>
          <w:tcPr>
            <w:tcW w:w="1951" w:type="dxa"/>
            <w:vAlign w:val="center"/>
            <w:hideMark/>
          </w:tcPr>
          <w:p w14:paraId="340D33A6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Maior custo, aumento de escopo não previsto. Risco à segurança (solidez da obra). Atraso no cronograma.</w:t>
            </w:r>
          </w:p>
        </w:tc>
        <w:tc>
          <w:tcPr>
            <w:tcW w:w="394" w:type="dxa"/>
            <w:vAlign w:val="center"/>
            <w:hideMark/>
          </w:tcPr>
          <w:p w14:paraId="7983354D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0" w:type="dxa"/>
            <w:vAlign w:val="center"/>
            <w:hideMark/>
          </w:tcPr>
          <w:p w14:paraId="39A0CE8C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294" w:type="dxa"/>
            <w:vAlign w:val="center"/>
            <w:hideMark/>
          </w:tcPr>
          <w:p w14:paraId="6920A933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Assegurar que os projetos incluam a recuperação estrutural urgente da edificação (lajes, vigas, pilares, alvenarias com umidade). Exigir ART/RRT de execução.</w:t>
            </w:r>
          </w:p>
        </w:tc>
        <w:tc>
          <w:tcPr>
            <w:tcW w:w="3217" w:type="dxa"/>
            <w:vAlign w:val="center"/>
            <w:hideMark/>
          </w:tcPr>
          <w:p w14:paraId="2507E94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Restabelecimento do equilíbrio econômico-financeiro (Art. 124, II, 'd'). Caso decorra de falha de projeto, apuração de responsabilidade do projetista.</w:t>
            </w:r>
          </w:p>
        </w:tc>
        <w:tc>
          <w:tcPr>
            <w:tcW w:w="1562" w:type="dxa"/>
            <w:vAlign w:val="center"/>
            <w:hideMark/>
          </w:tcPr>
          <w:p w14:paraId="3B8D749B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Fiscal de Contratos / Gerente de Projetos</w:t>
            </w:r>
          </w:p>
        </w:tc>
        <w:tc>
          <w:tcPr>
            <w:tcW w:w="1795" w:type="dxa"/>
            <w:vAlign w:val="center"/>
            <w:hideMark/>
          </w:tcPr>
          <w:p w14:paraId="3CBF250B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COMPARTILHADO (A falha estrutural pré-existente e imprevisível não é, em regra, responsabilidade do Contratado).</w:t>
            </w:r>
          </w:p>
        </w:tc>
      </w:tr>
      <w:tr w:rsidR="00323D71" w:rsidRPr="00323D71" w14:paraId="38DC7C03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7EA23696" w14:textId="4CE766D4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4. Atraso na obtenção ou impossibilidade da Licença Ambiental.</w:t>
            </w:r>
          </w:p>
        </w:tc>
        <w:tc>
          <w:tcPr>
            <w:tcW w:w="1951" w:type="dxa"/>
            <w:vAlign w:val="center"/>
            <w:hideMark/>
          </w:tcPr>
          <w:p w14:paraId="301520A3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Atraso na expedição da Ordem de Serviço (OS). Possibilidade de extinção contratual (Art. 137, VI).</w:t>
            </w:r>
          </w:p>
        </w:tc>
        <w:tc>
          <w:tcPr>
            <w:tcW w:w="394" w:type="dxa"/>
            <w:vAlign w:val="center"/>
            <w:hideMark/>
          </w:tcPr>
          <w:p w14:paraId="3591E8B4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0" w:type="dxa"/>
            <w:vAlign w:val="center"/>
            <w:hideMark/>
          </w:tcPr>
          <w:p w14:paraId="399912EA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294" w:type="dxa"/>
            <w:vAlign w:val="center"/>
            <w:hideMark/>
          </w:tcPr>
          <w:p w14:paraId="40776676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 xml:space="preserve">A Contratada tem a </w:t>
            </w: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responsabilidade e o ônus</w:t>
            </w:r>
            <w:r w:rsidRPr="00323D71">
              <w:rPr>
                <w:rFonts w:ascii="Arial" w:hAnsi="Arial" w:cs="Arial"/>
                <w:sz w:val="20"/>
                <w:szCs w:val="20"/>
              </w:rPr>
              <w:t xml:space="preserve"> pela obtenção da Licença Ambiental ou protocolo antes da emissão da OS (Art. 25, § 5º, I).</w:t>
            </w:r>
          </w:p>
        </w:tc>
        <w:tc>
          <w:tcPr>
            <w:tcW w:w="3217" w:type="dxa"/>
            <w:vAlign w:val="center"/>
            <w:hideMark/>
          </w:tcPr>
          <w:p w14:paraId="3FA29356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Prorrogação do prazo contratual ou extinção do contrato (se o atraso for impeditivo).</w:t>
            </w:r>
          </w:p>
        </w:tc>
        <w:tc>
          <w:tcPr>
            <w:tcW w:w="1562" w:type="dxa"/>
            <w:vAlign w:val="center"/>
            <w:hideMark/>
          </w:tcPr>
          <w:p w14:paraId="5AFB153E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Contratada / Fiscal de Contratos</w:t>
            </w:r>
          </w:p>
        </w:tc>
        <w:tc>
          <w:tcPr>
            <w:tcW w:w="1795" w:type="dxa"/>
            <w:vAlign w:val="center"/>
            <w:hideMark/>
          </w:tcPr>
          <w:p w14:paraId="6D6AE4E8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CONTRATADA (Risco alocado contratualmente).</w:t>
            </w:r>
          </w:p>
        </w:tc>
      </w:tr>
      <w:tr w:rsidR="00323D71" w:rsidRPr="00323D71" w14:paraId="46F54AAC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7D8E4FEF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5. Períodos de chuva fora da previsibilidade local (Caso Fortuito/Força Maior)</w:t>
            </w:r>
          </w:p>
        </w:tc>
        <w:tc>
          <w:tcPr>
            <w:tcW w:w="1951" w:type="dxa"/>
            <w:vAlign w:val="center"/>
            <w:hideMark/>
          </w:tcPr>
          <w:p w14:paraId="579D83A7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Aumento de custos e atraso no cronograma.</w:t>
            </w:r>
          </w:p>
        </w:tc>
        <w:tc>
          <w:tcPr>
            <w:tcW w:w="394" w:type="dxa"/>
            <w:vAlign w:val="center"/>
            <w:hideMark/>
          </w:tcPr>
          <w:p w14:paraId="50D07303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0" w:type="dxa"/>
            <w:vAlign w:val="center"/>
            <w:hideMark/>
          </w:tcPr>
          <w:p w14:paraId="67D90FA8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94" w:type="dxa"/>
            <w:vAlign w:val="center"/>
            <w:hideMark/>
          </w:tcPr>
          <w:p w14:paraId="0D3A8A82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(Melhoria 4):</w:t>
            </w:r>
            <w:r w:rsidRPr="00323D71">
              <w:rPr>
                <w:rFonts w:ascii="Arial" w:hAnsi="Arial" w:cs="Arial"/>
                <w:sz w:val="20"/>
                <w:szCs w:val="20"/>
              </w:rPr>
              <w:t xml:space="preserve"> Planejar o cronograma para que serviços sensíveis ao clima (fundações, terraplenagem, cobertura) sejam executados nas estações mais secas. Manter controle sobre as condições meteorológicas no Diário de Obra.</w:t>
            </w:r>
          </w:p>
        </w:tc>
        <w:tc>
          <w:tcPr>
            <w:tcW w:w="3217" w:type="dxa"/>
            <w:vAlign w:val="center"/>
            <w:hideMark/>
          </w:tcPr>
          <w:p w14:paraId="19E054F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Caberá à CONTRATANTE análise das circunstâncias e prorrogação automática do cronograma de execução. Se a interrupção for superior a 3 meses, o Contratado tem direito à extinção.</w:t>
            </w:r>
          </w:p>
        </w:tc>
        <w:tc>
          <w:tcPr>
            <w:tcW w:w="1562" w:type="dxa"/>
            <w:vAlign w:val="center"/>
            <w:hideMark/>
          </w:tcPr>
          <w:p w14:paraId="4E28B3B1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Fiscal de Contratos / Gerente de Projetos</w:t>
            </w:r>
          </w:p>
        </w:tc>
        <w:tc>
          <w:tcPr>
            <w:tcW w:w="1795" w:type="dxa"/>
            <w:vAlign w:val="center"/>
            <w:hideMark/>
          </w:tcPr>
          <w:p w14:paraId="0A8261F9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</w:tr>
      <w:tr w:rsidR="00323D71" w:rsidRPr="00323D71" w14:paraId="5C8FC72D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4B3E91AF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6. Falha de Fiscalização (incluindo fiscalização de obrigações sociais/trabalhistas)</w:t>
            </w:r>
          </w:p>
        </w:tc>
        <w:tc>
          <w:tcPr>
            <w:tcW w:w="1951" w:type="dxa"/>
            <w:vAlign w:val="center"/>
            <w:hideMark/>
          </w:tcPr>
          <w:p w14:paraId="3A67C150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 xml:space="preserve">Aplicação de penalidades à Administração (subsidiária por encargos trabalhistas em serviços contínuos com </w:t>
            </w:r>
            <w:r w:rsidRPr="00323D71">
              <w:rPr>
                <w:rFonts w:ascii="Arial" w:hAnsi="Arial" w:cs="Arial"/>
                <w:sz w:val="20"/>
                <w:szCs w:val="20"/>
              </w:rPr>
              <w:lastRenderedPageBreak/>
              <w:t>dedicação exclusiva - Art. 121, § 2º).</w:t>
            </w:r>
          </w:p>
        </w:tc>
        <w:tc>
          <w:tcPr>
            <w:tcW w:w="394" w:type="dxa"/>
            <w:vAlign w:val="center"/>
            <w:hideMark/>
          </w:tcPr>
          <w:p w14:paraId="396FF2A1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460" w:type="dxa"/>
            <w:vAlign w:val="center"/>
            <w:hideMark/>
          </w:tcPr>
          <w:p w14:paraId="16BBD8CB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94" w:type="dxa"/>
            <w:vAlign w:val="center"/>
            <w:hideMark/>
          </w:tcPr>
          <w:p w14:paraId="3F78901B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Fiscalização mensal (medição, Art. 92, § 5º)</w:t>
            </w:r>
            <w:r w:rsidRPr="00323D71">
              <w:rPr>
                <w:rFonts w:ascii="Arial" w:hAnsi="Arial" w:cs="Arial"/>
                <w:sz w:val="20"/>
                <w:szCs w:val="20"/>
              </w:rPr>
              <w:t xml:space="preserve"> e verificação da manutenção das condições de habilitação e da regularidade fiscal/trabalhista (Art. 92, XVI).</w:t>
            </w:r>
          </w:p>
        </w:tc>
        <w:tc>
          <w:tcPr>
            <w:tcW w:w="3217" w:type="dxa"/>
            <w:vAlign w:val="center"/>
            <w:hideMark/>
          </w:tcPr>
          <w:p w14:paraId="0F3D23AB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Instauração de procedimento de inadimplência. Exigir comprovação de quitação de obrigações trabalhistas para pagamento (Art. 121, § 3º).</w:t>
            </w:r>
          </w:p>
        </w:tc>
        <w:tc>
          <w:tcPr>
            <w:tcW w:w="1562" w:type="dxa"/>
            <w:vAlign w:val="center"/>
            <w:hideMark/>
          </w:tcPr>
          <w:p w14:paraId="378E1204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Fiscal de Contratos / Departamento Jurídico</w:t>
            </w:r>
          </w:p>
        </w:tc>
        <w:tc>
          <w:tcPr>
            <w:tcW w:w="1795" w:type="dxa"/>
            <w:vAlign w:val="center"/>
            <w:hideMark/>
          </w:tcPr>
          <w:p w14:paraId="6055F47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CONTRATANTE / COMPARTILHADO (Responsabilidade subsidiária da Adm. em casos específicos).</w:t>
            </w:r>
          </w:p>
        </w:tc>
      </w:tr>
      <w:tr w:rsidR="00323D71" w:rsidRPr="00323D71" w14:paraId="6F3358DF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12D8FCA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7. Falta de pagamento à contratada</w:t>
            </w:r>
          </w:p>
        </w:tc>
        <w:tc>
          <w:tcPr>
            <w:tcW w:w="1951" w:type="dxa"/>
            <w:vAlign w:val="center"/>
            <w:hideMark/>
          </w:tcPr>
          <w:p w14:paraId="2961CE24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Descumprimento contratual por parte da Administração. Risco de suspensão da obra (Art. 137, § 2º, IV).</w:t>
            </w:r>
          </w:p>
        </w:tc>
        <w:tc>
          <w:tcPr>
            <w:tcW w:w="394" w:type="dxa"/>
            <w:vAlign w:val="center"/>
            <w:hideMark/>
          </w:tcPr>
          <w:p w14:paraId="282E0063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0" w:type="dxa"/>
            <w:vAlign w:val="center"/>
            <w:hideMark/>
          </w:tcPr>
          <w:p w14:paraId="07D1B07B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94" w:type="dxa"/>
            <w:vAlign w:val="center"/>
            <w:hideMark/>
          </w:tcPr>
          <w:p w14:paraId="126C2259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Realizar gerenciamento e controle do orçamento destinado ao contrato. Garantir que o pagamento (após liquidação) seja efetuado no prazo máximo de até 15 dias.</w:t>
            </w:r>
          </w:p>
        </w:tc>
        <w:tc>
          <w:tcPr>
            <w:tcW w:w="3217" w:type="dxa"/>
            <w:vAlign w:val="center"/>
            <w:hideMark/>
          </w:tcPr>
          <w:p w14:paraId="596E64A1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Reequilíbrio econômico-financeiro (se for o caso) ou, se o atraso for superior a 2 meses, a Contratada poderá suspender a execução.</w:t>
            </w:r>
          </w:p>
        </w:tc>
        <w:tc>
          <w:tcPr>
            <w:tcW w:w="1562" w:type="dxa"/>
            <w:vAlign w:val="center"/>
            <w:hideMark/>
          </w:tcPr>
          <w:p w14:paraId="7B176C72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Departamento Financeiro (Administração)</w:t>
            </w:r>
          </w:p>
        </w:tc>
        <w:tc>
          <w:tcPr>
            <w:tcW w:w="1795" w:type="dxa"/>
            <w:vAlign w:val="center"/>
            <w:hideMark/>
          </w:tcPr>
          <w:p w14:paraId="4CA84A3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</w:tbl>
    <w:p w14:paraId="1FE554C1" w14:textId="77777777" w:rsidR="00F9421D" w:rsidRPr="00323D71" w:rsidRDefault="00751187" w:rsidP="00CF6A8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18689030">
          <v:rect id="_x0000_i1027" style="width:0;height:1.5pt" o:hralign="center" o:hrstd="t" o:hr="t" fillcolor="#a0a0a0" stroked="f"/>
        </w:pict>
      </w:r>
    </w:p>
    <w:p w14:paraId="3BF13FC3" w14:textId="77777777" w:rsidR="00F9421D" w:rsidRPr="00323D71" w:rsidRDefault="00F9421D" w:rsidP="00CF6A81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Detalhes Adicionais e Considerações Finais:</w:t>
      </w:r>
    </w:p>
    <w:p w14:paraId="3127F8E7" w14:textId="77777777" w:rsidR="00F9421D" w:rsidRPr="00323D71" w:rsidRDefault="00F9421D" w:rsidP="00CF6A81">
      <w:pPr>
        <w:numPr>
          <w:ilvl w:val="0"/>
          <w:numId w:val="32"/>
        </w:numPr>
        <w:suppressAutoHyphens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Matriz de Riscos (Obrigação Legal):</w:t>
      </w:r>
      <w:r w:rsidRPr="00323D71">
        <w:rPr>
          <w:rFonts w:ascii="Arial" w:hAnsi="Arial" w:cs="Arial"/>
          <w:sz w:val="20"/>
          <w:szCs w:val="20"/>
        </w:rPr>
        <w:t xml:space="preserve"> A Lei nº 14.133/2021 estabelece a </w:t>
      </w:r>
      <w:r w:rsidRPr="00323D71">
        <w:rPr>
          <w:rStyle w:val="Forte"/>
          <w:rFonts w:ascii="Arial" w:hAnsi="Arial" w:cs="Arial"/>
          <w:sz w:val="20"/>
          <w:szCs w:val="20"/>
        </w:rPr>
        <w:t>Matriz de Riscos</w:t>
      </w:r>
      <w:r w:rsidRPr="00323D71">
        <w:rPr>
          <w:rFonts w:ascii="Arial" w:hAnsi="Arial" w:cs="Arial"/>
          <w:sz w:val="20"/>
          <w:szCs w:val="20"/>
        </w:rPr>
        <w:t xml:space="preserve"> (Art. 6º, XXVII) como cláusula contratual definidora de riscos e responsabilidades, caracterizando o equilíbrio econômico-financeiro inicial. Embora a contratação seja por </w:t>
      </w:r>
      <w:r w:rsidRPr="00323D71">
        <w:rPr>
          <w:rStyle w:val="nfase"/>
          <w:rFonts w:ascii="Arial" w:hAnsi="Arial" w:cs="Arial"/>
          <w:sz w:val="20"/>
          <w:szCs w:val="20"/>
        </w:rPr>
        <w:t>empreitada por preço unitário</w:t>
      </w:r>
      <w:r w:rsidRPr="00323D71">
        <w:rPr>
          <w:rFonts w:ascii="Arial" w:hAnsi="Arial" w:cs="Arial"/>
          <w:sz w:val="20"/>
          <w:szCs w:val="20"/>
        </w:rPr>
        <w:t xml:space="preserve"> (Art. 46, I), a Matriz de Alocação de Riscos pode e deve ser contemplada no edital e no contrato (Art. 113).</w:t>
      </w:r>
    </w:p>
    <w:p w14:paraId="65848052" w14:textId="77777777" w:rsidR="00F9421D" w:rsidRPr="00323D71" w:rsidRDefault="00F9421D" w:rsidP="00CF6A81">
      <w:pPr>
        <w:numPr>
          <w:ilvl w:val="0"/>
          <w:numId w:val="32"/>
        </w:numPr>
        <w:suppressAutoHyphens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Risco do Empreendimento e BDI:</w:t>
      </w:r>
      <w:r w:rsidRPr="00323D71">
        <w:rPr>
          <w:rFonts w:ascii="Arial" w:hAnsi="Arial" w:cs="Arial"/>
          <w:sz w:val="20"/>
          <w:szCs w:val="20"/>
        </w:rPr>
        <w:t xml:space="preserve"> Os riscos do empreendimento devem ser cobertos pelo Contratado, e seus custos podem estar previstos no Benefício e Despesas Indiretas (BDI). O valor ou percentual de BDI apresentado pela licitante pode ser superior ao estimado, desde que respeite o limite do preço unitário máximo.</w:t>
      </w:r>
    </w:p>
    <w:p w14:paraId="273BB1CB" w14:textId="77777777" w:rsidR="00F9421D" w:rsidRPr="00323D71" w:rsidRDefault="00F9421D" w:rsidP="00CF6A81">
      <w:pPr>
        <w:numPr>
          <w:ilvl w:val="0"/>
          <w:numId w:val="32"/>
        </w:numPr>
        <w:suppressAutoHyphens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Fiscalização:</w:t>
      </w:r>
      <w:r w:rsidRPr="00323D71">
        <w:rPr>
          <w:rFonts w:ascii="Arial" w:hAnsi="Arial" w:cs="Arial"/>
          <w:sz w:val="20"/>
          <w:szCs w:val="20"/>
        </w:rPr>
        <w:t xml:space="preserve"> A fiscalização da execução dos serviços de engenharia deve ser realizada </w:t>
      </w:r>
      <w:r w:rsidRPr="00323D71">
        <w:rPr>
          <w:rStyle w:val="Forte"/>
          <w:rFonts w:ascii="Arial" w:hAnsi="Arial" w:cs="Arial"/>
          <w:sz w:val="20"/>
          <w:szCs w:val="20"/>
        </w:rPr>
        <w:t>mensalmente</w:t>
      </w:r>
      <w:r w:rsidRPr="00323D71">
        <w:rPr>
          <w:rFonts w:ascii="Arial" w:hAnsi="Arial" w:cs="Arial"/>
          <w:sz w:val="20"/>
          <w:szCs w:val="20"/>
        </w:rPr>
        <w:t xml:space="preserve"> (Art. 92, § 5º), e deve ser registrada no Diário de Obra. A ambiguidade de "mensal, trimestral ou semestral" foi resolvida, priorizando a frequência mensal estabelecida no Termo de Referência (TR).</w:t>
      </w:r>
    </w:p>
    <w:p w14:paraId="382070B8" w14:textId="77777777" w:rsidR="00F9421D" w:rsidRPr="00323D71" w:rsidRDefault="00F9421D" w:rsidP="00CF6A81">
      <w:pPr>
        <w:numPr>
          <w:ilvl w:val="0"/>
          <w:numId w:val="32"/>
        </w:numPr>
        <w:suppressAutoHyphens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Alteração Contratual (Aditivo):</w:t>
      </w:r>
      <w:r w:rsidRPr="00323D71">
        <w:rPr>
          <w:rFonts w:ascii="Arial" w:hAnsi="Arial" w:cs="Arial"/>
          <w:sz w:val="20"/>
          <w:szCs w:val="20"/>
        </w:rPr>
        <w:t xml:space="preserve"> As alterações unilaterais quantitativas são limitadas, em caso de </w:t>
      </w:r>
      <w:r w:rsidRPr="00323D71">
        <w:rPr>
          <w:rStyle w:val="Forte"/>
          <w:rFonts w:ascii="Arial" w:hAnsi="Arial" w:cs="Arial"/>
          <w:sz w:val="20"/>
          <w:szCs w:val="20"/>
        </w:rPr>
        <w:t>reforma de edifício</w:t>
      </w:r>
      <w:r w:rsidRPr="00323D71">
        <w:rPr>
          <w:rFonts w:ascii="Arial" w:hAnsi="Arial" w:cs="Arial"/>
          <w:sz w:val="20"/>
          <w:szCs w:val="20"/>
        </w:rPr>
        <w:t xml:space="preserve">, a acréscimos de até </w:t>
      </w:r>
      <w:r w:rsidRPr="00323D71">
        <w:rPr>
          <w:rStyle w:val="Forte"/>
          <w:rFonts w:ascii="Arial" w:hAnsi="Arial" w:cs="Arial"/>
          <w:sz w:val="20"/>
          <w:szCs w:val="20"/>
        </w:rPr>
        <w:t>50%</w:t>
      </w:r>
      <w:r w:rsidRPr="00323D71">
        <w:rPr>
          <w:rFonts w:ascii="Arial" w:hAnsi="Arial" w:cs="Arial"/>
          <w:sz w:val="20"/>
          <w:szCs w:val="20"/>
        </w:rPr>
        <w:t xml:space="preserve"> do valor inicial atualizado do contrato (Art. 125).</w:t>
      </w:r>
    </w:p>
    <w:p w14:paraId="4EBDBC31" w14:textId="47F84858" w:rsidR="00CF6A81" w:rsidRPr="00323D71" w:rsidRDefault="00CF6A81" w:rsidP="00323D71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1AFC3E66" w14:textId="77777777" w:rsidR="00323D71" w:rsidRPr="00323D71" w:rsidRDefault="00323D71" w:rsidP="00323D71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30E63BE6" w14:textId="4E8E46A0" w:rsidR="00CF6A81" w:rsidRPr="00323D71" w:rsidRDefault="00CF6A81" w:rsidP="00CF6A81">
      <w:pPr>
        <w:pStyle w:val="PargrafodaLista"/>
        <w:widowControl w:val="0"/>
        <w:spacing w:after="0" w:line="276" w:lineRule="auto"/>
        <w:rPr>
          <w:rFonts w:ascii="Arial" w:hAnsi="Arial" w:cs="Arial"/>
          <w:sz w:val="20"/>
          <w:szCs w:val="20"/>
        </w:rPr>
      </w:pPr>
      <w:r w:rsidRPr="00323D71">
        <w:rPr>
          <w:rFonts w:ascii="Arial" w:hAnsi="Arial" w:cs="Arial"/>
          <w:sz w:val="20"/>
          <w:szCs w:val="20"/>
        </w:rPr>
        <w:t xml:space="preserve">Goiana (PE), </w:t>
      </w:r>
      <w:r w:rsidR="009536A4" w:rsidRPr="009536A4">
        <w:rPr>
          <w:rFonts w:ascii="Arial" w:hAnsi="Arial" w:cs="Arial"/>
          <w:sz w:val="20"/>
          <w:szCs w:val="20"/>
        </w:rPr>
        <w:t>05</w:t>
      </w:r>
      <w:r w:rsidRPr="009536A4">
        <w:rPr>
          <w:rFonts w:ascii="Arial" w:hAnsi="Arial" w:cs="Arial"/>
          <w:sz w:val="20"/>
          <w:szCs w:val="20"/>
        </w:rPr>
        <w:t xml:space="preserve"> de </w:t>
      </w:r>
      <w:r w:rsidR="009536A4">
        <w:rPr>
          <w:rFonts w:ascii="Arial" w:hAnsi="Arial" w:cs="Arial"/>
          <w:sz w:val="20"/>
          <w:szCs w:val="20"/>
        </w:rPr>
        <w:t>dezembro</w:t>
      </w:r>
      <w:r w:rsidRPr="00CE5C2C">
        <w:rPr>
          <w:rFonts w:ascii="Arial" w:hAnsi="Arial" w:cs="Arial"/>
          <w:sz w:val="20"/>
          <w:szCs w:val="20"/>
        </w:rPr>
        <w:t xml:space="preserve"> </w:t>
      </w:r>
      <w:r w:rsidR="00323D71" w:rsidRPr="00CE5C2C">
        <w:rPr>
          <w:rFonts w:ascii="Arial" w:hAnsi="Arial" w:cs="Arial"/>
          <w:sz w:val="20"/>
          <w:szCs w:val="20"/>
        </w:rPr>
        <w:t>2025</w:t>
      </w:r>
    </w:p>
    <w:p w14:paraId="0B94B0AA" w14:textId="66973D03" w:rsidR="00CF6A81" w:rsidRDefault="00CF6A81" w:rsidP="00CF6A81">
      <w:pPr>
        <w:pStyle w:val="PargrafodaLista"/>
        <w:widowControl w:val="0"/>
        <w:spacing w:after="0" w:line="276" w:lineRule="auto"/>
        <w:rPr>
          <w:rFonts w:ascii="Arial" w:hAnsi="Arial" w:cs="Arial"/>
          <w:sz w:val="20"/>
          <w:szCs w:val="20"/>
        </w:rPr>
      </w:pPr>
    </w:p>
    <w:p w14:paraId="530C939A" w14:textId="77777777" w:rsidR="0077540D" w:rsidRPr="00323D71" w:rsidRDefault="0077540D" w:rsidP="00CF6A81">
      <w:pPr>
        <w:pStyle w:val="PargrafodaLista"/>
        <w:widowControl w:val="0"/>
        <w:spacing w:after="0" w:line="276" w:lineRule="auto"/>
        <w:rPr>
          <w:rFonts w:ascii="Arial" w:hAnsi="Arial" w:cs="Arial"/>
          <w:sz w:val="20"/>
          <w:szCs w:val="20"/>
        </w:rPr>
      </w:pPr>
    </w:p>
    <w:p w14:paraId="1D201CA3" w14:textId="4F394E36" w:rsidR="00CF6A81" w:rsidRPr="00323D71" w:rsidRDefault="00CF6A81" w:rsidP="00CF6A81">
      <w:pPr>
        <w:pStyle w:val="PargrafodaLista"/>
        <w:spacing w:after="0" w:line="276" w:lineRule="auto"/>
        <w:rPr>
          <w:rFonts w:ascii="Arial" w:hAnsi="Arial" w:cs="Arial"/>
          <w:sz w:val="20"/>
          <w:szCs w:val="20"/>
        </w:rPr>
      </w:pPr>
      <w:r w:rsidRPr="00323D7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782ECE7" w14:textId="223E007E" w:rsidR="00CF6A81" w:rsidRPr="00323D71" w:rsidRDefault="00323D71" w:rsidP="00CF6A81">
      <w:pPr>
        <w:pStyle w:val="PargrafodaLista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  <w:r w:rsidRPr="00323D71">
        <w:rPr>
          <w:rFonts w:ascii="Arial" w:hAnsi="Arial" w:cs="Arial"/>
          <w:b/>
          <w:bCs/>
          <w:sz w:val="20"/>
          <w:szCs w:val="20"/>
        </w:rPr>
        <w:t>CHARLAN RODRIGUES ARRUDA</w:t>
      </w:r>
    </w:p>
    <w:p w14:paraId="3FA59626" w14:textId="167F0F77" w:rsidR="00323D71" w:rsidRPr="00323D71" w:rsidRDefault="00323D71" w:rsidP="00CF6A81">
      <w:pPr>
        <w:pStyle w:val="PargrafodaLista"/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r w:rsidRPr="00323D71">
        <w:rPr>
          <w:rFonts w:ascii="Arial" w:hAnsi="Arial" w:cs="Arial"/>
          <w:i/>
          <w:iCs/>
          <w:sz w:val="20"/>
          <w:szCs w:val="20"/>
        </w:rPr>
        <w:t>Engenheiro Civil</w:t>
      </w:r>
    </w:p>
    <w:p w14:paraId="30749D34" w14:textId="231F2AC3" w:rsidR="00F9421D" w:rsidRPr="00323D71" w:rsidRDefault="00CF6A81" w:rsidP="00323D71">
      <w:pPr>
        <w:pStyle w:val="PargrafodaLista"/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323D71">
        <w:rPr>
          <w:rFonts w:ascii="Arial" w:hAnsi="Arial" w:cs="Arial"/>
          <w:b/>
          <w:bCs/>
          <w:sz w:val="20"/>
          <w:szCs w:val="20"/>
        </w:rPr>
        <w:t xml:space="preserve">Mat. </w:t>
      </w:r>
      <w:r w:rsidR="0017674E">
        <w:rPr>
          <w:rFonts w:ascii="Arial" w:hAnsi="Arial" w:cs="Arial"/>
          <w:b/>
          <w:bCs/>
          <w:sz w:val="20"/>
          <w:szCs w:val="20"/>
        </w:rPr>
        <w:t>918</w:t>
      </w:r>
      <w:r w:rsidR="00323D71" w:rsidRPr="00323D71">
        <w:rPr>
          <w:rFonts w:ascii="Arial" w:hAnsi="Arial" w:cs="Arial"/>
          <w:b/>
          <w:bCs/>
          <w:sz w:val="20"/>
          <w:szCs w:val="20"/>
        </w:rPr>
        <w:t>014825</w:t>
      </w:r>
    </w:p>
    <w:sectPr w:rsidR="00F9421D" w:rsidRPr="00323D71" w:rsidSect="00323D71">
      <w:headerReference w:type="default" r:id="rId7"/>
      <w:footerReference w:type="default" r:id="rId8"/>
      <w:pgSz w:w="16838" w:h="11906" w:orient="landscape"/>
      <w:pgMar w:top="2410" w:right="678" w:bottom="1166" w:left="567" w:header="708" w:footer="22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6CA02" w14:textId="77777777" w:rsidR="00751187" w:rsidRDefault="00751187">
      <w:pPr>
        <w:spacing w:after="0" w:line="240" w:lineRule="auto"/>
      </w:pPr>
      <w:r>
        <w:separator/>
      </w:r>
    </w:p>
  </w:endnote>
  <w:endnote w:type="continuationSeparator" w:id="0">
    <w:p w14:paraId="67048147" w14:textId="77777777" w:rsidR="00751187" w:rsidRDefault="0075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381352"/>
      <w:docPartObj>
        <w:docPartGallery w:val="Page Numbers (Top of Page)"/>
        <w:docPartUnique/>
      </w:docPartObj>
    </w:sdtPr>
    <w:sdtEndPr/>
    <w:sdtContent>
      <w:p w14:paraId="145BECB4" w14:textId="77777777" w:rsidR="0077540D" w:rsidRDefault="0077540D" w:rsidP="0077540D">
        <w:pPr>
          <w:pStyle w:val="Cabealho"/>
        </w:pPr>
        <w: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5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7D9BAA03" w14:textId="2D3296D5" w:rsidR="00323D71" w:rsidRPr="00323D71" w:rsidRDefault="005A29EB" w:rsidP="00323D71">
    <w:pPr>
      <w:pStyle w:val="Rodap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38ABAE6" wp14:editId="08D141B9">
          <wp:simplePos x="0" y="0"/>
          <wp:positionH relativeFrom="margin">
            <wp:posOffset>8868410</wp:posOffset>
          </wp:positionH>
          <wp:positionV relativeFrom="paragraph">
            <wp:posOffset>-682625</wp:posOffset>
          </wp:positionV>
          <wp:extent cx="1109345" cy="110934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9345" cy="1109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23D71" w:rsidRPr="00323D71">
      <w:rPr>
        <w:rFonts w:ascii="Arial" w:hAnsi="Arial" w:cs="Arial"/>
        <w:sz w:val="20"/>
        <w:szCs w:val="20"/>
      </w:rPr>
      <w:t>Rua da Praia, s/n, Centro, Goiana - PE, CEP: 55900-000</w:t>
    </w:r>
  </w:p>
  <w:p w14:paraId="6FCC497D" w14:textId="57D631C5" w:rsidR="00D102B8" w:rsidRPr="00323D71" w:rsidRDefault="00323D71" w:rsidP="00323D71">
    <w:pPr>
      <w:pStyle w:val="Rodap"/>
      <w:jc w:val="center"/>
      <w:rPr>
        <w:rFonts w:ascii="Arial" w:hAnsi="Arial" w:cs="Arial"/>
        <w:sz w:val="20"/>
        <w:szCs w:val="20"/>
      </w:rPr>
    </w:pPr>
    <w:r w:rsidRPr="00323D71">
      <w:rPr>
        <w:rFonts w:ascii="Arial" w:hAnsi="Arial" w:cs="Arial"/>
        <w:sz w:val="20"/>
        <w:szCs w:val="20"/>
      </w:rPr>
      <w:t>E-mail: secretariadeeducacao@goiana.pe.gov.br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52472" w14:textId="77777777" w:rsidR="00751187" w:rsidRDefault="00751187">
      <w:pPr>
        <w:spacing w:after="0" w:line="240" w:lineRule="auto"/>
      </w:pPr>
      <w:r>
        <w:separator/>
      </w:r>
    </w:p>
  </w:footnote>
  <w:footnote w:type="continuationSeparator" w:id="0">
    <w:p w14:paraId="47AE1403" w14:textId="77777777" w:rsidR="00751187" w:rsidRDefault="0075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46C56" w14:textId="62EEE24D" w:rsidR="00323D71" w:rsidRDefault="00323D71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217532B" wp14:editId="6E7ABA26">
          <wp:simplePos x="0" y="0"/>
          <wp:positionH relativeFrom="margin">
            <wp:posOffset>774700</wp:posOffset>
          </wp:positionH>
          <wp:positionV relativeFrom="margin">
            <wp:posOffset>-1492776</wp:posOffset>
          </wp:positionV>
          <wp:extent cx="8340090" cy="1355725"/>
          <wp:effectExtent l="0" t="0" r="0" b="0"/>
          <wp:wrapNone/>
          <wp:docPr id="41" name="Imagem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40090" cy="1355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14C63"/>
    <w:multiLevelType w:val="hybridMultilevel"/>
    <w:tmpl w:val="DBE69B4A"/>
    <w:lvl w:ilvl="0" w:tplc="8E246F5A">
      <w:start w:val="1"/>
      <w:numFmt w:val="bullet"/>
      <w:lvlText w:val="•"/>
      <w:lvlJc w:val="left"/>
      <w:pPr>
        <w:ind w:left="578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013B6C52"/>
    <w:multiLevelType w:val="hybridMultilevel"/>
    <w:tmpl w:val="2806F6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66094"/>
    <w:multiLevelType w:val="multilevel"/>
    <w:tmpl w:val="C0DEA4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163FD1"/>
    <w:multiLevelType w:val="multilevel"/>
    <w:tmpl w:val="CF70A0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6CF640E"/>
    <w:multiLevelType w:val="multilevel"/>
    <w:tmpl w:val="5EA8A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606595"/>
    <w:multiLevelType w:val="hybridMultilevel"/>
    <w:tmpl w:val="C07CDBFA"/>
    <w:lvl w:ilvl="0" w:tplc="C690F50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AF75A71"/>
    <w:multiLevelType w:val="multilevel"/>
    <w:tmpl w:val="F9AE1F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231099D"/>
    <w:multiLevelType w:val="multilevel"/>
    <w:tmpl w:val="14CE68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4BF239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A236874"/>
    <w:multiLevelType w:val="multilevel"/>
    <w:tmpl w:val="13A06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C0F1E70"/>
    <w:multiLevelType w:val="multilevel"/>
    <w:tmpl w:val="AF1079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D9A58E7"/>
    <w:multiLevelType w:val="multilevel"/>
    <w:tmpl w:val="984E73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E072F56"/>
    <w:multiLevelType w:val="hybridMultilevel"/>
    <w:tmpl w:val="6EC611AC"/>
    <w:lvl w:ilvl="0" w:tplc="8E246F5A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8D40BD"/>
    <w:multiLevelType w:val="multilevel"/>
    <w:tmpl w:val="C8503A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AA432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A6929F3"/>
    <w:multiLevelType w:val="multilevel"/>
    <w:tmpl w:val="22300A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52A234A"/>
    <w:multiLevelType w:val="multilevel"/>
    <w:tmpl w:val="9C504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8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0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04" w:hanging="1800"/>
      </w:pPr>
      <w:rPr>
        <w:rFonts w:hint="default"/>
      </w:rPr>
    </w:lvl>
  </w:abstractNum>
  <w:abstractNum w:abstractNumId="17" w15:restartNumberingAfterBreak="0">
    <w:nsid w:val="49045546"/>
    <w:multiLevelType w:val="multilevel"/>
    <w:tmpl w:val="61D802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0F21E4C"/>
    <w:multiLevelType w:val="hybridMultilevel"/>
    <w:tmpl w:val="777EA4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E2D4C"/>
    <w:multiLevelType w:val="multilevel"/>
    <w:tmpl w:val="FF805B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2E96988"/>
    <w:multiLevelType w:val="multilevel"/>
    <w:tmpl w:val="84FEAE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6553EC0"/>
    <w:multiLevelType w:val="multilevel"/>
    <w:tmpl w:val="07A0F7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D5A017C"/>
    <w:multiLevelType w:val="multilevel"/>
    <w:tmpl w:val="2C0C2FE8"/>
    <w:lvl w:ilvl="0">
      <w:start w:val="1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E4E176C"/>
    <w:multiLevelType w:val="multilevel"/>
    <w:tmpl w:val="9F564A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E9133B4"/>
    <w:multiLevelType w:val="multilevel"/>
    <w:tmpl w:val="9C2009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2B15D1E"/>
    <w:multiLevelType w:val="multilevel"/>
    <w:tmpl w:val="19DEB3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9831234"/>
    <w:multiLevelType w:val="multilevel"/>
    <w:tmpl w:val="FEC0CF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E3359D0"/>
    <w:multiLevelType w:val="multilevel"/>
    <w:tmpl w:val="854C42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8BC1934"/>
    <w:multiLevelType w:val="multilevel"/>
    <w:tmpl w:val="259E9D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989512A"/>
    <w:multiLevelType w:val="multilevel"/>
    <w:tmpl w:val="17B850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AD91D69"/>
    <w:multiLevelType w:val="hybridMultilevel"/>
    <w:tmpl w:val="E600267A"/>
    <w:lvl w:ilvl="0" w:tplc="C7FE0CA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5A24EE"/>
    <w:multiLevelType w:val="multilevel"/>
    <w:tmpl w:val="EF9EFE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5"/>
  </w:num>
  <w:num w:numId="3">
    <w:abstractNumId w:val="28"/>
  </w:num>
  <w:num w:numId="4">
    <w:abstractNumId w:val="2"/>
  </w:num>
  <w:num w:numId="5">
    <w:abstractNumId w:val="29"/>
  </w:num>
  <w:num w:numId="6">
    <w:abstractNumId w:val="15"/>
  </w:num>
  <w:num w:numId="7">
    <w:abstractNumId w:val="3"/>
  </w:num>
  <w:num w:numId="8">
    <w:abstractNumId w:val="24"/>
  </w:num>
  <w:num w:numId="9">
    <w:abstractNumId w:val="19"/>
  </w:num>
  <w:num w:numId="10">
    <w:abstractNumId w:val="10"/>
  </w:num>
  <w:num w:numId="11">
    <w:abstractNumId w:val="6"/>
  </w:num>
  <w:num w:numId="12">
    <w:abstractNumId w:val="17"/>
  </w:num>
  <w:num w:numId="13">
    <w:abstractNumId w:val="13"/>
  </w:num>
  <w:num w:numId="14">
    <w:abstractNumId w:val="20"/>
  </w:num>
  <w:num w:numId="15">
    <w:abstractNumId w:val="11"/>
  </w:num>
  <w:num w:numId="16">
    <w:abstractNumId w:val="27"/>
  </w:num>
  <w:num w:numId="17">
    <w:abstractNumId w:val="21"/>
  </w:num>
  <w:num w:numId="18">
    <w:abstractNumId w:val="26"/>
  </w:num>
  <w:num w:numId="19">
    <w:abstractNumId w:val="9"/>
  </w:num>
  <w:num w:numId="20">
    <w:abstractNumId w:val="7"/>
  </w:num>
  <w:num w:numId="21">
    <w:abstractNumId w:val="23"/>
  </w:num>
  <w:num w:numId="22">
    <w:abstractNumId w:val="31"/>
  </w:num>
  <w:num w:numId="23">
    <w:abstractNumId w:val="25"/>
  </w:num>
  <w:num w:numId="24">
    <w:abstractNumId w:val="0"/>
  </w:num>
  <w:num w:numId="25">
    <w:abstractNumId w:val="16"/>
  </w:num>
  <w:num w:numId="26">
    <w:abstractNumId w:val="8"/>
  </w:num>
  <w:num w:numId="27">
    <w:abstractNumId w:val="14"/>
  </w:num>
  <w:num w:numId="28">
    <w:abstractNumId w:val="12"/>
  </w:num>
  <w:num w:numId="29">
    <w:abstractNumId w:val="1"/>
  </w:num>
  <w:num w:numId="30">
    <w:abstractNumId w:val="22"/>
  </w:num>
  <w:num w:numId="31">
    <w:abstractNumId w:val="30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2B8"/>
    <w:rsid w:val="00005C8C"/>
    <w:rsid w:val="00041479"/>
    <w:rsid w:val="000D02AF"/>
    <w:rsid w:val="000E6859"/>
    <w:rsid w:val="001040B2"/>
    <w:rsid w:val="00120265"/>
    <w:rsid w:val="00156EAD"/>
    <w:rsid w:val="001574EE"/>
    <w:rsid w:val="00174B03"/>
    <w:rsid w:val="0017674E"/>
    <w:rsid w:val="00182C8E"/>
    <w:rsid w:val="00191A1C"/>
    <w:rsid w:val="00204E1A"/>
    <w:rsid w:val="00206EDF"/>
    <w:rsid w:val="00224F38"/>
    <w:rsid w:val="002428BD"/>
    <w:rsid w:val="00261803"/>
    <w:rsid w:val="00293EBF"/>
    <w:rsid w:val="002A42E5"/>
    <w:rsid w:val="002A51AA"/>
    <w:rsid w:val="002B5255"/>
    <w:rsid w:val="002B5F99"/>
    <w:rsid w:val="002C0C1E"/>
    <w:rsid w:val="002F4813"/>
    <w:rsid w:val="00323D71"/>
    <w:rsid w:val="00324F38"/>
    <w:rsid w:val="00344F1C"/>
    <w:rsid w:val="00380968"/>
    <w:rsid w:val="003A5768"/>
    <w:rsid w:val="004208B9"/>
    <w:rsid w:val="00441358"/>
    <w:rsid w:val="00471675"/>
    <w:rsid w:val="00486F46"/>
    <w:rsid w:val="00494CB9"/>
    <w:rsid w:val="00497ED7"/>
    <w:rsid w:val="004A72AD"/>
    <w:rsid w:val="004B17CF"/>
    <w:rsid w:val="004C2A4B"/>
    <w:rsid w:val="004C5315"/>
    <w:rsid w:val="004E6F32"/>
    <w:rsid w:val="00524BD6"/>
    <w:rsid w:val="0055709F"/>
    <w:rsid w:val="005A29EB"/>
    <w:rsid w:val="005E00BE"/>
    <w:rsid w:val="005F5598"/>
    <w:rsid w:val="0065054E"/>
    <w:rsid w:val="0065238E"/>
    <w:rsid w:val="00657D3D"/>
    <w:rsid w:val="00692EB6"/>
    <w:rsid w:val="00700928"/>
    <w:rsid w:val="0070227D"/>
    <w:rsid w:val="00722C97"/>
    <w:rsid w:val="00734492"/>
    <w:rsid w:val="00751187"/>
    <w:rsid w:val="0077540D"/>
    <w:rsid w:val="0078240C"/>
    <w:rsid w:val="007923D9"/>
    <w:rsid w:val="0079559C"/>
    <w:rsid w:val="007A7027"/>
    <w:rsid w:val="007A76A9"/>
    <w:rsid w:val="007B39C7"/>
    <w:rsid w:val="007E695B"/>
    <w:rsid w:val="00806F01"/>
    <w:rsid w:val="00813362"/>
    <w:rsid w:val="00845345"/>
    <w:rsid w:val="008477E6"/>
    <w:rsid w:val="008504A4"/>
    <w:rsid w:val="00853FC1"/>
    <w:rsid w:val="0086663E"/>
    <w:rsid w:val="00880BFE"/>
    <w:rsid w:val="00893582"/>
    <w:rsid w:val="008A3077"/>
    <w:rsid w:val="008B0751"/>
    <w:rsid w:val="008F0FEC"/>
    <w:rsid w:val="008F4AAB"/>
    <w:rsid w:val="009536A4"/>
    <w:rsid w:val="00965F45"/>
    <w:rsid w:val="0097370A"/>
    <w:rsid w:val="009B1CC7"/>
    <w:rsid w:val="009B702C"/>
    <w:rsid w:val="009E5FFE"/>
    <w:rsid w:val="009F56C6"/>
    <w:rsid w:val="00A1366C"/>
    <w:rsid w:val="00A17F79"/>
    <w:rsid w:val="00A206F4"/>
    <w:rsid w:val="00A5628B"/>
    <w:rsid w:val="00A72C77"/>
    <w:rsid w:val="00AA549A"/>
    <w:rsid w:val="00AB19AC"/>
    <w:rsid w:val="00AC629B"/>
    <w:rsid w:val="00B0624E"/>
    <w:rsid w:val="00B625DA"/>
    <w:rsid w:val="00B64190"/>
    <w:rsid w:val="00B76780"/>
    <w:rsid w:val="00BB2E57"/>
    <w:rsid w:val="00BD38AE"/>
    <w:rsid w:val="00BF7B52"/>
    <w:rsid w:val="00C039FF"/>
    <w:rsid w:val="00C06D0D"/>
    <w:rsid w:val="00C24B91"/>
    <w:rsid w:val="00C34EDC"/>
    <w:rsid w:val="00C4017E"/>
    <w:rsid w:val="00C47BC8"/>
    <w:rsid w:val="00C5036E"/>
    <w:rsid w:val="00C85F66"/>
    <w:rsid w:val="00CA42AA"/>
    <w:rsid w:val="00CC4DBC"/>
    <w:rsid w:val="00CE20BC"/>
    <w:rsid w:val="00CE5C2C"/>
    <w:rsid w:val="00CF61AA"/>
    <w:rsid w:val="00CF6A81"/>
    <w:rsid w:val="00D102B8"/>
    <w:rsid w:val="00D14C77"/>
    <w:rsid w:val="00D40654"/>
    <w:rsid w:val="00D475E0"/>
    <w:rsid w:val="00D63B9B"/>
    <w:rsid w:val="00D85B9E"/>
    <w:rsid w:val="00DA1F0E"/>
    <w:rsid w:val="00DB140F"/>
    <w:rsid w:val="00DF69EA"/>
    <w:rsid w:val="00E35A42"/>
    <w:rsid w:val="00E71E95"/>
    <w:rsid w:val="00E756C0"/>
    <w:rsid w:val="00E83146"/>
    <w:rsid w:val="00E84750"/>
    <w:rsid w:val="00ED3F37"/>
    <w:rsid w:val="00ED6525"/>
    <w:rsid w:val="00ED6D01"/>
    <w:rsid w:val="00EE64C9"/>
    <w:rsid w:val="00F02402"/>
    <w:rsid w:val="00F2741E"/>
    <w:rsid w:val="00F35EFC"/>
    <w:rsid w:val="00F366CD"/>
    <w:rsid w:val="00F43DC1"/>
    <w:rsid w:val="00F672EB"/>
    <w:rsid w:val="00F75D90"/>
    <w:rsid w:val="00F92818"/>
    <w:rsid w:val="00F9421D"/>
    <w:rsid w:val="00F95CE8"/>
    <w:rsid w:val="00FB436A"/>
    <w:rsid w:val="00FB7EC6"/>
    <w:rsid w:val="00FE00AE"/>
    <w:rsid w:val="00FF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74560D"/>
  <w15:docId w15:val="{BE1F4709-B7C4-4B4C-AAFD-842E4D00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Ttulo1">
    <w:name w:val="heading 1"/>
    <w:basedOn w:val="Normal"/>
    <w:link w:val="Ttulo1Char"/>
    <w:uiPriority w:val="1"/>
    <w:qFormat/>
    <w:rsid w:val="003A5768"/>
    <w:pPr>
      <w:widowControl w:val="0"/>
      <w:suppressAutoHyphens w:val="0"/>
      <w:spacing w:after="0" w:line="240" w:lineRule="auto"/>
      <w:ind w:left="491" w:hanging="2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42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942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uiPriority w:val="99"/>
    <w:qFormat/>
  </w:style>
  <w:style w:type="character" w:customStyle="1" w:styleId="RodapChar">
    <w:name w:val="Rodapé Char"/>
    <w:basedOn w:val="Fontepargpadro"/>
    <w:uiPriority w:val="99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3A5768"/>
    <w:rPr>
      <w:rFonts w:eastAsia="Times New Roman" w:cstheme="minorBidi"/>
      <w:b/>
      <w:bCs/>
      <w:sz w:val="24"/>
      <w:szCs w:val="24"/>
      <w:lang w:val="en-US" w:eastAsia="en-US" w:bidi="ar-SA"/>
    </w:rPr>
  </w:style>
  <w:style w:type="paragraph" w:customStyle="1" w:styleId="Default">
    <w:name w:val="Default"/>
    <w:rsid w:val="00191A1C"/>
    <w:pPr>
      <w:suppressAutoHyphens w:val="0"/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 w:bidi="ar-SA"/>
    </w:rPr>
  </w:style>
  <w:style w:type="table" w:customStyle="1" w:styleId="TableGrid">
    <w:name w:val="TableGrid"/>
    <w:rsid w:val="00191A1C"/>
    <w:pPr>
      <w:suppressAutoHyphens w:val="0"/>
    </w:pPr>
    <w:rPr>
      <w:rFonts w:asciiTheme="minorHAnsi" w:eastAsiaTheme="minorEastAsia" w:hAnsiTheme="minorHAnsi" w:cstheme="minorBidi"/>
      <w:sz w:val="22"/>
      <w:szCs w:val="22"/>
      <w:lang w:eastAsia="pt-BR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F9421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 w:bidi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9421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 w:bidi="ar-SA"/>
    </w:rPr>
  </w:style>
  <w:style w:type="paragraph" w:styleId="NormalWeb">
    <w:name w:val="Normal (Web)"/>
    <w:basedOn w:val="Normal"/>
    <w:uiPriority w:val="99"/>
    <w:semiHidden/>
    <w:unhideWhenUsed/>
    <w:rsid w:val="00F9421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9421D"/>
    <w:rPr>
      <w:b/>
      <w:bCs/>
    </w:rPr>
  </w:style>
  <w:style w:type="character" w:styleId="nfase">
    <w:name w:val="Emphasis"/>
    <w:basedOn w:val="Fontepargpadro"/>
    <w:uiPriority w:val="20"/>
    <w:qFormat/>
    <w:rsid w:val="00F942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6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1308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Boca Cd´s</dc:creator>
  <dc:description/>
  <cp:lastModifiedBy>Camila Cruz</cp:lastModifiedBy>
  <cp:revision>16</cp:revision>
  <cp:lastPrinted>2024-08-06T14:13:00Z</cp:lastPrinted>
  <dcterms:created xsi:type="dcterms:W3CDTF">2025-10-30T11:58:00Z</dcterms:created>
  <dcterms:modified xsi:type="dcterms:W3CDTF">2025-12-18T12:24:00Z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A2ABC7E6642E437FBE65AE19CB6F2225</vt:lpwstr>
  </property>
  <property fmtid="{D5CDD505-2E9C-101B-9397-08002B2CF9AE}" pid="3" name="KSOProductBuildVer">
    <vt:lpwstr>1046-11.2.0.11191</vt:lpwstr>
  </property>
</Properties>
</file>