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ind w:left="0" w:right="601" w:firstLine="0"/>
        <w:jc w:val="left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ind w:left="466" w:right="601" w:firstLine="0"/>
        <w:jc w:val="center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ANEXO III- TERMO DE REFERÊNCIA</w:t>
      </w:r>
    </w:p>
    <w:p w:rsidR="00000000" w:rsidDel="00000000" w:rsidP="00000000" w:rsidRDefault="00000000" w:rsidRPr="00000000" w14:paraId="00000003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Objeto: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Serviços de engenharia para recapeamento asfáltico e reparos</w:t>
      </w:r>
    </w:p>
    <w:p w:rsidR="00000000" w:rsidDel="00000000" w:rsidP="00000000" w:rsidRDefault="00000000" w:rsidRPr="00000000" w14:paraId="0000000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Local: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Rua Divino Espírito Santo e Trecho da Rua Mariana, Bairro Vila Paraíso – Alumínio/SP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Órgão Requisitante: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Departamento de Serviços Urbanos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3"/>
        <w:jc w:val="center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INTRODUÇÃO</w:t>
      </w:r>
    </w:p>
    <w:p w:rsidR="00000000" w:rsidDel="00000000" w:rsidP="00000000" w:rsidRDefault="00000000" w:rsidRPr="00000000" w14:paraId="0000000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O presente Termo de Referência (TR) estabelece as condições, parâmetros técnicos e diretrizes para a contratação de empresa especializada em engenharia para a execução de obras e serviços de recapeamento asfáltico em CBUQ (Concreto Betuminoso Usinado a Quente), reparos estruturais profundos (remendos), fresagem mecânica descontínua, readequação e alteamento de tampões de poços de visita (PV) e sinalização viária na Rua Divino Espírito Santo e em trecho da Rua Mariana, localizadas no Bairro Vila Paraíso, no Município de Alumínio-SP, em estrita conformidade com a Lei Federal nº 14.133/2021. </w:t>
      </w:r>
    </w:p>
    <w:p w:rsidR="00000000" w:rsidDel="00000000" w:rsidP="00000000" w:rsidRDefault="00000000" w:rsidRPr="00000000" w14:paraId="0000000A">
      <w:pPr>
        <w:pStyle w:val="Heading3"/>
        <w:jc w:val="center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DEFINIÇÃO DO OBJETO</w:t>
      </w:r>
    </w:p>
    <w:p w:rsidR="00000000" w:rsidDel="00000000" w:rsidP="00000000" w:rsidRDefault="00000000" w:rsidRPr="00000000" w14:paraId="0000000B">
      <w:pPr>
        <w:pStyle w:val="Heading4"/>
        <w:numPr>
          <w:ilvl w:val="0"/>
          <w:numId w:val="8"/>
        </w:numPr>
        <w:ind w:left="720" w:hanging="360"/>
        <w:jc w:val="both"/>
        <w:rPr>
          <w:i w:val="0"/>
          <w:iCs w:val="0"/>
          <w:color w:val="000000"/>
        </w:rPr>
      </w:pPr>
      <w:r w:rsidDel="00000000" w:rsidR="00000000" w:rsidRPr="00000000">
        <w:rPr>
          <w:rFonts w:ascii="Tahoma" w:cs="Tahoma" w:eastAsia="Tahoma" w:hAnsi="Tahoma"/>
          <w:i w:val="0"/>
          <w:iCs w:val="0"/>
          <w:color w:val="000000"/>
          <w:rtl w:val="0"/>
        </w:rPr>
        <w:t xml:space="preserve">Objeto e Natureza</w:t>
      </w:r>
    </w:p>
    <w:p w:rsidR="00000000" w:rsidDel="00000000" w:rsidP="00000000" w:rsidRDefault="00000000" w:rsidRPr="00000000" w14:paraId="0000000C">
      <w:pPr>
        <w:pStyle w:val="Heading4"/>
        <w:jc w:val="both"/>
        <w:rPr>
          <w:rFonts w:ascii="Tahoma" w:cs="Tahoma" w:eastAsia="Tahoma" w:hAnsi="Tahoma"/>
          <w:b w:val="0"/>
          <w:bCs w:val="0"/>
          <w:i w:val="0"/>
          <w:iCs w:val="0"/>
          <w:color w:val="000000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color w:val="000000"/>
          <w:rtl w:val="0"/>
        </w:rPr>
        <w:t xml:space="preserve">Contratação de empresa especializada para execução de obra pública de engenharia sobre uma área total de intervenção de 2.242,51 m², compreendendo serviços preliminares (placa de identificação e readequação estrutural de chaminés com reassentamento de tampões para a regularização de 17 poços de visita), reparo asfáltico estrutural profundo localizado (demolição, escavação, base de bica corrida, imprimação ligante/impermeabilizante e recomposição com CBUQ), recapeamento asfáltico geral (fresagem mecânica descontínua até 5 cm, imprimação betuminosa ligante e camada de rolamento em CBUQ) e sinalização viária horizontal e vertical. </w:t>
      </w:r>
    </w:p>
    <w:p w:rsidR="00000000" w:rsidDel="00000000" w:rsidP="00000000" w:rsidRDefault="00000000" w:rsidRPr="00000000" w14:paraId="0000000D">
      <w:pPr>
        <w:pStyle w:val="Heading4"/>
        <w:jc w:val="both"/>
        <w:rPr>
          <w:rFonts w:ascii="Tahoma" w:cs="Tahoma" w:eastAsia="Tahoma" w:hAnsi="Tahoma"/>
          <w:i w:val="0"/>
          <w:iCs w:val="0"/>
          <w:color w:val="000000"/>
        </w:rPr>
      </w:pPr>
      <w:r w:rsidDel="00000000" w:rsidR="00000000" w:rsidRPr="00000000">
        <w:rPr>
          <w:rFonts w:ascii="Tahoma" w:cs="Tahoma" w:eastAsia="Tahoma" w:hAnsi="Tahoma"/>
          <w:i w:val="0"/>
          <w:iCs w:val="0"/>
          <w:color w:val="000000"/>
          <w:rtl w:val="0"/>
        </w:rPr>
        <w:t xml:space="preserve">Regime de Execução</w:t>
      </w:r>
    </w:p>
    <w:p w:rsidR="00000000" w:rsidDel="00000000" w:rsidP="00000000" w:rsidRDefault="00000000" w:rsidRPr="00000000" w14:paraId="0000000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 execução do objeto dar-se-á pelo regime de Empreitada por P</w:t>
      </w:r>
      <w:r w:rsidDel="00000000" w:rsidR="00000000" w:rsidRPr="00000000">
        <w:rPr>
          <w:rFonts w:ascii="Tahoma" w:cs="Tahoma" w:eastAsia="Tahoma" w:hAnsi="Tahoma"/>
          <w:rtl w:val="0"/>
        </w:rPr>
        <w:t xml:space="preserve">reço Unitário. </w:t>
      </w:r>
    </w:p>
    <w:p w:rsidR="00000000" w:rsidDel="00000000" w:rsidP="00000000" w:rsidRDefault="00000000" w:rsidRPr="00000000" w14:paraId="0000000F">
      <w:pPr>
        <w:pStyle w:val="Heading4"/>
        <w:numPr>
          <w:ilvl w:val="0"/>
          <w:numId w:val="8"/>
        </w:numPr>
        <w:spacing w:after="240" w:lineRule="auto"/>
        <w:ind w:left="720" w:hanging="360"/>
        <w:jc w:val="both"/>
        <w:rPr>
          <w:i w:val="0"/>
          <w:iCs w:val="0"/>
          <w:color w:val="000000"/>
        </w:rPr>
      </w:pPr>
      <w:r w:rsidDel="00000000" w:rsidR="00000000" w:rsidRPr="00000000">
        <w:rPr>
          <w:rFonts w:ascii="Tahoma" w:cs="Tahoma" w:eastAsia="Tahoma" w:hAnsi="Tahoma"/>
          <w:i w:val="0"/>
          <w:iCs w:val="0"/>
          <w:color w:val="000000"/>
          <w:rtl w:val="0"/>
        </w:rPr>
        <w:t xml:space="preserve">Prazos e Prorrogação</w:t>
      </w:r>
    </w:p>
    <w:p w:rsidR="00000000" w:rsidDel="00000000" w:rsidP="00000000" w:rsidRDefault="00000000" w:rsidRPr="00000000" w14:paraId="00000010">
      <w:pPr>
        <w:widowControl w:val="1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Prazo de Execução Física: 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2 (dois) meses, contados a partir do recebimento da Ordem de Serviço (OS) emitida pelo Departamento de Serviços Urbanos.</w:t>
      </w:r>
    </w:p>
    <w:p w:rsidR="00000000" w:rsidDel="00000000" w:rsidP="00000000" w:rsidRDefault="00000000" w:rsidRPr="00000000" w14:paraId="00000011">
      <w:pPr>
        <w:widowControl w:val="1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40" w:lineRule="auto"/>
        <w:ind w:left="144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Prazo de Vigência Contratual: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O contrato terá vigência de 24 (vinte e quatro) meses, a contar de sua assinatura, admitindo-se a prorrogação nos termos estritos do Art. 111</w:t>
      </w:r>
      <w:r w:rsidDel="00000000" w:rsidR="00000000" w:rsidRPr="00000000">
        <w:rPr>
          <w:rFonts w:ascii="Tahoma" w:cs="Tahoma" w:eastAsia="Tahoma" w:hAnsi="Tahoma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da Lei nº 14.133/2021, caso ocorram atrasos técnicos formalmente justificados e aceitos pela Administração.</w:t>
      </w:r>
    </w:p>
    <w:p w:rsidR="00000000" w:rsidDel="00000000" w:rsidP="00000000" w:rsidRDefault="00000000" w:rsidRPr="00000000" w14:paraId="00000012">
      <w:pPr>
        <w:widowControl w:val="1"/>
        <w:numPr>
          <w:ilvl w:val="1"/>
          <w:numId w:val="8"/>
        </w:numPr>
        <w:ind w:left="1440" w:hanging="360"/>
        <w:jc w:val="both"/>
        <w:rPr/>
      </w:pPr>
      <w:r w:rsidDel="00000000" w:rsidR="00000000" w:rsidRPr="00000000">
        <w:rPr>
          <w:color w:val="ff0000"/>
          <w:sz w:val="14"/>
          <w:szCs w:val="14"/>
          <w:rtl w:val="0"/>
        </w:rPr>
        <w:t xml:space="preserve">  </w:t>
      </w:r>
      <w:r w:rsidDel="00000000" w:rsidR="00000000" w:rsidRPr="00000000">
        <w:rPr>
          <w:rFonts w:ascii="Tahoma" w:cs="Tahoma" w:eastAsia="Tahoma" w:hAnsi="Tahoma"/>
          <w:rtl w:val="0"/>
        </w:rPr>
        <w:t xml:space="preserve">Prazo para Início da Execução dos Serviços: 10 (dez) dias a contar da emissão da Ordem de Serviço.</w:t>
      </w:r>
    </w:p>
    <w:p w:rsidR="00000000" w:rsidDel="00000000" w:rsidP="00000000" w:rsidRDefault="00000000" w:rsidRPr="00000000" w14:paraId="00000013">
      <w:pPr>
        <w:widowControl w:val="1"/>
        <w:jc w:val="both"/>
        <w:rPr>
          <w:rFonts w:ascii="Tahoma" w:cs="Tahoma" w:eastAsia="Tahoma" w:hAnsi="Tahoma"/>
          <w:highlight w:val="cy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3"/>
        <w:jc w:val="center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CAPÍTULO 1: Fundamentação e Descrição da Solução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1.1. Fundamentação da Contratação</w:t>
      </w:r>
    </w:p>
    <w:p w:rsidR="00000000" w:rsidDel="00000000" w:rsidP="00000000" w:rsidRDefault="00000000" w:rsidRPr="00000000" w14:paraId="0000001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 presente contratação fundamenta-se integralmente nas conclusões do Estudo Técnico Preliminar (ETP), anexo a este processo. O ETP demonstrou o nexo causal entre a necessidade pública (extinguir os problemas crônicos de desgaste, buracos e ondulações que comprometem a segurança viária no Bairro Vila Paraíso) e a solução de engenharia proposta. Adicionalmente, a contratação viabiliza a execução financeira do repasse decorrente do Termo de Convênio firmado com a Secretaria de Governo e Relações Institucionais do Estado de São Paulo, garantindo a aplicação tempestiva dos recursos públicos e evitando o perecimento do auxílio voluntário do Estado.</w:t>
      </w:r>
    </w:p>
    <w:p w:rsidR="00000000" w:rsidDel="00000000" w:rsidP="00000000" w:rsidRDefault="00000000" w:rsidRPr="00000000" w14:paraId="0000001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1.2. Descrição da Solução como um Todo</w:t>
      </w:r>
    </w:p>
    <w:p w:rsidR="00000000" w:rsidDel="00000000" w:rsidP="00000000" w:rsidRDefault="00000000" w:rsidRPr="00000000" w14:paraId="0000001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 solução consiste na restauração do pavimento flexível por meio de fresagem, remendos profundos estruturais e aplicação de nova camada de rolamento asfáltica em CBUQ, conferindo regularidade ao greide e restabelecendo as condições de aderência e drenagem superficial.</w:t>
      </w:r>
    </w:p>
    <w:p w:rsidR="00000000" w:rsidDel="00000000" w:rsidP="00000000" w:rsidRDefault="00000000" w:rsidRPr="00000000" w14:paraId="0000001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1.3. Ciclo de Vida</w:t>
      </w:r>
    </w:p>
    <w:p w:rsidR="00000000" w:rsidDel="00000000" w:rsidP="00000000" w:rsidRDefault="00000000" w:rsidRPr="00000000" w14:paraId="0000001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 solução foi projetada para um ciclo de vida útil inicial de, no mínimo, 10 (dez) anos para a camada de rolamento, desde que o Município realize as ações de manutenção preventiva periódica na sinalização e limpeza urbana.</w:t>
      </w:r>
    </w:p>
    <w:p w:rsidR="00000000" w:rsidDel="00000000" w:rsidP="00000000" w:rsidRDefault="00000000" w:rsidRPr="00000000" w14:paraId="0000002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1.4. Especificação e Qualidade dos Produtos</w:t>
      </w:r>
    </w:p>
    <w:p w:rsidR="00000000" w:rsidDel="00000000" w:rsidP="00000000" w:rsidRDefault="00000000" w:rsidRPr="00000000" w14:paraId="0000002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Todos os materiais aplicados deverão atender rigorosamente aos padrões de qualidade, rendimento e segurança exigidos pelas normas técnicas do DER/SP e da ABNT, conforme detalhado no Memorial Descritivo anexo a este TR, destacando-se:</w:t>
      </w:r>
    </w:p>
    <w:p w:rsidR="00000000" w:rsidDel="00000000" w:rsidP="00000000" w:rsidRDefault="00000000" w:rsidRPr="00000000" w14:paraId="00000025">
      <w:pPr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CBUQ: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Mistura asfáltica usinada a quente, com ligante CAP 50/70, espalhada e compactada na temperatura regulamentar para garantir a durabilidade e resistência ao tráfego.</w:t>
      </w:r>
    </w:p>
    <w:p w:rsidR="00000000" w:rsidDel="00000000" w:rsidP="00000000" w:rsidRDefault="00000000" w:rsidRPr="00000000" w14:paraId="00000026">
      <w:pPr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Bica Corrida: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Agregado de granulometria estabilizada para a base do Item 2, com teor de umidade ótimo e compactação mínima de 95% do Proctor Modificado.</w:t>
      </w:r>
    </w:p>
    <w:p w:rsidR="00000000" w:rsidDel="00000000" w:rsidP="00000000" w:rsidRDefault="00000000" w:rsidRPr="00000000" w14:paraId="00000027">
      <w:pPr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Sinalização: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Tintas acrílicas refletivas base água/solvente com microesferas de vidro que atendam aos requisitos de retrorefletividade noturna.</w:t>
      </w:r>
    </w:p>
    <w:p w:rsidR="00000000" w:rsidDel="00000000" w:rsidP="00000000" w:rsidRDefault="00000000" w:rsidRPr="00000000" w14:paraId="0000002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before="1" w:lineRule="auto"/>
        <w:jc w:val="center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CAPÍTULO 2: Requisitos da Contratação e Modelo de Execução</w:t>
      </w:r>
    </w:p>
    <w:p w:rsidR="00000000" w:rsidDel="00000000" w:rsidP="00000000" w:rsidRDefault="00000000" w:rsidRPr="00000000" w14:paraId="0000002A">
      <w:pPr>
        <w:spacing w:before="1" w:lineRule="auto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before="1" w:lineRule="auto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2.1. Requisitos da Contratação</w:t>
      </w:r>
    </w:p>
    <w:p w:rsidR="00000000" w:rsidDel="00000000" w:rsidP="00000000" w:rsidRDefault="00000000" w:rsidRPr="00000000" w14:paraId="0000002C">
      <w:pPr>
        <w:spacing w:before="1" w:lineRule="auto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before="1" w:lineRule="auto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Para a perfeita execução do objeto, a empresa contratada deverá cumprir com as seguintes condições de habilitação e obrigações técnicas:</w:t>
      </w:r>
    </w:p>
    <w:p w:rsidR="00000000" w:rsidDel="00000000" w:rsidP="00000000" w:rsidRDefault="00000000" w:rsidRPr="00000000" w14:paraId="0000002E">
      <w:pPr>
        <w:spacing w:before="1" w:lineRule="auto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spacing w:before="1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Prazos do Contrato: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O prazo de execução física das obras será de 2 (dois) meses, contados a partir da emissão da Ordem de Serviço (OS). O prazo de vigência do contrato será de 24 (vinte e quatro) meses, contados a partir da data de sua assinatura, vinculando-se estritamente ao prazo de vigência máximo do Termo de Convênio Estadual.</w:t>
      </w:r>
    </w:p>
    <w:p w:rsidR="00000000" w:rsidDel="00000000" w:rsidP="00000000" w:rsidRDefault="00000000" w:rsidRPr="00000000" w14:paraId="00000030">
      <w:pPr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before="28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Garantia da Obra: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Em conformidade com o Art. 618 do Código Civil, a contratada responderá pela solidez, estabilidade e segurança dos serviços pelo prazo irredutível de 5 (cinco) anos após o recebimento definitivo.</w:t>
      </w:r>
    </w:p>
    <w:p w:rsidR="00000000" w:rsidDel="00000000" w:rsidP="00000000" w:rsidRDefault="00000000" w:rsidRPr="00000000" w14:paraId="00000031">
      <w:pPr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Qualificação Técnica: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A licitante deverá apresentar Certidão de Registro (CREA ou CAU) e atestados de responsabilidade técnica que comprovem a execução de serviços compatíveis (recapeamento asfáltico em CBUQ e reparos de base).</w:t>
      </w:r>
    </w:p>
    <w:p w:rsidR="00000000" w:rsidDel="00000000" w:rsidP="00000000" w:rsidRDefault="00000000" w:rsidRPr="00000000" w14:paraId="00000032">
      <w:pPr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Obrigações da Contratada: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Fornecimento integral de materiais, ferramentas, EPIs, sinalização de segurança diurna/noturna, maquinários pesados (fresadora, vibroacabadora, rolos tandem e de pneus) e mão de obra, além da emissão da devida ART de execução antes do início das obras.</w:t>
      </w:r>
    </w:p>
    <w:p w:rsidR="00000000" w:rsidDel="00000000" w:rsidP="00000000" w:rsidRDefault="00000000" w:rsidRPr="00000000" w14:paraId="0000003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before="1" w:lineRule="auto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2.2. Modelo de Execução do Objeto</w:t>
      </w:r>
    </w:p>
    <w:p w:rsidR="00000000" w:rsidDel="00000000" w:rsidP="00000000" w:rsidRDefault="00000000" w:rsidRPr="00000000" w14:paraId="0000003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O contrato produzirá os resultados pretendidos seguindo a seguinte ordem lógica:</w:t>
      </w:r>
    </w:p>
    <w:p w:rsidR="00000000" w:rsidDel="00000000" w:rsidP="00000000" w:rsidRDefault="00000000" w:rsidRPr="00000000" w14:paraId="0000003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Fase Preparatória: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Assinatura do contrato, indicação do engenheiro preposto, entrega do Cronograma Físico-Financeiro ajustado e emissão da Ordem de Serviço (OS).</w:t>
      </w:r>
    </w:p>
    <w:p w:rsidR="00000000" w:rsidDel="00000000" w:rsidP="00000000" w:rsidRDefault="00000000" w:rsidRPr="00000000" w14:paraId="00000038">
      <w:pPr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Fase Executiva (detalhada no cronograma físico-financeiro anexo ao processo):</w:t>
      </w:r>
    </w:p>
    <w:p w:rsidR="00000000" w:rsidDel="00000000" w:rsidP="00000000" w:rsidRDefault="00000000" w:rsidRPr="00000000" w14:paraId="0000003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1.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Instalação da placa da obra e mobilização de equipamentos;</w:t>
      </w:r>
    </w:p>
    <w:p w:rsidR="00000000" w:rsidDel="00000000" w:rsidP="00000000" w:rsidRDefault="00000000" w:rsidRPr="00000000" w14:paraId="0000003B">
      <w:pPr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2.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Execução das demolições e adequação das chaminés de alvenaria dos 17 poços de visita (Item 1);</w:t>
      </w:r>
    </w:p>
    <w:p w:rsidR="00000000" w:rsidDel="00000000" w:rsidP="00000000" w:rsidRDefault="00000000" w:rsidRPr="00000000" w14:paraId="0000003C">
      <w:pPr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3.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Escavação, aplicação de bica corrida e reparo estrutural profundo nos 192,20 m² de remendos (Item 2);</w:t>
      </w:r>
    </w:p>
    <w:p w:rsidR="00000000" w:rsidDel="00000000" w:rsidP="00000000" w:rsidRDefault="00000000" w:rsidRPr="00000000" w14:paraId="0000003D">
      <w:pPr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4.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Execução da fresagem mecânica (632,49 m²), varrição da pista, aplicação da imprimação ligante e lançamento/rolagem do CBUQ (Item 3);</w:t>
      </w:r>
    </w:p>
    <w:p w:rsidR="00000000" w:rsidDel="00000000" w:rsidP="00000000" w:rsidRDefault="00000000" w:rsidRPr="00000000" w14:paraId="0000003E">
      <w:pPr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5. 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Pintura horizontal refletiva e instalação da sinalização vertical (Item 4) após a cura técnica do asfalto.</w:t>
      </w:r>
    </w:p>
    <w:p w:rsidR="00000000" w:rsidDel="00000000" w:rsidP="00000000" w:rsidRDefault="00000000" w:rsidRPr="00000000" w14:paraId="0000003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Fase de Encerramento: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Destinação ambiental dos resíduos (raspas de fresagem e entulhos) e limpeza geral da via para os atos de recebimento.</w:t>
      </w:r>
    </w:p>
    <w:p w:rsidR="00000000" w:rsidDel="00000000" w:rsidP="00000000" w:rsidRDefault="00000000" w:rsidRPr="00000000" w14:paraId="0000004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1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2.3. Subcontratação</w:t>
      </w:r>
    </w:p>
    <w:p w:rsidR="00000000" w:rsidDel="00000000" w:rsidP="00000000" w:rsidRDefault="00000000" w:rsidRPr="00000000" w14:paraId="00000044">
      <w:pPr>
        <w:widowControl w:val="1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45">
      <w:pPr>
        <w:widowControl w:val="1"/>
        <w:spacing w:after="200" w:before="200" w:lineRule="auto"/>
        <w:ind w:right="-2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A subcontratação integral do objeto é expressamente proibida. Contudo, permite-se a subcontratação parcial de serviços acessórios e desde que previamente autorizado pelo gestor do contrato, devendo a subcontratada ter as qualificações técnicas adequadas para a realização dos serviços.</w:t>
      </w:r>
    </w:p>
    <w:p w:rsidR="00000000" w:rsidDel="00000000" w:rsidP="00000000" w:rsidRDefault="00000000" w:rsidRPr="00000000" w14:paraId="00000046">
      <w:pPr>
        <w:widowControl w:val="1"/>
        <w:spacing w:after="200" w:before="200" w:lineRule="auto"/>
        <w:ind w:right="-2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      </w:t>
        <w:tab/>
        <w:t xml:space="preserve"> A subcontratação não gera relação da Contratante com as empresas subcontratadas, sendo plena a responsabilidade da Contratada pelo cumprimento de todas as obrigações, principais e acessórias, decorrentes da contratação, nos termos dos artigos 121 e 122 da Lei nº 14.133/2021.</w:t>
      </w:r>
    </w:p>
    <w:p w:rsidR="00000000" w:rsidDel="00000000" w:rsidP="00000000" w:rsidRDefault="00000000" w:rsidRPr="00000000" w14:paraId="00000047">
      <w:pPr>
        <w:widowControl w:val="1"/>
        <w:spacing w:after="200" w:before="200" w:lineRule="auto"/>
        <w:ind w:right="-2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      </w:t>
        <w:tab/>
      </w:r>
    </w:p>
    <w:p w:rsidR="00000000" w:rsidDel="00000000" w:rsidP="00000000" w:rsidRDefault="00000000" w:rsidRPr="00000000" w14:paraId="00000048">
      <w:pPr>
        <w:widowControl w:val="1"/>
        <w:spacing w:after="200" w:before="200" w:lineRule="auto"/>
        <w:ind w:right="-20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2.4. </w:t>
      </w: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  Vistoria</w:t>
      </w:r>
    </w:p>
    <w:p w:rsidR="00000000" w:rsidDel="00000000" w:rsidP="00000000" w:rsidRDefault="00000000" w:rsidRPr="00000000" w14:paraId="00000049">
      <w:pPr>
        <w:widowControl w:val="1"/>
        <w:spacing w:after="200" w:before="200" w:lineRule="auto"/>
        <w:ind w:right="-2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A vistoria prévia para os interessados em participar do processo licitatório não é obrigatória; no entanto, caso o licitante deseje realizar uma visita ao local de prestação dos serviços para fins de dimensionamento e elaboração de sua proposta, essa visita deverá ser agendada previamente por meio do e-mail: licitacao@alumínio.sp.gov.br e deverá ser realizada até o dia útil anterior a sessão.</w:t>
      </w:r>
    </w:p>
    <w:p w:rsidR="00000000" w:rsidDel="00000000" w:rsidP="00000000" w:rsidRDefault="00000000" w:rsidRPr="00000000" w14:paraId="0000004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center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CAPÍTULO 3: Modelo de Gestão, Medição e Pagamento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Style w:val="Heading3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3.1. Modelo de Gestão do Contrato</w:t>
      </w:r>
    </w:p>
    <w:p w:rsidR="00000000" w:rsidDel="00000000" w:rsidP="00000000" w:rsidRDefault="00000000" w:rsidRPr="00000000" w14:paraId="0000004F">
      <w:pPr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O acompanhamento e a fiscalização da execução contratual serão realizados por um Fiscal Técnico (possuidor de habilitação profissional legal junto ao CREA ou CAU) e um Gestor do Contrato, formalmente designados por portaria do Município de Alumínio.</w:t>
      </w:r>
    </w:p>
    <w:p w:rsidR="00000000" w:rsidDel="00000000" w:rsidP="00000000" w:rsidRDefault="00000000" w:rsidRPr="00000000" w14:paraId="00000050">
      <w:pPr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Competirá ao Fiscal Técnico a fiscalização e o acompanhamento periódico das frentes de trabalho, concentrados ordinariamente nos períodos de encerramento dos ciclos mensais, com o objetivo de avaliar, aferir e aprovar as medições dos serviços efetivamente executados, conforme o rito estabelecido no subitem 3.2.</w:t>
      </w:r>
    </w:p>
    <w:p w:rsidR="00000000" w:rsidDel="00000000" w:rsidP="00000000" w:rsidRDefault="00000000" w:rsidRPr="00000000" w14:paraId="00000051">
      <w:pPr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O Fiscal Técnico atuará também de forma responsiva, mantendo-se disponível para o atendimento de situações eventuais, chamados urgentes ou intercorrências técnicas que demandem a pronta intervenção da Administração, além de competir-lhe a conferência dos relatórios de ensaios tecnológicos dos materiais (CBUQ) apresentados pela contratada e a rejeição de serviços executados em desacordo com as especificações.</w:t>
      </w:r>
    </w:p>
    <w:p w:rsidR="00000000" w:rsidDel="00000000" w:rsidP="00000000" w:rsidRDefault="00000000" w:rsidRPr="00000000" w14:paraId="00000052">
      <w:pPr>
        <w:pStyle w:val="Heading3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3.2. Da Periodicidade e do Rito de Medição</w:t>
      </w:r>
    </w:p>
    <w:p w:rsidR="00000000" w:rsidDel="00000000" w:rsidP="00000000" w:rsidRDefault="00000000" w:rsidRPr="00000000" w14:paraId="0000005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As medições dos serviços executados serão realizadas mensalmente, em ciclos sucessivos de 30 (trinta) dias. O primeiro período de apuração terá início na data de emissão da Ordem de Serviço (OS), estendendo-se pelos 30 dias subsequentes. As medições posteriores ocorrerão sucessivamente a cada 30 dias contados a partir do término do período de aferição anterior. O procedimento de aferição obedecerá ao seguinte rito operacional:</w:t>
      </w:r>
    </w:p>
    <w:p w:rsidR="00000000" w:rsidDel="00000000" w:rsidP="00000000" w:rsidRDefault="00000000" w:rsidRPr="00000000" w14:paraId="0000005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Protocolo da Medição: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Em até 5 (cinco) dias úteis após o término de cada período de 30 dias de prestação dos serviços, a empresa contratada deverá protocolar junto à Prefeitura o requerimento de aprovação da medição, obrigatoriamente acompanhado dos seguintes documentos:</w:t>
      </w:r>
    </w:p>
    <w:p w:rsidR="00000000" w:rsidDel="00000000" w:rsidP="00000000" w:rsidRDefault="00000000" w:rsidRPr="00000000" w14:paraId="00000056">
      <w:pPr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Medição alvo de aprovação;</w:t>
      </w:r>
    </w:p>
    <w:p w:rsidR="00000000" w:rsidDel="00000000" w:rsidP="00000000" w:rsidRDefault="00000000" w:rsidRPr="00000000" w14:paraId="00000057">
      <w:pPr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Memórias de cálculo detalhadas;</w:t>
      </w:r>
    </w:p>
    <w:p w:rsidR="00000000" w:rsidDel="00000000" w:rsidP="00000000" w:rsidRDefault="00000000" w:rsidRPr="00000000" w14:paraId="00000058">
      <w:pPr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Relatório fotográfico das etapas executadas;</w:t>
      </w:r>
    </w:p>
    <w:p w:rsidR="00000000" w:rsidDel="00000000" w:rsidP="00000000" w:rsidRDefault="00000000" w:rsidRPr="00000000" w14:paraId="00000059">
      <w:pPr>
        <w:widowControl w:val="1"/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40" w:hanging="36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Cópia do cronograma de execução atualizado.</w:t>
      </w:r>
    </w:p>
    <w:p w:rsidR="00000000" w:rsidDel="00000000" w:rsidP="00000000" w:rsidRDefault="00000000" w:rsidRPr="00000000" w14:paraId="0000005A">
      <w:pPr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Vistoria de Campo: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O Fiscal Técnico realizará a vistoria conjunta de campo em até 5 (cinco) dias úteis após o protocolo, conferindo as dimensões, níveis e a qualidade técnica das etapas alegadas como concluídas nas frentes de trabalho da Rua Divino Espírito Santo e trecho da Rua Mariana.</w:t>
      </w:r>
    </w:p>
    <w:p w:rsidR="00000000" w:rsidDel="00000000" w:rsidP="00000000" w:rsidRDefault="00000000" w:rsidRPr="00000000" w14:paraId="0000005B">
      <w:pPr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Aprovação e Encaminhamento: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Caso os serviços estejam em total conformidade com os projetos e especificações, o Fiscal Técnico aprovará o Relatório de Medição Técnico em até 3 (três) dias úteis pós-vistoria, encaminhando o processo ao Gestor do Contrato para autorização da emissão da Nota Fiscal pela contratada.</w:t>
      </w:r>
    </w:p>
    <w:p w:rsidR="00000000" w:rsidDel="00000000" w:rsidP="00000000" w:rsidRDefault="00000000" w:rsidRPr="00000000" w14:paraId="0000005C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3.3. Regras para os Recebimentos </w:t>
      </w:r>
    </w:p>
    <w:p w:rsidR="00000000" w:rsidDel="00000000" w:rsidP="00000000" w:rsidRDefault="00000000" w:rsidRPr="00000000" w14:paraId="0000005E">
      <w:pPr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Recebimento Provisório: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Ocorrerá em até 15 (quinze) dias após a notificação por escrito da contratada sobre a conclusão integral dos serviços, mediante lavratura de termo detalhado assinado pelo Fiscal Técnico.</w:t>
      </w:r>
    </w:p>
    <w:p w:rsidR="00000000" w:rsidDel="00000000" w:rsidP="00000000" w:rsidRDefault="00000000" w:rsidRPr="00000000" w14:paraId="0000005F">
      <w:pPr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Recebimento Definitivo: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Será efetuado pelo Gestor e Fiscal em até 90 (noventa) dias contados do recebimento provisório, após a verificação do comportamento do pavimento sob tráfego e a entrega de toda a documentação fiscal e previdenciária da obra.</w:t>
      </w:r>
    </w:p>
    <w:p w:rsidR="00000000" w:rsidDel="00000000" w:rsidP="00000000" w:rsidRDefault="00000000" w:rsidRPr="00000000" w14:paraId="0000006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3.4. Das Condições e Prazos de Pagamento</w:t>
      </w:r>
    </w:p>
    <w:p w:rsidR="00000000" w:rsidDel="00000000" w:rsidP="00000000" w:rsidRDefault="00000000" w:rsidRPr="00000000" w14:paraId="0000006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O pagamento será efetuado pelo município no prazo máximo de até 30 (trinta) dias, contados a partir da data de liquidação da despesa, que se caracteriza pelo recebimento regular da Nota Fiscal devidamente atestada pelo Fiscal Técnico e aprovada pelo Gestor do Contrato. </w:t>
      </w:r>
    </w:p>
    <w:p w:rsidR="00000000" w:rsidDel="00000000" w:rsidP="00000000" w:rsidRDefault="00000000" w:rsidRPr="00000000" w14:paraId="0000006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 liberação do crédito financeiro em conta bancária fica estritamente condicionada à manutenção das condições de habilitação e à apresentação de: </w:t>
      </w:r>
    </w:p>
    <w:p w:rsidR="00000000" w:rsidDel="00000000" w:rsidP="00000000" w:rsidRDefault="00000000" w:rsidRPr="00000000" w14:paraId="00000064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Prova de regularidade com a Seguridade Social (INSS) e com o FGTS, mediante certidões negativas válidas. </w:t>
      </w:r>
    </w:p>
    <w:p w:rsidR="00000000" w:rsidDel="00000000" w:rsidP="00000000" w:rsidRDefault="00000000" w:rsidRPr="00000000" w14:paraId="00000065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Comprovante de recolhimento dos encargos previdenciários e trabalhistas dos operários alocados na obra, vinculados especificamente ao Cadastro Nacional de Obras (CNO) correspondente às frentes de trabalho da Rua Divino Espírito Santo e trecho da Rua Mariana, Bairro Vila Paraíso. </w:t>
      </w:r>
    </w:p>
    <w:p w:rsidR="00000000" w:rsidDel="00000000" w:rsidP="00000000" w:rsidRDefault="00000000" w:rsidRPr="00000000" w14:paraId="00000066">
      <w:pPr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Certidão Negativa de Débitos Trabalhistas (CNDT).</w:t>
      </w:r>
    </w:p>
    <w:p w:rsidR="00000000" w:rsidDel="00000000" w:rsidP="00000000" w:rsidRDefault="00000000" w:rsidRPr="00000000" w14:paraId="0000006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center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CAPÍTULO 4: Seleção do Fornecedor e Adequação Orçamentária</w:t>
      </w:r>
    </w:p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360" w:firstLine="0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4.1. Forma e Critérios de Seleção do Fornecedor</w:t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Modalidade de Licitação: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O certame será realizado na modalidade Concorrência, adotando-se o critério de julgamento por Menor Preço Global, sob a forma eletrônica, em estrita observância à Lei Federal nº 14.133/2021.</w:t>
      </w:r>
    </w:p>
    <w:p w:rsidR="00000000" w:rsidDel="00000000" w:rsidP="00000000" w:rsidRDefault="00000000" w:rsidRPr="00000000" w14:paraId="0000006D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720" w:hanging="360"/>
        <w:jc w:val="both"/>
        <w:rPr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Critérios de Habilitação: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As exigências de habilitação jurídica, fiscal, social, trabalhista e qualificação econômico-financeira serão aquelas padrão estabelecidas na lei de regência e indicadas no edital. </w:t>
      </w:r>
    </w:p>
    <w:p w:rsidR="00000000" w:rsidDel="00000000" w:rsidP="00000000" w:rsidRDefault="00000000" w:rsidRPr="00000000" w14:paraId="0000006E">
      <w:pPr>
        <w:numPr>
          <w:ilvl w:val="0"/>
          <w:numId w:val="11"/>
        </w:numPr>
        <w:ind w:left="720" w:hanging="360"/>
        <w:jc w:val="both"/>
        <w:rPr/>
      </w:pPr>
      <w:r w:rsidDel="00000000" w:rsidR="00000000" w:rsidRPr="00000000">
        <w:rPr>
          <w:rFonts w:ascii="Tahoma" w:cs="Tahoma" w:eastAsia="Tahoma" w:hAnsi="Tahoma"/>
          <w:rtl w:val="0"/>
        </w:rPr>
        <w:t xml:space="preserve">Qualificação técnica: Para fins de atendimento do art. 67 da Lei 14.133/2021 será exigido da empresa para fins de habilitação:</w:t>
      </w:r>
    </w:p>
    <w:p w:rsidR="00000000" w:rsidDel="00000000" w:rsidP="00000000" w:rsidRDefault="00000000" w:rsidRPr="00000000" w14:paraId="0000006F">
      <w:pPr>
        <w:ind w:left="720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-   </w:t>
        <w:tab/>
        <w:t xml:space="preserve">registro ou inscrição na entidade profissional competente;</w:t>
      </w:r>
    </w:p>
    <w:p w:rsidR="00000000" w:rsidDel="00000000" w:rsidP="00000000" w:rsidRDefault="00000000" w:rsidRPr="00000000" w14:paraId="00000070">
      <w:pPr>
        <w:ind w:left="720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-   </w:t>
        <w:tab/>
        <w:t xml:space="preserve">declaração de que o licitante tomou conhecimento de todas as informações e das condições locais para o cumprimento das obrigações objeto da licitação;</w:t>
      </w:r>
    </w:p>
    <w:p w:rsidR="00000000" w:rsidDel="00000000" w:rsidP="00000000" w:rsidRDefault="00000000" w:rsidRPr="00000000" w14:paraId="00000071">
      <w:pPr>
        <w:ind w:left="720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-   </w:t>
        <w:tab/>
        <w:t xml:space="preserve">certidões ou atestados, regularmente emitidos pelo conselho profissional competente, que demonstrem capacidade operacional na execução de serviços similares de complexidade tecnológica e operacional equivalente ou superior, limitada às parcelas de maior relevância assim definidas: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bqcq08i1mz9w" w:id="0"/>
      <w:bookmarkEnd w:id="0"/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Execução da fresagem mecânica</w:t>
      </w: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: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comprovação de execução prévia de, no mínimo, 316,24 m², correspondente a até 50% (cinquenta por cento) do quantitativo estimado para a contratação.</w:t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720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720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widowControl w:val="1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4.2. Participação de consórcio</w:t>
      </w:r>
    </w:p>
    <w:p w:rsidR="00000000" w:rsidDel="00000000" w:rsidP="00000000" w:rsidRDefault="00000000" w:rsidRPr="00000000" w14:paraId="00000076">
      <w:pPr>
        <w:widowControl w:val="1"/>
        <w:spacing w:after="200" w:before="200" w:lineRule="auto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ff0000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ahoma" w:cs="Tahoma" w:eastAsia="Tahoma" w:hAnsi="Tahoma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</w:t>
        <w:tab/>
        <w:t xml:space="preserve"> O serviço pretendido possui natureza comum no âmbito da engenharia civil, sendo rotineiramente executado por empresas do setor que atuam de forma individual, as quais possuem capacidade técnica, operacional e econômico-financeira suficientes para sua execução integral. Trata-se, portanto, de objeto amplamente difundido no mercado, cuja complexidade técnica não exige a conjugação de esforços entre múltiplas empresas para sua adequada realização.</w:t>
      </w:r>
    </w:p>
    <w:p w:rsidR="00000000" w:rsidDel="00000000" w:rsidP="00000000" w:rsidRDefault="00000000" w:rsidRPr="00000000" w14:paraId="00000077">
      <w:pPr>
        <w:widowControl w:val="1"/>
        <w:spacing w:after="200" w:before="200" w:lineRule="auto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     </w:t>
        <w:tab/>
        <w:t xml:space="preserve"> Além disso, a admissão de consórcios, em contratações de menor complexidade ou de valor  compatível com a capacidade operacional das empresas do mercado, pode acarretar dificuldades adicionais para a gestão e fiscalização contratual, especialmente no que se refere à definição de responsabilidades entre as consorciadas, à execução das obrigações contratuais e à eventual aplicação de sanções administrativas, o que pode comprometer a eficiência e a celeridade da execução contratual.</w:t>
      </w:r>
    </w:p>
    <w:p w:rsidR="00000000" w:rsidDel="00000000" w:rsidP="00000000" w:rsidRDefault="00000000" w:rsidRPr="00000000" w14:paraId="00000078">
      <w:pPr>
        <w:widowControl w:val="1"/>
        <w:spacing w:after="200" w:before="200" w:lineRule="auto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     </w:t>
        <w:tab/>
        <w:t xml:space="preserve"> Ressalta-se, ainda, que a vedação à participação em consórcio não implica restrição indevida à competitividade do certame, uma vez que há no mercado número suficiente de empresas que, isoladamente, possuem condições técnicas e econômicas para executar os serviços objeto desta contratação.</w:t>
      </w:r>
    </w:p>
    <w:p w:rsidR="00000000" w:rsidDel="00000000" w:rsidP="00000000" w:rsidRDefault="00000000" w:rsidRPr="00000000" w14:paraId="00000079">
      <w:pPr>
        <w:widowControl w:val="1"/>
        <w:spacing w:after="200" w:before="200" w:lineRule="auto"/>
        <w:jc w:val="both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sz w:val="24"/>
          <w:szCs w:val="24"/>
          <w:rtl w:val="0"/>
        </w:rPr>
        <w:t xml:space="preserve">      </w:t>
        <w:tab/>
        <w:t xml:space="preserve"> Dessa forma, considerando a natureza do objeto, sua complexidade moderada e a ampla disponibilidade de empresas aptas à execução individual da obra, a Administração entende ser mais adequado restringir a participação a empresas que concorram individualmente, medida que contribui para a simplificação da execução contratual, maior clareza na responsabilização das obrigações assumidas e melhor acompanhamento pela fiscalização do contrato.</w:t>
      </w:r>
    </w:p>
    <w:p w:rsidR="00000000" w:rsidDel="00000000" w:rsidP="00000000" w:rsidRDefault="00000000" w:rsidRPr="00000000" w14:paraId="0000007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sz w:val="24"/>
          <w:szCs w:val="24"/>
          <w:rtl w:val="0"/>
        </w:rPr>
        <w:t xml:space="preserve">4.3. Adequação Orçamentária e Viabilidade Financeira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7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A despesa decorrente desta contratação encontra-se devidamente prevista no orçamento vigente do Município, suportada pelos recursos do Termo de Convênio firmado com a Secretaria de Governo e Relações Institucionais do Estado de São Paulo (Repasse: R$ 150.000,00) e complementada pela Contrapartida Municipal (R$ 41.188,39), onerando as seguintes dotações orçamentárias específicas:</w:t>
      </w:r>
    </w:p>
    <w:p w:rsidR="00000000" w:rsidDel="00000000" w:rsidP="00000000" w:rsidRDefault="00000000" w:rsidRPr="00000000" w14:paraId="0000007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Repasse estadual: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R$ 150.000,00</w:t>
      </w:r>
    </w:p>
    <w:p w:rsidR="00000000" w:rsidDel="00000000" w:rsidP="00000000" w:rsidRDefault="00000000" w:rsidRPr="00000000" w14:paraId="00000080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RUA DIVINO - 150.000,00</w:t>
      </w:r>
    </w:p>
    <w:p w:rsidR="00000000" w:rsidDel="00000000" w:rsidP="00000000" w:rsidRDefault="00000000" w:rsidRPr="00000000" w14:paraId="00000081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*02.00.00 – PREFEITURA MUNICIPAL DE ALUMÍNIO</w:t>
      </w:r>
    </w:p>
    <w:p w:rsidR="00000000" w:rsidDel="00000000" w:rsidP="00000000" w:rsidRDefault="00000000" w:rsidRPr="00000000" w14:paraId="00000082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02.07.00 - DEPARTAMENTO DE SERVIÇOS URBANOS</w:t>
      </w:r>
    </w:p>
    <w:p w:rsidR="00000000" w:rsidDel="00000000" w:rsidP="00000000" w:rsidRDefault="00000000" w:rsidRPr="00000000" w14:paraId="00000083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02.07.01 - DIRETORIA E DEPENDÊNCIAS</w:t>
      </w:r>
    </w:p>
    <w:p w:rsidR="00000000" w:rsidDel="00000000" w:rsidP="00000000" w:rsidRDefault="00000000" w:rsidRPr="00000000" w14:paraId="00000084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Atividade: 15.451.0700.1.138 - INFRAESTRUTURA URBANA</w:t>
      </w:r>
    </w:p>
    <w:p w:rsidR="00000000" w:rsidDel="00000000" w:rsidP="00000000" w:rsidRDefault="00000000" w:rsidRPr="00000000" w14:paraId="00000085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Elemento de Despesa – 4.4.90.51.00 - OBRAS E INSTALAÇÕES</w:t>
      </w:r>
    </w:p>
    <w:p w:rsidR="00000000" w:rsidDel="00000000" w:rsidP="00000000" w:rsidRDefault="00000000" w:rsidRPr="00000000" w14:paraId="00000086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FICHA Nº 140</w:t>
      </w:r>
    </w:p>
    <w:p w:rsidR="00000000" w:rsidDel="00000000" w:rsidP="00000000" w:rsidRDefault="00000000" w:rsidRPr="00000000" w14:paraId="00000087">
      <w:pPr>
        <w:widowControl w:val="1"/>
        <w:jc w:val="both"/>
        <w:rPr>
          <w:rFonts w:ascii="Tahoma" w:cs="Tahoma" w:eastAsia="Tahoma" w:hAnsi="Tahoma"/>
          <w:highlight w:val="yellow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VÍNCULO: 02.801.0011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Contrapartida municipal: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R$ 41.188,39</w:t>
      </w:r>
    </w:p>
    <w:p w:rsidR="00000000" w:rsidDel="00000000" w:rsidP="00000000" w:rsidRDefault="00000000" w:rsidRPr="00000000" w14:paraId="0000008A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RUA DIVINO - 150.000,00</w:t>
      </w:r>
    </w:p>
    <w:p w:rsidR="00000000" w:rsidDel="00000000" w:rsidP="00000000" w:rsidRDefault="00000000" w:rsidRPr="00000000" w14:paraId="0000008B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*02.00.00 – PREFEITURA MUNICIPAL DE ALUMÍNIO</w:t>
      </w:r>
    </w:p>
    <w:p w:rsidR="00000000" w:rsidDel="00000000" w:rsidP="00000000" w:rsidRDefault="00000000" w:rsidRPr="00000000" w14:paraId="0000008C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02.07.00 - DEPARTAMENTO DE SERVIÇOS URBANOS</w:t>
      </w:r>
    </w:p>
    <w:p w:rsidR="00000000" w:rsidDel="00000000" w:rsidP="00000000" w:rsidRDefault="00000000" w:rsidRPr="00000000" w14:paraId="0000008D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02.07.01 - DIRETORIA E DEPENDÊNCIAS</w:t>
      </w:r>
    </w:p>
    <w:p w:rsidR="00000000" w:rsidDel="00000000" w:rsidP="00000000" w:rsidRDefault="00000000" w:rsidRPr="00000000" w14:paraId="0000008E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Atividade: 15.451.0700.1.138 - INFRAESTRUTURA URBANA</w:t>
      </w:r>
    </w:p>
    <w:p w:rsidR="00000000" w:rsidDel="00000000" w:rsidP="00000000" w:rsidRDefault="00000000" w:rsidRPr="00000000" w14:paraId="0000008F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Elemento de Despesa – 4.4.90.51.00 - OBRAS E INSTALAÇÕES</w:t>
      </w:r>
    </w:p>
    <w:p w:rsidR="00000000" w:rsidDel="00000000" w:rsidP="00000000" w:rsidRDefault="00000000" w:rsidRPr="00000000" w14:paraId="00000090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FICHA Nº 140</w:t>
      </w:r>
    </w:p>
    <w:p w:rsidR="00000000" w:rsidDel="00000000" w:rsidP="00000000" w:rsidRDefault="00000000" w:rsidRPr="00000000" w14:paraId="00000091">
      <w:pPr>
        <w:widowControl w:val="1"/>
        <w:jc w:val="both"/>
        <w:rPr>
          <w:rFonts w:ascii="Tahoma" w:cs="Tahoma" w:eastAsia="Tahoma" w:hAnsi="Tahoma"/>
          <w:highlight w:val="white"/>
        </w:rPr>
      </w:pPr>
      <w:r w:rsidDel="00000000" w:rsidR="00000000" w:rsidRPr="00000000">
        <w:rPr>
          <w:rFonts w:ascii="Tahoma" w:cs="Tahoma" w:eastAsia="Tahoma" w:hAnsi="Tahoma"/>
          <w:highlight w:val="white"/>
          <w:rtl w:val="0"/>
        </w:rPr>
        <w:t xml:space="preserve">VÍNCULO: 01.110.0000</w:t>
      </w:r>
    </w:p>
    <w:p w:rsidR="00000000" w:rsidDel="00000000" w:rsidP="00000000" w:rsidRDefault="00000000" w:rsidRPr="00000000" w14:paraId="0000009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4.3. Estimativa do Valor da Contratação</w:t>
      </w:r>
    </w:p>
    <w:p w:rsidR="00000000" w:rsidDel="00000000" w:rsidP="00000000" w:rsidRDefault="00000000" w:rsidRPr="00000000" w14:paraId="0000009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O valor global estimado para a presente contratação é de R</w:t>
      </w:r>
      <w:r w:rsidDel="00000000" w:rsidR="00000000" w:rsidRPr="00000000">
        <w:rPr>
          <w:rFonts w:ascii="Tahoma" w:cs="Tahoma" w:eastAsia="Tahoma" w:hAnsi="Tahoma"/>
          <w:rtl w:val="0"/>
        </w:rPr>
        <w:t xml:space="preserve">$191.188,39</w:t>
      </w:r>
      <w:r w:rsidDel="00000000" w:rsidR="00000000" w:rsidRPr="00000000">
        <w:rPr>
          <w:rFonts w:ascii="Tahoma" w:cs="Tahoma" w:eastAsia="Tahoma" w:hAnsi="Tahoma"/>
          <w:color w:val="000000"/>
          <w:rtl w:val="0"/>
        </w:rPr>
        <w:t xml:space="preserve"> (cento e noventa e um mil, cento e oitenta e oito reais e trinta e nove centavos). Parâmetros de Preço: Os custos unitários foram obtidos em documento separado (Planilha Orçamentária de Referência), balizados integralmente pelas composições analíticas do Boletim CDHU – Volume 201 (Fevereiro/2026) – Sem Desoneração, aplicando-se a taxa de BDI de 23,38%, cujos documentos de suporte (Memórias de Cálculo e Cronogramas) integram os anexos deste processo.</w:t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1" w:lineRule="auto"/>
        <w:ind w:left="466" w:right="601" w:firstLine="0"/>
        <w:jc w:val="center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10" w:orient="portrait"/>
      <w:pgMar w:bottom="1503" w:top="1860" w:left="1559" w:right="992" w:header="340" w:footer="131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Courier New"/>
  <w:font w:name="Tahoma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</w:rPr>
    </w:pPr>
    <w:r w:rsidDel="00000000" w:rsidR="00000000" w:rsidRPr="00000000">
      <w:rPr>
        <w:color w:val="000000"/>
        <w:sz w:val="20"/>
        <w:szCs w:val="20"/>
      </w:rPr>
      <w:drawing>
        <wp:inline distB="0" distT="0" distL="114300" distR="114300">
          <wp:extent cx="819150" cy="990600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19150" cy="9906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963614</wp:posOffset>
              </wp:positionH>
              <wp:positionV relativeFrom="paragraph">
                <wp:posOffset>-241608</wp:posOffset>
              </wp:positionV>
              <wp:extent cx="4391025" cy="1399346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174300" y="3104140"/>
                        <a:ext cx="4343400" cy="135172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3.00000190734863" w:right="0" w:firstLine="572.0000076293945"/>
                            <w:jc w:val="center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3.00000190734863" w:right="0" w:firstLine="572.0000076293945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36"/>
                              <w:vertAlign w:val="baseline"/>
                            </w:rPr>
                            <w:t xml:space="preserve">Prefeitura Municipal de Alumínio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3.00000190734863" w:right="0" w:firstLine="572.0000076293945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3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ESTADO DE SÃO PAULO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Av. Eng.º Antônio de Castro Figueirôa, 100  -  Vila Santa Luzia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CEP 18125-000 Fone (011) 4715-5500  e-mail </w:t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22"/>
                              <w:u w:val="single"/>
                              <w:vertAlign w:val="baseline"/>
                            </w:rPr>
                            <w:t xml:space="preserve">servicosurbanos@aluminio.sp.gov.br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963614</wp:posOffset>
              </wp:positionH>
              <wp:positionV relativeFrom="paragraph">
                <wp:posOffset>-241608</wp:posOffset>
              </wp:positionV>
              <wp:extent cx="4391025" cy="1399346"/>
              <wp:effectExtent b="0" l="0" r="0" t="0"/>
              <wp:wrapNone/>
              <wp:docPr id="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91025" cy="139934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9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right"/>
      <w:pPr>
        <w:ind w:left="720" w:hanging="360"/>
      </w:pPr>
      <w:rPr>
        <w:b w:val="1"/>
        <w:bCs w:val="1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upperRoman"/>
      <w:lvlText w:val="%2."/>
      <w:lvlJc w:val="right"/>
      <w:pPr>
        <w:ind w:left="1440" w:hanging="360"/>
      </w:pPr>
      <w:rPr>
        <w:b w:val="1"/>
        <w:bCs w:val="1"/>
        <w:sz w:val="22"/>
        <w:szCs w:val="22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143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ind w:left="143"/>
      <w:jc w:val="both"/>
    </w:pPr>
    <w:rPr>
      <w:b w:val="1"/>
      <w:bCs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CB774D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CB774D"/>
    <w:rPr>
      <w:rFonts w:ascii="Tahoma" w:cs="Tahoma" w:hAnsi="Tahoma"/>
      <w:sz w:val="16"/>
      <w:szCs w:val="16"/>
    </w:rPr>
  </w:style>
  <w:style w:type="paragraph" w:styleId="PargrafodaLista">
    <w:name w:val="List Paragraph"/>
    <w:basedOn w:val="Normal"/>
    <w:uiPriority w:val="34"/>
    <w:qFormat w:val="1"/>
    <w:rsid w:val="00CB774D"/>
    <w:pPr>
      <w:ind w:left="720"/>
      <w:contextualSpacing w:val="1"/>
    </w:pPr>
  </w:style>
  <w:style w:type="character" w:styleId="math-inline" w:customStyle="1">
    <w:name w:val="math-inline"/>
    <w:basedOn w:val="Fontepargpadro"/>
    <w:rsid w:val="00494E59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qMhhI+PfjKEe8Gg5nClBuIchhw==">CgMxLjAyDmguYnFjcTA4aTFtejl3OAByITFOUDdLZ3VZYzBMT0Qzd2VYSnN6bHd3Qkw4SE96X2IyRw==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2026-08-07T19:50:00Z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2025-04-28T00:00:00Z</vt:lpwstr>
  </property>
  <property fmtid="{D5CDD505-2E9C-101B-9397-08002B2CF9AE}" pid="3" name="Creator">
    <vt:lpwstr>Microsoft® Word 2019</vt:lpwstr>
  </property>
  <property fmtid="{D5CDD505-2E9C-101B-9397-08002B2CF9AE}" pid="4" name="LastSaved">
    <vt:lpwstr>2026-02-02T00:00:00Z</vt:lpwstr>
  </property>
  <property fmtid="{D5CDD505-2E9C-101B-9397-08002B2CF9AE}" pid="5" name="Producer">
    <vt:lpwstr>Microsoft® Word 2019</vt:lpwstr>
  </property>
</Properties>
</file>