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ind w:right="134"/>
        <w:jc w:val="center"/>
        <w:rPr>
          <w:rFonts w:ascii="Tahoma" w:cs="Tahoma" w:eastAsia="Tahoma" w:hAnsi="Tahoma"/>
          <w:color w:val="000000"/>
        </w:rPr>
      </w:pPr>
      <w:r w:rsidDel="00000000" w:rsidR="00000000" w:rsidRPr="00000000">
        <w:rPr>
          <w:rtl w:val="0"/>
        </w:rPr>
      </w:r>
    </w:p>
    <w:p w:rsidR="00000000" w:rsidDel="00000000" w:rsidP="00000000" w:rsidRDefault="00000000" w:rsidRPr="00000000" w14:paraId="00000002">
      <w:pPr>
        <w:pStyle w:val="Heading1"/>
        <w:ind w:left="466" w:right="601" w:firstLine="0"/>
        <w:jc w:val="cente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3">
      <w:pPr>
        <w:pStyle w:val="Heading1"/>
        <w:ind w:left="0" w:right="601" w:firstLine="0"/>
        <w:jc w:val="center"/>
        <w:rPr>
          <w:rFonts w:ascii="Tahoma" w:cs="Tahoma" w:eastAsia="Tahoma" w:hAnsi="Tahoma"/>
          <w:sz w:val="22"/>
          <w:szCs w:val="22"/>
        </w:rPr>
      </w:pPr>
      <w:r w:rsidDel="00000000" w:rsidR="00000000" w:rsidRPr="00000000">
        <w:rPr>
          <w:rFonts w:ascii="Tahoma" w:cs="Tahoma" w:eastAsia="Tahoma" w:hAnsi="Tahoma"/>
          <w:sz w:val="22"/>
          <w:szCs w:val="22"/>
          <w:rtl w:val="0"/>
        </w:rPr>
        <w:t xml:space="preserve">ANEXO III- TERMO DE REFERÊNCIA</w:t>
      </w:r>
    </w:p>
    <w:p w:rsidR="00000000" w:rsidDel="00000000" w:rsidP="00000000" w:rsidRDefault="00000000" w:rsidRPr="00000000" w14:paraId="00000004">
      <w:pPr>
        <w:rPr>
          <w:rFonts w:ascii="Tahoma" w:cs="Tahoma" w:eastAsia="Tahoma" w:hAnsi="Tahoma"/>
        </w:rPr>
      </w:pPr>
      <w:r w:rsidDel="00000000" w:rsidR="00000000" w:rsidRPr="00000000">
        <w:rPr>
          <w:rtl w:val="0"/>
        </w:rPr>
      </w:r>
    </w:p>
    <w:p w:rsidR="00000000" w:rsidDel="00000000" w:rsidP="00000000" w:rsidRDefault="00000000" w:rsidRPr="00000000" w14:paraId="00000005">
      <w:pPr>
        <w:rPr>
          <w:rFonts w:ascii="Tahoma" w:cs="Tahoma" w:eastAsia="Tahoma" w:hAnsi="Tahoma"/>
        </w:rPr>
      </w:pPr>
      <w:r w:rsidDel="00000000" w:rsidR="00000000" w:rsidRPr="00000000">
        <w:rPr>
          <w:rFonts w:ascii="Tahoma" w:cs="Tahoma" w:eastAsia="Tahoma" w:hAnsi="Tahoma"/>
          <w:b w:val="1"/>
          <w:bCs w:val="1"/>
          <w:rtl w:val="0"/>
        </w:rPr>
        <w:t xml:space="preserve">Objeto:</w:t>
      </w:r>
      <w:r w:rsidDel="00000000" w:rsidR="00000000" w:rsidRPr="00000000">
        <w:rPr>
          <w:rFonts w:ascii="Tahoma" w:cs="Tahoma" w:eastAsia="Tahoma" w:hAnsi="Tahoma"/>
          <w:rtl w:val="0"/>
        </w:rPr>
        <w:t xml:space="preserve"> Pavimentação Asfáltica e Drenagem de Águas Pluviais</w:t>
      </w:r>
    </w:p>
    <w:p w:rsidR="00000000" w:rsidDel="00000000" w:rsidP="00000000" w:rsidRDefault="00000000" w:rsidRPr="00000000" w14:paraId="00000006">
      <w:pPr>
        <w:rPr>
          <w:rFonts w:ascii="Tahoma" w:cs="Tahoma" w:eastAsia="Tahoma" w:hAnsi="Tahoma"/>
        </w:rPr>
      </w:pPr>
      <w:r w:rsidDel="00000000" w:rsidR="00000000" w:rsidRPr="00000000">
        <w:rPr>
          <w:rFonts w:ascii="Tahoma" w:cs="Tahoma" w:eastAsia="Tahoma" w:hAnsi="Tahoma"/>
          <w:b w:val="1"/>
          <w:bCs w:val="1"/>
          <w:rtl w:val="0"/>
        </w:rPr>
        <w:t xml:space="preserve">Local:</w:t>
      </w:r>
      <w:r w:rsidDel="00000000" w:rsidR="00000000" w:rsidRPr="00000000">
        <w:rPr>
          <w:rFonts w:ascii="Tahoma" w:cs="Tahoma" w:eastAsia="Tahoma" w:hAnsi="Tahoma"/>
          <w:rtl w:val="0"/>
        </w:rPr>
        <w:t xml:space="preserve"> Avenida Dr. Eno Lippi (Trecho), Loteamento Vem Viver – Alumínio/SP</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 w:lineRule="auto"/>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Órgão Requisitante:</w:t>
      </w:r>
      <w:r w:rsidDel="00000000" w:rsidR="00000000" w:rsidRPr="00000000">
        <w:rPr>
          <w:rFonts w:ascii="Tahoma" w:cs="Tahoma" w:eastAsia="Tahoma" w:hAnsi="Tahoma"/>
          <w:color w:val="000000"/>
          <w:rtl w:val="0"/>
        </w:rPr>
        <w:t xml:space="preserve"> Departamento de Serviços Urbanos</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1" w:lineRule="auto"/>
        <w:rPr>
          <w:rFonts w:ascii="Tahoma" w:cs="Tahoma" w:eastAsia="Tahoma" w:hAnsi="Tahoma"/>
          <w:color w:val="00000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1"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INTRODUÇÃO</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O presente Termo de Referência (TR) estabelece as condições, parâmetros técnicos e diretrizes para a contratação de empresa especializada em engenharia para a execução de obras de pavimentação asfáltica em CBUQ, drenagem superficial e drenagem profunda em trecho específico da Avenida Dr. Eno Lippi, no Município de Alumínio-SP, em estrita conformidade com a Lei Federal nº 14.133/2021.</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before="1" w:lineRule="auto"/>
        <w:rPr>
          <w:rFonts w:ascii="Tahoma" w:cs="Tahoma" w:eastAsia="Tahoma" w:hAnsi="Tahoma"/>
          <w:color w:val="00000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before="1"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DEFINIÇÃO DO OBJETO</w:t>
      </w:r>
    </w:p>
    <w:p w:rsidR="00000000" w:rsidDel="00000000" w:rsidP="00000000" w:rsidRDefault="00000000" w:rsidRPr="00000000" w14:paraId="0000000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 w:line="240" w:lineRule="auto"/>
        <w:ind w:left="720" w:right="0" w:hanging="360"/>
        <w:jc w:val="both"/>
        <w:rPr>
          <w:rFonts w:ascii="Tahoma" w:cs="Tahoma" w:eastAsia="Tahoma" w:hAnsi="Tahoma"/>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Objeto e Natureza</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before="1" w:lineRule="auto"/>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Contratação de empresa especializada para execução de obra pública de engenharia compreendendo serviços preliminares, abertura de caixa, sub-base e base, pavimentação asfáltica em CBUQ (espessura de 4 cm), e implantação de rede subterrânea de microdrenagem pluvial (redes em tubos de concreto DN 400mm e DN 500mm, poços de visita, bocas de lobo e ala de descarga com dissipador).</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 w:line="240" w:lineRule="auto"/>
        <w:ind w:left="720" w:right="0" w:hanging="360"/>
        <w:jc w:val="both"/>
        <w:rPr>
          <w:rFonts w:ascii="Tahoma" w:cs="Tahoma" w:eastAsia="Tahoma" w:hAnsi="Tahoma"/>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Regime de Execução</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1" w:lineRule="auto"/>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1" w:lineRule="auto"/>
        <w:jc w:val="both"/>
        <w:rPr>
          <w:rFonts w:ascii="Tahoma" w:cs="Tahoma" w:eastAsia="Tahoma" w:hAnsi="Tahoma"/>
        </w:rPr>
      </w:pPr>
      <w:r w:rsidDel="00000000" w:rsidR="00000000" w:rsidRPr="00000000">
        <w:rPr>
          <w:rFonts w:ascii="Tahoma" w:cs="Tahoma" w:eastAsia="Tahoma" w:hAnsi="Tahoma"/>
          <w:color w:val="000000"/>
          <w:rtl w:val="0"/>
        </w:rPr>
        <w:t xml:space="preserve">A execução do objeto dar-se-á pelo regime de Empreitada por Preço </w:t>
      </w:r>
      <w:r w:rsidDel="00000000" w:rsidR="00000000" w:rsidRPr="00000000">
        <w:rPr>
          <w:rFonts w:ascii="Tahoma" w:cs="Tahoma" w:eastAsia="Tahoma" w:hAnsi="Tahoma"/>
          <w:rtl w:val="0"/>
        </w:rPr>
        <w:t xml:space="preserve">Global</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 w:line="240" w:lineRule="auto"/>
        <w:ind w:left="720" w:right="0" w:hanging="360"/>
        <w:jc w:val="both"/>
        <w:rPr>
          <w:rFonts w:ascii="Tahoma" w:cs="Tahoma" w:eastAsia="Tahoma" w:hAnsi="Tahoma"/>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Prazos e Prorrogação</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1" w:lineRule="auto"/>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1" w:line="240" w:lineRule="auto"/>
        <w:ind w:left="1440" w:right="0" w:hanging="360"/>
        <w:jc w:val="both"/>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Prazo de Execução Física: 4</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(quatro) meses, contados a partir do recebimento da Ordem de Serviço (OS) emitida pelo Departamento de Serviços Urbanos.</w:t>
      </w:r>
    </w:p>
    <w:p w:rsidR="00000000" w:rsidDel="00000000" w:rsidP="00000000" w:rsidRDefault="00000000" w:rsidRPr="00000000" w14:paraId="00000018">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1" w:line="240" w:lineRule="auto"/>
        <w:ind w:left="1440" w:right="0" w:hanging="360"/>
        <w:jc w:val="both"/>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Prazo de Vigência Contratual:</w:t>
      </w: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 O contrato terá vigência de 24 (vinte e quatro) meses, a contar de sua assinatura, admitindo-se a prorrogação nos termos estritos do Art. 107 da Lei nº 14.133/2021, caso ocorram atrasos técnicos formalmente justificados e aceitos pela Administração, limitados ao prazo final do Convênio Estadual.</w:t>
      </w:r>
    </w:p>
    <w:p w:rsidR="00000000" w:rsidDel="00000000" w:rsidP="00000000" w:rsidRDefault="00000000" w:rsidRPr="00000000" w14:paraId="00000019">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1" w:line="240" w:lineRule="auto"/>
        <w:ind w:left="1440" w:right="0" w:hanging="360"/>
        <w:jc w:val="both"/>
        <w:rPr>
          <w:rFonts w:ascii="Tahoma" w:cs="Tahoma" w:eastAsia="Tahoma" w:hAnsi="Tahoma"/>
        </w:rPr>
      </w:pPr>
      <w:r w:rsidDel="00000000" w:rsidR="00000000" w:rsidRPr="00000000">
        <w:rPr>
          <w:rFonts w:ascii="Tahoma" w:cs="Tahoma" w:eastAsia="Tahoma" w:hAnsi="Tahoma"/>
          <w:rtl w:val="0"/>
        </w:rPr>
        <w:t xml:space="preserve">Prazo para Início da Execução dos Serviços: 10 (dez) dias a contar da emissão da Ordem de Serviço.</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1" w:lineRule="auto"/>
        <w:rPr>
          <w:rFonts w:ascii="Tahoma" w:cs="Tahoma" w:eastAsia="Tahoma" w:hAnsi="Tahoma"/>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before="1"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CAPÍTULO 1: Fundamentação e Descrição da Solução</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before="1" w:lineRule="auto"/>
        <w:jc w:val="center"/>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1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spacing w:after="0" w:before="1" w:line="240" w:lineRule="auto"/>
        <w:ind w:left="720" w:right="0" w:hanging="720"/>
        <w:jc w:val="both"/>
        <w:rPr>
          <w:rFonts w:ascii="Tahoma" w:cs="Tahoma" w:eastAsia="Tahoma" w:hAnsi="Tahoma"/>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Fundamentação da Contratação</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1" w:lineRule="auto"/>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A presente contratação fundamenta-se integralmente nas conclusões do Estudo Técnico Preliminar (ETP), anexo a este processo e aprovado por este Departamento. O ETP demonstrou o nexo causal entre a necessidade pública e a contratação, evidenciando que a ausência de pavimentação e drenagem estruturada na Avenida Dr. Eno Lippi (Loteamento Vem Viver) acarreta riscos crônicos à saúde pública (poeira e lama), prejuízos à mobilidade urbana, segurança viária e degradação ambiental por processos erosivos severos.</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A contratação mostra-se a escolha mais vantajosa para o erário por viabilizar a execução física do repasse financeiro decorrente do Termo de Convênio firmado com a Secretaria de Governo e Relações Institucionais do Estado de São Paulo, evitando a perda de recursos externos voluntários.</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spacing w:after="0" w:before="1" w:line="240" w:lineRule="auto"/>
        <w:ind w:left="720" w:right="0" w:hanging="720"/>
        <w:jc w:val="both"/>
        <w:rPr>
          <w:rFonts w:ascii="Tahoma" w:cs="Tahoma" w:eastAsia="Tahoma" w:hAnsi="Tahoma"/>
          <w:b w:val="1"/>
          <w:bCs w:val="1"/>
          <w:i w:val="0"/>
          <w:iCs w:val="0"/>
          <w:smallCaps w:val="0"/>
          <w:strike w:val="0"/>
          <w:color w:val="000000"/>
          <w:sz w:val="22"/>
          <w:szCs w:val="22"/>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2"/>
          <w:szCs w:val="22"/>
          <w:u w:val="none"/>
          <w:shd w:fill="auto" w:val="clear"/>
          <w:vertAlign w:val="baseline"/>
          <w:rtl w:val="0"/>
        </w:rPr>
        <w:t xml:space="preserve">Descrição da Solução como um Todo e Ciclo de Vida</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before="1" w:lineRule="auto"/>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A solução de engenharia adotada foi detalhada e aprovada n</w:t>
      </w:r>
      <w:r w:rsidDel="00000000" w:rsidR="00000000" w:rsidRPr="00000000">
        <w:rPr>
          <w:rFonts w:ascii="Tahoma" w:cs="Tahoma" w:eastAsia="Tahoma" w:hAnsi="Tahoma"/>
          <w:b w:val="1"/>
          <w:bCs w:val="1"/>
          <w:color w:val="000000"/>
          <w:rtl w:val="0"/>
        </w:rPr>
        <w:t xml:space="preserve">o Projeto Executivo</w:t>
      </w:r>
      <w:r w:rsidDel="00000000" w:rsidR="00000000" w:rsidRPr="00000000">
        <w:rPr>
          <w:rFonts w:ascii="Tahoma" w:cs="Tahoma" w:eastAsia="Tahoma" w:hAnsi="Tahoma"/>
          <w:color w:val="000000"/>
          <w:rtl w:val="0"/>
        </w:rPr>
        <w:t xml:space="preserve"> e consiste em uma intervenção estrutural completa na via, projetada para um ciclo de vida útil inicial de, no mínimo, 20 anos para a base e microdrenagem, e de 10 anos para a camada de rolamento asfáltica, desde que realizadas as manutenções preventivas periódicas.</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A solução compreende as seguintes etapas integradas:</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Fase Inicial / Serviços Preliminares:</w:t>
      </w:r>
      <w:r w:rsidDel="00000000" w:rsidR="00000000" w:rsidRPr="00000000">
        <w:rPr>
          <w:rFonts w:ascii="Tahoma" w:cs="Tahoma" w:eastAsia="Tahoma" w:hAnsi="Tahoma"/>
          <w:color w:val="000000"/>
          <w:rtl w:val="0"/>
        </w:rPr>
        <w:t xml:space="preserve"> Mobilização, instalação de placas oficiais de identificação e demarcação topográfica da poligonal de intervenção (2.890,00 m²) e das diretrizes de rede (76,90 m).</w:t>
      </w:r>
    </w:p>
    <w:p w:rsidR="00000000" w:rsidDel="00000000" w:rsidP="00000000" w:rsidRDefault="00000000" w:rsidRPr="00000000" w14:paraId="00000029">
      <w:pPr>
        <w:numPr>
          <w:ilvl w:val="0"/>
          <w:numId w:val="4"/>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Sistema de Microdrenagem Pluvial (Subterrâneo e Superficial):</w:t>
      </w:r>
      <w:r w:rsidDel="00000000" w:rsidR="00000000" w:rsidRPr="00000000">
        <w:rPr>
          <w:rFonts w:ascii="Tahoma" w:cs="Tahoma" w:eastAsia="Tahoma" w:hAnsi="Tahoma"/>
          <w:color w:val="000000"/>
          <w:rtl w:val="0"/>
        </w:rPr>
        <w:t xml:space="preserve"> Implantação de 14,90 m de tubos de concreto DN 400mm e 62,00 m de DN 500mm; construção de 4 bocas de lobo duplas para captação, 3 Poços de Visita (PV) para inspeção e 1 ala de descarga com dissipador em enrocamento de pedra assentada (1,13\ m³) para proteção contra erosões. O escoamento superficial será garantido por 410,55 m de guias e sarjetas extrudadas in loco e 1,04 m³ de sarjetões.</w:t>
      </w:r>
    </w:p>
    <w:p w:rsidR="00000000" w:rsidDel="00000000" w:rsidP="00000000" w:rsidRDefault="00000000" w:rsidRPr="00000000" w14:paraId="0000002A">
      <w:pPr>
        <w:numPr>
          <w:ilvl w:val="0"/>
          <w:numId w:val="4"/>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Terraplenagem e Superestrutura do Pavimento:</w:t>
      </w:r>
      <w:r w:rsidDel="00000000" w:rsidR="00000000" w:rsidRPr="00000000">
        <w:rPr>
          <w:rFonts w:ascii="Tahoma" w:cs="Tahoma" w:eastAsia="Tahoma" w:hAnsi="Tahoma"/>
          <w:color w:val="000000"/>
          <w:rtl w:val="0"/>
        </w:rPr>
        <w:t xml:space="preserve"> Execução de abertura de caixa com compactação do subleito (2.890,00 m²), aplicação de base em bica corrida (289,00 m³) e sub-base em solo-brita 50/50 (289,00 m³), finalizando com a aplicação de capa de rolamento em CBUQ com 4 cm de espessura (271,66 t).</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1" w:lineRule="auto"/>
        <w:rPr>
          <w:rFonts w:ascii="Tahoma" w:cs="Tahoma" w:eastAsia="Tahoma" w:hAnsi="Tahoma"/>
          <w:color w:val="00000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1" w:lineRule="auto"/>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CAPÍTULO 2: Requisitos da Contratação e Modelo de Execução</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before="1" w:lineRule="auto"/>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2.1. Requisitos da Contratação</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Para a perfeita execução do objeto, a empresa contratada deverá cumprir com as seguintes condições de habilitação e obrigações técnicas:</w:t>
      </w:r>
    </w:p>
    <w:p w:rsidR="00000000" w:rsidDel="00000000" w:rsidP="00000000" w:rsidRDefault="00000000" w:rsidRPr="00000000" w14:paraId="00000031">
      <w:pPr>
        <w:numPr>
          <w:ilvl w:val="0"/>
          <w:numId w:val="6"/>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Prazos do Contrato:</w:t>
      </w:r>
      <w:r w:rsidDel="00000000" w:rsidR="00000000" w:rsidRPr="00000000">
        <w:rPr>
          <w:rFonts w:ascii="Tahoma" w:cs="Tahoma" w:eastAsia="Tahoma" w:hAnsi="Tahoma"/>
          <w:color w:val="000000"/>
          <w:rtl w:val="0"/>
        </w:rPr>
        <w:t xml:space="preserve"> O prazo de execução física das obras será de 4 (quatro) meses, contados a partir da emissão da Ordem de Serviço (OS). O prazo de vigência do contrato será de 24 (vinte e quatro) meses, contados a partir da data de sua assinatura, vinculando-se estritamente ao prazo de vigência máximo do Termo de Convênio Estadual.</w:t>
      </w:r>
    </w:p>
    <w:p w:rsidR="00000000" w:rsidDel="00000000" w:rsidP="00000000" w:rsidRDefault="00000000" w:rsidRPr="00000000" w14:paraId="00000032">
      <w:pPr>
        <w:numPr>
          <w:ilvl w:val="0"/>
          <w:numId w:val="6"/>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Garantia da Obra:</w:t>
      </w:r>
      <w:r w:rsidDel="00000000" w:rsidR="00000000" w:rsidRPr="00000000">
        <w:rPr>
          <w:rFonts w:ascii="Tahoma" w:cs="Tahoma" w:eastAsia="Tahoma" w:hAnsi="Tahoma"/>
          <w:color w:val="000000"/>
          <w:rtl w:val="0"/>
        </w:rPr>
        <w:t xml:space="preserve"> Em conformidade com o Art. 618 do Código Civil, a contratada responderá pela solidez e segurança dos serviços de pavimentação e microdrenagem pelo prazo irredutível de 5 (cinco) anos após o recebimento definitivo da obra.</w:t>
      </w:r>
    </w:p>
    <w:p w:rsidR="00000000" w:rsidDel="00000000" w:rsidP="00000000" w:rsidRDefault="00000000" w:rsidRPr="00000000" w14:paraId="00000033">
      <w:pPr>
        <w:numPr>
          <w:ilvl w:val="0"/>
          <w:numId w:val="6"/>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Qualificação Técnica:</w:t>
      </w:r>
      <w:r w:rsidDel="00000000" w:rsidR="00000000" w:rsidRPr="00000000">
        <w:rPr>
          <w:rFonts w:ascii="Tahoma" w:cs="Tahoma" w:eastAsia="Tahoma" w:hAnsi="Tahoma"/>
          <w:color w:val="000000"/>
          <w:rtl w:val="0"/>
        </w:rPr>
        <w:t xml:space="preserve"> Apresentação de Certidão de Registro Técnico (CREA ou CAU) e atestados de responsabilidade técnica que comprovem a execução de serviços compatíveis em características e prazos (pavimentação em CBUQ e drenagem subterrânea).</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1" w:lineRule="auto"/>
        <w:ind w:left="72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35">
      <w:pPr>
        <w:numPr>
          <w:ilvl w:val="0"/>
          <w:numId w:val="6"/>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Fornecimento:</w:t>
      </w:r>
      <w:r w:rsidDel="00000000" w:rsidR="00000000" w:rsidRPr="00000000">
        <w:rPr>
          <w:rFonts w:ascii="Tahoma" w:cs="Tahoma" w:eastAsia="Tahoma" w:hAnsi="Tahoma"/>
          <w:color w:val="000000"/>
          <w:rtl w:val="0"/>
        </w:rPr>
        <w:t xml:space="preserve"> Responsabilidade integral da contratada pelo fornecimento de materiais, ferramentas, equipamentos apropriados, mão de obra qualificada e encargos sociais/trabalhistas, além da apresentação da respectiva ART de execução antes do início dos serviços.</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2.2. Modelo de Execução do Objeto</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O contrato deverá produzir os resultados pretendidos seguindo uma ordem lógica e cronológica de desenvolvimento, dividida nas seguintes fases:</w:t>
      </w:r>
    </w:p>
    <w:p w:rsidR="00000000" w:rsidDel="00000000" w:rsidP="00000000" w:rsidRDefault="00000000" w:rsidRPr="00000000" w14:paraId="00000039">
      <w:pPr>
        <w:numPr>
          <w:ilvl w:val="0"/>
          <w:numId w:val="7"/>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Fase Preparatória:</w:t>
      </w:r>
      <w:r w:rsidDel="00000000" w:rsidR="00000000" w:rsidRPr="00000000">
        <w:rPr>
          <w:rFonts w:ascii="Tahoma" w:cs="Tahoma" w:eastAsia="Tahoma" w:hAnsi="Tahoma"/>
          <w:color w:val="000000"/>
          <w:rtl w:val="0"/>
        </w:rPr>
        <w:t xml:space="preserve"> Assinatura do contrato, indicação formal do preposto da empresa, apresentação do Cronograma Físico-Financeiro detalhado e emissão da Ordem de Serviço pelo Departamento de Serviços Urbanos.</w:t>
      </w:r>
    </w:p>
    <w:p w:rsidR="00000000" w:rsidDel="00000000" w:rsidP="00000000" w:rsidRDefault="00000000" w:rsidRPr="00000000" w14:paraId="0000003A">
      <w:pPr>
        <w:numPr>
          <w:ilvl w:val="0"/>
          <w:numId w:val="7"/>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Fase Executiva (Frentes de Trabalho Simultâneas ou Sucessivas):</w:t>
      </w:r>
      <w:r w:rsidDel="00000000" w:rsidR="00000000" w:rsidRPr="00000000">
        <w:rPr>
          <w:rtl w:val="0"/>
        </w:rPr>
      </w:r>
    </w:p>
    <w:p w:rsidR="00000000" w:rsidDel="00000000" w:rsidP="00000000" w:rsidRDefault="00000000" w:rsidRPr="00000000" w14:paraId="0000003B">
      <w:pPr>
        <w:numPr>
          <w:ilvl w:val="1"/>
          <w:numId w:val="7"/>
        </w:numPr>
        <w:pBdr>
          <w:top w:space="0" w:sz="0" w:val="nil"/>
          <w:left w:space="0" w:sz="0" w:val="nil"/>
          <w:bottom w:space="0" w:sz="0" w:val="nil"/>
          <w:right w:space="0" w:sz="0" w:val="nil"/>
          <w:between w:space="0" w:sz="0" w:val="nil"/>
        </w:pBdr>
        <w:spacing w:before="1" w:lineRule="auto"/>
        <w:ind w:left="1440" w:hanging="360"/>
        <w:jc w:val="both"/>
        <w:rPr>
          <w:rFonts w:ascii="Tahoma" w:cs="Tahoma" w:eastAsia="Tahoma" w:hAnsi="Tahoma"/>
        </w:rPr>
      </w:pPr>
      <w:r w:rsidDel="00000000" w:rsidR="00000000" w:rsidRPr="00000000">
        <w:rPr>
          <w:rFonts w:ascii="Tahoma" w:cs="Tahoma" w:eastAsia="Tahoma" w:hAnsi="Tahoma"/>
          <w:b w:val="1"/>
          <w:bCs w:val="1"/>
          <w:rtl w:val="0"/>
        </w:rPr>
        <w:t xml:space="preserve">Mobilização e Topografia:</w:t>
      </w:r>
      <w:r w:rsidDel="00000000" w:rsidR="00000000" w:rsidRPr="00000000">
        <w:rPr>
          <w:rFonts w:ascii="Tahoma" w:cs="Tahoma" w:eastAsia="Tahoma" w:hAnsi="Tahoma"/>
          <w:rtl w:val="0"/>
        </w:rPr>
        <w:t xml:space="preserve"> Demarcação física do trecho da Avenida Dr. Eno Lippi e locação das redes de drenagem.</w:t>
      </w:r>
    </w:p>
    <w:p w:rsidR="00000000" w:rsidDel="00000000" w:rsidP="00000000" w:rsidRDefault="00000000" w:rsidRPr="00000000" w14:paraId="0000003C">
      <w:pPr>
        <w:numPr>
          <w:ilvl w:val="1"/>
          <w:numId w:val="7"/>
        </w:numPr>
        <w:pBdr>
          <w:top w:space="0" w:sz="0" w:val="nil"/>
          <w:left w:space="0" w:sz="0" w:val="nil"/>
          <w:bottom w:space="0" w:sz="0" w:val="nil"/>
          <w:right w:space="0" w:sz="0" w:val="nil"/>
          <w:between w:space="0" w:sz="0" w:val="nil"/>
        </w:pBdr>
        <w:spacing w:before="1" w:lineRule="auto"/>
        <w:ind w:left="1440" w:hanging="360"/>
        <w:jc w:val="both"/>
        <w:rPr>
          <w:rFonts w:ascii="Tahoma" w:cs="Tahoma" w:eastAsia="Tahoma" w:hAnsi="Tahoma"/>
        </w:rPr>
      </w:pPr>
      <w:r w:rsidDel="00000000" w:rsidR="00000000" w:rsidRPr="00000000">
        <w:rPr>
          <w:rFonts w:ascii="Tahoma" w:cs="Tahoma" w:eastAsia="Tahoma" w:hAnsi="Tahoma"/>
          <w:b w:val="1"/>
          <w:bCs w:val="1"/>
          <w:rtl w:val="0"/>
        </w:rPr>
        <w:t xml:space="preserve">Microdrenagem Profunda:</w:t>
      </w:r>
      <w:r w:rsidDel="00000000" w:rsidR="00000000" w:rsidRPr="00000000">
        <w:rPr>
          <w:rFonts w:ascii="Tahoma" w:cs="Tahoma" w:eastAsia="Tahoma" w:hAnsi="Tahoma"/>
          <w:rtl w:val="0"/>
        </w:rPr>
        <w:t xml:space="preserve"> Escavação mecânica de valas, assentamento das tubulações de concreto (DN 400mm e DN 500mm), construção das caixas de poços de visita (PV) e bocas de lobo, e execução da ala de descarga com enrocamento.</w:t>
      </w:r>
    </w:p>
    <w:p w:rsidR="00000000" w:rsidDel="00000000" w:rsidP="00000000" w:rsidRDefault="00000000" w:rsidRPr="00000000" w14:paraId="0000003D">
      <w:pPr>
        <w:numPr>
          <w:ilvl w:val="1"/>
          <w:numId w:val="7"/>
        </w:numPr>
        <w:pBdr>
          <w:top w:space="0" w:sz="0" w:val="nil"/>
          <w:left w:space="0" w:sz="0" w:val="nil"/>
          <w:bottom w:space="0" w:sz="0" w:val="nil"/>
          <w:right w:space="0" w:sz="0" w:val="nil"/>
          <w:between w:space="0" w:sz="0" w:val="nil"/>
        </w:pBdr>
        <w:spacing w:before="1" w:lineRule="auto"/>
        <w:ind w:left="1440" w:hanging="360"/>
        <w:jc w:val="both"/>
        <w:rPr>
          <w:rFonts w:ascii="Tahoma" w:cs="Tahoma" w:eastAsia="Tahoma" w:hAnsi="Tahoma"/>
        </w:rPr>
      </w:pPr>
      <w:r w:rsidDel="00000000" w:rsidR="00000000" w:rsidRPr="00000000">
        <w:rPr>
          <w:rFonts w:ascii="Tahoma" w:cs="Tahoma" w:eastAsia="Tahoma" w:hAnsi="Tahoma"/>
          <w:b w:val="1"/>
          <w:bCs w:val="1"/>
          <w:rtl w:val="0"/>
        </w:rPr>
        <w:t xml:space="preserve">Drenagem Superficial e Pavimentação:</w:t>
      </w:r>
      <w:r w:rsidDel="00000000" w:rsidR="00000000" w:rsidRPr="00000000">
        <w:rPr>
          <w:rFonts w:ascii="Tahoma" w:cs="Tahoma" w:eastAsia="Tahoma" w:hAnsi="Tahoma"/>
          <w:rtl w:val="0"/>
        </w:rPr>
        <w:t xml:space="preserve"> Moldagem de guias, sarjetas e sarjetões; abertura e regularização da caixa da via; aplicação e compactação das camadas de base (bica corrida) e sub-base (solo-brita); e aplicação da capa de rolamento asfáltica em CBUQ (4 cm).</w:t>
      </w:r>
    </w:p>
    <w:p w:rsidR="00000000" w:rsidDel="00000000" w:rsidP="00000000" w:rsidRDefault="00000000" w:rsidRPr="00000000" w14:paraId="0000003E">
      <w:pPr>
        <w:numPr>
          <w:ilvl w:val="0"/>
          <w:numId w:val="7"/>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rPr>
      </w:pPr>
      <w:r w:rsidDel="00000000" w:rsidR="00000000" w:rsidRPr="00000000">
        <w:rPr>
          <w:rFonts w:ascii="Tahoma" w:cs="Tahoma" w:eastAsia="Tahoma" w:hAnsi="Tahoma"/>
          <w:b w:val="1"/>
          <w:bCs w:val="1"/>
          <w:rtl w:val="0"/>
        </w:rPr>
        <w:t xml:space="preserve">Fase de Encerramento:</w:t>
      </w:r>
      <w:r w:rsidDel="00000000" w:rsidR="00000000" w:rsidRPr="00000000">
        <w:rPr>
          <w:rFonts w:ascii="Tahoma" w:cs="Tahoma" w:eastAsia="Tahoma" w:hAnsi="Tahoma"/>
          <w:rtl w:val="0"/>
        </w:rPr>
        <w:t xml:space="preserve"> Limpeza final do canteiro de obras, destinação adequada dos resíduos excedentes (147,84 m³) em bota-fora licenciado e emissão dos Termos de Recebimento Provisório e Definitivo.</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1"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before="1" w:lineRule="auto"/>
        <w:ind w:left="0" w:firstLine="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2.3. Subcontratação</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before="1" w:lineRule="auto"/>
        <w:ind w:left="0" w:firstLine="0"/>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042">
      <w:pPr>
        <w:spacing w:after="200" w:before="200" w:lineRule="auto"/>
        <w:ind w:right="-20"/>
        <w:jc w:val="both"/>
        <w:rPr>
          <w:rFonts w:ascii="Tahoma" w:cs="Tahoma" w:eastAsia="Tahoma" w:hAnsi="Tahoma"/>
        </w:rPr>
      </w:pPr>
      <w:r w:rsidDel="00000000" w:rsidR="00000000" w:rsidRPr="00000000">
        <w:rPr>
          <w:rFonts w:ascii="Tahoma" w:cs="Tahoma" w:eastAsia="Tahoma" w:hAnsi="Tahoma"/>
          <w:rtl w:val="0"/>
        </w:rPr>
        <w:t xml:space="preserve">A subcontratação integral do objeto é expressamente proibida. Contudo, permite-se a subcontratação parcial de serviços acessórios e desde que previamente autorizado pelo gestor do contrato, devendo a subcontratada ter as qualificações técnicas adequadas para a realização dos serviços.</w:t>
      </w:r>
    </w:p>
    <w:p w:rsidR="00000000" w:rsidDel="00000000" w:rsidP="00000000" w:rsidRDefault="00000000" w:rsidRPr="00000000" w14:paraId="00000043">
      <w:pPr>
        <w:spacing w:after="200" w:before="200" w:lineRule="auto"/>
        <w:ind w:right="-20"/>
        <w:jc w:val="both"/>
        <w:rPr>
          <w:rFonts w:ascii="Tahoma" w:cs="Tahoma" w:eastAsia="Tahoma" w:hAnsi="Tahoma"/>
        </w:rPr>
      </w:pPr>
      <w:r w:rsidDel="00000000" w:rsidR="00000000" w:rsidRPr="00000000">
        <w:rPr>
          <w:rFonts w:ascii="Tahoma" w:cs="Tahoma" w:eastAsia="Tahoma" w:hAnsi="Tahoma"/>
          <w:rtl w:val="0"/>
        </w:rPr>
        <w:t xml:space="preserve">          </w:t>
        <w:tab/>
        <w:t xml:space="preserve">A subcontratação não gera relação da Contratante com as empresas subcontratadas, sendo plena a responsabilidade da Contratada pelo cumprimento de todas as obrigações, principais e acessórias, decorrentes da contratação, nos termos dos artigos 121 e 122 da Lei nº 14.133/2021.</w:t>
      </w:r>
    </w:p>
    <w:p w:rsidR="00000000" w:rsidDel="00000000" w:rsidP="00000000" w:rsidRDefault="00000000" w:rsidRPr="00000000" w14:paraId="00000044">
      <w:pPr>
        <w:spacing w:after="200" w:before="200" w:lineRule="auto"/>
        <w:ind w:right="-20"/>
        <w:jc w:val="both"/>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45">
      <w:pPr>
        <w:spacing w:after="200" w:before="200" w:lineRule="auto"/>
        <w:ind w:right="-20"/>
        <w:jc w:val="both"/>
        <w:rPr>
          <w:rFonts w:ascii="Tahoma" w:cs="Tahoma" w:eastAsia="Tahoma" w:hAnsi="Tahoma"/>
          <w:b w:val="1"/>
          <w:bCs w:val="1"/>
        </w:rPr>
      </w:pPr>
      <w:r w:rsidDel="00000000" w:rsidR="00000000" w:rsidRPr="00000000">
        <w:rPr>
          <w:rFonts w:ascii="Tahoma" w:cs="Tahoma" w:eastAsia="Tahoma" w:hAnsi="Tahoma"/>
          <w:rtl w:val="0"/>
        </w:rPr>
        <w:t xml:space="preserve">2.4. </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rtl w:val="0"/>
        </w:rPr>
        <w:t xml:space="preserve"> Vistoria</w:t>
      </w:r>
    </w:p>
    <w:p w:rsidR="00000000" w:rsidDel="00000000" w:rsidP="00000000" w:rsidRDefault="00000000" w:rsidRPr="00000000" w14:paraId="00000046">
      <w:pPr>
        <w:spacing w:after="200" w:before="200" w:lineRule="auto"/>
        <w:ind w:right="-20"/>
        <w:jc w:val="both"/>
        <w:rPr>
          <w:rFonts w:ascii="Tahoma" w:cs="Tahoma" w:eastAsia="Tahoma" w:hAnsi="Tahoma"/>
        </w:rPr>
      </w:pPr>
      <w:r w:rsidDel="00000000" w:rsidR="00000000" w:rsidRPr="00000000">
        <w:rPr>
          <w:rFonts w:ascii="Tahoma" w:cs="Tahoma" w:eastAsia="Tahoma" w:hAnsi="Tahoma"/>
          <w:rtl w:val="0"/>
        </w:rPr>
        <w:t xml:space="preserve">A vistoria prévia para os interessados em participar do processo licitatório não é obrigatória; no entanto, caso o licitante deseje realizar uma visita ao local de prestação dos serviços para fins de dimensionamento e elaboração de sua proposta, essa visita deverá ser agendada previamente por meio do e-mail </w:t>
      </w:r>
      <w:r w:rsidDel="00000000" w:rsidR="00000000" w:rsidRPr="00000000">
        <w:rPr>
          <w:rFonts w:ascii="Arial" w:cs="Arial" w:eastAsia="Arial" w:hAnsi="Arial"/>
          <w:sz w:val="20"/>
          <w:szCs w:val="20"/>
          <w:rtl w:val="0"/>
        </w:rPr>
        <w:t xml:space="preserve"> </w:t>
      </w:r>
      <w:hyperlink r:id="rId7">
        <w:r w:rsidDel="00000000" w:rsidR="00000000" w:rsidRPr="00000000">
          <w:rPr>
            <w:rFonts w:ascii="Arial" w:cs="Arial" w:eastAsia="Arial" w:hAnsi="Arial"/>
            <w:color w:val="1155cc"/>
            <w:sz w:val="20"/>
            <w:szCs w:val="20"/>
            <w:u w:val="single"/>
            <w:rtl w:val="0"/>
          </w:rPr>
          <w:t xml:space="preserve">licitacao@aluminio.sp.gov.br</w:t>
        </w:r>
      </w:hyperlink>
      <w:r w:rsidDel="00000000" w:rsidR="00000000" w:rsidRPr="00000000">
        <w:rPr>
          <w:rFonts w:ascii="Tahoma" w:cs="Tahoma" w:eastAsia="Tahoma" w:hAnsi="Tahoma"/>
          <w:rtl w:val="0"/>
        </w:rPr>
        <w:t xml:space="preserve"> e </w:t>
      </w:r>
      <w:r w:rsidDel="00000000" w:rsidR="00000000" w:rsidRPr="00000000">
        <w:rPr>
          <w:rFonts w:ascii="Tahoma" w:cs="Tahoma" w:eastAsia="Tahoma" w:hAnsi="Tahoma"/>
          <w:rtl w:val="0"/>
        </w:rPr>
        <w:t xml:space="preserve">servicosurbanos</w:t>
      </w:r>
      <w:r w:rsidDel="00000000" w:rsidR="00000000" w:rsidRPr="00000000">
        <w:rPr>
          <w:rFonts w:ascii="Tahoma" w:cs="Tahoma" w:eastAsia="Tahoma" w:hAnsi="Tahoma"/>
          <w:rtl w:val="0"/>
        </w:rPr>
        <w:t xml:space="preserve">@alumínio.sp.gov.br</w:t>
      </w:r>
      <w:r w:rsidDel="00000000" w:rsidR="00000000" w:rsidRPr="00000000">
        <w:rPr>
          <w:rFonts w:ascii="Tahoma" w:cs="Tahoma" w:eastAsia="Tahoma" w:hAnsi="Tahoma"/>
          <w:rtl w:val="0"/>
        </w:rPr>
        <w:t xml:space="preserve"> e deverá ser realizada até o dia útil anterior a sessão.</w:t>
      </w:r>
    </w:p>
    <w:p w:rsidR="00000000" w:rsidDel="00000000" w:rsidP="00000000" w:rsidRDefault="00000000" w:rsidRPr="00000000" w14:paraId="00000047">
      <w:pPr>
        <w:spacing w:after="200" w:before="200" w:lineRule="auto"/>
        <w:ind w:right="-20"/>
        <w:jc w:val="both"/>
        <w:rPr>
          <w:rFonts w:ascii="Tahoma" w:cs="Tahoma" w:eastAsia="Tahoma" w:hAnsi="Tahoma"/>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before="1"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1"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before="1"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CAPÍTULO 3: Modelo de Gestão, Medição e Pagamento</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1"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4C">
      <w:pPr>
        <w:pStyle w:val="Heading4"/>
        <w:keepNext w:val="0"/>
        <w:keepLines w:val="0"/>
        <w:spacing w:after="40" w:before="240" w:lineRule="auto"/>
        <w:jc w:val="both"/>
        <w:rPr>
          <w:rFonts w:ascii="Tahoma" w:cs="Tahoma" w:eastAsia="Tahoma" w:hAnsi="Tahoma"/>
          <w:i w:val="0"/>
          <w:iCs w:val="0"/>
          <w:color w:val="000000"/>
        </w:rPr>
      </w:pPr>
      <w:bookmarkStart w:colFirst="0" w:colLast="0" w:name="_heading=h.f5cnoeukd11i" w:id="0"/>
      <w:bookmarkEnd w:id="0"/>
      <w:r w:rsidDel="00000000" w:rsidR="00000000" w:rsidRPr="00000000">
        <w:rPr>
          <w:rFonts w:ascii="Tahoma" w:cs="Tahoma" w:eastAsia="Tahoma" w:hAnsi="Tahoma"/>
          <w:i w:val="0"/>
          <w:iCs w:val="0"/>
          <w:color w:val="000000"/>
          <w:rtl w:val="0"/>
        </w:rPr>
        <w:t xml:space="preserve">3.1. Da Periodicidade e do Rito de Medição</w:t>
      </w:r>
    </w:p>
    <w:p w:rsidR="00000000" w:rsidDel="00000000" w:rsidP="00000000" w:rsidRDefault="00000000" w:rsidRPr="00000000" w14:paraId="0000004D">
      <w:pPr>
        <w:spacing w:after="240" w:before="240" w:lineRule="auto"/>
        <w:jc w:val="both"/>
        <w:rPr>
          <w:rFonts w:ascii="Tahoma" w:cs="Tahoma" w:eastAsia="Tahoma" w:hAnsi="Tahoma"/>
        </w:rPr>
      </w:pPr>
      <w:r w:rsidDel="00000000" w:rsidR="00000000" w:rsidRPr="00000000">
        <w:rPr>
          <w:rFonts w:ascii="Tahoma" w:cs="Tahoma" w:eastAsia="Tahoma" w:hAnsi="Tahoma"/>
          <w:rtl w:val="0"/>
        </w:rPr>
        <w:t xml:space="preserve">As medições dos serviços executados serão realizadas mensalmente, em ciclos sucessivos de 30 (trinta) dias. O primeiro período de apuração terá início na data de emissão da Ordem de Serviço (OS), estendendo-se pelos 30 dias subsequentes. As medições posteriores ocorrerão sucessivamente a cada 30 dias contados a partir do término do período de aferição anterior. O procedimento de aferição obedecerá ao seguinte rito operacional:</w:t>
      </w:r>
    </w:p>
    <w:p w:rsidR="00000000" w:rsidDel="00000000" w:rsidP="00000000" w:rsidRDefault="00000000" w:rsidRPr="00000000" w14:paraId="0000004E">
      <w:pPr>
        <w:spacing w:after="240" w:before="240" w:lineRule="auto"/>
        <w:ind w:firstLine="720"/>
        <w:jc w:val="both"/>
        <w:rPr>
          <w:rFonts w:ascii="Tahoma" w:cs="Tahoma" w:eastAsia="Tahoma" w:hAnsi="Tahoma"/>
        </w:rPr>
      </w:pPr>
      <w:r w:rsidDel="00000000" w:rsidR="00000000" w:rsidRPr="00000000">
        <w:rPr>
          <w:rFonts w:ascii="Tahoma" w:cs="Tahoma" w:eastAsia="Tahoma" w:hAnsi="Tahoma"/>
          <w:rtl w:val="0"/>
        </w:rPr>
        <w:t xml:space="preserve">·</w:t>
      </w:r>
      <w:r w:rsidDel="00000000" w:rsidR="00000000" w:rsidRPr="00000000">
        <w:rPr>
          <w:sz w:val="14"/>
          <w:szCs w:val="14"/>
          <w:rtl w:val="0"/>
        </w:rPr>
        <w:t xml:space="preserve">         </w:t>
      </w:r>
      <w:r w:rsidDel="00000000" w:rsidR="00000000" w:rsidRPr="00000000">
        <w:rPr>
          <w:rFonts w:ascii="Tahoma" w:cs="Tahoma" w:eastAsia="Tahoma" w:hAnsi="Tahoma"/>
          <w:rtl w:val="0"/>
        </w:rPr>
        <w:t xml:space="preserve">Em até 5 (cinco) dias úteis após o término de cada período de 30 dias de prestação dos serviços, a empresa contratada deverá protocolar junto à prefeitura o requerimento de aprovação da medição, acompanhado dos seguintes documentos:</w:t>
      </w:r>
    </w:p>
    <w:p w:rsidR="00000000" w:rsidDel="00000000" w:rsidP="00000000" w:rsidRDefault="00000000" w:rsidRPr="00000000" w14:paraId="0000004F">
      <w:pPr>
        <w:spacing w:after="240" w:before="240" w:lineRule="auto"/>
        <w:jc w:val="both"/>
        <w:rPr>
          <w:rFonts w:ascii="Tahoma" w:cs="Tahoma" w:eastAsia="Tahoma" w:hAnsi="Tahoma"/>
        </w:rPr>
      </w:pPr>
      <w:r w:rsidDel="00000000" w:rsidR="00000000" w:rsidRPr="00000000">
        <w:rPr>
          <w:sz w:val="14"/>
          <w:szCs w:val="14"/>
          <w:rtl w:val="0"/>
        </w:rPr>
        <w:t xml:space="preserve">                    </w:t>
      </w:r>
      <w:r w:rsidDel="00000000" w:rsidR="00000000" w:rsidRPr="00000000">
        <w:rPr>
          <w:rFonts w:ascii="Tahoma" w:cs="Tahoma" w:eastAsia="Tahoma" w:hAnsi="Tahoma"/>
          <w:b w:val="1"/>
          <w:bCs w:val="1"/>
          <w:rtl w:val="0"/>
        </w:rPr>
        <w:t xml:space="preserve">I.</w:t>
      </w:r>
      <w:r w:rsidDel="00000000" w:rsidR="00000000" w:rsidRPr="00000000">
        <w:rPr>
          <w:sz w:val="14"/>
          <w:szCs w:val="14"/>
          <w:rtl w:val="0"/>
        </w:rPr>
        <w:t xml:space="preserve">        </w:t>
      </w:r>
      <w:r w:rsidDel="00000000" w:rsidR="00000000" w:rsidRPr="00000000">
        <w:rPr>
          <w:rFonts w:ascii="Tahoma" w:cs="Tahoma" w:eastAsia="Tahoma" w:hAnsi="Tahoma"/>
          <w:rtl w:val="0"/>
        </w:rPr>
        <w:t xml:space="preserve">Medição alvo de aprovação;</w:t>
      </w:r>
    </w:p>
    <w:p w:rsidR="00000000" w:rsidDel="00000000" w:rsidP="00000000" w:rsidRDefault="00000000" w:rsidRPr="00000000" w14:paraId="00000050">
      <w:pPr>
        <w:spacing w:after="240" w:before="240" w:lineRule="auto"/>
        <w:jc w:val="both"/>
        <w:rPr>
          <w:rFonts w:ascii="Tahoma" w:cs="Tahoma" w:eastAsia="Tahoma" w:hAnsi="Tahoma"/>
        </w:rPr>
      </w:pPr>
      <w:r w:rsidDel="00000000" w:rsidR="00000000" w:rsidRPr="00000000">
        <w:rPr>
          <w:sz w:val="14"/>
          <w:szCs w:val="14"/>
          <w:rtl w:val="0"/>
        </w:rPr>
        <w:t xml:space="preserve">                  </w:t>
      </w:r>
      <w:r w:rsidDel="00000000" w:rsidR="00000000" w:rsidRPr="00000000">
        <w:rPr>
          <w:rFonts w:ascii="Tahoma" w:cs="Tahoma" w:eastAsia="Tahoma" w:hAnsi="Tahoma"/>
          <w:b w:val="1"/>
          <w:bCs w:val="1"/>
          <w:rtl w:val="0"/>
        </w:rPr>
        <w:t xml:space="preserve">II.</w:t>
      </w:r>
      <w:r w:rsidDel="00000000" w:rsidR="00000000" w:rsidRPr="00000000">
        <w:rPr>
          <w:sz w:val="14"/>
          <w:szCs w:val="14"/>
          <w:rtl w:val="0"/>
        </w:rPr>
        <w:t xml:space="preserve">        </w:t>
      </w:r>
      <w:r w:rsidDel="00000000" w:rsidR="00000000" w:rsidRPr="00000000">
        <w:rPr>
          <w:rFonts w:ascii="Tahoma" w:cs="Tahoma" w:eastAsia="Tahoma" w:hAnsi="Tahoma"/>
          <w:rtl w:val="0"/>
        </w:rPr>
        <w:t xml:space="preserve">Memórias de cálculo;</w:t>
      </w:r>
    </w:p>
    <w:p w:rsidR="00000000" w:rsidDel="00000000" w:rsidP="00000000" w:rsidRDefault="00000000" w:rsidRPr="00000000" w14:paraId="00000051">
      <w:pPr>
        <w:spacing w:after="240" w:before="240" w:lineRule="auto"/>
        <w:jc w:val="both"/>
        <w:rPr>
          <w:rFonts w:ascii="Tahoma" w:cs="Tahoma" w:eastAsia="Tahoma" w:hAnsi="Tahoma"/>
        </w:rPr>
      </w:pPr>
      <w:r w:rsidDel="00000000" w:rsidR="00000000" w:rsidRPr="00000000">
        <w:rPr>
          <w:sz w:val="14"/>
          <w:szCs w:val="14"/>
          <w:rtl w:val="0"/>
        </w:rPr>
        <w:t xml:space="preserve">                </w:t>
      </w:r>
      <w:r w:rsidDel="00000000" w:rsidR="00000000" w:rsidRPr="00000000">
        <w:rPr>
          <w:rFonts w:ascii="Tahoma" w:cs="Tahoma" w:eastAsia="Tahoma" w:hAnsi="Tahoma"/>
          <w:b w:val="1"/>
          <w:bCs w:val="1"/>
          <w:rtl w:val="0"/>
        </w:rPr>
        <w:t xml:space="preserve">III.</w:t>
      </w:r>
      <w:r w:rsidDel="00000000" w:rsidR="00000000" w:rsidRPr="00000000">
        <w:rPr>
          <w:sz w:val="14"/>
          <w:szCs w:val="14"/>
          <w:rtl w:val="0"/>
        </w:rPr>
        <w:t xml:space="preserve">        </w:t>
      </w:r>
      <w:r w:rsidDel="00000000" w:rsidR="00000000" w:rsidRPr="00000000">
        <w:rPr>
          <w:rFonts w:ascii="Tahoma" w:cs="Tahoma" w:eastAsia="Tahoma" w:hAnsi="Tahoma"/>
          <w:rtl w:val="0"/>
        </w:rPr>
        <w:t xml:space="preserve">Relatório fotográfico;</w:t>
      </w:r>
    </w:p>
    <w:p w:rsidR="00000000" w:rsidDel="00000000" w:rsidP="00000000" w:rsidRDefault="00000000" w:rsidRPr="00000000" w14:paraId="00000052">
      <w:pPr>
        <w:spacing w:after="240" w:before="240" w:lineRule="auto"/>
        <w:jc w:val="both"/>
        <w:rPr>
          <w:rFonts w:ascii="Tahoma" w:cs="Tahoma" w:eastAsia="Tahoma" w:hAnsi="Tahoma"/>
        </w:rPr>
      </w:pPr>
      <w:r w:rsidDel="00000000" w:rsidR="00000000" w:rsidRPr="00000000">
        <w:rPr>
          <w:sz w:val="14"/>
          <w:szCs w:val="14"/>
          <w:rtl w:val="0"/>
        </w:rPr>
        <w:t xml:space="preserve">                 </w:t>
      </w:r>
      <w:r w:rsidDel="00000000" w:rsidR="00000000" w:rsidRPr="00000000">
        <w:rPr>
          <w:rFonts w:ascii="Tahoma" w:cs="Tahoma" w:eastAsia="Tahoma" w:hAnsi="Tahoma"/>
          <w:b w:val="1"/>
          <w:bCs w:val="1"/>
          <w:rtl w:val="0"/>
        </w:rPr>
        <w:t xml:space="preserve">IV.</w:t>
      </w:r>
      <w:r w:rsidDel="00000000" w:rsidR="00000000" w:rsidRPr="00000000">
        <w:rPr>
          <w:sz w:val="14"/>
          <w:szCs w:val="14"/>
          <w:rtl w:val="0"/>
        </w:rPr>
        <w:t xml:space="preserve">        </w:t>
      </w:r>
      <w:r w:rsidDel="00000000" w:rsidR="00000000" w:rsidRPr="00000000">
        <w:rPr>
          <w:rFonts w:ascii="Tahoma" w:cs="Tahoma" w:eastAsia="Tahoma" w:hAnsi="Tahoma"/>
          <w:rtl w:val="0"/>
        </w:rPr>
        <w:t xml:space="preserve">Cópia do cronograma de execução.</w:t>
      </w:r>
    </w:p>
    <w:p w:rsidR="00000000" w:rsidDel="00000000" w:rsidP="00000000" w:rsidRDefault="00000000" w:rsidRPr="00000000" w14:paraId="00000053">
      <w:pPr>
        <w:numPr>
          <w:ilvl w:val="0"/>
          <w:numId w:val="2"/>
        </w:numPr>
        <w:spacing w:after="0" w:afterAutospacing="0" w:before="100" w:lineRule="auto"/>
        <w:ind w:left="720" w:hanging="360"/>
        <w:jc w:val="both"/>
        <w:rPr>
          <w:rFonts w:ascii="Tahoma" w:cs="Tahoma" w:eastAsia="Tahoma" w:hAnsi="Tahoma"/>
          <w:u w:val="none"/>
        </w:rPr>
      </w:pPr>
      <w:r w:rsidDel="00000000" w:rsidR="00000000" w:rsidRPr="00000000">
        <w:rPr>
          <w:rFonts w:ascii="Tahoma" w:cs="Tahoma" w:eastAsia="Tahoma" w:hAnsi="Tahoma"/>
          <w:rtl w:val="0"/>
        </w:rPr>
        <w:t xml:space="preserve">O Responsável Técnico realizará a vistoria conjunta de campo em até cinco dias úteis após o protocolo, conferindo as dimensões, níveis e a qualidade técnica das etapas alegadas como concluídas nas duas frentes de trabalho.</w:t>
      </w:r>
    </w:p>
    <w:p w:rsidR="00000000" w:rsidDel="00000000" w:rsidP="00000000" w:rsidRDefault="00000000" w:rsidRPr="00000000" w14:paraId="00000054">
      <w:pPr>
        <w:numPr>
          <w:ilvl w:val="0"/>
          <w:numId w:val="2"/>
        </w:numPr>
        <w:spacing w:after="240" w:before="0" w:beforeAutospacing="0" w:lineRule="auto"/>
        <w:ind w:left="720" w:hanging="360"/>
        <w:jc w:val="both"/>
        <w:rPr>
          <w:rFonts w:ascii="Tahoma" w:cs="Tahoma" w:eastAsia="Tahoma" w:hAnsi="Tahoma"/>
          <w:u w:val="none"/>
        </w:rPr>
      </w:pPr>
      <w:r w:rsidDel="00000000" w:rsidR="00000000" w:rsidRPr="00000000">
        <w:rPr>
          <w:rFonts w:ascii="Tahoma" w:cs="Tahoma" w:eastAsia="Tahoma" w:hAnsi="Tahoma"/>
          <w:rtl w:val="0"/>
        </w:rPr>
        <w:t xml:space="preserve">Caso os serviços estejam em total conformidade com os projetos, o fiscal aprovará o Relatório de Medição Técnico em até três dias úteis pós-vistoria, encaminhando o processo ao Gestor do Contrato para autorização da emissão da Nota Fiscal pela contratada.</w:t>
      </w:r>
    </w:p>
    <w:p w:rsidR="00000000" w:rsidDel="00000000" w:rsidP="00000000" w:rsidRDefault="00000000" w:rsidRPr="00000000" w14:paraId="00000055">
      <w:pPr>
        <w:pStyle w:val="Heading4"/>
        <w:keepNext w:val="0"/>
        <w:keepLines w:val="0"/>
        <w:spacing w:after="40" w:before="240" w:lineRule="auto"/>
        <w:jc w:val="both"/>
        <w:rPr>
          <w:rFonts w:ascii="Tahoma" w:cs="Tahoma" w:eastAsia="Tahoma" w:hAnsi="Tahoma"/>
          <w:i w:val="0"/>
          <w:iCs w:val="0"/>
          <w:color w:val="000000"/>
        </w:rPr>
      </w:pPr>
      <w:bookmarkStart w:colFirst="0" w:colLast="0" w:name="_heading=h.un7pqc8j67on" w:id="1"/>
      <w:bookmarkEnd w:id="1"/>
      <w:r w:rsidDel="00000000" w:rsidR="00000000" w:rsidRPr="00000000">
        <w:rPr>
          <w:rFonts w:ascii="Tahoma" w:cs="Tahoma" w:eastAsia="Tahoma" w:hAnsi="Tahoma"/>
          <w:i w:val="0"/>
          <w:iCs w:val="0"/>
          <w:color w:val="000000"/>
          <w:rtl w:val="0"/>
        </w:rPr>
        <w:t xml:space="preserve">3.2. Das Condições e Prazos de Pagamento</w:t>
      </w:r>
    </w:p>
    <w:p w:rsidR="00000000" w:rsidDel="00000000" w:rsidP="00000000" w:rsidRDefault="00000000" w:rsidRPr="00000000" w14:paraId="00000056">
      <w:pPr>
        <w:spacing w:after="240" w:before="240" w:lineRule="auto"/>
        <w:jc w:val="both"/>
        <w:rPr>
          <w:rFonts w:ascii="Tahoma" w:cs="Tahoma" w:eastAsia="Tahoma" w:hAnsi="Tahoma"/>
        </w:rPr>
      </w:pPr>
      <w:r w:rsidDel="00000000" w:rsidR="00000000" w:rsidRPr="00000000">
        <w:rPr>
          <w:rFonts w:ascii="Tahoma" w:cs="Tahoma" w:eastAsia="Tahoma" w:hAnsi="Tahoma"/>
          <w:rtl w:val="0"/>
        </w:rPr>
        <w:t xml:space="preserve">O pagamento será efetuado pelo município no prazo máximo de até trinta dias, contados a partir da data de liquidação da despesa, que se caracteriza pelo recebimento regular da Nota Fiscal devidamente atestada pelo Fiscal Técnico e aprovada pelo Gestor do Contrato.</w:t>
      </w:r>
    </w:p>
    <w:p w:rsidR="00000000" w:rsidDel="00000000" w:rsidP="00000000" w:rsidRDefault="00000000" w:rsidRPr="00000000" w14:paraId="00000057">
      <w:pPr>
        <w:spacing w:after="240" w:before="240" w:lineRule="auto"/>
        <w:jc w:val="both"/>
        <w:rPr>
          <w:rFonts w:ascii="Tahoma" w:cs="Tahoma" w:eastAsia="Tahoma" w:hAnsi="Tahoma"/>
        </w:rPr>
      </w:pPr>
      <w:r w:rsidDel="00000000" w:rsidR="00000000" w:rsidRPr="00000000">
        <w:rPr>
          <w:rFonts w:ascii="Tahoma" w:cs="Tahoma" w:eastAsia="Tahoma" w:hAnsi="Tahoma"/>
          <w:rtl w:val="0"/>
        </w:rPr>
        <w:t xml:space="preserve">A liberação do crédito financeiro em conta bancária de titularidade da empresa contratada fica estritamente condicionada à manutenção das condições de habilitação e à apresentação dos seguintes comprovantes de regularidade fiscal e trabalhista:</w:t>
      </w:r>
    </w:p>
    <w:p w:rsidR="00000000" w:rsidDel="00000000" w:rsidP="00000000" w:rsidRDefault="00000000" w:rsidRPr="00000000" w14:paraId="00000058">
      <w:pPr>
        <w:numPr>
          <w:ilvl w:val="0"/>
          <w:numId w:val="1"/>
        </w:numPr>
        <w:spacing w:after="0" w:afterAutospacing="0" w:before="240" w:lineRule="auto"/>
        <w:ind w:left="720" w:hanging="360"/>
        <w:jc w:val="both"/>
        <w:rPr>
          <w:rFonts w:ascii="Tahoma" w:cs="Tahoma" w:eastAsia="Tahoma" w:hAnsi="Tahoma"/>
          <w:u w:val="none"/>
        </w:rPr>
      </w:pPr>
      <w:r w:rsidDel="00000000" w:rsidR="00000000" w:rsidRPr="00000000">
        <w:rPr>
          <w:rFonts w:ascii="Tahoma" w:cs="Tahoma" w:eastAsia="Tahoma" w:hAnsi="Tahoma"/>
          <w:rtl w:val="0"/>
        </w:rPr>
        <w:t xml:space="preserve">Prova de regularidade com a Seguridade Social (INSS) e com o Fundo de Garantia por Tempo de Serviço (FGTS), mediante certidões negativas válidas.</w:t>
      </w:r>
    </w:p>
    <w:p w:rsidR="00000000" w:rsidDel="00000000" w:rsidP="00000000" w:rsidRDefault="00000000" w:rsidRPr="00000000" w14:paraId="00000059">
      <w:pPr>
        <w:numPr>
          <w:ilvl w:val="0"/>
          <w:numId w:val="1"/>
        </w:numPr>
        <w:spacing w:after="0" w:afterAutospacing="0" w:before="0" w:beforeAutospacing="0" w:lineRule="auto"/>
        <w:ind w:left="720" w:hanging="360"/>
        <w:jc w:val="both"/>
        <w:rPr>
          <w:rFonts w:ascii="Tahoma" w:cs="Tahoma" w:eastAsia="Tahoma" w:hAnsi="Tahoma"/>
          <w:u w:val="none"/>
        </w:rPr>
      </w:pPr>
      <w:r w:rsidDel="00000000" w:rsidR="00000000" w:rsidRPr="00000000">
        <w:rPr>
          <w:rFonts w:ascii="Tahoma" w:cs="Tahoma" w:eastAsia="Tahoma" w:hAnsi="Tahoma"/>
          <w:rtl w:val="0"/>
        </w:rPr>
        <w:t xml:space="preserve">Comprovante de recolhimento dos encargos previdenciários e trabalhistas dos operários alocados na obra, vinculados especificamente ao Cadastro Nacional de Obras (CNO) correspondente às frentes da Avenida Doutor Eno Lippi e Alameda Águas Claras.</w:t>
      </w:r>
    </w:p>
    <w:p w:rsidR="00000000" w:rsidDel="00000000" w:rsidP="00000000" w:rsidRDefault="00000000" w:rsidRPr="00000000" w14:paraId="0000005A">
      <w:pPr>
        <w:numPr>
          <w:ilvl w:val="0"/>
          <w:numId w:val="1"/>
        </w:numPr>
        <w:spacing w:after="240" w:before="0" w:beforeAutospacing="0" w:lineRule="auto"/>
        <w:ind w:left="720" w:hanging="360"/>
        <w:jc w:val="both"/>
        <w:rPr>
          <w:rFonts w:ascii="Tahoma" w:cs="Tahoma" w:eastAsia="Tahoma" w:hAnsi="Tahoma"/>
          <w:u w:val="none"/>
        </w:rPr>
      </w:pPr>
      <w:r w:rsidDel="00000000" w:rsidR="00000000" w:rsidRPr="00000000">
        <w:rPr>
          <w:rFonts w:ascii="Tahoma" w:cs="Tahoma" w:eastAsia="Tahoma" w:hAnsi="Tahoma"/>
          <w:rtl w:val="0"/>
        </w:rPr>
        <w:t xml:space="preserve">Certidão Negativa de Débitos Trabalhistas (CNDT), atestando a inexistência de pendências perante a Justiça do Trabalho.</w:t>
      </w:r>
    </w:p>
    <w:p w:rsidR="00000000" w:rsidDel="00000000" w:rsidP="00000000" w:rsidRDefault="00000000" w:rsidRPr="00000000" w14:paraId="0000005B">
      <w:pPr>
        <w:spacing w:after="240" w:before="240"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5C">
      <w:pPr>
        <w:spacing w:after="240" w:before="240" w:lineRule="auto"/>
        <w:ind w:left="0" w:firstLine="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3.3. Fiscalização</w:t>
      </w:r>
    </w:p>
    <w:p w:rsidR="00000000" w:rsidDel="00000000" w:rsidP="00000000" w:rsidRDefault="00000000" w:rsidRPr="00000000" w14:paraId="0000005D">
      <w:pPr>
        <w:pStyle w:val="Heading1"/>
        <w:spacing w:after="200" w:before="200" w:lineRule="auto"/>
        <w:ind w:left="0"/>
        <w:jc w:val="both"/>
        <w:rPr>
          <w:rFonts w:ascii="Tahoma" w:cs="Tahoma" w:eastAsia="Tahoma" w:hAnsi="Tahoma"/>
          <w:b w:val="0"/>
          <w:bCs w:val="0"/>
          <w:sz w:val="22"/>
          <w:szCs w:val="22"/>
        </w:rPr>
      </w:pPr>
      <w:bookmarkStart w:colFirst="0" w:colLast="0" w:name="_heading=h.n0hqsujrcxv0" w:id="2"/>
      <w:bookmarkEnd w:id="2"/>
      <w:r w:rsidDel="00000000" w:rsidR="00000000" w:rsidRPr="00000000">
        <w:rPr>
          <w:rFonts w:ascii="Tahoma" w:cs="Tahoma" w:eastAsia="Tahoma" w:hAnsi="Tahoma"/>
          <w:b w:val="0"/>
          <w:bCs w:val="0"/>
          <w:sz w:val="22"/>
          <w:szCs w:val="22"/>
          <w:rtl w:val="0"/>
        </w:rPr>
        <w:t xml:space="preserve">A fiscalização da obra será de inteira responsabilidade da Administração, através do Setor de Engenharia, pelo seu técnico especializado (engenheiro).</w:t>
      </w:r>
    </w:p>
    <w:p w:rsidR="00000000" w:rsidDel="00000000" w:rsidP="00000000" w:rsidRDefault="00000000" w:rsidRPr="00000000" w14:paraId="0000005E">
      <w:pPr>
        <w:pStyle w:val="Heading1"/>
        <w:spacing w:after="200" w:before="200" w:lineRule="auto"/>
        <w:ind w:left="0"/>
        <w:jc w:val="both"/>
        <w:rPr>
          <w:rFonts w:ascii="Tahoma" w:cs="Tahoma" w:eastAsia="Tahoma" w:hAnsi="Tahoma"/>
          <w:b w:val="0"/>
          <w:bCs w:val="0"/>
          <w:sz w:val="22"/>
          <w:szCs w:val="22"/>
        </w:rPr>
      </w:pPr>
      <w:bookmarkStart w:colFirst="0" w:colLast="0" w:name="_heading=h.de1bcehc8qzb" w:id="3"/>
      <w:bookmarkEnd w:id="3"/>
      <w:r w:rsidDel="00000000" w:rsidR="00000000" w:rsidRPr="00000000">
        <w:rPr>
          <w:rFonts w:ascii="Tahoma" w:cs="Tahoma" w:eastAsia="Tahoma" w:hAnsi="Tahoma"/>
          <w:b w:val="0"/>
          <w:bCs w:val="0"/>
          <w:sz w:val="22"/>
          <w:szCs w:val="22"/>
          <w:rtl w:val="0"/>
        </w:rPr>
        <w:t xml:space="preserve">      </w:t>
        <w:tab/>
        <w:t xml:space="preserve">A fiscalização observará o disposto no </w:t>
      </w:r>
      <w:r w:rsidDel="00000000" w:rsidR="00000000" w:rsidRPr="00000000">
        <w:rPr>
          <w:rFonts w:ascii="Tahoma" w:cs="Tahoma" w:eastAsia="Tahoma" w:hAnsi="Tahoma"/>
          <w:b w:val="0"/>
          <w:bCs w:val="0"/>
          <w:sz w:val="22"/>
          <w:szCs w:val="22"/>
          <w:rtl w:val="0"/>
        </w:rPr>
        <w:t xml:space="preserve">Decreto nº 2.329/2023</w:t>
      </w:r>
    </w:p>
    <w:p w:rsidR="00000000" w:rsidDel="00000000" w:rsidP="00000000" w:rsidRDefault="00000000" w:rsidRPr="00000000" w14:paraId="0000005F">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O fiscal do contrato anotará em registro próprio todas as ocorrências relacionadas à execução do contrato, determinando o que for necessário para a regularização das faltas ou dos defeitos observados.</w:t>
      </w:r>
    </w:p>
    <w:p w:rsidR="00000000" w:rsidDel="00000000" w:rsidP="00000000" w:rsidRDefault="00000000" w:rsidRPr="00000000" w14:paraId="00000060">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O fiscal do contrato informará a seus superiores, em tempo hábil para a adoção das medidas convenientes, a situação que demandar decisão ou providência que ultrapasse sua competência.</w:t>
      </w:r>
    </w:p>
    <w:p w:rsidR="00000000" w:rsidDel="00000000" w:rsidP="00000000" w:rsidRDefault="00000000" w:rsidRPr="00000000" w14:paraId="00000061">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O fiscal do contrato será auxiliado pelos órgãos de assessoramento jurídico e de controle interno da Administração, que deverão dirimir dúvidas e subsidiá-lo com informações relevantes para prevenir riscos na execução contratual.</w:t>
      </w:r>
    </w:p>
    <w:p w:rsidR="00000000" w:rsidDel="00000000" w:rsidP="00000000" w:rsidRDefault="00000000" w:rsidRPr="00000000" w14:paraId="00000062">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Além das anotações obrigatórias sobre os serviços em andamento e os programados, a contratada deverá recorrer ao diário de obra, sempre que surgirem quaisquer improvisações, alterações técnicas ou serviços imprevistos decorrentes de acidentes, ou condições especiais.</w:t>
      </w:r>
    </w:p>
    <w:p w:rsidR="00000000" w:rsidDel="00000000" w:rsidP="00000000" w:rsidRDefault="00000000" w:rsidRPr="00000000" w14:paraId="00000063">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Neste caso, também é imprescindível a assinatura de ambas as partes no livro, como formalidade de sua concordância ou discordância técnica com o fato relatado.</w:t>
      </w:r>
    </w:p>
    <w:p w:rsidR="00000000" w:rsidDel="00000000" w:rsidP="00000000" w:rsidRDefault="00000000" w:rsidRPr="00000000" w14:paraId="00000064">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A Execução da Obra deverá ocorrer conforme os artigos de 115 ao 123 da Lei Federal 14.123 de 1º de abril de 2021.</w:t>
      </w:r>
    </w:p>
    <w:p w:rsidR="00000000" w:rsidDel="00000000" w:rsidP="00000000" w:rsidRDefault="00000000" w:rsidRPr="00000000" w14:paraId="00000065">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As obras em desconformidade com as especificações técnicas não serão aceitas pela administração.</w:t>
      </w:r>
    </w:p>
    <w:p w:rsidR="00000000" w:rsidDel="00000000" w:rsidP="00000000" w:rsidRDefault="00000000" w:rsidRPr="00000000" w14:paraId="00000066">
      <w:pPr>
        <w:spacing w:after="200" w:before="200" w:lineRule="auto"/>
        <w:ind w:firstLine="720"/>
        <w:jc w:val="both"/>
        <w:rPr>
          <w:rFonts w:ascii="Tahoma" w:cs="Tahoma" w:eastAsia="Tahoma" w:hAnsi="Tahoma"/>
        </w:rPr>
      </w:pPr>
      <w:r w:rsidDel="00000000" w:rsidR="00000000" w:rsidRPr="00000000">
        <w:rPr>
          <w:rFonts w:ascii="Tahoma" w:cs="Tahoma" w:eastAsia="Tahoma" w:hAnsi="Tahoma"/>
          <w:rtl w:val="0"/>
        </w:rPr>
        <w:t xml:space="preserve">Em conformidade com o art. 140 da Lei n. º 14.133/2021, o objeto deste contrato será  recebido:</w:t>
      </w:r>
    </w:p>
    <w:p w:rsidR="00000000" w:rsidDel="00000000" w:rsidP="00000000" w:rsidRDefault="00000000" w:rsidRPr="00000000" w14:paraId="00000067">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a) provisoriamente, pelo responsável por seu acompanhamento e fiscalização, mediante termo detalhado, quando verificado o cumprimento das exigências de caráter técnico;</w:t>
      </w:r>
    </w:p>
    <w:p w:rsidR="00000000" w:rsidDel="00000000" w:rsidP="00000000" w:rsidRDefault="00000000" w:rsidRPr="00000000" w14:paraId="00000068">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b) definitivamente, por servidor ou comissão designada pela autoridade competente, mediante termo detalhado que comprove o atendimento das exigências contratuais;</w:t>
      </w:r>
    </w:p>
    <w:p w:rsidR="00000000" w:rsidDel="00000000" w:rsidP="00000000" w:rsidRDefault="00000000" w:rsidRPr="00000000" w14:paraId="00000069">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O objeto do contrato poderá ser rejeitado, no todo ou em parte, quando estiver em desacordo com o contrato.</w:t>
      </w:r>
    </w:p>
    <w:p w:rsidR="00000000" w:rsidDel="00000000" w:rsidP="00000000" w:rsidRDefault="00000000" w:rsidRPr="00000000" w14:paraId="0000006A">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O recebimento definitivo pela Administração não eximirá o contratado, pelo prazo mínimo de 5 (cinco) anos, admitida a previsão de prazo de garantia superior,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rsidR="00000000" w:rsidDel="00000000" w:rsidP="00000000" w:rsidRDefault="00000000" w:rsidRPr="00000000" w14:paraId="0000006B">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As falhas e vícios de execução não serão admitidos até a integral reparação e adequação, sem ônus para o do Departamento Municipal de Serviços Urbanos mantidas as condições de qualidade, nos prazos arrazoados pela Administração e reduzidos a termo, conforme art. 199, caput da Lei Federal 14.133/2021, sem prejuízo das sanções editalícias e contratuais.</w:t>
      </w:r>
    </w:p>
    <w:p w:rsidR="00000000" w:rsidDel="00000000" w:rsidP="00000000" w:rsidRDefault="00000000" w:rsidRPr="00000000" w14:paraId="0000006C">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O descumprimento dos prazos de conclusão, podem caracterizar descumprimento parcial ou total das obrigações, gerando as sanções previstas neste contrato e no edital.</w:t>
      </w:r>
    </w:p>
    <w:p w:rsidR="00000000" w:rsidDel="00000000" w:rsidP="00000000" w:rsidRDefault="00000000" w:rsidRPr="00000000" w14:paraId="0000006D">
      <w:pPr>
        <w:spacing w:after="200" w:before="200" w:lineRule="auto"/>
        <w:jc w:val="both"/>
        <w:rPr>
          <w:rFonts w:ascii="Tahoma" w:cs="Tahoma" w:eastAsia="Tahoma" w:hAnsi="Tahoma"/>
        </w:rPr>
      </w:pPr>
      <w:r w:rsidDel="00000000" w:rsidR="00000000" w:rsidRPr="00000000">
        <w:rPr>
          <w:rFonts w:ascii="Tahoma" w:cs="Tahoma" w:eastAsia="Tahoma" w:hAnsi="Tahoma"/>
          <w:b w:val="1"/>
          <w:bCs w:val="1"/>
          <w:rtl w:val="0"/>
        </w:rPr>
        <w:t xml:space="preserve"> </w:t>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1"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CAPÍTULO 4: Seleção do Fornecedor e Adequação Orçamentária</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1"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4.1. Forma e Critérios de Seleção do Fornecedor</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072">
      <w:pPr>
        <w:numPr>
          <w:ilvl w:val="0"/>
          <w:numId w:val="8"/>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rPr>
      </w:pPr>
      <w:r w:rsidDel="00000000" w:rsidR="00000000" w:rsidRPr="00000000">
        <w:rPr>
          <w:rFonts w:ascii="Tahoma" w:cs="Tahoma" w:eastAsia="Tahoma" w:hAnsi="Tahoma"/>
          <w:b w:val="1"/>
          <w:bCs w:val="1"/>
          <w:rtl w:val="0"/>
        </w:rPr>
        <w:t xml:space="preserve">Modalidade de Licitação:</w:t>
      </w:r>
      <w:r w:rsidDel="00000000" w:rsidR="00000000" w:rsidRPr="00000000">
        <w:rPr>
          <w:rFonts w:ascii="Tahoma" w:cs="Tahoma" w:eastAsia="Tahoma" w:hAnsi="Tahoma"/>
          <w:rtl w:val="0"/>
        </w:rPr>
        <w:t xml:space="preserve"> O certame será realizado na modalidade Concorrência, adotando-se o critério de julgamento por Menor Preço Global, sob a forma eletrônica, em estrita observância à Lei Federal nº 14.133/2021.</w:t>
      </w:r>
    </w:p>
    <w:p w:rsidR="00000000" w:rsidDel="00000000" w:rsidP="00000000" w:rsidRDefault="00000000" w:rsidRPr="00000000" w14:paraId="00000073">
      <w:pPr>
        <w:numPr>
          <w:ilvl w:val="0"/>
          <w:numId w:val="8"/>
        </w:numPr>
        <w:pBdr>
          <w:top w:space="0" w:sz="0" w:val="nil"/>
          <w:left w:space="0" w:sz="0" w:val="nil"/>
          <w:bottom w:space="0" w:sz="0" w:val="nil"/>
          <w:right w:space="0" w:sz="0" w:val="nil"/>
          <w:between w:space="0" w:sz="0" w:val="nil"/>
        </w:pBdr>
        <w:spacing w:before="1" w:lineRule="auto"/>
        <w:ind w:left="720" w:hanging="360"/>
        <w:jc w:val="both"/>
        <w:rPr>
          <w:rFonts w:ascii="Tahoma" w:cs="Tahoma" w:eastAsia="Tahoma" w:hAnsi="Tahoma"/>
        </w:rPr>
      </w:pPr>
      <w:r w:rsidDel="00000000" w:rsidR="00000000" w:rsidRPr="00000000">
        <w:rPr>
          <w:rFonts w:ascii="Tahoma" w:cs="Tahoma" w:eastAsia="Tahoma" w:hAnsi="Tahoma"/>
          <w:b w:val="1"/>
          <w:bCs w:val="1"/>
          <w:rtl w:val="0"/>
        </w:rPr>
        <w:t xml:space="preserve">Critérios de Habilitação:</w:t>
      </w:r>
      <w:r w:rsidDel="00000000" w:rsidR="00000000" w:rsidRPr="00000000">
        <w:rPr>
          <w:rFonts w:ascii="Tahoma" w:cs="Tahoma" w:eastAsia="Tahoma" w:hAnsi="Tahoma"/>
          <w:rtl w:val="0"/>
        </w:rPr>
        <w:t xml:space="preserve"> As exigências de habilitação jurídica, fiscal, social, trabalhista e qualificação econômico-financeira serão aquelas padrão estabelecidas na lei de regência, limitadas ao mínimo necessário para garantir a segurança da execução contratual, afastando cláusulas restritivas à competitividade.</w:t>
      </w:r>
    </w:p>
    <w:p w:rsidR="00000000" w:rsidDel="00000000" w:rsidP="00000000" w:rsidRDefault="00000000" w:rsidRPr="00000000" w14:paraId="00000074">
      <w:pPr>
        <w:numPr>
          <w:ilvl w:val="0"/>
          <w:numId w:val="8"/>
        </w:numPr>
        <w:pBdr>
          <w:top w:space="0" w:sz="0" w:val="nil"/>
          <w:left w:space="0" w:sz="0" w:val="nil"/>
          <w:bottom w:space="0" w:sz="0" w:val="nil"/>
          <w:right w:space="0" w:sz="0" w:val="nil"/>
          <w:between w:space="0" w:sz="0" w:val="nil"/>
        </w:pBdr>
        <w:spacing w:after="0" w:afterAutospacing="0" w:before="1"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Qualificação técnica: Para fins de atendimento do art. 67 da Lei 14.133/2021 será exigido da empresa para fins de habilitação:</w:t>
      </w:r>
    </w:p>
    <w:p w:rsidR="00000000" w:rsidDel="00000000" w:rsidP="00000000" w:rsidRDefault="00000000" w:rsidRPr="00000000" w14:paraId="00000075">
      <w:pPr>
        <w:numPr>
          <w:ilvl w:val="0"/>
          <w:numId w:val="9"/>
        </w:numPr>
        <w:pBdr>
          <w:top w:space="0" w:sz="0" w:val="nil"/>
          <w:left w:space="0" w:sz="0" w:val="nil"/>
          <w:bottom w:space="0" w:sz="0" w:val="nil"/>
          <w:right w:space="0" w:sz="0" w:val="nil"/>
          <w:between w:space="0" w:sz="0" w:val="nil"/>
        </w:pBdr>
        <w:spacing w:after="0" w:afterAutospacing="0" w:before="0" w:beforeAutospacing="0" w:lineRule="auto"/>
        <w:ind w:left="1440" w:hanging="360"/>
        <w:jc w:val="both"/>
        <w:rPr>
          <w:rFonts w:ascii="Tahoma" w:cs="Tahoma" w:eastAsia="Tahoma" w:hAnsi="Tahoma"/>
        </w:rPr>
      </w:pPr>
      <w:r w:rsidDel="00000000" w:rsidR="00000000" w:rsidRPr="00000000">
        <w:rPr>
          <w:rFonts w:ascii="Arial" w:cs="Arial" w:eastAsia="Arial" w:hAnsi="Arial"/>
          <w:sz w:val="20"/>
          <w:szCs w:val="20"/>
          <w:rtl w:val="0"/>
        </w:rPr>
        <w:t xml:space="preserve">registro ou inscrição na entidade profissional competente</w:t>
      </w:r>
      <w:r w:rsidDel="00000000" w:rsidR="00000000" w:rsidRPr="00000000">
        <w:rPr>
          <w:rFonts w:ascii="Tahoma" w:cs="Tahoma" w:eastAsia="Tahoma" w:hAnsi="Tahoma"/>
          <w:rtl w:val="0"/>
        </w:rPr>
        <w:t xml:space="preserve">;</w:t>
      </w:r>
    </w:p>
    <w:p w:rsidR="00000000" w:rsidDel="00000000" w:rsidP="00000000" w:rsidRDefault="00000000" w:rsidRPr="00000000" w14:paraId="00000076">
      <w:pPr>
        <w:numPr>
          <w:ilvl w:val="0"/>
          <w:numId w:val="9"/>
        </w:numPr>
        <w:pBdr>
          <w:top w:space="0" w:sz="0" w:val="nil"/>
          <w:left w:space="0" w:sz="0" w:val="nil"/>
          <w:bottom w:space="0" w:sz="0" w:val="nil"/>
          <w:right w:space="0" w:sz="0" w:val="nil"/>
          <w:between w:space="0" w:sz="0" w:val="nil"/>
        </w:pBdr>
        <w:spacing w:after="0" w:afterAutospacing="0" w:before="0" w:beforeAutospacing="0" w:lineRule="auto"/>
        <w:ind w:left="1440" w:hanging="360"/>
        <w:jc w:val="both"/>
        <w:rPr>
          <w:rFonts w:ascii="Tahoma" w:cs="Tahoma" w:eastAsia="Tahoma" w:hAnsi="Tahoma"/>
        </w:rPr>
      </w:pPr>
      <w:r w:rsidDel="00000000" w:rsidR="00000000" w:rsidRPr="00000000">
        <w:rPr>
          <w:rFonts w:ascii="Arial" w:cs="Arial" w:eastAsia="Arial" w:hAnsi="Arial"/>
          <w:sz w:val="20"/>
          <w:szCs w:val="20"/>
          <w:rtl w:val="0"/>
        </w:rPr>
        <w:t xml:space="preserve">declaração de que o licitante tomou conhecimento de todas as informações e das condições locais para o cumprimento das obrigações objeto da licitação</w:t>
      </w:r>
      <w:r w:rsidDel="00000000" w:rsidR="00000000" w:rsidRPr="00000000">
        <w:rPr>
          <w:rFonts w:ascii="Tahoma" w:cs="Tahoma" w:eastAsia="Tahoma" w:hAnsi="Tahoma"/>
          <w:rtl w:val="0"/>
        </w:rPr>
        <w:t xml:space="preserve">;</w:t>
      </w:r>
    </w:p>
    <w:p w:rsidR="00000000" w:rsidDel="00000000" w:rsidP="00000000" w:rsidRDefault="00000000" w:rsidRPr="00000000" w14:paraId="00000077">
      <w:pPr>
        <w:numPr>
          <w:ilvl w:val="0"/>
          <w:numId w:val="9"/>
        </w:numPr>
        <w:pBdr>
          <w:top w:space="0" w:sz="0" w:val="nil"/>
          <w:left w:space="0" w:sz="0" w:val="nil"/>
          <w:bottom w:space="0" w:sz="0" w:val="nil"/>
          <w:right w:space="0" w:sz="0" w:val="nil"/>
          <w:between w:space="0" w:sz="0" w:val="nil"/>
        </w:pBdr>
        <w:spacing w:before="0" w:beforeAutospacing="0" w:lineRule="auto"/>
        <w:ind w:left="1440" w:hanging="360"/>
        <w:jc w:val="both"/>
        <w:rPr>
          <w:rFonts w:ascii="Tahoma" w:cs="Tahoma" w:eastAsia="Tahoma" w:hAnsi="Tahoma"/>
        </w:rPr>
      </w:pPr>
      <w:r w:rsidDel="00000000" w:rsidR="00000000" w:rsidRPr="00000000">
        <w:rPr>
          <w:rFonts w:ascii="Arial" w:cs="Arial" w:eastAsia="Arial" w:hAnsi="Arial"/>
          <w:sz w:val="20"/>
          <w:szCs w:val="20"/>
          <w:rtl w:val="0"/>
        </w:rPr>
        <w:t xml:space="preserve">certidões ou atestados, regularmente emitidos pelo conselho profissional competente, que demonstrem capacidade operacional na execução de serviços similares de complexidade tecnológica e operacional equivalente ou superior, limitada às parcelas de maior relevância assim definidas: </w:t>
      </w:r>
      <w:r w:rsidDel="00000000" w:rsidR="00000000" w:rsidRPr="00000000">
        <w:rPr>
          <w:rFonts w:ascii="Tahoma" w:cs="Tahoma" w:eastAsia="Tahoma" w:hAnsi="Tahoma"/>
          <w:rtl w:val="0"/>
        </w:rPr>
        <w:t xml:space="preserve">aplicação da capa de rolamento asfáltica em CBUQ (4 cm)</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before="1"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4.2. Participação de consórcio</w:t>
      </w:r>
    </w:p>
    <w:p w:rsidR="00000000" w:rsidDel="00000000" w:rsidP="00000000" w:rsidRDefault="00000000" w:rsidRPr="00000000" w14:paraId="0000007A">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Considerando as características do objeto pretendido, consistente na execução de obras de pavimentação asfáltica, entende-se que a participação de empresas reunidas em consórcio não se mostra necessária nem vantajosa para a Administração Pública.</w:t>
      </w:r>
    </w:p>
    <w:p w:rsidR="00000000" w:rsidDel="00000000" w:rsidP="00000000" w:rsidRDefault="00000000" w:rsidRPr="00000000" w14:paraId="0000007B">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A obra objeto da presente contratação possui natureza comum no âmbito da engenharia civil, sendo rotineiramente executada por empresas do setor que atuam de forma individual, as quais possuem capacidade técnica, operacional e econômico-financeira suficientes para sua execução integral. Trata-se, portanto, de objeto amplamente difundido no mercado, cuja complexidade técnica não exige a conjugação de esforços entre múltiplas empresas para sua adequada realização.</w:t>
      </w:r>
    </w:p>
    <w:p w:rsidR="00000000" w:rsidDel="00000000" w:rsidP="00000000" w:rsidRDefault="00000000" w:rsidRPr="00000000" w14:paraId="0000007C">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Além disso, a admissão de consórcios, em contratações de menor complexidade ou de valor  compatível com a capacidade operacional das empresas do mercado, pode acarretar dificuldades adicionais para a gestão e fiscalização contratual, especialmente no que se refere à definição de responsabilidades entre as consorciadas, à execução das obrigações contratuais e à eventual aplicação de sanções administrativas, o que pode comprometer a eficiência e a celeridade da execução contratual.</w:t>
      </w:r>
    </w:p>
    <w:p w:rsidR="00000000" w:rsidDel="00000000" w:rsidP="00000000" w:rsidRDefault="00000000" w:rsidRPr="00000000" w14:paraId="0000007D">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Ressalta-se, ainda, que a vedação à participação em consórcio não implica restrição indevida à competitividade do certame, uma vez que há no mercado número suficiente de empresas que, isoladamente, possuem condições técnicas e econômicas para executar os serviços objeto desta contratação.</w:t>
      </w:r>
    </w:p>
    <w:p w:rsidR="00000000" w:rsidDel="00000000" w:rsidP="00000000" w:rsidRDefault="00000000" w:rsidRPr="00000000" w14:paraId="0000007E">
      <w:pPr>
        <w:spacing w:after="200" w:before="200" w:lineRule="auto"/>
        <w:jc w:val="both"/>
        <w:rPr>
          <w:rFonts w:ascii="Tahoma" w:cs="Tahoma" w:eastAsia="Tahoma" w:hAnsi="Tahoma"/>
        </w:rPr>
      </w:pPr>
      <w:r w:rsidDel="00000000" w:rsidR="00000000" w:rsidRPr="00000000">
        <w:rPr>
          <w:rFonts w:ascii="Tahoma" w:cs="Tahoma" w:eastAsia="Tahoma" w:hAnsi="Tahoma"/>
          <w:rtl w:val="0"/>
        </w:rPr>
        <w:t xml:space="preserve">          </w:t>
        <w:tab/>
        <w:t xml:space="preserve">Dessa forma, considerando a natureza do objeto, sua complexidade moderada e a ampla disponibilidade de empresas aptas à execução individual da obra, a Administração entende ser mais adequado restringir a participação a empresas que concorram individualmente, medida que contribui para a simplificação da execução contratual, maior clareza na responsabilização das obrigações assumidas e melhor acompanhamento pela fiscalização do contrato.</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4.2. Adequação Orçamentária e Viabilidade Financeira</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color w:val="000000"/>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A presente contratação apresenta total adequação orçamentária e financeira, estando o objeto perfeitamente coberto e previsto no orçamento vigente do Município.</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Este processo é considerado inteiramente viável e sustentável, uma vez que as despesas decorrentes da execução da obra correrão por conta dos recursos repassados pelo Termo de Convênio firmado com a Secretaria de Governo e Relações Institucionais do Estado de São Paulo, além da devida contrapartida do Tesouro Municipal, onerando as seguintes dotações orçamentárias específicas:</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before="1"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86">
      <w:pPr>
        <w:widowControl w:val="1"/>
        <w:jc w:val="both"/>
        <w:rPr>
          <w:rFonts w:ascii="Tahoma" w:cs="Tahoma" w:eastAsia="Tahoma" w:hAnsi="Tahoma"/>
        </w:rPr>
      </w:pPr>
      <w:r w:rsidDel="00000000" w:rsidR="00000000" w:rsidRPr="00000000">
        <w:rPr>
          <w:rFonts w:ascii="Tahoma" w:cs="Tahoma" w:eastAsia="Tahoma" w:hAnsi="Tahoma"/>
          <w:rtl w:val="0"/>
        </w:rPr>
        <w:t xml:space="preserve">*02.00.00 – PREFEITURA MUNICIPAL DE ALUMÍNIO</w:t>
      </w:r>
    </w:p>
    <w:p w:rsidR="00000000" w:rsidDel="00000000" w:rsidP="00000000" w:rsidRDefault="00000000" w:rsidRPr="00000000" w14:paraId="00000087">
      <w:pPr>
        <w:widowControl w:val="1"/>
        <w:jc w:val="both"/>
        <w:rPr>
          <w:rFonts w:ascii="Tahoma" w:cs="Tahoma" w:eastAsia="Tahoma" w:hAnsi="Tahoma"/>
        </w:rPr>
      </w:pPr>
      <w:r w:rsidDel="00000000" w:rsidR="00000000" w:rsidRPr="00000000">
        <w:rPr>
          <w:rFonts w:ascii="Tahoma" w:cs="Tahoma" w:eastAsia="Tahoma" w:hAnsi="Tahoma"/>
          <w:rtl w:val="0"/>
        </w:rPr>
        <w:t xml:space="preserve">02.07.00 - DEPARTAMENTO DE SERVIÇOS URBANOS</w:t>
      </w:r>
    </w:p>
    <w:p w:rsidR="00000000" w:rsidDel="00000000" w:rsidP="00000000" w:rsidRDefault="00000000" w:rsidRPr="00000000" w14:paraId="00000088">
      <w:pPr>
        <w:widowControl w:val="1"/>
        <w:jc w:val="both"/>
        <w:rPr>
          <w:rFonts w:ascii="Tahoma" w:cs="Tahoma" w:eastAsia="Tahoma" w:hAnsi="Tahoma"/>
        </w:rPr>
      </w:pPr>
      <w:r w:rsidDel="00000000" w:rsidR="00000000" w:rsidRPr="00000000">
        <w:rPr>
          <w:rFonts w:ascii="Tahoma" w:cs="Tahoma" w:eastAsia="Tahoma" w:hAnsi="Tahoma"/>
          <w:rtl w:val="0"/>
        </w:rPr>
        <w:t xml:space="preserve">02.07.01 - DIRETORIA E DEPENDÊNCIAS</w:t>
      </w:r>
    </w:p>
    <w:p w:rsidR="00000000" w:rsidDel="00000000" w:rsidP="00000000" w:rsidRDefault="00000000" w:rsidRPr="00000000" w14:paraId="00000089">
      <w:pPr>
        <w:widowControl w:val="1"/>
        <w:jc w:val="both"/>
        <w:rPr>
          <w:rFonts w:ascii="Tahoma" w:cs="Tahoma" w:eastAsia="Tahoma" w:hAnsi="Tahoma"/>
        </w:rPr>
      </w:pPr>
      <w:r w:rsidDel="00000000" w:rsidR="00000000" w:rsidRPr="00000000">
        <w:rPr>
          <w:rFonts w:ascii="Tahoma" w:cs="Tahoma" w:eastAsia="Tahoma" w:hAnsi="Tahoma"/>
          <w:rtl w:val="0"/>
        </w:rPr>
        <w:t xml:space="preserve">Atividade: 15.451.0700.1.138 - INFRAESTRUTURA URBANA</w:t>
      </w:r>
    </w:p>
    <w:p w:rsidR="00000000" w:rsidDel="00000000" w:rsidP="00000000" w:rsidRDefault="00000000" w:rsidRPr="00000000" w14:paraId="0000008A">
      <w:pPr>
        <w:widowControl w:val="1"/>
        <w:jc w:val="both"/>
        <w:rPr>
          <w:rFonts w:ascii="Tahoma" w:cs="Tahoma" w:eastAsia="Tahoma" w:hAnsi="Tahoma"/>
        </w:rPr>
      </w:pPr>
      <w:r w:rsidDel="00000000" w:rsidR="00000000" w:rsidRPr="00000000">
        <w:rPr>
          <w:rFonts w:ascii="Tahoma" w:cs="Tahoma" w:eastAsia="Tahoma" w:hAnsi="Tahoma"/>
          <w:rtl w:val="0"/>
        </w:rPr>
        <w:t xml:space="preserve">Elemento de Despesa – 4.4.90.51.00 - OBRAS E INSTALAÇÕES</w:t>
      </w:r>
    </w:p>
    <w:p w:rsidR="00000000" w:rsidDel="00000000" w:rsidP="00000000" w:rsidRDefault="00000000" w:rsidRPr="00000000" w14:paraId="0000008B">
      <w:pPr>
        <w:widowControl w:val="1"/>
        <w:jc w:val="both"/>
        <w:rPr>
          <w:rFonts w:ascii="Tahoma" w:cs="Tahoma" w:eastAsia="Tahoma" w:hAnsi="Tahoma"/>
        </w:rPr>
      </w:pPr>
      <w:r w:rsidDel="00000000" w:rsidR="00000000" w:rsidRPr="00000000">
        <w:rPr>
          <w:rFonts w:ascii="Tahoma" w:cs="Tahoma" w:eastAsia="Tahoma" w:hAnsi="Tahoma"/>
          <w:rtl w:val="0"/>
        </w:rPr>
        <w:t xml:space="preserve">FICHA Nº 140</w:t>
      </w:r>
    </w:p>
    <w:p w:rsidR="00000000" w:rsidDel="00000000" w:rsidP="00000000" w:rsidRDefault="00000000" w:rsidRPr="00000000" w14:paraId="0000008C">
      <w:pPr>
        <w:widowControl w:val="1"/>
        <w:jc w:val="both"/>
        <w:rPr>
          <w:rFonts w:ascii="Tahoma" w:cs="Tahoma" w:eastAsia="Tahoma" w:hAnsi="Tahoma"/>
          <w:sz w:val="24"/>
          <w:szCs w:val="24"/>
        </w:rPr>
      </w:pPr>
      <w:r w:rsidDel="00000000" w:rsidR="00000000" w:rsidRPr="00000000">
        <w:rPr>
          <w:rFonts w:ascii="Tahoma" w:cs="Tahoma" w:eastAsia="Tahoma" w:hAnsi="Tahoma"/>
          <w:rtl w:val="0"/>
        </w:rPr>
        <w:t xml:space="preserve">VÍNCULO: 02.801.0012</w:t>
      </w: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before="1" w:lineRule="auto"/>
        <w:ind w:left="360" w:firstLine="0"/>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before="1" w:lineRule="auto"/>
        <w:jc w:val="both"/>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4.3. Estimativa do Valor da Contratação</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O valor global estimado para a futura contratação é de R$ R$ 673.722,41 (seiscentos e setenta e três mil, setecentos e vinte e dois reais e quarenta e um centavos).</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before="1"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Os parâmetros utilizados para a obtenção dos custos unitários e totais foram extraídos das tabelas referenciais oficiais CDHU (Fevereiro/2026) e SINAPI (Abril/2026), com a aplicação da taxa de BDI de 23,38%. As planilhas de composição, memórias de cálculo quantitativas e o cronograma físico-financeiro integram os anexos técnicos deste termo.</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before="1" w:lineRule="auto"/>
        <w:rPr>
          <w:rFonts w:ascii="Tahoma" w:cs="Tahoma" w:eastAsia="Tahoma" w:hAnsi="Tahoma"/>
          <w:color w:val="00000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before="2" w:lineRule="auto"/>
        <w:ind w:left="466" w:right="602" w:firstLine="0"/>
        <w:jc w:val="center"/>
        <w:rPr>
          <w:rFonts w:ascii="Tahoma" w:cs="Tahoma" w:eastAsia="Tahoma" w:hAnsi="Tahoma"/>
          <w:color w:val="000000"/>
        </w:rPr>
      </w:pPr>
      <w:r w:rsidDel="00000000" w:rsidR="00000000" w:rsidRPr="00000000">
        <w:rPr>
          <w:rtl w:val="0"/>
        </w:rPr>
      </w:r>
    </w:p>
    <w:sectPr>
      <w:headerReference r:id="rId8" w:type="default"/>
      <w:footerReference r:id="rId9" w:type="default"/>
      <w:pgSz w:h="16840" w:w="11910" w:orient="portrait"/>
      <w:pgMar w:bottom="1503" w:top="1860" w:left="1559" w:right="992" w:header="340" w:footer="131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5">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sz w:val="20"/>
        <w:szCs w:val="20"/>
      </w:rPr>
      <w:drawing>
        <wp:inline distB="0" distT="0" distL="114300" distR="114300">
          <wp:extent cx="819150" cy="99060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19150" cy="99060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973139</wp:posOffset>
              </wp:positionH>
              <wp:positionV relativeFrom="paragraph">
                <wp:posOffset>-232086</wp:posOffset>
              </wp:positionV>
              <wp:extent cx="4371975" cy="1380296"/>
              <wp:effectExtent b="0" l="0" r="0" t="0"/>
              <wp:wrapNone/>
              <wp:docPr id="1" name=""/>
              <a:graphic>
                <a:graphicData uri="http://schemas.microsoft.com/office/word/2010/wordprocessingShape">
                  <wps:wsp>
                    <wps:cNvSpPr/>
                    <wps:cNvPr id="2" name="Shape 2"/>
                    <wps:spPr>
                      <a:xfrm>
                        <a:off x="3174300" y="3104140"/>
                        <a:ext cx="4343400" cy="1351721"/>
                      </a:xfrm>
                      <a:prstGeom prst="rect">
                        <a:avLst/>
                      </a:prstGeom>
                      <a:noFill/>
                      <a:ln>
                        <a:noFill/>
                      </a:ln>
                    </wps:spPr>
                    <wps:txbx>
                      <w:txbxContent>
                        <w:p w:rsidR="00000000" w:rsidDel="00000000" w:rsidP="00000000" w:rsidRDefault="00000000" w:rsidRPr="00000000">
                          <w:pPr>
                            <w:spacing w:after="0" w:before="0" w:line="240"/>
                            <w:ind w:left="143.00000190734863" w:right="0" w:firstLine="286.00000381469727"/>
                            <w:jc w:val="center"/>
                            <w:textDirection w:val="btLr"/>
                          </w:pPr>
                        </w:p>
                        <w:p w:rsidR="00000000" w:rsidDel="00000000" w:rsidP="00000000" w:rsidRDefault="00000000" w:rsidRPr="00000000">
                          <w:pPr>
                            <w:spacing w:after="0" w:before="0" w:line="240"/>
                            <w:ind w:left="143.00000190734863" w:right="0" w:firstLine="286.00000381469727"/>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Times New Roman" w:cs="Times New Roman" w:eastAsia="Times New Roman" w:hAnsi="Times New Roman"/>
                              <w:b w:val="0"/>
                              <w:i w:val="0"/>
                              <w:smallCaps w:val="0"/>
                              <w:strike w:val="0"/>
                              <w:color w:val="000000"/>
                              <w:sz w:val="36"/>
                              <w:vertAlign w:val="baseline"/>
                            </w:rPr>
                            <w:t xml:space="preserve">Prefeitura Municipal de Alumínio</w:t>
                          </w:r>
                        </w:p>
                        <w:p w:rsidR="00000000" w:rsidDel="00000000" w:rsidP="00000000" w:rsidRDefault="00000000" w:rsidRPr="00000000">
                          <w:pPr>
                            <w:spacing w:after="0" w:before="0" w:line="240"/>
                            <w:ind w:left="143.00000190734863" w:right="0" w:firstLine="286.00000381469727"/>
                            <w:jc w:val="center"/>
                            <w:textDirection w:val="btLr"/>
                          </w:pPr>
                          <w:r w:rsidDel="00000000" w:rsidR="00000000" w:rsidRPr="00000000">
                            <w:rPr>
                              <w:rFonts w:ascii="Times New Roman" w:cs="Times New Roman" w:eastAsia="Times New Roman" w:hAnsi="Times New Roman"/>
                              <w:b w:val="0"/>
                              <w:i w:val="0"/>
                              <w:smallCaps w:val="0"/>
                              <w:strike w:val="0"/>
                              <w:color w:val="000000"/>
                              <w:sz w:val="36"/>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ESTADO DE SÃO PAULO</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Av. Eng.º Antônio de Castro Figueirôa, 100  -  Vila Santa Luzia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CEP 18125-000 Fone (011) 4715-5500  e-mail </w:t>
                          </w:r>
                          <w:r w:rsidDel="00000000" w:rsidR="00000000" w:rsidRPr="00000000">
                            <w:rPr>
                              <w:rFonts w:ascii="Times New Roman" w:cs="Times New Roman" w:eastAsia="Times New Roman" w:hAnsi="Times New Roman"/>
                              <w:b w:val="0"/>
                              <w:i w:val="0"/>
                              <w:smallCaps w:val="0"/>
                              <w:strike w:val="0"/>
                              <w:color w:val="0000ff"/>
                              <w:sz w:val="22"/>
                              <w:u w:val="single"/>
                              <w:vertAlign w:val="baseline"/>
                            </w:rPr>
                            <w:t xml:space="preserve">servicosurbanos@aluminio.sp.gov.br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973139</wp:posOffset>
              </wp:positionH>
              <wp:positionV relativeFrom="paragraph">
                <wp:posOffset>-232086</wp:posOffset>
              </wp:positionV>
              <wp:extent cx="4371975" cy="1380296"/>
              <wp:effectExtent b="0" l="0" r="0" t="0"/>
              <wp:wrapNone/>
              <wp:docPr id="1"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4371975" cy="1380296"/>
                      </a:xfrm>
                      <a:prstGeom prst="rect"/>
                      <a:ln/>
                    </pic:spPr>
                  </pic:pic>
                </a:graphicData>
              </a:graphic>
            </wp:anchor>
          </w:drawing>
        </mc:Fallback>
      </mc:AlternateConten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upperRoman"/>
      <w:lvlText w:val="%1."/>
      <w:lvlJc w:val="right"/>
      <w:pPr>
        <w:ind w:left="720" w:hanging="360"/>
      </w:pPr>
      <w:rPr>
        <w:b w:val="1"/>
        <w:bCs w:val="1"/>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495" w:hanging="495"/>
      </w:pPr>
      <w:rPr/>
    </w:lvl>
    <w:lvl w:ilvl="1">
      <w:start w:val="1"/>
      <w:numFmt w:val="decimal"/>
      <w:lvlText w:val="%1.%2."/>
      <w:lvlJc w:val="left"/>
      <w:pPr>
        <w:ind w:left="720" w:hanging="720"/>
      </w:pPr>
      <w:rPr/>
    </w:lvl>
    <w:lvl w:ilvl="2">
      <w:start w:val="1"/>
      <w:numFmt w:val="decimal"/>
      <w:lvlText w:val="%1.%2.%3."/>
      <w:lvlJc w:val="left"/>
      <w:pPr>
        <w:ind w:left="1080" w:hanging="108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1800" w:hanging="1800"/>
      </w:pPr>
      <w:rPr/>
    </w:lvl>
    <w:lvl w:ilvl="7">
      <w:start w:val="1"/>
      <w:numFmt w:val="decimal"/>
      <w:lvlText w:val="%1.%2.%3.%4.%5.%6.%7.%8."/>
      <w:lvlJc w:val="left"/>
      <w:pPr>
        <w:ind w:left="2160" w:hanging="2160"/>
      </w:pPr>
      <w:rPr/>
    </w:lvl>
    <w:lvl w:ilvl="8">
      <w:start w:val="1"/>
      <w:numFmt w:val="decimal"/>
      <w:lvlText w:val="%1.%2.%3.%4.%5.%6.%7.%8.%9."/>
      <w:lvlJc w:val="left"/>
      <w:pPr>
        <w:ind w:left="2520" w:hanging="2520"/>
      </w:pPr>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upperRoman"/>
      <w:lvlText w:val="%1."/>
      <w:lvlJc w:val="right"/>
      <w:pPr>
        <w:ind w:left="720" w:hanging="360"/>
      </w:pPr>
      <w:rPr>
        <w:b w:val="1"/>
        <w:bCs w:val="1"/>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pt_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43"/>
    </w:pPr>
    <w:rPr>
      <w:b w:val="1"/>
      <w:bCs w:val="1"/>
      <w:sz w:val="24"/>
      <w:szCs w:val="24"/>
    </w:rPr>
  </w:style>
  <w:style w:type="paragraph" w:styleId="Heading2">
    <w:name w:val="heading 2"/>
    <w:basedOn w:val="Normal"/>
    <w:next w:val="Normal"/>
    <w:pPr>
      <w:ind w:left="143"/>
      <w:jc w:val="both"/>
    </w:pPr>
    <w:rPr>
      <w:b w:val="1"/>
      <w:bCs w:val="1"/>
      <w:sz w:val="24"/>
      <w:szCs w:val="24"/>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licitacao@aluminio.sp.gov.br"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z2tNzYLbaqj/HAERYML16B4MQ==">CgMxLjAyDmguZjVjbm9ldWtkMTFpMg5oLnVuN3BxYzhqNjdvbjIOaC5uMGhxc3VqcmN4djAyDmguZGUxYmNlaGM4cXpiOAByITFwemJaR01XZlpQLXpRbU5yS1hpT205TTZEXzRBenRlcw==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2025-04-28T00:00:00Z</vt:lpwstr>
  </property>
  <property fmtid="{D5CDD505-2E9C-101B-9397-08002B2CF9AE}" pid="3" name="Creator">
    <vt:lpwstr>Microsoft® Word 2019</vt:lpwstr>
  </property>
  <property fmtid="{D5CDD505-2E9C-101B-9397-08002B2CF9AE}" pid="4" name="LastSaved">
    <vt:lpwstr>2026-02-02T00:00:00Z</vt:lpwstr>
  </property>
  <property fmtid="{D5CDD505-2E9C-101B-9397-08002B2CF9AE}" pid="5" name="Producer">
    <vt:lpwstr>Microsoft® Word 2019</vt:lpwstr>
  </property>
</Properties>
</file>