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134"/>
        <w:jc w:val="left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ind w:left="466" w:right="601" w:firstLine="0"/>
        <w:jc w:val="center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1"/>
        <w:ind w:left="466" w:right="601" w:firstLine="0"/>
        <w:jc w:val="center"/>
        <w:rPr>
          <w:rFonts w:ascii="Tahoma" w:cs="Tahoma" w:eastAsia="Tahoma" w:hAnsi="Tahoma"/>
          <w:sz w:val="22"/>
          <w:szCs w:val="22"/>
        </w:rPr>
      </w:pPr>
      <w:bookmarkStart w:colFirst="0" w:colLast="0" w:name="_heading=h.zhsgba1b6nrs" w:id="0"/>
      <w:bookmarkEnd w:id="0"/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ANEXO III- TERMO DE REFERÊNCIA</w:t>
      </w:r>
    </w:p>
    <w:p w:rsidR="00000000" w:rsidDel="00000000" w:rsidP="00000000" w:rsidRDefault="00000000" w:rsidRPr="00000000" w14:paraId="00000004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Objeto: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Construção Quadra de Grama Sintética e Basquete 3x3 (Projeto Areninha)</w:t>
      </w:r>
    </w:p>
    <w:p w:rsidR="00000000" w:rsidDel="00000000" w:rsidP="00000000" w:rsidRDefault="00000000" w:rsidRPr="00000000" w14:paraId="00000006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Local: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rtl w:val="0"/>
        </w:rPr>
        <w:t xml:space="preserve">Avenida Octávio Correa da Costa, Bairro Vila Paraiso – Alumínio/SP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Órgão Requisitante: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Departamento de Serviços Urbanos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Heading3"/>
        <w:jc w:val="center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Introdução</w:t>
      </w:r>
    </w:p>
    <w:p w:rsidR="00000000" w:rsidDel="00000000" w:rsidP="00000000" w:rsidRDefault="00000000" w:rsidRPr="00000000" w14:paraId="0000000A">
      <w:pPr>
        <w:pStyle w:val="Heading3"/>
        <w:jc w:val="both"/>
        <w:rPr>
          <w:rFonts w:ascii="Tahoma" w:cs="Tahoma" w:eastAsia="Tahoma" w:hAnsi="Tahoma"/>
          <w:b w:val="0"/>
          <w:bCs w:val="0"/>
          <w:color w:val="000000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color w:val="000000"/>
          <w:rtl w:val="0"/>
        </w:rPr>
        <w:t xml:space="preserve">O presente Termo de Referência (TR) estabelece as condições, parâmetros técnicos e diretrizes para a contratação de empresa especializada em engenharia para a execução de obras e serviços de construção de um complexo esportivo comunitário e multiuso, compreendendo uma quadra de futebol society em grama sintética com sistema de drenagem subsuperficial, e, de forma integrada ao lado, uma quadra de basquete 3x3 em piso cimentício/concreto com pintura acrílica e demarcações oficiais, incluindo instalações de fechamento perimetral em alambrado, fornecimento de equipamentos esportivos e sistema perimetral de iluminação por lâmpadas de LED no Bairro Paraíso, no Município de Alumínio-SP, em estrita conformidade com a Lei Federal nº 14.133/2021.</w:t>
      </w:r>
    </w:p>
    <w:p w:rsidR="00000000" w:rsidDel="00000000" w:rsidP="00000000" w:rsidRDefault="00000000" w:rsidRPr="00000000" w14:paraId="0000000B">
      <w:pPr>
        <w:pStyle w:val="Heading3"/>
        <w:jc w:val="center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DEFINIÇÃO DO OBJETO</w:t>
      </w:r>
    </w:p>
    <w:p w:rsidR="00000000" w:rsidDel="00000000" w:rsidP="00000000" w:rsidRDefault="00000000" w:rsidRPr="00000000" w14:paraId="0000000C">
      <w:pPr>
        <w:pStyle w:val="Heading4"/>
        <w:jc w:val="center"/>
        <w:rPr>
          <w:rFonts w:ascii="Tahoma" w:cs="Tahoma" w:eastAsia="Tahoma" w:hAnsi="Tahoma"/>
          <w:i w:val="0"/>
          <w:iCs w:val="0"/>
          <w:color w:val="000000"/>
        </w:rPr>
      </w:pPr>
      <w:r w:rsidDel="00000000" w:rsidR="00000000" w:rsidRPr="00000000">
        <w:rPr>
          <w:rFonts w:ascii="Tahoma" w:cs="Tahoma" w:eastAsia="Tahoma" w:hAnsi="Tahoma"/>
          <w:i w:val="0"/>
          <w:iCs w:val="0"/>
          <w:color w:val="000000"/>
          <w:rtl w:val="0"/>
        </w:rPr>
        <w:t xml:space="preserve">Objeto e Natureza</w:t>
      </w:r>
    </w:p>
    <w:p w:rsidR="00000000" w:rsidDel="00000000" w:rsidP="00000000" w:rsidRDefault="00000000" w:rsidRPr="00000000" w14:paraId="0000000D">
      <w:pPr>
        <w:pStyle w:val="Heading4"/>
        <w:jc w:val="both"/>
        <w:rPr>
          <w:rFonts w:ascii="Tahoma" w:cs="Tahoma" w:eastAsia="Tahoma" w:hAnsi="Tahoma"/>
          <w:b w:val="0"/>
          <w:bCs w:val="0"/>
          <w:i w:val="0"/>
          <w:iCs w:val="0"/>
          <w:color w:val="000000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color w:val="000000"/>
          <w:rtl w:val="0"/>
        </w:rPr>
        <w:t xml:space="preserve">Contratação de empresa especializada para execução de obra pública de engenharia sobre uma área total de intervenção de 1.140 m², compreendendo serviços preliminares.</w:t>
      </w:r>
    </w:p>
    <w:p w:rsidR="00000000" w:rsidDel="00000000" w:rsidP="00000000" w:rsidRDefault="00000000" w:rsidRPr="00000000" w14:paraId="0000000E">
      <w:pPr>
        <w:pStyle w:val="Heading4"/>
        <w:jc w:val="center"/>
        <w:rPr>
          <w:rFonts w:ascii="Tahoma" w:cs="Tahoma" w:eastAsia="Tahoma" w:hAnsi="Tahoma"/>
          <w:i w:val="0"/>
          <w:iCs w:val="0"/>
          <w:color w:val="000000"/>
        </w:rPr>
      </w:pPr>
      <w:r w:rsidDel="00000000" w:rsidR="00000000" w:rsidRPr="00000000">
        <w:rPr>
          <w:rFonts w:ascii="Tahoma" w:cs="Tahoma" w:eastAsia="Tahoma" w:hAnsi="Tahoma"/>
          <w:i w:val="0"/>
          <w:iCs w:val="0"/>
          <w:color w:val="000000"/>
          <w:rtl w:val="0"/>
        </w:rPr>
        <w:t xml:space="preserve">Regime de Execução</w:t>
      </w:r>
    </w:p>
    <w:p w:rsidR="00000000" w:rsidDel="00000000" w:rsidP="00000000" w:rsidRDefault="00000000" w:rsidRPr="00000000" w14:paraId="0000000F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A execução do objeto dar-se-á pelo regime de Empreitada por Preço </w:t>
      </w:r>
      <w:r w:rsidDel="00000000" w:rsidR="00000000" w:rsidRPr="00000000">
        <w:rPr>
          <w:rFonts w:ascii="Tahoma" w:cs="Tahoma" w:eastAsia="Tahoma" w:hAnsi="Tahoma"/>
          <w:rtl w:val="0"/>
        </w:rPr>
        <w:t xml:space="preserve">Unitário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, justificável pela possibilidade de definição prévia e precisa de todos os quantitativos, memórias de cálculo e especificações no projeto e planilhas orçamentárias de referência. </w:t>
      </w:r>
    </w:p>
    <w:p w:rsidR="00000000" w:rsidDel="00000000" w:rsidP="00000000" w:rsidRDefault="00000000" w:rsidRPr="00000000" w14:paraId="00000010">
      <w:pPr>
        <w:pStyle w:val="Heading4"/>
        <w:spacing w:after="240" w:lineRule="auto"/>
        <w:jc w:val="center"/>
        <w:rPr>
          <w:rFonts w:ascii="Tahoma" w:cs="Tahoma" w:eastAsia="Tahoma" w:hAnsi="Tahoma"/>
          <w:i w:val="0"/>
          <w:iCs w:val="0"/>
          <w:color w:val="000000"/>
        </w:rPr>
      </w:pPr>
      <w:r w:rsidDel="00000000" w:rsidR="00000000" w:rsidRPr="00000000">
        <w:rPr>
          <w:rFonts w:ascii="Tahoma" w:cs="Tahoma" w:eastAsia="Tahoma" w:hAnsi="Tahoma"/>
          <w:i w:val="0"/>
          <w:iCs w:val="0"/>
          <w:color w:val="000000"/>
          <w:rtl w:val="0"/>
        </w:rPr>
        <w:t xml:space="preserve">Prazos e Prorrogação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Prazo de Execução Física: 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 meses a contar da emissão da ordem de serviço.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Prazo de Vigência Contratual: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O contrato terá vigência de 24 (vinte e quatro) meses, a contar de sua assinatura, admitindo-se a prorrogação nos termos estritos do Art. 111 da Lei nº 14.133/2021, caso ocorram atrasos técnicos formalmente justificados e aceitos pela Administração</w:t>
      </w:r>
      <w:r w:rsidDel="00000000" w:rsidR="00000000" w:rsidRPr="00000000">
        <w:rPr>
          <w:rFonts w:ascii="Tahoma" w:cs="Tahoma" w:eastAsia="Tahoma" w:hAnsi="Tahoma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1"/>
        <w:numPr>
          <w:ilvl w:val="0"/>
          <w:numId w:val="3"/>
        </w:numPr>
        <w:ind w:left="720" w:hanging="360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Prazo para Início da Execução dos Serviços: 10 (dez) dias a contar da emissão da Ordem de Serviço.</w:t>
      </w:r>
    </w:p>
    <w:p w:rsidR="00000000" w:rsidDel="00000000" w:rsidP="00000000" w:rsidRDefault="00000000" w:rsidRPr="00000000" w14:paraId="00000014">
      <w:pPr>
        <w:jc w:val="both"/>
        <w:rPr>
          <w:rFonts w:ascii="Tahoma" w:cs="Tahoma" w:eastAsia="Tahoma" w:hAnsi="Tahoma"/>
          <w:highlight w:val="cy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Style w:val="Heading3"/>
        <w:jc w:val="center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CAPÍTULO 1: Fundamentação e Descrição da Solução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1.1. Fundamentação da Contratação</w:t>
      </w:r>
    </w:p>
    <w:p w:rsidR="00000000" w:rsidDel="00000000" w:rsidP="00000000" w:rsidRDefault="00000000" w:rsidRPr="00000000" w14:paraId="00000019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A presente contratação fundamenta-se integralmente nas conclusões do Estudo Técnico Preliminar (ETP), anexo a este processo. O ETP demonstrou o nexo causal entre a necessidade pública (mitigar o isolamento socioespacial gerado pela barreira física da Rodovia Raposo Tavares, garantindo acesso ao esporte e lazer no bairro paraíso) e a solução de engenharia proposta. Adicionalmente, a contratação viabiliza a execução financeira do repasse decorrente do Termo de Convênio firmado com a Secretaria de Governo e Relações Institucionais do Estado de São Paulo, garantindo a aplicação tempestiva dos recursos públicos e evitando o perecimento do auxílio voluntário do Estado.</w:t>
      </w:r>
    </w:p>
    <w:p w:rsidR="00000000" w:rsidDel="00000000" w:rsidP="00000000" w:rsidRDefault="00000000" w:rsidRPr="00000000" w14:paraId="0000001A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1.2. Descrição da Solução como um Todo</w:t>
      </w:r>
    </w:p>
    <w:p w:rsidR="00000000" w:rsidDel="00000000" w:rsidP="00000000" w:rsidRDefault="00000000" w:rsidRPr="00000000" w14:paraId="0000001C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A solução consiste na construção de um espaço para atividades esportivas no bairro Paraiso.</w:t>
      </w:r>
    </w:p>
    <w:p w:rsidR="00000000" w:rsidDel="00000000" w:rsidP="00000000" w:rsidRDefault="00000000" w:rsidRPr="00000000" w14:paraId="0000001E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1.3. Ciclo de Vida</w:t>
      </w:r>
    </w:p>
    <w:p w:rsidR="00000000" w:rsidDel="00000000" w:rsidP="00000000" w:rsidRDefault="00000000" w:rsidRPr="00000000" w14:paraId="00000020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A solução foi projetada para um ciclo de vida útil inicial de, no mínimo, 10 (dez) anos, desde que o Município realize as ações de manutenção preventiva periódica na sinalização e limpeza urbana.</w:t>
      </w:r>
    </w:p>
    <w:p w:rsidR="00000000" w:rsidDel="00000000" w:rsidP="00000000" w:rsidRDefault="00000000" w:rsidRPr="00000000" w14:paraId="00000022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1.4. Especificação e Qualidade dos Produtos</w:t>
      </w:r>
    </w:p>
    <w:p w:rsidR="00000000" w:rsidDel="00000000" w:rsidP="00000000" w:rsidRDefault="00000000" w:rsidRPr="00000000" w14:paraId="00000024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Todos os materiais aplicados deverão atender rigorosamente aos padrões de qualidade, rendimento e segurança exigidos pelas normas técnicas do DER/SP e da ABNT, conforme detalhado no Memorial Descritivo anexo a este TR.</w:t>
      </w:r>
    </w:p>
    <w:p w:rsidR="00000000" w:rsidDel="00000000" w:rsidP="00000000" w:rsidRDefault="00000000" w:rsidRPr="00000000" w14:paraId="00000026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before="1" w:lineRule="auto"/>
        <w:jc w:val="center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CAPÍTULO 2: Requisitos da Contratação e Modelo de Execução</w:t>
      </w:r>
    </w:p>
    <w:p w:rsidR="00000000" w:rsidDel="00000000" w:rsidP="00000000" w:rsidRDefault="00000000" w:rsidRPr="00000000" w14:paraId="00000028">
      <w:pPr>
        <w:spacing w:before="1" w:lineRule="auto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before="1" w:lineRule="auto"/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2.1. Requisitos da Contratação</w:t>
      </w:r>
    </w:p>
    <w:p w:rsidR="00000000" w:rsidDel="00000000" w:rsidP="00000000" w:rsidRDefault="00000000" w:rsidRPr="00000000" w14:paraId="0000002A">
      <w:pPr>
        <w:spacing w:before="1" w:lineRule="auto"/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before="1" w:lineRule="auto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Para a perfeita execução do objeto, a empresa contratada deverá cumprir com as seguintes condições de habilitação e obrigações técnicas:</w:t>
      </w:r>
    </w:p>
    <w:p w:rsidR="00000000" w:rsidDel="00000000" w:rsidP="00000000" w:rsidRDefault="00000000" w:rsidRPr="00000000" w14:paraId="0000002C">
      <w:pPr>
        <w:spacing w:before="1" w:lineRule="auto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108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Prazos do Contrato: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O prazo de execução física das obras será de 3 (três) meses, contados a partir da emissão da Ordem de Serviço (OS). O prazo de vigência do contrato será de 24 (vinte e quatro) meses, contados a partir da data de sua assinatura</w:t>
      </w:r>
      <w:r w:rsidDel="00000000" w:rsidR="00000000" w:rsidRPr="00000000">
        <w:rPr>
          <w:rFonts w:ascii="Tahoma" w:cs="Tahoma" w:eastAsia="Tahoma" w:hAnsi="Tahoma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Garantia da Obra: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Em conformidade com o Art. 618 do Código Civil, a contratada responderá pela solidez, estabilidade e segurança dos serviços pelo prazo irredutível de 5 (cinco) anos após o recebimento definitivo.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Qualificação Técnica: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 licitante deverá apresentar Certidão de Registro (CREA ou CAU) e atestados de responsabilidade técnica que comprovem a execução de serviços compatíveis.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Obrigações da Contratada: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Fornecimento integral de materiais, ferramentas, EPIs, sinalização de segurança diurna/noturna, maquinários pesados (fresadora, vibroacabadora, rolos tandem e de pneus) e mão de obra, além da emissão da devida ART de execução antes do início das obras.</w:t>
      </w:r>
    </w:p>
    <w:p w:rsidR="00000000" w:rsidDel="00000000" w:rsidP="00000000" w:rsidRDefault="00000000" w:rsidRPr="00000000" w14:paraId="00000034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before="1" w:lineRule="auto"/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2.2. Modelo de Execução do Objeto</w:t>
      </w:r>
    </w:p>
    <w:p w:rsidR="00000000" w:rsidDel="00000000" w:rsidP="00000000" w:rsidRDefault="00000000" w:rsidRPr="00000000" w14:paraId="00000036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O contrato produzirá os resultados pretendidos seguindo a seguinte ordem lógica:</w:t>
      </w:r>
    </w:p>
    <w:p w:rsidR="00000000" w:rsidDel="00000000" w:rsidP="00000000" w:rsidRDefault="00000000" w:rsidRPr="00000000" w14:paraId="00000037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Fase Preparatória: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Assinatura do contrato, indicação do engenheiro preposto, entrega do Cronograma Físico-Financeiro ajustado e emissão da Ordem de Serviço (OS).</w:t>
      </w:r>
    </w:p>
    <w:p w:rsidR="00000000" w:rsidDel="00000000" w:rsidP="00000000" w:rsidRDefault="00000000" w:rsidRPr="00000000" w14:paraId="00000039">
      <w:pPr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Fase Executiva (detalhada no cronograma físico-financeiro anexo ao processo):</w:t>
      </w:r>
    </w:p>
    <w:p w:rsidR="00000000" w:rsidDel="00000000" w:rsidP="00000000" w:rsidRDefault="00000000" w:rsidRPr="00000000" w14:paraId="0000003A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jc w:val="both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hanging="360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1.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Instalação da placa da obra e mobilização de equipamentos;</w:t>
      </w:r>
    </w:p>
    <w:p w:rsidR="00000000" w:rsidDel="00000000" w:rsidP="00000000" w:rsidRDefault="00000000" w:rsidRPr="00000000" w14:paraId="0000003C">
      <w:pPr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hanging="360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2. 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Construção de campo Society e quadra basquete 3x3;</w:t>
      </w:r>
    </w:p>
    <w:p w:rsidR="00000000" w:rsidDel="00000000" w:rsidP="00000000" w:rsidRDefault="00000000" w:rsidRPr="00000000" w14:paraId="0000003D">
      <w:pPr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hanging="360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3.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Iluminação do campo society e quadra basquete 3x3 ;</w:t>
      </w:r>
    </w:p>
    <w:p w:rsidR="00000000" w:rsidDel="00000000" w:rsidP="00000000" w:rsidRDefault="00000000" w:rsidRPr="00000000" w14:paraId="0000003E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Fase de Encerramento: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Destinação ambiental dos resíduos e limpeza geral da obra para os atos de recebimento.</w:t>
      </w:r>
    </w:p>
    <w:p w:rsidR="00000000" w:rsidDel="00000000" w:rsidP="00000000" w:rsidRDefault="00000000" w:rsidRPr="00000000" w14:paraId="00000040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jc w:val="center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jc w:val="both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2.3. Subcontratação</w:t>
      </w:r>
    </w:p>
    <w:p w:rsidR="00000000" w:rsidDel="00000000" w:rsidP="00000000" w:rsidRDefault="00000000" w:rsidRPr="00000000" w14:paraId="00000043">
      <w:pPr>
        <w:jc w:val="both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44">
      <w:pPr>
        <w:spacing w:after="200" w:before="200" w:lineRule="auto"/>
        <w:ind w:right="-20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A subcontratação integral do objeto é expressamente proibida. Contudo, permite-se a subcontratação parcial de serviços acessórios e desde que previamente autorizado pelo gestor do contrato, devendo a subcontratada ter as qualificações técnicas adequadas para a realização dos serviços.</w:t>
      </w:r>
    </w:p>
    <w:p w:rsidR="00000000" w:rsidDel="00000000" w:rsidP="00000000" w:rsidRDefault="00000000" w:rsidRPr="00000000" w14:paraId="00000045">
      <w:pPr>
        <w:spacing w:after="200" w:before="200" w:lineRule="auto"/>
        <w:ind w:right="-20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      </w:t>
        <w:tab/>
        <w:t xml:space="preserve"> A subcontratação não gera relação da Contratante com as empresas subcontratadas, sendo plena a responsabilidade da Contratada pelo cumprimento de todas as obrigações, principais e acessórias, decorrentes da contratação, nos termos dos artigos 121 e 122 da Lei nº 14.133/2021.</w:t>
      </w:r>
    </w:p>
    <w:p w:rsidR="00000000" w:rsidDel="00000000" w:rsidP="00000000" w:rsidRDefault="00000000" w:rsidRPr="00000000" w14:paraId="00000046">
      <w:pPr>
        <w:spacing w:after="200" w:before="200" w:lineRule="auto"/>
        <w:ind w:right="-20"/>
        <w:jc w:val="both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      </w:t>
        <w:tab/>
      </w:r>
    </w:p>
    <w:p w:rsidR="00000000" w:rsidDel="00000000" w:rsidP="00000000" w:rsidRDefault="00000000" w:rsidRPr="00000000" w14:paraId="00000047">
      <w:pPr>
        <w:spacing w:after="200" w:before="200" w:lineRule="auto"/>
        <w:ind w:right="-20"/>
        <w:jc w:val="both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2.4.  </w:t>
      </w: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 Vistoria</w:t>
      </w:r>
    </w:p>
    <w:p w:rsidR="00000000" w:rsidDel="00000000" w:rsidP="00000000" w:rsidRDefault="00000000" w:rsidRPr="00000000" w14:paraId="00000048">
      <w:pPr>
        <w:spacing w:after="200" w:before="200" w:lineRule="auto"/>
        <w:ind w:right="-20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A vistoria prévia para os interessados em participar do processo licitatório não é obrigatória; no entanto, caso o licitante deseje realizar uma visita ao local de prestação dos serviços para fins de dimensionamento e elaboração de sua proposta, essa visita deverá ser agendada previamente por meio do e-mail: licitacao</w:t>
      </w:r>
      <w:r w:rsidDel="00000000" w:rsidR="00000000" w:rsidRPr="00000000">
        <w:rPr>
          <w:rFonts w:ascii="Tahoma" w:cs="Tahoma" w:eastAsia="Tahoma" w:hAnsi="Tahoma"/>
          <w:rtl w:val="0"/>
        </w:rPr>
        <w:t xml:space="preserve">@alumínio.sp.gov.br</w:t>
      </w:r>
      <w:r w:rsidDel="00000000" w:rsidR="00000000" w:rsidRPr="00000000">
        <w:rPr>
          <w:rFonts w:ascii="Tahoma" w:cs="Tahoma" w:eastAsia="Tahoma" w:hAnsi="Tahoma"/>
          <w:rtl w:val="0"/>
        </w:rPr>
        <w:t xml:space="preserve"> e deverá ser realizada até o dia útil anterior a sessão.</w:t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jc w:val="center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jc w:val="center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jc w:val="center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CAPÍTULO 3: Modelo de Gestão, Medição e Pagamento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Style w:val="Heading3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3.1. Modelo de Gestão do Contrato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 acompanhamento e a fiscalização da execução contratual serão realizados por um Fiscal Técnico (possuidor de habilitação profissional legal junto ao CREA ou CAU) e um Gestor do Contrato, formalmente designados por portaria do Município de Alumínio.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Competirá ao Fiscal Técnico a fiscalização e o acompanhamento periódico das frentes de trabalho, concentrados ordinariamente nos períodos de encerramento dos ciclos mensais, com o objetivo de avaliar, aferir e aprovar as medições dos serviços efetivamente executados, conforme o rito estabelecido no subitem 3.2.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 Fiscal Técnico atuará também de forma responsiva, mantendo-se disponível para o atendimento de situações eventuais, chamados urgentes ou intercorrências técnicas que demandem a pronta intervenção da Administração, além de competir-lhe a conferência dos relatórios de ensaios tecnológicos dos materiais apresentados pela contratada e a rejeição de serviços executados em desacordo com as especificações.</w:t>
      </w:r>
    </w:p>
    <w:p w:rsidR="00000000" w:rsidDel="00000000" w:rsidP="00000000" w:rsidRDefault="00000000" w:rsidRPr="00000000" w14:paraId="00000055">
      <w:pPr>
        <w:pStyle w:val="Heading3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3.2. Da Periodicidade e do Rito de Medição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As medições dos serviços executados serão realizadas mensalmente, em ciclos sucessivos de 30 (trinta) dias. O primeiro período de apuração terá início na data de emissão da Ordem de Serviço (OS), estendendo-se pelos 30 dias subsequentes. As medições posteriores ocorrerão sucessivamente a cada 30 dias contados a partir do término do período de aferição anterior. O procedimento de aferição obedecerá ao seguinte rito operacional:</w:t>
      </w:r>
    </w:p>
    <w:p w:rsidR="00000000" w:rsidDel="00000000" w:rsidP="00000000" w:rsidRDefault="00000000" w:rsidRPr="00000000" w14:paraId="00000058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Protocolo da Medição: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Em até 5 (cinco) dias úteis após o término de cada período de 30 dias de prestação dos serviços, a empresa contratada deverá protocolar junto à Prefeitura o requerimento de aprovação da medição, obrigatoriamente acompanhado dos seguintes documentos:</w:t>
      </w:r>
    </w:p>
    <w:p w:rsidR="00000000" w:rsidDel="00000000" w:rsidP="00000000" w:rsidRDefault="00000000" w:rsidRPr="00000000" w14:paraId="0000005A">
      <w:pPr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hanging="360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Medição alvo de aprovação;</w:t>
      </w:r>
    </w:p>
    <w:p w:rsidR="00000000" w:rsidDel="00000000" w:rsidP="00000000" w:rsidRDefault="00000000" w:rsidRPr="00000000" w14:paraId="0000005B">
      <w:pPr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hanging="360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Memórias de cálculo detalhadas;</w:t>
      </w:r>
    </w:p>
    <w:p w:rsidR="00000000" w:rsidDel="00000000" w:rsidP="00000000" w:rsidRDefault="00000000" w:rsidRPr="00000000" w14:paraId="0000005C">
      <w:pPr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hanging="360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Relatório fotográfico das etapas executadas;</w:t>
      </w:r>
    </w:p>
    <w:p w:rsidR="00000000" w:rsidDel="00000000" w:rsidP="00000000" w:rsidRDefault="00000000" w:rsidRPr="00000000" w14:paraId="0000005D">
      <w:pPr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hanging="360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Cópia do cronograma de execução atualizado.</w:t>
      </w:r>
    </w:p>
    <w:p w:rsidR="00000000" w:rsidDel="00000000" w:rsidP="00000000" w:rsidRDefault="00000000" w:rsidRPr="00000000" w14:paraId="0000005E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Vistoria de Campo: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O Fiscal Técnico realizará a vistoria conjunta de campo em até 5 (cinco) dias úteis após o protocolo, conferindo as dimensões, níveis e a qualidade técnica das etapas alegadas como concluídas nas frentes de trabalho.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Aprovação e Encaminhamento: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Caso os serviços estejam em total conformidade com os projetos e especificações, o Fiscal Técnico aprovará o Relatório de Medição Técnico em até 3 (três) dias úteis pós-vistoria, encaminhando o processo ao Gestor do Contrato para autorização da emissão da Nota Fiscal pela contratada.</w:t>
      </w:r>
    </w:p>
    <w:p w:rsidR="00000000" w:rsidDel="00000000" w:rsidP="00000000" w:rsidRDefault="00000000" w:rsidRPr="00000000" w14:paraId="00000061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3.3. Regras para os Recebimentos</w:t>
      </w:r>
    </w:p>
    <w:p w:rsidR="00000000" w:rsidDel="00000000" w:rsidP="00000000" w:rsidRDefault="00000000" w:rsidRPr="00000000" w14:paraId="00000063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Recebimento Provisório: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Ocorrerá em 15 (quinze) dias após a notificação por escrito da contratada sobre a conclusão integral dos serviços, mediante lavratura de termo detalhado assinado pelo Fiscal Técnico.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Recebimento Definitivo: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Será efetuado pelo Gestor e Fiscal em 90 (noventa) dias contados do recebimento provisório, após a verificação do comportamento da quadra sobre uso e a entrega de toda a documentação fiscal e previdenciária da obra.</w:t>
      </w:r>
    </w:p>
    <w:p w:rsidR="00000000" w:rsidDel="00000000" w:rsidP="00000000" w:rsidRDefault="00000000" w:rsidRPr="00000000" w14:paraId="00000066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3.4. Das Condições e Prazos de Pagamento</w:t>
      </w:r>
    </w:p>
    <w:p w:rsidR="00000000" w:rsidDel="00000000" w:rsidP="00000000" w:rsidRDefault="00000000" w:rsidRPr="00000000" w14:paraId="00000068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O pagamento será efetuado pelo município no prazo máximo de até 30 (trinta) dias, contados a partir da data de liquidação da despesa, que se caracteriza pelo recebimento regular da Nota Fiscal devidamente atestada pelo Fiscal Técnico e aprovada pelo Gestor do Contrato. </w:t>
      </w:r>
    </w:p>
    <w:p w:rsidR="00000000" w:rsidDel="00000000" w:rsidP="00000000" w:rsidRDefault="00000000" w:rsidRPr="00000000" w14:paraId="0000006A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A liberação do crédito financeiro em conta bancária fica estritamente condicionada à manutenção das condições de habilitação e à apresentação de:</w:t>
      </w:r>
    </w:p>
    <w:p w:rsidR="00000000" w:rsidDel="00000000" w:rsidP="00000000" w:rsidRDefault="00000000" w:rsidRPr="00000000" w14:paraId="0000006B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Prova de regularidade com a Seguridade Social (INSS) e com o FGTS, mediante certidões negativas válidas. 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Comprovante de recolhimento dos encargos previdenciários e trabalhistas dos operários alocados na obra, vinculados especificamente ao Cadastro Nacional de Obras (CNO).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Certidão Negativa de Débitos Trabalhistas (CNDT).</w:t>
      </w:r>
    </w:p>
    <w:p w:rsidR="00000000" w:rsidDel="00000000" w:rsidP="00000000" w:rsidRDefault="00000000" w:rsidRPr="00000000" w14:paraId="00000072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jc w:val="center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CAPÍTULO 4: Seleção do Fornecedor e Adequação Orçamentária</w:t>
      </w:r>
    </w:p>
    <w:p w:rsidR="00000000" w:rsidDel="00000000" w:rsidP="00000000" w:rsidRDefault="00000000" w:rsidRPr="00000000" w14:paraId="000000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ind w:left="360" w:firstLine="0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4.1. Forma e Critérios de Seleção do Fornecedor</w:t>
      </w:r>
    </w:p>
    <w:p w:rsidR="00000000" w:rsidDel="00000000" w:rsidP="00000000" w:rsidRDefault="00000000" w:rsidRPr="00000000" w14:paraId="0000007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0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Modalidade de Licitação: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O certame será realizado na modalidade Concorrência, adotando-se o critério de julgamento por Menor Preço Global, sob a forma eletrônica, em estrita observância à Lei Federal nº 14.133/2021.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0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Critérios de Habilitação: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As exigências de habilitação jurídica, fiscal, social, trabalhista e qualificação econômico-financeira serão aquelas padrão estabelecidas na lei de regência, limitadas àquelas indicadas no edital da licitação</w:t>
      </w:r>
      <w:r w:rsidDel="00000000" w:rsidR="00000000" w:rsidRPr="00000000">
        <w:rPr>
          <w:rFonts w:ascii="Tahoma" w:cs="Tahoma" w:eastAsia="Tahoma" w:hAnsi="Tahoma"/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0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Qualificação técnica: Para fins de atendimento do art. 67 da Lei 14.133/2021 será exigido da empresa para fins de habilitação:</w:t>
      </w:r>
    </w:p>
    <w:p w:rsidR="00000000" w:rsidDel="00000000" w:rsidP="00000000" w:rsidRDefault="00000000" w:rsidRPr="00000000" w14:paraId="0000007B">
      <w:pPr>
        <w:ind w:left="708.6614173228347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-</w:t>
      </w:r>
      <w:r w:rsidDel="00000000" w:rsidR="00000000" w:rsidRPr="00000000">
        <w:rPr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registro ou inscrição na entidade profissional competente</w:t>
      </w:r>
      <w:r w:rsidDel="00000000" w:rsidR="00000000" w:rsidRPr="00000000">
        <w:rPr>
          <w:rFonts w:ascii="Tahoma" w:cs="Tahoma" w:eastAsia="Tahoma" w:hAnsi="Tahoma"/>
          <w:rtl w:val="0"/>
        </w:rPr>
        <w:t xml:space="preserve">;</w:t>
      </w:r>
    </w:p>
    <w:p w:rsidR="00000000" w:rsidDel="00000000" w:rsidP="00000000" w:rsidRDefault="00000000" w:rsidRPr="00000000" w14:paraId="0000007C">
      <w:pPr>
        <w:ind w:left="708.6614173228347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-</w:t>
      </w:r>
      <w:r w:rsidDel="00000000" w:rsidR="00000000" w:rsidRPr="00000000">
        <w:rPr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declaração de que o licitante tomou conhecimento de todas as informações e das condições locais para o cumprimento das obrigações objeto da licitação</w:t>
      </w:r>
      <w:r w:rsidDel="00000000" w:rsidR="00000000" w:rsidRPr="00000000">
        <w:rPr>
          <w:rFonts w:ascii="Tahoma" w:cs="Tahoma" w:eastAsia="Tahoma" w:hAnsi="Tahoma"/>
          <w:rtl w:val="0"/>
        </w:rPr>
        <w:t xml:space="preserve">;</w:t>
      </w:r>
    </w:p>
    <w:p w:rsidR="00000000" w:rsidDel="00000000" w:rsidP="00000000" w:rsidRDefault="00000000" w:rsidRPr="00000000" w14:paraId="0000007D">
      <w:pPr>
        <w:ind w:left="708.6614173228347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-</w:t>
      </w:r>
      <w:r w:rsidDel="00000000" w:rsidR="00000000" w:rsidRPr="00000000">
        <w:rPr>
          <w:sz w:val="14"/>
          <w:szCs w:val="14"/>
          <w:rtl w:val="0"/>
        </w:rPr>
        <w:t xml:space="preserve">   </w:t>
        <w:tab/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certidões ou atestados, regularmente emitidos pelo conselho profissional competente, que demonstrem capacidade operacional na execução de serviços similares de complexidade tecnológica e operacional equivalente ou superior, limitada às parcelas de maior relevância assim definidas:  </w:t>
      </w:r>
    </w:p>
    <w:p w:rsidR="00000000" w:rsidDel="00000000" w:rsidP="00000000" w:rsidRDefault="00000000" w:rsidRPr="00000000" w14:paraId="0000007E">
      <w:pPr>
        <w:ind w:left="0" w:firstLine="0"/>
        <w:jc w:val="both"/>
        <w:rPr>
          <w:rFonts w:ascii="Arial" w:cs="Arial" w:eastAsia="Arial" w:hAnsi="Arial"/>
          <w:sz w:val="20"/>
          <w:szCs w:val="20"/>
          <w:highlight w:val="cy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ahoma" w:cs="Tahoma" w:eastAsia="Tahoma" w:hAnsi="Tahoma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ind w:left="720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widowControl w:val="1"/>
        <w:jc w:val="both"/>
        <w:rPr>
          <w:rFonts w:ascii="Tahoma" w:cs="Tahoma" w:eastAsia="Tahoma" w:hAnsi="Tahoma"/>
          <w:b w:val="1"/>
          <w:bCs w:val="1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4.2. Participação de consórcio</w:t>
      </w:r>
    </w:p>
    <w:p w:rsidR="00000000" w:rsidDel="00000000" w:rsidP="00000000" w:rsidRDefault="00000000" w:rsidRPr="00000000" w14:paraId="00000082">
      <w:pPr>
        <w:widowControl w:val="1"/>
        <w:spacing w:after="200" w:before="200" w:lineRule="auto"/>
        <w:jc w:val="both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color w:val="ff0000"/>
          <w:sz w:val="24"/>
          <w:szCs w:val="24"/>
          <w:rtl w:val="0"/>
        </w:rPr>
        <w:t xml:space="preserve">      </w:t>
        <w:tab/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 Considerando as características do objeto, consistente na execução de obra de engenharia destinada à construção de uma quadra de grama sintética e de uma quadra de basquete 3x3 (Projeto Areninha), entende-se que a participação de empresas reunidas em consórcio não se mostra necessária nem vantajosa para a Administração Pública.</w:t>
      </w:r>
    </w:p>
    <w:p w:rsidR="00000000" w:rsidDel="00000000" w:rsidP="00000000" w:rsidRDefault="00000000" w:rsidRPr="00000000" w14:paraId="00000083">
      <w:pPr>
        <w:widowControl w:val="1"/>
        <w:spacing w:after="240" w:before="240" w:lineRule="auto"/>
        <w:jc w:val="both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A obra possui complexidade técnica compatível com a atuação de empresas de engenharia que executam individualmente serviços de construção civil, urbanização e implantação de equipamentos esportivos, existindo no mercado número suficiente de empresas com capacidade técnica, operacional e econômico-financeira para sua execução integral.</w:t>
      </w:r>
    </w:p>
    <w:p w:rsidR="00000000" w:rsidDel="00000000" w:rsidP="00000000" w:rsidRDefault="00000000" w:rsidRPr="00000000" w14:paraId="00000084">
      <w:pPr>
        <w:widowControl w:val="1"/>
        <w:spacing w:after="240" w:before="240" w:lineRule="auto"/>
        <w:jc w:val="both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Trata-se de empreendimento de porte limitado, com valor estimado compatível com a capacidade de atuação de empresas especializadas, não havendo características técnicas, operacionais ou financeiras que justifiquem a conjugação de esforços entre empresas por meio de consórcio.</w:t>
      </w:r>
    </w:p>
    <w:p w:rsidR="00000000" w:rsidDel="00000000" w:rsidP="00000000" w:rsidRDefault="00000000" w:rsidRPr="00000000" w14:paraId="00000085">
      <w:pPr>
        <w:widowControl w:val="1"/>
        <w:spacing w:after="240" w:before="240" w:lineRule="auto"/>
        <w:jc w:val="both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A vedação à participação de consórcios não compromete a competitividade do certame, uma vez que o mercado dispõe de quantidade suficiente de potenciais licitantes aptos a executar o objeto de forma individual, preservando-se os princípios da isonomia, da competitividade e da seleção da proposta mais vantajosa.</w:t>
      </w:r>
    </w:p>
    <w:p w:rsidR="00000000" w:rsidDel="00000000" w:rsidP="00000000" w:rsidRDefault="00000000" w:rsidRPr="00000000" w14:paraId="00000086">
      <w:pPr>
        <w:widowControl w:val="1"/>
        <w:spacing w:after="240" w:before="240" w:lineRule="auto"/>
        <w:jc w:val="both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Dessa forma, a Administração entende que a participação individual das licitantes é suficiente para assegurar a adequada execução do objeto, contribuindo para maior simplicidade na gestão contratual, definição objetiva das responsabilidades da contratada e eficiência na fiscalização da execução da obra.</w:t>
      </w:r>
    </w:p>
    <w:p w:rsidR="00000000" w:rsidDel="00000000" w:rsidP="00000000" w:rsidRDefault="00000000" w:rsidRPr="00000000" w14:paraId="00000087">
      <w:pPr>
        <w:widowControl w:val="1"/>
        <w:spacing w:after="200" w:before="200" w:lineRule="auto"/>
        <w:jc w:val="both"/>
        <w:rPr>
          <w:rFonts w:ascii="Tahoma" w:cs="Tahoma" w:eastAsia="Tahoma" w:hAnsi="Tahoma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sz w:val="24"/>
          <w:szCs w:val="24"/>
          <w:rtl w:val="0"/>
        </w:rPr>
        <w:t xml:space="preserve">4</w:t>
      </w: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3</w:t>
      </w: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. A</w:t>
      </w: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sz w:val="24"/>
          <w:szCs w:val="24"/>
          <w:rtl w:val="0"/>
        </w:rPr>
        <w:t xml:space="preserve">dequação Orçamentária e Viabilidade Financeira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89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A despesa decorrente desta contratação encontra-se devidamente prevista no orçamento vigente do Município, suportada pelos recursos do Termo de Convênio firmado com a Secretaria de Governo e Relações Institucionais do Estado de São Paulo (Repasse: R$ 500.000,00) e complementada pela Contrapartida Municipal (R$ 56.745,47), onerando as seguintes dotações orçamentárias específicas:</w:t>
      </w:r>
    </w:p>
    <w:p w:rsidR="00000000" w:rsidDel="00000000" w:rsidP="00000000" w:rsidRDefault="00000000" w:rsidRPr="00000000" w14:paraId="0000008A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Repasse estadual: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R$ 500.000,00</w:t>
      </w:r>
    </w:p>
    <w:p w:rsidR="00000000" w:rsidDel="00000000" w:rsidP="00000000" w:rsidRDefault="00000000" w:rsidRPr="00000000" w14:paraId="0000008C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*02.00.00 – PREFEITURA MUNICIPAL DE ALUMÍNIO</w:t>
      </w:r>
    </w:p>
    <w:p w:rsidR="00000000" w:rsidDel="00000000" w:rsidP="00000000" w:rsidRDefault="00000000" w:rsidRPr="00000000" w14:paraId="0000008D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02.12.00 - DEPARTAMENTO DE ESPORTES</w:t>
      </w:r>
    </w:p>
    <w:p w:rsidR="00000000" w:rsidDel="00000000" w:rsidP="00000000" w:rsidRDefault="00000000" w:rsidRPr="00000000" w14:paraId="0000008E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02.12.01 - DIRETORIA E DEPENDÊNCIAS</w:t>
      </w:r>
    </w:p>
    <w:p w:rsidR="00000000" w:rsidDel="00000000" w:rsidP="00000000" w:rsidRDefault="00000000" w:rsidRPr="00000000" w14:paraId="0000008F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Atividade: 27.812.1200.1.002 - AMPLIAÇÃO OU REFORMA DE UNIDADE</w:t>
      </w:r>
    </w:p>
    <w:p w:rsidR="00000000" w:rsidDel="00000000" w:rsidP="00000000" w:rsidRDefault="00000000" w:rsidRPr="00000000" w14:paraId="00000090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Elemento de Despesa – 4.4.90.51.00 - OBRAS E INSTALAÇÕES</w:t>
      </w:r>
    </w:p>
    <w:p w:rsidR="00000000" w:rsidDel="00000000" w:rsidP="00000000" w:rsidRDefault="00000000" w:rsidRPr="00000000" w14:paraId="00000091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Fonte de recurso – 02.801.0013</w:t>
      </w:r>
    </w:p>
    <w:p w:rsidR="00000000" w:rsidDel="00000000" w:rsidP="00000000" w:rsidRDefault="00000000" w:rsidRPr="00000000" w14:paraId="00000092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FICHA Nº 314</w:t>
      </w:r>
    </w:p>
    <w:p w:rsidR="00000000" w:rsidDel="00000000" w:rsidP="00000000" w:rsidRDefault="00000000" w:rsidRPr="00000000" w14:paraId="00000093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Contrapartida municipal: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R$ 56.745,47</w:t>
      </w:r>
    </w:p>
    <w:p w:rsidR="00000000" w:rsidDel="00000000" w:rsidP="00000000" w:rsidRDefault="00000000" w:rsidRPr="00000000" w14:paraId="00000095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*02.00.00 – PREFEITURA MUNICIPAL DE ALUMÍNIO</w:t>
      </w:r>
    </w:p>
    <w:p w:rsidR="00000000" w:rsidDel="00000000" w:rsidP="00000000" w:rsidRDefault="00000000" w:rsidRPr="00000000" w14:paraId="00000096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02.12.00 - DEPARTAMENTO DE ESPORTES</w:t>
      </w:r>
    </w:p>
    <w:p w:rsidR="00000000" w:rsidDel="00000000" w:rsidP="00000000" w:rsidRDefault="00000000" w:rsidRPr="00000000" w14:paraId="00000097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02.12.01 - DIRETORIA E DEPENDÊNCIAS</w:t>
      </w:r>
    </w:p>
    <w:p w:rsidR="00000000" w:rsidDel="00000000" w:rsidP="00000000" w:rsidRDefault="00000000" w:rsidRPr="00000000" w14:paraId="00000098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Atividade: 27.812.1200.1.002 - AMPLIAÇÃO OU REFORMA DE UNIDADE</w:t>
      </w:r>
    </w:p>
    <w:p w:rsidR="00000000" w:rsidDel="00000000" w:rsidP="00000000" w:rsidRDefault="00000000" w:rsidRPr="00000000" w14:paraId="00000099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Elemento de Despesa – 4.4.90.51.00 - OBRAS E INSTALAÇÕES</w:t>
      </w:r>
    </w:p>
    <w:p w:rsidR="00000000" w:rsidDel="00000000" w:rsidP="00000000" w:rsidRDefault="00000000" w:rsidRPr="00000000" w14:paraId="0000009A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fonte de recurso – 02.801.0013</w:t>
      </w:r>
    </w:p>
    <w:p w:rsidR="00000000" w:rsidDel="00000000" w:rsidP="00000000" w:rsidRDefault="00000000" w:rsidRPr="00000000" w14:paraId="0000009B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FICHA Nº 314</w:t>
      </w:r>
    </w:p>
    <w:p w:rsidR="00000000" w:rsidDel="00000000" w:rsidP="00000000" w:rsidRDefault="00000000" w:rsidRPr="00000000" w14:paraId="0000009C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VÍNCULO 01.110.0000</w:t>
      </w:r>
    </w:p>
    <w:p w:rsidR="00000000" w:rsidDel="00000000" w:rsidP="00000000" w:rsidRDefault="00000000" w:rsidRPr="00000000" w14:paraId="0000009D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4.3. Estimativa do Valor da Contratação</w:t>
      </w:r>
    </w:p>
    <w:p w:rsidR="00000000" w:rsidDel="00000000" w:rsidP="00000000" w:rsidRDefault="00000000" w:rsidRPr="00000000" w14:paraId="0000009F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O valor global estimado para a presente contratação é de R</w:t>
      </w:r>
      <w:r w:rsidDel="00000000" w:rsidR="00000000" w:rsidRPr="00000000">
        <w:rPr>
          <w:rFonts w:ascii="Tahoma" w:cs="Tahoma" w:eastAsia="Tahoma" w:hAnsi="Tahoma"/>
          <w:rtl w:val="0"/>
        </w:rPr>
        <w:t xml:space="preserve">$556.745,47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(Quinhentos e cinquenta e seis mil, setecentos e quarenta e cinco reais e quarenta e sete centavos). Parâmetros de Preço: Os custos unitários foram obtidos em documento separado (Planilha Orçamentária de Referência), balizados integralmente pelas composições analíticas do Boletim CDHU – 201, SINAPI (04/26) e FDE (Abril/2026) – Sem Desoneração, aplicando-se a taxa de BDI de 23,38%, cujos documentos de suporte (Memórias de Cálculo e Cronogramas) integram os anexos deste processo.</w:t>
      </w:r>
    </w:p>
    <w:p w:rsidR="00000000" w:rsidDel="00000000" w:rsidP="00000000" w:rsidRDefault="00000000" w:rsidRPr="00000000" w14:paraId="000000A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1" w:lineRule="auto"/>
        <w:ind w:left="466" w:right="601" w:firstLine="0"/>
        <w:jc w:val="center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40" w:w="11910" w:orient="portrait"/>
      <w:pgMar w:bottom="1503" w:top="1860" w:left="1559" w:right="992" w:header="340" w:footer="131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Georgia"/>
  <w:font w:name="Arial"/>
  <w:font w:name="Courier New"/>
  <w:font w:name="Tahoma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</w:rPr>
    </w:pPr>
    <w:r w:rsidDel="00000000" w:rsidR="00000000" w:rsidRPr="00000000">
      <w:rPr>
        <w:color w:val="000000"/>
        <w:sz w:val="20"/>
        <w:szCs w:val="20"/>
      </w:rPr>
      <w:drawing>
        <wp:inline distB="0" distT="0" distL="114300" distR="114300">
          <wp:extent cx="819150" cy="99060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19150" cy="9906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968376</wp:posOffset>
              </wp:positionH>
              <wp:positionV relativeFrom="paragraph">
                <wp:posOffset>-236847</wp:posOffset>
              </wp:positionV>
              <wp:extent cx="4381500" cy="1389821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3174300" y="3104140"/>
                        <a:ext cx="4343400" cy="135172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143.00000190734863" w:right="0" w:firstLine="429.00001525878906"/>
                            <w:jc w:val="center"/>
                            <w:textDirection w:val="btLr"/>
                          </w:pP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143.00000190734863" w:right="0" w:firstLine="429.00001525878906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36"/>
                              <w:vertAlign w:val="baseline"/>
                            </w:rPr>
                            <w:t xml:space="preserve">Prefeitura Municipal de Alumínio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143.00000190734863" w:right="0" w:firstLine="429.00001525878906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36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ESTADO DE SÃO PAULO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Av. Eng.º Antônio de Castro Figueirôa, 100  -  Vila Santa Luzia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CEP 18125-000 Fone (011) 4715-5500  e-mail </w:t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ff"/>
                              <w:sz w:val="22"/>
                              <w:u w:val="single"/>
                              <w:vertAlign w:val="baseline"/>
                            </w:rPr>
                            <w:t xml:space="preserve">servicosurbanos@aluminio.sp.gov.br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968376</wp:posOffset>
              </wp:positionH>
              <wp:positionV relativeFrom="paragraph">
                <wp:posOffset>-236847</wp:posOffset>
              </wp:positionV>
              <wp:extent cx="4381500" cy="1389821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381500" cy="1389821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A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upperRoman"/>
      <w:lvlText w:val="%1."/>
      <w:lvlJc w:val="right"/>
      <w:pPr>
        <w:ind w:left="720" w:hanging="360"/>
      </w:pPr>
      <w:rPr>
        <w:b w:val="1"/>
        <w:bCs w:val="1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upperRoman"/>
      <w:lvlText w:val="%2."/>
      <w:lvlJc w:val="right"/>
      <w:pPr>
        <w:ind w:left="1440" w:hanging="360"/>
      </w:pPr>
      <w:rPr>
        <w:b w:val="1"/>
        <w:bCs w:val="1"/>
        <w:sz w:val="22"/>
        <w:szCs w:val="22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ind w:left="143"/>
    </w:pPr>
    <w:rPr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ind w:left="143"/>
      <w:jc w:val="both"/>
    </w:pPr>
    <w:rPr>
      <w:b w:val="1"/>
      <w:bCs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G75vpBJX0ziVeJF77cG9C/3m5Q==">CgMxLjAyDmguemhzZ2JhMWI2bnJzOAByITFGT0sxMGxLNWg5WGs2Q1RoOVVqOEJ1TC14dWswbjFUeA==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2025-04-28T00:00:00Z</vt:lpwstr>
  </property>
  <property fmtid="{D5CDD505-2E9C-101B-9397-08002B2CF9AE}" pid="3" name="Creator">
    <vt:lpwstr>Microsoft® Word 2019</vt:lpwstr>
  </property>
  <property fmtid="{D5CDD505-2E9C-101B-9397-08002B2CF9AE}" pid="4" name="LastSaved">
    <vt:lpwstr>2026-02-02T00:00:00Z</vt:lpwstr>
  </property>
  <property fmtid="{D5CDD505-2E9C-101B-9397-08002B2CF9AE}" pid="5" name="Producer">
    <vt:lpwstr>Microsoft® Word 2019</vt:lpwstr>
  </property>
</Properties>
</file>