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numPr>
          <w:ilvl w:val="0"/>
          <w:numId w:val="1"/>
        </w:numPr>
        <w:tabs>
          <w:tab w:val="left" w:leader="none" w:pos="0"/>
        </w:tabs>
        <w:spacing w:after="120" w:before="240" w:line="360" w:lineRule="auto"/>
        <w:ind w:left="0" w:right="0" w:firstLine="0"/>
        <w:jc w:val="center"/>
        <w:rPr>
          <w:rFonts w:ascii="Calibri" w:cs="Calibri" w:eastAsia="Calibri" w:hAnsi="Calibri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DEPARTAMENTO DE SAÚDE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TERMO DE REFERÊNCIA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1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1.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Aquisição de veículos automotores novos, zero quilômetro, destinados ao atendimento das necessidades do Departamento de Saúde do Município de Alumínio/SP, conforme condições, quantidades e especificações estabelecidas neste Termo de Referência, dividido em dois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lotes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independentes: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LOTE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01 – Veículos utilitários com capacidade mínima para 07 lugares;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LOTE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02 – Ambulância Tipo B – Suporte Básico</w:t>
      </w:r>
    </w:p>
    <w:p w:rsidR="00000000" w:rsidDel="00000000" w:rsidP="00000000" w:rsidRDefault="00000000" w:rsidRPr="00000000" w14:paraId="00000008">
      <w:pPr>
        <w:pStyle w:val="Heading3"/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1"/>
          <w:color w:val="98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1.1. Classificação do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À luz das definições contidas nos incisos do artigo 6º da Lei nº 14.133/2021, o objeto em questão se classifica como aquisição de bens comuns, não se configurando como bem de luxo, conforme disposto no artigo 20 da referida Lei.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2. FUNDAMENTAÇÃO DA CONTRATAÇÃO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justificativa da necessidade da contratação encontra-se devidamente detalhada no Estudo Técnico Preliminar (ETP) elaborado pelo Departamento de Saúde do Município de Alumínio, o qual será disponibilizado após a homologação do processo licitatório, nos termos do §3º do art. 54 da Lei nº 14.133/2021.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aquisição é imprescindível para garantir a continuidade e ampliação dos serviços de transporte sanitário eletivo, remoção de pacientes e apoio às atividades assistenciais da rede municipal de saúde, assegurando maior segurança, eficiência e disponibilidade da frota utilizada no atendimento à população.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1"/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3. ESPECIFICAÇÕES DO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aquisição contempla o fornecimento de veículos automotores novos, zero quilômetro, incluindo todos os acessórios obrigatórios, documentação, emplacamento, garantia de fábrica e demais itens necessários ao perfeito funcionamento dos veículos, conforme divisão por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lote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abaixo.</w:t>
      </w:r>
    </w:p>
    <w:p w:rsidR="00000000" w:rsidDel="00000000" w:rsidP="00000000" w:rsidRDefault="00000000" w:rsidRPr="00000000" w14:paraId="00000010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3.1. Planilha de Discriminação dos Itens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LOTE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 01 – VEÍCULOS 7 LUGARES</w:t>
      </w:r>
      <w:r w:rsidDel="00000000" w:rsidR="00000000" w:rsidRPr="00000000">
        <w:rPr>
          <w:rtl w:val="0"/>
        </w:rPr>
      </w:r>
    </w:p>
    <w:tbl>
      <w:tblPr>
        <w:tblStyle w:val="Table1"/>
        <w:tblW w:w="8670.0" w:type="dxa"/>
        <w:jc w:val="left"/>
        <w:tblInd w:w="-28.0" w:type="dxa"/>
        <w:tblLayout w:type="fixed"/>
        <w:tblLook w:val="0000"/>
      </w:tblPr>
      <w:tblGrid>
        <w:gridCol w:w="630"/>
        <w:gridCol w:w="7620"/>
        <w:gridCol w:w="420"/>
        <w:tblGridChange w:id="0">
          <w:tblGrid>
            <w:gridCol w:w="630"/>
            <w:gridCol w:w="7620"/>
            <w:gridCol w:w="42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Descrição do Veículo 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Especificações Mínimas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pStyle w:val="Heading3"/>
              <w:numPr>
                <w:ilvl w:val="2"/>
                <w:numId w:val="1"/>
              </w:numPr>
              <w:spacing w:after="120" w:before="140" w:lineRule="auto"/>
              <w:ind w:left="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Veículo Utilitário 7 Lugares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0" w:before="0" w:line="276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Veículo automotor novo, zero quilômetro, com capacidade mínima para 07 (sete) ocupantes, incluindo o motorista, ano/modelo correspondente à data da entrega ou superior.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0" w:before="0" w:line="276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Motorização compatível com a categoria do veículo e adequada ao transporte de 07 ocupantes, bicombustível (gasolina e etanol), com potência suficiente para utilização urbana e rodoviária, transmissão manual ou automática de no mínimo 5 velocidades à frente, direção elétrica ou hidráulica, tração dianteira e capacidade adequada para utilização em vias urbanas e rodoviárias.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02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widowControl w:val="0"/>
        <w:ind w:left="709" w:right="0" w:firstLine="0"/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Deverá possuir, no mínimo: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04 portas laterais e porta traseira;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capacidade mínima para 07 lugares;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ar-condicionado original de fábrica;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sistema de freios ABS;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airbags frontais para motorista e passageiro;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controle eletrônico de estabilidade e tração;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assistente de partida em rampa, quando disponível na versão ofertada;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cintos de segurança retráteis de 3 pontos para os ocupantes, conforme legislação vigente;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sistema de fixação de cadeirinhas infantis tipo ISOFIX ou equivalente;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vidros elétricos nas portas dianteiras, no mínimo;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travas elétricas;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retrovisores externos com ajuste interno;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computador de bordo ou painel com informações essenciais de condução;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iluminação interna;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limpador e lavador do vidro traseiro, quando aplicável;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banco do motorista com ajuste de posição;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coluna de direção com regulagem;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desembaçador traseiro;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rodas compatíveis com a categoria do veículo; pneus novos conforme especificação do fabricante;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estepe, macaco, chave de rodas e demais equipamentos obrigatórios exigidos pelo CONTRAN;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pintura sólida na cor branca;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capacidade de porta-malas compatível com a configuração de 7 lugares.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veículos deverão apresentar boas condições de ergonomia, conforto e acessibilidade para embarque e desembarque dos passageiros, além de suspensão compatível com uso contínuo em transporte sanitário e deslocamentos intermunicipais.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veículos deverão ser entregues devidamente emplacados, licenciados e registrados em nome do Município de Alumínio/SP, sendo de responsabilidade da Contratada todas as despesas relativas a frete, taxas, tributos, emplacamento, licenciamento e demais custos necessários à entrega do objeto em condições de uso.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Além disso, deverão ser entregues: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 todos os acessórios obrigatórios;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acompanhado de manual do proprietário em língua portuguesa;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 garantia mínima de 12 (doze) meses, sem limite de quilometragem;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276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conformidade com as normas do CONTRAN, Código de Trânsito Brasileiro e demais legislações aplicáveis.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LOTE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 02 – AMBULÂNCIA TIPO B – SUPORTE BÁSICO</w:t>
      </w:r>
      <w:r w:rsidDel="00000000" w:rsidR="00000000" w:rsidRPr="00000000">
        <w:rPr>
          <w:rtl w:val="0"/>
        </w:rPr>
      </w:r>
    </w:p>
    <w:tbl>
      <w:tblPr>
        <w:tblStyle w:val="Table2"/>
        <w:tblW w:w="8640.0" w:type="dxa"/>
        <w:jc w:val="left"/>
        <w:tblInd w:w="-28.0" w:type="dxa"/>
        <w:tblLayout w:type="fixed"/>
        <w:tblLook w:val="0000"/>
      </w:tblPr>
      <w:tblGrid>
        <w:gridCol w:w="600"/>
        <w:gridCol w:w="7260"/>
        <w:gridCol w:w="780"/>
        <w:tblGridChange w:id="0">
          <w:tblGrid>
            <w:gridCol w:w="600"/>
            <w:gridCol w:w="7260"/>
            <w:gridCol w:w="78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Descrição do Veículo -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Especificações Mínimas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Ambulância Tipo B – Suporte Básico, veículo automotor novo, zero quilômetro, tipo furgão original de fábrica, teto alto, transformado em ambulância destinada ao transporte inter-hospitalar e atendimento pré-hospitalar de pacientes, em conformidade com as normas do Ministério da Saúde, ABNT NBR 14.561, CONTRAN e demais legislações aplicáveis, conforme especificações técnicas detalhadas neste Termo de Referência.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01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3"/>
        <w:numPr>
          <w:ilvl w:val="2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Descritivo Técnico – Ambulância Tipo B – Suporte Básico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Veículo automotor novo, zero quilômetro, tipo furgão original de fábrica, teto alto, transformado em ambulância de suporte básico tipo B, destinado ao transporte inter-hospitalar e atendimento pré-hospitalar de pacientes, em conformidade com as normas do Ministério da Saúde, ABNT NBR 14.561 e demais legislações aplicáveis.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veículo deverá possuir carroceria em aço, compartimento traseiro destinado ao atendimento de pacientes, com capacidade volumétrica mínima de 10 m³, ano/modelo correspondente à data da entrega ou superior.</w:t>
      </w:r>
    </w:p>
    <w:p w:rsidR="00000000" w:rsidDel="00000000" w:rsidP="00000000" w:rsidRDefault="00000000" w:rsidRPr="00000000" w14:paraId="00000045">
      <w:pPr>
        <w:pStyle w:val="Heading3"/>
        <w:numPr>
          <w:ilvl w:val="2"/>
          <w:numId w:val="1"/>
        </w:numPr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  <w:rtl w:val="0"/>
        </w:rPr>
        <w:t xml:space="preserve">Características mínimas do veículo: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Motorização ciclo diesel;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Motor com mínimo de 04 cilindros;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Cilindrada mínima de 1.900 cm³;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Potência mínima de 130 CV;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Turbo compressor com intercooler, quando integrante da configuração original do fabricante ;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Sistema de injeção eletrônica;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Transmissão manual de no mínimo 05 marchas à frente e 01 à ré;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Direção hidráulica, elétrica ou eletro-hidráulica original de fábrica;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Freios ABS nas quatro rodas;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Controle eletrônico de estabilidade;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Controle de tração, quando disponíveis na configuração original do fabricante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Sistema auxiliar de partida em rampa, quando disponíveis na configuração original do fabricante;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Airbags frontais para motorista e passageiro;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Capacidade mínima de carga compatível com a transformação em ambulância;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Tanque de combustível com capacidade mínima de 60 litros;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Rodas e pneus compatíveis com a categoria do veículo.</w:t>
      </w:r>
    </w:p>
    <w:p w:rsidR="00000000" w:rsidDel="00000000" w:rsidP="00000000" w:rsidRDefault="00000000" w:rsidRPr="00000000" w14:paraId="00000056">
      <w:pPr>
        <w:pStyle w:val="Heading3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  <w:rtl w:val="0"/>
        </w:rPr>
        <w:t xml:space="preserve">Configuração externa: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Cor branca;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02 portas dianteiras;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01 porta lateral deslizante;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02 portas traseiras com abertura ampliada;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Janelas laterais no compartimento traseiro conforme normas técnicas;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Vidros com película conforme legislação vigente;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Sinalizador acústico e visual em barra superior com tecnologia LED;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Sirene eletrônica;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Iluminação externa de embarque e desembarque, quando aplicável.</w:t>
      </w:r>
    </w:p>
    <w:p w:rsidR="00000000" w:rsidDel="00000000" w:rsidP="00000000" w:rsidRDefault="00000000" w:rsidRPr="00000000" w14:paraId="00000060">
      <w:pPr>
        <w:pStyle w:val="Heading3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  <w:rtl w:val="0"/>
        </w:rPr>
        <w:t xml:space="preserve">Compartimento interno do paciente: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compartimento destinado ao atendimento deverá possuir revestimento interno lavável, impermeável e resistente aos processos de desinfecção hospitalar, com isolamento termoacústico e acabamento que facilite higienização e manutenção sanitária.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Deverá possuir: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Iluminação interna em LED;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Piso antiderrapante;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Armário ou compartimentos para acondicionamento de materiais;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Banco para acompanhante com cinto de segurança;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Suporte para soro/plasma;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Pegamão ou apoio para deslocamento interno;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Ventilação adequada ao ambiente assistencial;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Sistema independente ou compatível de climatização para cabine e compartimento traseiro, quando aplicável.</w:t>
      </w:r>
    </w:p>
    <w:p w:rsidR="00000000" w:rsidDel="00000000" w:rsidP="00000000" w:rsidRDefault="00000000" w:rsidRPr="00000000" w14:paraId="0000006B">
      <w:pPr>
        <w:pStyle w:val="Heading3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  <w:rtl w:val="0"/>
        </w:rPr>
        <w:t xml:space="preserve">Equipamentos mínimos: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Maca retrátil articulada em alumínio, com sistema de travamento e cintos de segurança;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Colchonete revestido em material impermeável;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Cadeira de rodas dobrável;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Cilindro de oxigênio fixo com suporte apropriado;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Cilindro portátil de oxigênio;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Régua de oxigênio contendo fluxômetro, umidificador e aspirador;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Suportes e acessórios necessários ao atendimento básico;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Prancha para imobilização, quando exigida pela configuração assistencial.</w:t>
      </w:r>
    </w:p>
    <w:p w:rsidR="00000000" w:rsidDel="00000000" w:rsidP="00000000" w:rsidRDefault="00000000" w:rsidRPr="00000000" w14:paraId="00000074">
      <w:pPr>
        <w:pStyle w:val="Heading3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color w:val="000000"/>
          <w:sz w:val="22"/>
          <w:szCs w:val="22"/>
          <w:vertAlign w:val="baseline"/>
          <w:rtl w:val="0"/>
        </w:rPr>
        <w:t xml:space="preserve">Requisitos gerais: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Todos os equipamentos deverão estar devidamente instalados e funcionando;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transformação deverá atender às normas da ABNT, CONTRAN e Ministério da Saúde;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veículo deverá ser entregue emplacado em nome do Município de Alumínio/SP;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Deverá acompanhar manual do proprietário e dos equipamentos em língua portuguesa;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Garantia mínima de 12 (doze) meses para o veículo e adaptação;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mplacamento, licenciamento e demais despesas inclusas na proposta.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Local de entrega: Departamento Municipal de Saúde de Alumínio/SP.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4. REQUISITOS DA CONTRATAÇÃO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  <w:vertAlign w:val="baseline"/>
          <w:rtl w:val="0"/>
        </w:rPr>
        <w:t xml:space="preserve">4.1. Subcontratação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É vedada a subcontratação integral do objeto. Admite-se subcontratação parcial exclusivamente para serviços acessórios, tais como transporte, preparação técnica e emplacamento, permanecendo a Contratada integralmente responsável pela execução contratual.</w:t>
      </w:r>
    </w:p>
    <w:p w:rsidR="00000000" w:rsidDel="00000000" w:rsidP="00000000" w:rsidRDefault="00000000" w:rsidRPr="00000000" w14:paraId="00000080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4.2. Garantia Contratual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será exigida garantia contratual.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5. PRAZO DE VIGÊNCIA DO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prazo de vigência do contrato será de 12 (doze) meses, contados da assinatura, limitado à entrega do objeto, recebimento definitivo e encerramento das obrigações contratuais, observadas as hipóteses legais da Lei nº 14.133/2021. 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6. MODO DE EXECUÇÃO DO OBJETO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 veículos deverão ser entregues em perfeitas condições de uso e funcionamento, devidamente revisados, licenciados e emplacados em nome do Município de Alumínio/SP.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6.1. Prazo para Entrega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Ordem de Fornecimento será emitida em até 15 (quinze) dias úteis após a assinatura do contrato.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Contratada deverá realizar a entrega dos veículos em até 90 (noventa) dias corridos contados do recebimento da Ordem de Fornecimento.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6.2. Local e Horário da Entrega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 veículos deverão ser entregues no Departamento Municipal de Saúde de Alumínio/SP, preferencialmente em horário comercial, mediante agendamento prévio.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6.3. Garantia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Fornecedora será responsável pela garantia integral dos veículos, incluindo assistência técnica autorizada, substituição de peças defeituosas e correção de vícios de fabricação durante o período de garantia.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7. OBRIGAÇÕES DAS PARTES</w:t>
      </w:r>
    </w:p>
    <w:p w:rsidR="00000000" w:rsidDel="00000000" w:rsidP="00000000" w:rsidRDefault="00000000" w:rsidRPr="00000000" w14:paraId="00000091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7.1. Obrigações da Contratada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Compete à Contratada, além de outras obrigações previstas: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Fornecer os veículos conforme especificações constantes neste Termo de Referência e em sua proposta comercial;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Entregar os veículos novos, zero quilômetro, em perfeitas condições de funcionamento;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Arcar com todas as despesas relativas a frete, tributos, taxas e demais encargos;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Garantir assistência técnica durante o período de garantia;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Substituir veículos com defeitos de fabricação;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Fornecer manuais em língua portuguesa;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Responsabilizar-se integralmente pela qualidade dos veículos;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Manter as condições de habilitação durante toda a execução contratual;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Prestar esclarecimentos sempre que solicitado pela Administração;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Comunicar imediatamente qualquer fato que possa comprometer a execução contratual;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Cumprir rigorosamente os prazos e condições contratuais;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Entregar os veículos com todos os equipamentos obrigatórios exigidos pela legislação vigente;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Responsabilizar-se pelo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emplacamento, licenciamento e registro dos veículos em nome do Município de Alumínio/SP; </w:t>
      </w:r>
    </w:p>
    <w:p w:rsidR="00000000" w:rsidDel="00000000" w:rsidP="00000000" w:rsidRDefault="00000000" w:rsidRPr="00000000" w14:paraId="000000A0">
      <w:pPr>
        <w:pStyle w:val="Heading2"/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7.2. Obrigações da Contratante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Compete à Contratante: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Indicar fiscal para acompanhamento da execução contratual;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Receber e conferir os veículos fornecidos;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Efetuar os pagamentos nas condições pactuadas;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Notificar a Contratada acerca de eventuais irregularidades;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Fiscalizar a execução do contrato;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Prestar as informações necessárias ao fiel cumprimento do objeto.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8. GESTÃO E FISCALIZAÇÃO DO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contrato deverá ser executado fielmente pelas partes, nos termos da Lei nº 14.133/2021.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execução do contrato será acompanhada pelo Departamento Municipal de Saúde e a fiscalização caberá ao servidor Rogério Barbosa, do setor de Ambulância do Departamento de Saúde.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objeto entregue pela CONTRATADA será recebido: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Provisoriamente: pelo fiscal do contrato, mediante conferência física e documental dos veículos;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709" w:right="0" w:hanging="283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Definitivamente: pelo gestor do contrato, após verificação da conformidade do objeto entregue, no prazo de até 30 (trinta) dias.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Os veículos rejeitados pela fiscalização deverão ser substituídos no prazo máximo de 15 (quinze) dias úteis, sem ônus para a Administração.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9. MEDIÇÃO E PAGAMENTO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pagamento será efetuado em até 30 (trinta) dias corridos após o recebimento definitivo dos veículos, mediante apresentação de nota fiscal devidamente atestada pelo fiscal do contrato.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10. SELEÇÃO DO FORNECEDOR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seleção do fornecedor será realizada mediante procedimento licitatório na modalidade:</w:t>
      </w:r>
    </w:p>
    <w:p w:rsidR="00000000" w:rsidDel="00000000" w:rsidP="00000000" w:rsidRDefault="00000000" w:rsidRPr="00000000" w14:paraId="000000B6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  <w:vertAlign w:val="baseline"/>
          <w:rtl w:val="0"/>
        </w:rPr>
        <w:t xml:space="preserve">PREGÃO ELETRÔNICO com critério de julgamento: MENOR PREÇO GLOBAL POR</w:t>
      </w:r>
      <w:r w:rsidDel="00000000" w:rsidR="00000000" w:rsidRPr="00000000">
        <w:rPr>
          <w:rFonts w:ascii="Calibri" w:cs="Calibri" w:eastAsia="Calibri" w:hAnsi="Calibri"/>
          <w:b w:val="0"/>
          <w:bCs w:val="0"/>
          <w:sz w:val="22"/>
          <w:szCs w:val="22"/>
          <w:rtl w:val="0"/>
        </w:rPr>
        <w:t xml:space="preserve"> LOTE</w:t>
      </w:r>
      <w:r w:rsidDel="00000000" w:rsidR="00000000" w:rsidRPr="00000000"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  <w:vertAlign w:val="baseline"/>
          <w:rtl w:val="0"/>
        </w:rPr>
        <w:t xml:space="preserve"> nos termos da Lei nº 14.133/2021.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10.1. Habilitação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color w:val="ff0000"/>
          <w:sz w:val="22"/>
          <w:szCs w:val="22"/>
          <w:highlight w:val="yellow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Para fins de habilitação, deverá a proponente comprovar os requisitos previstos nos arts. 66 a 69 da Lei nº 14.133/2021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conforme consta no Anexo I do Edital.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Style w:val="Heading2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10.2. Proposta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numPr>
          <w:ilvl w:val="0"/>
          <w:numId w:val="1"/>
        </w:numPr>
        <w:tabs>
          <w:tab w:val="left" w:leader="none" w:pos="0"/>
        </w:tabs>
        <w:ind w:left="0" w:firstLine="0"/>
        <w:rPr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 proposta deverá acompanhar Catálogos, folders ou fichas técnicas dos veículos ofertados e Para o lote de ambulância, comprovação de que a transformação atende às normas da ABNT NBR 14.561 e legislação sanitária aplicável.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numPr>
          <w:ilvl w:val="0"/>
          <w:numId w:val="1"/>
        </w:numPr>
        <w:tabs>
          <w:tab w:val="left" w:leader="none" w:pos="0"/>
        </w:tabs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10.3. Participação em Consórcio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será permitida a participação de empresas em consórcio.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pStyle w:val="Heading2"/>
        <w:numPr>
          <w:ilvl w:val="1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10.4. Garantia de Proposta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Não será exigida garantia de proposta.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Style w:val="Heading1"/>
        <w:numPr>
          <w:ilvl w:val="0"/>
          <w:numId w:val="1"/>
        </w:numPr>
        <w:tabs>
          <w:tab w:val="left" w:leader="none" w:pos="0"/>
        </w:tabs>
        <w:spacing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color w:val="000000"/>
          <w:sz w:val="22"/>
          <w:szCs w:val="22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u w:val="none"/>
          <w:vertAlign w:val="baseline"/>
          <w:rtl w:val="0"/>
        </w:rPr>
        <w:t xml:space="preserve">11. ESTIMATIVA DO VALOR DA CONTRATAÇÃO E DOTAÇÃO ORÇAMENTÁRIA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 valor estimado da contratação será definido mediante pesquisa de preços realizada nos termos do art. 23 da Lei nº 14.133/2021.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14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estimativa do valor da contratação observará os princípios da razoabilidade, economicidade e compatibilidade com o objeto, não configurando fracionamento indevido nem sobrepreço.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 despesas decorrentes desta contratação estão programadas em dotações orçamentárias específicas destinadas para esse fim, através de indicação de Emendas Parlamentares;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despesa tem adequação orçamentária e financeira com a LOA e compatibilidade com o PPA e a LDO;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360" w:lineRule="auto"/>
        <w:ind w:left="1286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3"/>
        <w:tblW w:w="8409.0" w:type="dxa"/>
        <w:jc w:val="center"/>
        <w:tblLayout w:type="fixed"/>
        <w:tblLook w:val="0000"/>
      </w:tblPr>
      <w:tblGrid>
        <w:gridCol w:w="900"/>
        <w:gridCol w:w="2955"/>
        <w:gridCol w:w="2835"/>
        <w:gridCol w:w="1719"/>
        <w:tblGridChange w:id="0">
          <w:tblGrid>
            <w:gridCol w:w="900"/>
            <w:gridCol w:w="2955"/>
            <w:gridCol w:w="2835"/>
            <w:gridCol w:w="171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vertAlign w:val="baseline"/>
                <w:rtl w:val="0"/>
              </w:rPr>
              <w:t xml:space="preserve">FICHA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vertAlign w:val="baseline"/>
                <w:rtl w:val="0"/>
              </w:rPr>
              <w:t xml:space="preserve">FUNCIONAL PROGRAMÁTICA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vertAlign w:val="baseline"/>
                <w:rtl w:val="0"/>
              </w:rPr>
              <w:t xml:space="preserve">CATEGORIA ECONÔMICA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vertAlign w:val="baseline"/>
                <w:rtl w:val="0"/>
              </w:rPr>
              <w:t xml:space="preserve">VÍNCULO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375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B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10.301.1401.2.198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C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4.4.90.52.00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08.804.0059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E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373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F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10.301.1401.1.004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0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4.4.90.52.00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1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02.310.0011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2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373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3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10.301.1401.1.004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4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4.4.90.52.00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tabs>
                <w:tab w:val="left" w:leader="none" w:pos="0"/>
              </w:tabs>
              <w:spacing w:line="360" w:lineRule="auto"/>
              <w:jc w:val="both"/>
              <w:rPr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05.310.0009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6">
      <w:pPr>
        <w:tabs>
          <w:tab w:val="left" w:leader="none" w:pos="0"/>
        </w:tabs>
        <w:spacing w:line="360" w:lineRule="auto"/>
        <w:jc w:val="both"/>
        <w:rPr>
          <w:rFonts w:ascii="Calibri" w:cs="Calibri" w:eastAsia="Calibri" w:hAnsi="Calibri"/>
          <w:color w:val="00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  <w:tab w:val="left" w:leader="none" w:pos="59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Style w:val="Heading2"/>
        <w:tabs>
          <w:tab w:val="left" w:leader="none" w:pos="0"/>
        </w:tabs>
        <w:spacing w:after="120" w:before="200" w:line="360" w:lineRule="auto"/>
        <w:ind w:right="0"/>
        <w:jc w:val="left"/>
        <w:rPr>
          <w:rFonts w:ascii="Calibri" w:cs="Calibri" w:eastAsia="Calibri" w:hAnsi="Calibri"/>
          <w:color w:val="ff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135" w:top="764" w:left="1843" w:right="141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4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vertAlign w:val="baseline"/>
      </w:rPr>
    </w:pPr>
    <w:r w:rsidDel="00000000" w:rsidR="00000000" w:rsidRPr="00000000">
      <w:rPr>
        <w:rtl w:val="0"/>
      </w:rPr>
    </w:r>
  </w:p>
  <w:tbl>
    <w:tblPr>
      <w:tblStyle w:val="Table4"/>
      <w:tblW w:w="9929.0" w:type="dxa"/>
      <w:jc w:val="left"/>
      <w:tblInd w:w="-108.0" w:type="dxa"/>
      <w:tblLayout w:type="fixed"/>
      <w:tblLook w:val="0000"/>
    </w:tblPr>
    <w:tblGrid>
      <w:gridCol w:w="2269"/>
      <w:gridCol w:w="7660"/>
      <w:tblGridChange w:id="0">
        <w:tblGrid>
          <w:gridCol w:w="2269"/>
          <w:gridCol w:w="7660"/>
        </w:tblGrid>
      </w:tblGridChange>
    </w:tblGrid>
    <w:tr>
      <w:trPr>
        <w:cantSplit w:val="0"/>
        <w:trHeight w:val="1275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DA">
          <w:pPr>
            <w:jc w:val="center"/>
            <w:rPr>
              <w:sz w:val="23"/>
              <w:szCs w:val="23"/>
              <w:vertAlign w:val="baseline"/>
            </w:rPr>
          </w:pPr>
          <w:r w:rsidDel="00000000" w:rsidR="00000000" w:rsidRPr="00000000">
            <w:rPr>
              <w:sz w:val="23"/>
              <w:szCs w:val="23"/>
            </w:rPr>
            <w:drawing>
              <wp:inline distB="114300" distT="114300" distL="114300" distR="114300">
                <wp:extent cx="691832" cy="853560"/>
                <wp:effectExtent b="0" l="0" r="0" t="0"/>
                <wp:docPr id="4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1832" cy="8535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1166496</wp:posOffset>
                </wp:positionH>
                <wp:positionV relativeFrom="paragraph">
                  <wp:posOffset>5080</wp:posOffset>
                </wp:positionV>
                <wp:extent cx="708025" cy="760095"/>
                <wp:effectExtent b="0" l="0" r="0" t="0"/>
                <wp:wrapNone/>
                <wp:docPr id="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-820" l="-888" r="-888" t="-8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8025" cy="7600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DB">
          <w:pPr>
            <w:jc w:val="both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b w:val="1"/>
              <w:bCs w:val="1"/>
              <w:sz w:val="28"/>
              <w:szCs w:val="28"/>
              <w:vertAlign w:val="baseline"/>
              <w:rtl w:val="0"/>
            </w:rPr>
            <w:t xml:space="preserve">PREFEITURA MUNICIPAL DE ALUMÍNIO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DC">
          <w:pPr>
            <w:jc w:val="both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Av. Eng°Antonio de Castro Figueirôa, n° 100</w:t>
          </w:r>
        </w:p>
        <w:p w:rsidR="00000000" w:rsidDel="00000000" w:rsidP="00000000" w:rsidRDefault="00000000" w:rsidRPr="00000000" w14:paraId="000000DD">
          <w:pPr>
            <w:jc w:val="both"/>
            <w:rPr>
              <w:sz w:val="20"/>
              <w:szCs w:val="20"/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Vila Santa Luzia · Alumínio · SP · CEP 18.125-000</w:t>
          </w:r>
        </w:p>
        <w:p w:rsidR="00000000" w:rsidDel="00000000" w:rsidP="00000000" w:rsidRDefault="00000000" w:rsidRPr="00000000" w14:paraId="000000DE">
          <w:pPr>
            <w:jc w:val="both"/>
            <w:rPr>
              <w:vertAlign w:val="baseline"/>
            </w:rPr>
          </w:pPr>
          <w:r w:rsidDel="00000000" w:rsidR="00000000" w:rsidRPr="00000000">
            <w:rPr>
              <w:sz w:val="20"/>
              <w:szCs w:val="20"/>
              <w:vertAlign w:val="baseline"/>
              <w:rtl w:val="0"/>
            </w:rPr>
            <w:t xml:space="preserve">C.G.C. 58.987.629/0001-57 · Fone (11) 4715-5500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D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1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709" w:hanging="282.99999999999983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●"/>
      <w:lvlJc w:val="left"/>
      <w:pPr>
        <w:ind w:left="1418" w:hanging="282.9999999999998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●"/>
      <w:lvlJc w:val="left"/>
      <w:pPr>
        <w:ind w:left="2127" w:hanging="283.0000000000002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36" w:hanging="283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●"/>
      <w:lvlJc w:val="left"/>
      <w:pPr>
        <w:ind w:left="3545" w:hanging="283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●"/>
      <w:lvlJc w:val="left"/>
      <w:pPr>
        <w:ind w:left="4254" w:hanging="283.0000000000009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963" w:hanging="283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●"/>
      <w:lvlJc w:val="left"/>
      <w:pPr>
        <w:ind w:left="5672" w:hanging="282.9999999999991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●"/>
      <w:lvlJc w:val="left"/>
      <w:pPr>
        <w:ind w:left="6381" w:hanging="282.9999999999991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1"/>
      <w:spacing w:after="120" w:before="240" w:lineRule="auto"/>
      <w:ind w:left="0" w:firstLine="0"/>
    </w:pPr>
    <w:rPr>
      <w:rFonts w:ascii="Liberation Serif" w:cs="Liberation Serif" w:eastAsia="Liberation Serif" w:hAnsi="Liberation Serif"/>
      <w:b w:val="1"/>
      <w:bCs w:val="1"/>
      <w:sz w:val="48"/>
      <w:szCs w:val="48"/>
      <w:vertAlign w:val="baseline"/>
    </w:rPr>
  </w:style>
  <w:style w:type="paragraph" w:styleId="Heading2">
    <w:name w:val="heading 2"/>
    <w:basedOn w:val="Normal"/>
    <w:next w:val="Normal"/>
    <w:pPr>
      <w:keepNext w:val="1"/>
      <w:widowControl w:val="1"/>
      <w:spacing w:after="120" w:before="200" w:lineRule="auto"/>
      <w:ind w:left="0" w:firstLine="0"/>
    </w:pPr>
    <w:rPr>
      <w:rFonts w:ascii="Liberation Serif" w:cs="Liberation Serif" w:eastAsia="Liberation Serif" w:hAnsi="Liberation Serif"/>
      <w:b w:val="1"/>
      <w:bCs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widowControl w:val="1"/>
      <w:spacing w:after="120" w:before="140" w:lineRule="auto"/>
      <w:ind w:left="0" w:firstLine="0"/>
    </w:pPr>
    <w:rPr>
      <w:rFonts w:ascii="Liberation Serif" w:cs="Liberation Serif" w:eastAsia="Liberation Serif" w:hAnsi="Liberation Serif"/>
      <w:b w:val="1"/>
      <w:bCs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widowControl w:val="1"/>
      <w:spacing w:after="120" w:before="120" w:lineRule="auto"/>
      <w:ind w:left="0" w:firstLine="0"/>
    </w:pPr>
    <w:rPr>
      <w:rFonts w:ascii="Liberation Serif" w:cs="Liberation Serif" w:eastAsia="Liberation Serif" w:hAnsi="Liberation Serif"/>
      <w:b w:val="1"/>
      <w:bCs w:val="1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kOr1N9tbsyzTdIffvRHhVRCojA==">CgMxLjA4AHIhMWNpV2VMTEtEYWR6RkJCYU5yNHBlVUZlTFZPUENmQW1f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