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54" w:rsidRDefault="00A84BBE">
      <w:pPr>
        <w:spacing w:after="0"/>
        <w:ind w:left="851"/>
        <w:jc w:val="center"/>
        <w:rPr>
          <w:rFonts w:ascii="Verdana" w:eastAsia="Verdana" w:hAnsi="Verdana" w:cs="Verdana"/>
        </w:rPr>
      </w:pPr>
      <w:bookmarkStart w:id="0" w:name="_GoBack"/>
      <w:bookmarkEnd w:id="0"/>
      <w:r>
        <w:rPr>
          <w:rFonts w:ascii="Verdana" w:eastAsia="Verdana" w:hAnsi="Verdana" w:cs="Verdana"/>
          <w:b/>
          <w:bCs/>
          <w:color w:val="000000"/>
        </w:rPr>
        <w:t>TERMO DE REFERÊNCIA</w:t>
      </w:r>
    </w:p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"/>
        <w:tblW w:w="963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34"/>
      </w:tblGrid>
      <w:tr w:rsidR="00334C54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  <w:highlight w:val="lightGray"/>
              </w:rPr>
              <w:t>ÁREA REQUISITANTE:</w:t>
            </w:r>
            <w:r>
              <w:rPr>
                <w:rFonts w:ascii="Verdana" w:eastAsia="Verdana" w:hAnsi="Verdana" w:cs="Verdana"/>
                <w:b/>
                <w:bCs/>
              </w:rPr>
              <w:t xml:space="preserve"> </w:t>
            </w:r>
            <w:r>
              <w:rPr>
                <w:rFonts w:ascii="Verdana" w:eastAsia="Verdana" w:hAnsi="Verdana" w:cs="Verdana"/>
              </w:rPr>
              <w:t xml:space="preserve">Direção Pedagógica e Coordenação Geral </w:t>
            </w:r>
            <w:proofErr w:type="spellStart"/>
            <w:r>
              <w:rPr>
                <w:rFonts w:ascii="Verdana" w:eastAsia="Verdana" w:hAnsi="Verdana" w:cs="Verdana"/>
              </w:rPr>
              <w:t>Pronatec</w:t>
            </w:r>
            <w:proofErr w:type="spellEnd"/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0"/>
        <w:tblW w:w="963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34"/>
      </w:tblGrid>
      <w:tr w:rsidR="00334C54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rPr>
                <w:rFonts w:ascii="Verdana" w:eastAsia="Verdana" w:hAnsi="Verdana" w:cs="Verdana"/>
                <w:b/>
                <w:bCs/>
              </w:rPr>
            </w:pPr>
            <w:bookmarkStart w:id="1" w:name="_heading=h.30j0zll" w:colFirst="0" w:colLast="0"/>
            <w:bookmarkEnd w:id="1"/>
            <w:r>
              <w:rPr>
                <w:rFonts w:ascii="Verdana" w:eastAsia="Verdana" w:hAnsi="Verdana" w:cs="Verdana"/>
                <w:b/>
                <w:bCs/>
                <w:highlight w:val="lightGray"/>
              </w:rPr>
              <w:t>1. OBJETO:</w:t>
            </w:r>
            <w:r>
              <w:rPr>
                <w:rFonts w:ascii="Verdana" w:eastAsia="Verdana" w:hAnsi="Verdana" w:cs="Verdana"/>
                <w:b/>
                <w:bCs/>
              </w:rPr>
              <w:t xml:space="preserve"> 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O objeto da presente contratação consiste na locação de imóvel destinado à instalação e funcionamento da Unidade II da Fundação das Artes de São Caetano do Sul, com características técnicas, dimensionais, funcionais e operacionais plenamente compatíveis</w:t>
            </w:r>
            <w:r>
              <w:rPr>
                <w:rFonts w:ascii="Verdana" w:eastAsia="Verdana" w:hAnsi="Verdana" w:cs="Verdana"/>
              </w:rPr>
              <w:t xml:space="preserve"> com as atividades educacionais, culturais, administrativas e pedagógicas desenvolvidas pela instituição, em consonância com as necessidades institucionais previamente identificadas no Estudo Técnico Preliminar e com os princípios da eficiência, continuida</w:t>
            </w:r>
            <w:r>
              <w:rPr>
                <w:rFonts w:ascii="Verdana" w:eastAsia="Verdana" w:hAnsi="Verdana" w:cs="Verdana"/>
              </w:rPr>
              <w:t>de do serviço público e interesse público, nos termos da Lei nº 14.133/2021.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O imóvel deverá apresentar configuração física capaz de atender, de forma integrada e adequada, a estrutura organizacional e pedagógica da Fundação, contemplando, no mínimo, os</w:t>
            </w:r>
            <w:r>
              <w:rPr>
                <w:rFonts w:ascii="Verdana" w:eastAsia="Verdana" w:hAnsi="Verdana" w:cs="Verdana"/>
              </w:rPr>
              <w:t xml:space="preserve"> seguintes setores e ambientes:</w:t>
            </w:r>
          </w:p>
          <w:p w:rsidR="00334C54" w:rsidRDefault="00334C54">
            <w:pPr>
              <w:spacing w:after="0"/>
              <w:jc w:val="both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a) Setor administrativo e pedagógico, composto por:</w:t>
            </w:r>
          </w:p>
          <w:p w:rsidR="00334C54" w:rsidRDefault="00A84BBE">
            <w:pPr>
              <w:numPr>
                <w:ilvl w:val="0"/>
                <w:numId w:val="1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Recepção;</w:t>
            </w:r>
          </w:p>
          <w:p w:rsidR="00334C54" w:rsidRDefault="00A84BBE">
            <w:pPr>
              <w:numPr>
                <w:ilvl w:val="0"/>
                <w:numId w:val="1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Sala administrativa;</w:t>
            </w:r>
          </w:p>
          <w:p w:rsidR="00334C54" w:rsidRDefault="00A84BBE">
            <w:pPr>
              <w:numPr>
                <w:ilvl w:val="0"/>
                <w:numId w:val="1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Sala pedagógica;</w:t>
            </w:r>
          </w:p>
          <w:p w:rsidR="00334C54" w:rsidRDefault="00A84BBE">
            <w:pPr>
              <w:numPr>
                <w:ilvl w:val="0"/>
                <w:numId w:val="1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Sala de professores;</w:t>
            </w:r>
          </w:p>
          <w:p w:rsidR="00334C54" w:rsidRDefault="00A84BBE">
            <w:pPr>
              <w:numPr>
                <w:ilvl w:val="0"/>
                <w:numId w:val="1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Almoxarifado;</w:t>
            </w:r>
          </w:p>
          <w:p w:rsidR="00334C54" w:rsidRDefault="00A84BBE">
            <w:pPr>
              <w:numPr>
                <w:ilvl w:val="0"/>
                <w:numId w:val="1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Copa/cozinha e área de serviço;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Totalizando 06 (seis) ambientes administrativos, destinados ao suporte gerencial, acadêmico e operacional da unidade.</w:t>
            </w:r>
          </w:p>
          <w:p w:rsidR="00334C54" w:rsidRDefault="00334C54">
            <w:pPr>
              <w:spacing w:after="0"/>
              <w:jc w:val="both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b) Setor educacional, composto por: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proofErr w:type="gramStart"/>
            <w:r>
              <w:rPr>
                <w:rFonts w:ascii="Verdana" w:eastAsia="Verdana" w:hAnsi="Verdana" w:cs="Verdana"/>
              </w:rPr>
              <w:t>01 estúdio</w:t>
            </w:r>
            <w:proofErr w:type="gramEnd"/>
            <w:r>
              <w:rPr>
                <w:rFonts w:ascii="Verdana" w:eastAsia="Verdana" w:hAnsi="Verdana" w:cs="Verdana"/>
              </w:rPr>
              <w:t xml:space="preserve"> de fotografia;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proofErr w:type="gramStart"/>
            <w:r>
              <w:rPr>
                <w:rFonts w:ascii="Verdana" w:eastAsia="Verdana" w:hAnsi="Verdana" w:cs="Verdana"/>
              </w:rPr>
              <w:t>01 ateliê</w:t>
            </w:r>
            <w:proofErr w:type="gramEnd"/>
            <w:r>
              <w:rPr>
                <w:rFonts w:ascii="Verdana" w:eastAsia="Verdana" w:hAnsi="Verdana" w:cs="Verdana"/>
              </w:rPr>
              <w:t xml:space="preserve"> de artes visuais;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proofErr w:type="gramStart"/>
            <w:r>
              <w:rPr>
                <w:rFonts w:ascii="Verdana" w:eastAsia="Verdana" w:hAnsi="Verdana" w:cs="Verdana"/>
              </w:rPr>
              <w:t>01 ateliê</w:t>
            </w:r>
            <w:proofErr w:type="gramEnd"/>
            <w:r>
              <w:rPr>
                <w:rFonts w:ascii="Verdana" w:eastAsia="Verdana" w:hAnsi="Verdana" w:cs="Verdana"/>
              </w:rPr>
              <w:t xml:space="preserve"> de costura;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proofErr w:type="gramStart"/>
            <w:r>
              <w:rPr>
                <w:rFonts w:ascii="Verdana" w:eastAsia="Verdana" w:hAnsi="Verdana" w:cs="Verdana"/>
              </w:rPr>
              <w:t>01 laboratório</w:t>
            </w:r>
            <w:proofErr w:type="gramEnd"/>
            <w:r>
              <w:rPr>
                <w:rFonts w:ascii="Verdana" w:eastAsia="Verdana" w:hAnsi="Verdana" w:cs="Verdana"/>
              </w:rPr>
              <w:t xml:space="preserve"> de informá</w:t>
            </w:r>
            <w:r>
              <w:rPr>
                <w:rFonts w:ascii="Verdana" w:eastAsia="Verdana" w:hAnsi="Verdana" w:cs="Verdana"/>
              </w:rPr>
              <w:t>tica;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02 salas de artes cênicas;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02 salas de dança;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03 salas de música;</w:t>
            </w:r>
          </w:p>
          <w:p w:rsidR="00334C54" w:rsidRDefault="00A84BBE">
            <w:pPr>
              <w:numPr>
                <w:ilvl w:val="0"/>
                <w:numId w:val="2"/>
              </w:num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05 salas de aula convencionais;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>Totalizando 16 (dezesseis) ambientes de ensino, concebidos para o desenvolvimento das atividades formativas da Fundação.</w:t>
            </w:r>
          </w:p>
          <w:p w:rsidR="00334C54" w:rsidRDefault="00334C54">
            <w:pPr>
              <w:spacing w:after="0"/>
              <w:jc w:val="both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Considerando a natureza das</w:t>
            </w:r>
            <w:r>
              <w:rPr>
                <w:rFonts w:ascii="Verdana" w:eastAsia="Verdana" w:hAnsi="Verdana" w:cs="Verdana"/>
              </w:rPr>
              <w:t xml:space="preserve"> atividades desenvolvidas e o número alunos por turma, as salas de aula deverão possuir, dimensões entre 35m² e 50m</w:t>
            </w:r>
            <w:proofErr w:type="gramStart"/>
            <w:r>
              <w:rPr>
                <w:rFonts w:ascii="Verdana" w:eastAsia="Verdana" w:hAnsi="Verdana" w:cs="Verdana"/>
              </w:rPr>
              <w:t>²,  de</w:t>
            </w:r>
            <w:proofErr w:type="gramEnd"/>
            <w:r>
              <w:rPr>
                <w:rFonts w:ascii="Verdana" w:eastAsia="Verdana" w:hAnsi="Verdana" w:cs="Verdana"/>
              </w:rPr>
              <w:t xml:space="preserve"> modo a assegurar condições adequadas de conforto, segurança, acessibilidade, ventilação, iluminação e dinâmica pedagógica, compatíveis</w:t>
            </w:r>
            <w:r>
              <w:rPr>
                <w:rFonts w:ascii="Verdana" w:eastAsia="Verdana" w:hAnsi="Verdana" w:cs="Verdana"/>
              </w:rPr>
              <w:t xml:space="preserve"> com as metodologias de ensino adotadas pela instituição.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O imóvel deverá, ainda, apresentar condições estruturais adequadas, regularidade documental plena para fins de locação, acessibilidade arquitetônica, instalações elétricas e hidráulicas compatíve</w:t>
            </w:r>
            <w:r>
              <w:rPr>
                <w:rFonts w:ascii="Verdana" w:eastAsia="Verdana" w:hAnsi="Verdana" w:cs="Verdana"/>
              </w:rPr>
              <w:t>is com o uso educacional, atendimento às normas de segurança e prevenção de riscos, bem como possibilidade de adaptação às especificidades dos cursos ofertados, sem prejuízo da segurança, funcionalidade e desempenho das atividades acadêmicas e administrati</w:t>
            </w:r>
            <w:r>
              <w:rPr>
                <w:rFonts w:ascii="Verdana" w:eastAsia="Verdana" w:hAnsi="Verdana" w:cs="Verdana"/>
              </w:rPr>
              <w:t>vas.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A solução proposta viabiliza a manutenção da capacidade operacional da Fundação das Artes, assegurando a continuidade dos serviços públicos educacionais e culturais, promovendo maior eficiência administrativa, otimização de recursos e sustentabilid</w:t>
            </w:r>
            <w:r>
              <w:rPr>
                <w:rFonts w:ascii="Verdana" w:eastAsia="Verdana" w:hAnsi="Verdana" w:cs="Verdana"/>
              </w:rPr>
              <w:t>ade da gestão institucional, em estrita observância aos princípios que regem a Administração Pública.</w:t>
            </w:r>
          </w:p>
          <w:p w:rsidR="00334C54" w:rsidRDefault="00334C54">
            <w:pPr>
              <w:spacing w:after="0"/>
              <w:jc w:val="both"/>
              <w:rPr>
                <w:rFonts w:ascii="Verdana" w:eastAsia="Verdana" w:hAnsi="Verdana" w:cs="Verdana"/>
              </w:rPr>
            </w:pP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1"/>
        <w:tblW w:w="963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34"/>
      </w:tblGrid>
      <w:tr w:rsidR="00334C54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rPr>
                <w:rFonts w:ascii="Verdana" w:eastAsia="Verdana" w:hAnsi="Verdana" w:cs="Verdana"/>
                <w:b/>
                <w:bCs/>
              </w:rPr>
            </w:pPr>
            <w:r>
              <w:rPr>
                <w:rFonts w:ascii="Verdana" w:eastAsia="Verdana" w:hAnsi="Verdana" w:cs="Verdana"/>
                <w:b/>
                <w:bCs/>
                <w:highlight w:val="lightGray"/>
              </w:rPr>
              <w:t xml:space="preserve">2. FUNDAMENTAÇÃO DA CONTRATAÇÃO: 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A contratação visa assegurar a continuidade e a qualidade dos serviços educacionais e culturais prestados pela Fundação das Artes de São Caetano do Sul, diante do cenário de inviabilidade financeira da manutenção do atual contrato de locação da Unidade </w:t>
            </w:r>
            <w:r>
              <w:rPr>
                <w:rFonts w:ascii="Verdana" w:eastAsia="Verdana" w:hAnsi="Verdana" w:cs="Verdana"/>
              </w:rPr>
              <w:t>II, cujo valor sofreu aumento significativo desde 2019. A redução dos repasses do Ministério da Educação ao PRONATEC, o elevado custo do imóvel atualmente ocupado e o crescimento limitado dos repasses municipais comprometeram a sustentabilidade institucion</w:t>
            </w:r>
            <w:r>
              <w:rPr>
                <w:rFonts w:ascii="Verdana" w:eastAsia="Verdana" w:hAnsi="Verdana" w:cs="Verdana"/>
              </w:rPr>
              <w:t xml:space="preserve">al, impondo a necessidade de reestruturação da base física e operacional da unidade. A decisão foi amplamente analisada no âmbito pedagógico e deliberada pelo Conselho de Curadores, conferindo legitimidade à medida. 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O novo imóvel deverá atender às exigências funcionais e pedagógicas da instituição, assegurando condições adequadas para a execução das atividades acadêmicas, administrativas e culturais, sendo a locação medida indispensável para a preservação do intere</w:t>
            </w:r>
            <w:r>
              <w:rPr>
                <w:rFonts w:ascii="Verdana" w:eastAsia="Verdana" w:hAnsi="Verdana" w:cs="Verdana"/>
              </w:rPr>
              <w:t>sse público, da eficiência administrativa e da continuidade dos serviços prestados à população.</w:t>
            </w:r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2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334C54">
        <w:tc>
          <w:tcPr>
            <w:tcW w:w="9629" w:type="dxa"/>
          </w:tcPr>
          <w:p w:rsidR="00334C54" w:rsidRDefault="00A84BBE">
            <w:pPr>
              <w:spacing w:after="0"/>
              <w:rPr>
                <w:rFonts w:ascii="Verdana" w:eastAsia="Verdana" w:hAnsi="Verdana" w:cs="Verdana"/>
                <w:b/>
                <w:bCs/>
                <w:color w:val="000000"/>
                <w:highlight w:val="blue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highlight w:val="lightGray"/>
              </w:rPr>
              <w:t xml:space="preserve">3. </w:t>
            </w:r>
            <w:r>
              <w:rPr>
                <w:rFonts w:ascii="Verdana" w:eastAsia="Verdana" w:hAnsi="Verdana" w:cs="Verdana"/>
                <w:b/>
                <w:bCs/>
                <w:highlight w:val="lightGray"/>
              </w:rPr>
              <w:t>E DESCRIÇÃO DA SOLUÇÃO: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A solução proposta consiste na locação de imóvel destinado à instalação e funcionamento da Unidade II da Fundação das Artes de </w:t>
            </w:r>
            <w:r>
              <w:rPr>
                <w:rFonts w:ascii="Verdana" w:eastAsia="Verdana" w:hAnsi="Verdana" w:cs="Verdana"/>
              </w:rPr>
              <w:t>São Caetano do Sul, como já explicitado anteriormente, abrangendo, de forma integrada, todas as etapas necessárias à adequada execução do objeto ao longo de seu ciclo de vida contratual, desde a entrega inicial do imóvel em condições regulares de uso até a</w:t>
            </w:r>
            <w:r>
              <w:rPr>
                <w:rFonts w:ascii="Verdana" w:eastAsia="Verdana" w:hAnsi="Verdana" w:cs="Verdana"/>
              </w:rPr>
              <w:t xml:space="preserve"> sua devolução ao término da vigência do contrato.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 xml:space="preserve">   A contratação compreende a disponibilização do espaço físico em plenas condições de funcionamento, com infraestrutura compatível com as atividades educacionais, culturais, administrativas e pedagógicas </w:t>
            </w:r>
            <w:r>
              <w:rPr>
                <w:rFonts w:ascii="Verdana" w:eastAsia="Verdana" w:hAnsi="Verdana" w:cs="Verdana"/>
              </w:rPr>
              <w:t>da Fundação, incluindo instalações elétricas, hidráulicas, sanitárias e estruturais adequadas, bem como o atendimento às normas de acessibilidade, segurança e prevenção de riscos, assegurando condições contínuas de conforto, segurança e funcionalidade dura</w:t>
            </w:r>
            <w:r>
              <w:rPr>
                <w:rFonts w:ascii="Verdana" w:eastAsia="Verdana" w:hAnsi="Verdana" w:cs="Verdana"/>
              </w:rPr>
              <w:t>nte toda a execução contratual.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O imóvel deverá manter, ao longo da vigência do contrato, as características técnicas, dimensionais e funcionais necessárias ao atendimento das demandas institucionais, contemplando a configuração mínima de ambientes administrativos e educacionais defin</w:t>
            </w:r>
            <w:r>
              <w:rPr>
                <w:rFonts w:ascii="Verdana" w:eastAsia="Verdana" w:hAnsi="Verdana" w:cs="Verdana"/>
              </w:rPr>
              <w:t>idos no planejamento da contratação, com possibilidade de adaptações às especificidades dos cursos ofertados, sem prejuízo da segurança, do desempenho operacional e da qualidade dos serviços prestados.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No tocante às responsabilidades relativas à conserv</w:t>
            </w:r>
            <w:r>
              <w:rPr>
                <w:rFonts w:ascii="Verdana" w:eastAsia="Verdana" w:hAnsi="Verdana" w:cs="Verdana"/>
              </w:rPr>
              <w:t>ação e à manutenção do imóvel, estas observarão o disposto na Lei Federal nº 8.245/1991, cabendo às partes o cumprimento das obrigações legais e contratuais que assegurem a preservação das condições de uso do bem durante todo o período de vigência contratu</w:t>
            </w:r>
            <w:r>
              <w:rPr>
                <w:rFonts w:ascii="Verdana" w:eastAsia="Verdana" w:hAnsi="Verdana" w:cs="Verdana"/>
              </w:rPr>
              <w:t>al.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   Em razão da natureza do objeto, não se aplica a exigência de assistência técnica especializada, uma vez que a contratação não envolve fornecimento de bens ou prestação de serviços técnicos continuados, mas exclusivamente a disponibilização de espaço</w:t>
            </w:r>
            <w:r>
              <w:rPr>
                <w:rFonts w:ascii="Verdana" w:eastAsia="Verdana" w:hAnsi="Verdana" w:cs="Verdana"/>
              </w:rPr>
              <w:t xml:space="preserve"> físico adequado ao desenvolvimento das atividades institucionais.</w:t>
            </w:r>
          </w:p>
          <w:p w:rsidR="00334C54" w:rsidRDefault="00A84BBE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rFonts w:ascii="Verdana" w:eastAsia="Verdana" w:hAnsi="Verdana" w:cs="Verdana"/>
              </w:rPr>
              <w:t>A solução, assim estruturada, garante a continuidade dos serviços públicos prestados pela Fundação das Artes de São Caetano do Sul, promove a eficiência administrativa, a racionalização dos</w:t>
            </w:r>
            <w:r>
              <w:rPr>
                <w:rFonts w:ascii="Verdana" w:eastAsia="Verdana" w:hAnsi="Verdana" w:cs="Verdana"/>
              </w:rPr>
              <w:t xml:space="preserve"> recursos públicos e a preservação do interesse público, considerando de forma completa e integrada todo o ciclo de vida do objeto contratual</w:t>
            </w:r>
            <w:r>
              <w:rPr>
                <w:sz w:val="24"/>
                <w:szCs w:val="24"/>
              </w:rPr>
              <w:t>.</w:t>
            </w:r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3"/>
        <w:tblW w:w="963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34"/>
      </w:tblGrid>
      <w:tr w:rsidR="00334C54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highlight w:val="lightGray"/>
              </w:rPr>
              <w:t>4. AGRUPAMENTO DE ITENS EM LOTES:</w:t>
            </w:r>
          </w:p>
          <w:p w:rsidR="00334C54" w:rsidRDefault="00A84BBE">
            <w:pPr>
              <w:spacing w:after="0"/>
              <w:ind w:right="83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A aquisição se dará em lotes?</w:t>
            </w:r>
          </w:p>
          <w:p w:rsidR="00334C54" w:rsidRDefault="00A84BBE">
            <w:pPr>
              <w:spacing w:after="0"/>
              <w:ind w:right="83"/>
              <w:rPr>
                <w:rFonts w:ascii="Verdana" w:eastAsia="Verdana" w:hAnsi="Verdana" w:cs="Verdana"/>
              </w:rPr>
            </w:pPr>
            <w:proofErr w:type="gramStart"/>
            <w:r>
              <w:rPr>
                <w:rFonts w:ascii="Verdana" w:eastAsia="Verdana" w:hAnsi="Verdana" w:cs="Verdana"/>
                <w:color w:val="000000"/>
              </w:rPr>
              <w:t>(X) Não</w:t>
            </w:r>
            <w:proofErr w:type="gramEnd"/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4"/>
        <w:tblW w:w="962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29"/>
      </w:tblGrid>
      <w:tr w:rsidR="00334C54">
        <w:tc>
          <w:tcPr>
            <w:tcW w:w="9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  <w:b/>
                <w:bCs/>
                <w:color w:val="000000"/>
                <w:highlight w:val="blue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highlight w:val="lightGray"/>
              </w:rPr>
              <w:t>5. REQUISITOS PARA CONTRATAÇÃO: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 contratação destinada à locação de imóvel para instalação e funcionamento da Unidade II da Fundação das Artes de São Caetano do Sul deverá observar, obrigatoriamente, os seguintes requisitos técnicos, operacionais, legais e funcionais, de modo a assegura</w:t>
            </w:r>
            <w:r>
              <w:rPr>
                <w:rFonts w:ascii="Verdana" w:eastAsia="Verdana" w:hAnsi="Verdana" w:cs="Verdana"/>
              </w:rPr>
              <w:t>r o pleno atendimento às necessidades institucionais e a adequada execução do objeto.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5.1. Requisitos técnicos e estruturais: </w:t>
            </w:r>
            <w:r>
              <w:rPr>
                <w:rFonts w:ascii="Verdana" w:eastAsia="Verdana" w:hAnsi="Verdana" w:cs="Verdana"/>
              </w:rPr>
              <w:t>o imóvel deverá apresentar condições físicas adequadas de conservação, estabilidade estrutural e segurança, incluindo sistemas elé</w:t>
            </w:r>
            <w:r>
              <w:rPr>
                <w:rFonts w:ascii="Verdana" w:eastAsia="Verdana" w:hAnsi="Verdana" w:cs="Verdana"/>
              </w:rPr>
              <w:t>trico e hidráulico em conformidade com as normas técnicas vigentes, instalações compatíveis com uso educacional, ventilação e iluminação adequadas, bem como possibilidade de adaptação às especificidades dos cursos ofertados.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lastRenderedPageBreak/>
              <w:t xml:space="preserve">5.2. Requisitos dimensionais e </w:t>
            </w:r>
            <w:r>
              <w:rPr>
                <w:rFonts w:ascii="Verdana" w:eastAsia="Verdana" w:hAnsi="Verdana" w:cs="Verdana"/>
                <w:b/>
                <w:bCs/>
              </w:rPr>
              <w:t xml:space="preserve">funcionais: </w:t>
            </w:r>
            <w:r>
              <w:rPr>
                <w:rFonts w:ascii="Verdana" w:eastAsia="Verdana" w:hAnsi="Verdana" w:cs="Verdana"/>
              </w:rPr>
              <w:t>o imóvel deverá contemplar, no mínimo, a configuração funcional definida neste Estudo Técnico Preliminar, com ambientes administrativos e pedagógicos e setores educacionais suficientes para o desenvolvimento regular das atividades acadêmicas, r</w:t>
            </w:r>
            <w:r>
              <w:rPr>
                <w:rFonts w:ascii="Verdana" w:eastAsia="Verdana" w:hAnsi="Verdana" w:cs="Verdana"/>
              </w:rPr>
              <w:t>espeitando os parâmetros de área, especialmente para salas de aula com dimensão entre 35m² e 50m², assegurando conforto, acessibilidade e adequada dinâmica pedagógica.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5.3. Requisitos de acessibilidade: </w:t>
            </w:r>
            <w:r>
              <w:rPr>
                <w:rFonts w:ascii="Verdana" w:eastAsia="Verdana" w:hAnsi="Verdana" w:cs="Verdana"/>
              </w:rPr>
              <w:t xml:space="preserve">deverá atender às normas de acessibilidade previstas </w:t>
            </w:r>
            <w:r>
              <w:rPr>
                <w:rFonts w:ascii="Verdana" w:eastAsia="Verdana" w:hAnsi="Verdana" w:cs="Verdana"/>
              </w:rPr>
              <w:t>na legislação vigente, garantindo condições de uso seguro e autônomo por pessoas com deficiência ou mobilidade reduzida.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5.4. Requisitos de regularidade jurídica e documental: </w:t>
            </w:r>
            <w:r>
              <w:rPr>
                <w:rFonts w:ascii="Verdana" w:eastAsia="Verdana" w:hAnsi="Verdana" w:cs="Verdana"/>
              </w:rPr>
              <w:t>o imóvel deverá possuir documentação regular, incluindo matrícula individualizad</w:t>
            </w:r>
            <w:r>
              <w:rPr>
                <w:rFonts w:ascii="Verdana" w:eastAsia="Verdana" w:hAnsi="Verdana" w:cs="Verdana"/>
              </w:rPr>
              <w:t>a, ausência de ônus impeditivos, licenças e alvarás necessários ao seu funcionamento para fins educacionais, bem como situação fiscal regular do proprietário ou da pessoa jurídica locadora.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5.5. Requisitos de segurança e prevenção de riscos: </w:t>
            </w:r>
            <w:r>
              <w:rPr>
                <w:rFonts w:ascii="Verdana" w:eastAsia="Verdana" w:hAnsi="Verdana" w:cs="Verdana"/>
              </w:rPr>
              <w:t>o imóvel dever</w:t>
            </w:r>
            <w:r>
              <w:rPr>
                <w:rFonts w:ascii="Verdana" w:eastAsia="Verdana" w:hAnsi="Verdana" w:cs="Verdana"/>
              </w:rPr>
              <w:t>á atender às normas de segurança contra incêndio, possuir laudos e autorizações anteriores, expedidos pelos órgãos competentes e condições adequadas de evacuação e proteção coletiva.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5.6. Requisitos de localização e acesso: </w:t>
            </w:r>
            <w:r>
              <w:rPr>
                <w:rFonts w:ascii="Verdana" w:eastAsia="Verdana" w:hAnsi="Verdana" w:cs="Verdana"/>
              </w:rPr>
              <w:t>o imóvel deverá estar situado no Município de São Caetano do Sul, com fácil acesso por transporte público, infraestrutura urbana consolidada e condições adequadas de circulação para alunos, servidores e público em geral.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>5.7. Requisitos de manutenção e con</w:t>
            </w:r>
            <w:r>
              <w:rPr>
                <w:rFonts w:ascii="Verdana" w:eastAsia="Verdana" w:hAnsi="Verdana" w:cs="Verdana"/>
                <w:b/>
                <w:bCs/>
              </w:rPr>
              <w:t xml:space="preserve">servação: </w:t>
            </w:r>
            <w:r>
              <w:rPr>
                <w:rFonts w:ascii="Verdana" w:eastAsia="Verdana" w:hAnsi="Verdana" w:cs="Verdana"/>
              </w:rPr>
              <w:t>o imóvel deverá ser entregue em perfeitas condições de uso e conservação, comprometendo-se o locador a manter, durante toda a vigência contratual, as condições necessárias ao funcionamento regular da unidade.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</w:rPr>
              <w:t xml:space="preserve">   O atendimento integral a esses req</w:t>
            </w:r>
            <w:r>
              <w:rPr>
                <w:rFonts w:ascii="Verdana" w:eastAsia="Verdana" w:hAnsi="Verdana" w:cs="Verdana"/>
              </w:rPr>
              <w:t>uisitos constitui condição essencial para a seleção da proposta mais vantajosa e para a adequada execução da contratação, em conformidade com o interesse público e os princípios que regem a Administração Pública.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5.8. </w:t>
            </w:r>
            <w:r>
              <w:rPr>
                <w:rFonts w:ascii="Verdana" w:eastAsia="Verdana" w:hAnsi="Verdana" w:cs="Verdana"/>
                <w:b/>
                <w:bCs/>
                <w:color w:val="000000"/>
              </w:rPr>
              <w:t>VIGÊNCIA  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O prazo de vigência da cont</w:t>
            </w:r>
            <w:r>
              <w:rPr>
                <w:rFonts w:ascii="Verdana" w:eastAsia="Verdana" w:hAnsi="Verdana" w:cs="Verdana"/>
                <w:color w:val="000000"/>
              </w:rPr>
              <w:t xml:space="preserve">ratação é de no mínimo 12 meses até 5 anos, contados do dia útil subsequente ao recebimento da Ordem de Serviço - OS, podendo ser prorrogado nos termos dos </w:t>
            </w:r>
            <w:proofErr w:type="spellStart"/>
            <w:r>
              <w:rPr>
                <w:rFonts w:ascii="Verdana" w:eastAsia="Verdana" w:hAnsi="Verdana" w:cs="Verdana"/>
                <w:color w:val="000000"/>
              </w:rPr>
              <w:t>arts</w:t>
            </w:r>
            <w:proofErr w:type="spellEnd"/>
            <w:r>
              <w:rPr>
                <w:rFonts w:ascii="Verdana" w:eastAsia="Verdana" w:hAnsi="Verdana" w:cs="Verdana"/>
                <w:color w:val="000000"/>
              </w:rPr>
              <w:t>. 105 e 106 da Lei Federal nº 14.133 de 2021.</w:t>
            </w:r>
          </w:p>
          <w:p w:rsidR="00334C54" w:rsidRDefault="00334C54">
            <w:pPr>
              <w:spacing w:after="0"/>
              <w:ind w:right="228"/>
              <w:jc w:val="both"/>
              <w:rPr>
                <w:rFonts w:ascii="Verdana" w:eastAsia="Verdana" w:hAnsi="Verdana" w:cs="Verdana"/>
              </w:rPr>
            </w:pP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5"/>
        <w:tblW w:w="962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29"/>
      </w:tblGrid>
      <w:tr w:rsidR="00334C54">
        <w:tc>
          <w:tcPr>
            <w:tcW w:w="9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shd w:val="clear" w:color="auto" w:fill="B7B7B7"/>
              </w:rPr>
              <w:t>6. DAS HABILITAÇÕES E QUALIFICAÇÃO TÉCNICA: </w:t>
            </w:r>
            <w:r>
              <w:rPr>
                <w:rFonts w:ascii="Verdana" w:eastAsia="Verdana" w:hAnsi="Verdana" w:cs="Verdana"/>
                <w:b/>
                <w:bCs/>
                <w:color w:val="000000"/>
              </w:rPr>
              <w:t>  </w:t>
            </w:r>
          </w:p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6.1. HABILITAÇÃO JURÍDICA</w:t>
            </w:r>
          </w:p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6.1.1</w:t>
            </w:r>
            <w:r>
              <w:rPr>
                <w:rFonts w:ascii="Verdana" w:eastAsia="Verdana" w:hAnsi="Verdana" w:cs="Verdana"/>
                <w:color w:val="000000"/>
              </w:rPr>
              <w:t xml:space="preserve">. </w:t>
            </w:r>
            <w:r>
              <w:rPr>
                <w:rFonts w:ascii="Verdana" w:eastAsia="Verdana" w:hAnsi="Verdana" w:cs="Verdana"/>
                <w:b/>
                <w:bCs/>
                <w:color w:val="000000"/>
              </w:rPr>
              <w:t>Pessoa física:</w:t>
            </w:r>
            <w:r>
              <w:rPr>
                <w:rFonts w:ascii="Verdana" w:eastAsia="Verdana" w:hAnsi="Verdana" w:cs="Verdana"/>
                <w:color w:val="000000"/>
              </w:rPr>
              <w:t xml:space="preserve"> cédula de identidade (RG) ou documento equivalente que, por força de lei, tenha validade para fins de identificação em todo o território nacional;</w:t>
            </w:r>
          </w:p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6.1.2. Pessoa Jurídica:</w:t>
            </w:r>
          </w:p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6.1.2.1</w:t>
            </w:r>
            <w:r>
              <w:rPr>
                <w:rFonts w:ascii="Verdana" w:eastAsia="Verdana" w:hAnsi="Verdana" w:cs="Verdana"/>
                <w:color w:val="000000"/>
              </w:rPr>
              <w:t>. Registro comercial, para emp</w:t>
            </w:r>
            <w:r>
              <w:rPr>
                <w:rFonts w:ascii="Verdana" w:eastAsia="Verdana" w:hAnsi="Verdana" w:cs="Verdana"/>
                <w:color w:val="000000"/>
              </w:rPr>
              <w:t>resa individual;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6.1.2.2</w:t>
            </w:r>
            <w:r>
              <w:rPr>
                <w:rFonts w:ascii="Verdana" w:eastAsia="Verdana" w:hAnsi="Verdana" w:cs="Verdana"/>
                <w:color w:val="000000"/>
              </w:rPr>
              <w:t>. Ato constitutivo, estatuto ou contrato social em vigor, devidamente registrado, para as sociedades empresariais, e, no caso de sociedades por ações, acompanhado dos documentos comprobatórios de eleição de seus administradores;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6.1</w:t>
            </w:r>
            <w:r>
              <w:rPr>
                <w:rFonts w:ascii="Verdana" w:eastAsia="Verdana" w:hAnsi="Verdana" w:cs="Verdana"/>
                <w:b/>
                <w:bCs/>
                <w:color w:val="000000"/>
              </w:rPr>
              <w:t>.2.3</w:t>
            </w:r>
            <w:r>
              <w:rPr>
                <w:rFonts w:ascii="Verdana" w:eastAsia="Verdana" w:hAnsi="Verdana" w:cs="Verdana"/>
                <w:color w:val="000000"/>
              </w:rPr>
              <w:t>. Inscrição do ato constitutivo, no caso de sociedades simples, acompanhada, quando couber, de prova do registro da ata da eleição da diretoria em exercício (Registro Civil de Pessoas Jurídicas);</w:t>
            </w:r>
          </w:p>
          <w:p w:rsidR="00334C54" w:rsidRDefault="00A84BBE">
            <w:pPr>
              <w:spacing w:after="0"/>
              <w:ind w:right="228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lastRenderedPageBreak/>
              <w:t xml:space="preserve">6.1.2.4. </w:t>
            </w:r>
            <w:r>
              <w:rPr>
                <w:rFonts w:ascii="Verdana" w:eastAsia="Verdana" w:hAnsi="Verdana" w:cs="Verdana"/>
                <w:color w:val="000000"/>
              </w:rPr>
              <w:t>Decreto de autorização, em se tratando de empre</w:t>
            </w:r>
            <w:r>
              <w:rPr>
                <w:rFonts w:ascii="Verdana" w:eastAsia="Verdana" w:hAnsi="Verdana" w:cs="Verdana"/>
                <w:color w:val="000000"/>
              </w:rPr>
              <w:t>sa ou sociedade estrangeira em funcionamento no país, e ato de registro ou autorização para funcionamento expedido pelo órgão competente, quando a atividade assim o exigir.</w:t>
            </w:r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ind w:right="228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 xml:space="preserve">* Os documentos apresentados deverão estar acompanhados de todas as alterações ou </w:t>
            </w:r>
            <w:r>
              <w:rPr>
                <w:rFonts w:ascii="Verdana" w:eastAsia="Verdana" w:hAnsi="Verdana" w:cs="Verdana"/>
                <w:color w:val="000000"/>
              </w:rPr>
              <w:t>da consolidação respectiva.</w:t>
            </w:r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ind w:right="228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6.2. HABILITAÇÃO FISCAL, SOCIAL E TRABALHISTA 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6.2.1</w:t>
            </w:r>
            <w:r>
              <w:rPr>
                <w:rFonts w:ascii="Verdana" w:eastAsia="Verdana" w:hAnsi="Verdana" w:cs="Verdana"/>
                <w:color w:val="000000"/>
              </w:rPr>
              <w:t>. Prova de inscrição no Cadastro Nacional de Pessoa Jurídica (CNPJ);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 xml:space="preserve">6.2.2. </w:t>
            </w:r>
            <w:r>
              <w:rPr>
                <w:rFonts w:ascii="Verdana" w:eastAsia="Verdana" w:hAnsi="Verdana" w:cs="Verdana"/>
                <w:color w:val="000000"/>
              </w:rPr>
              <w:t xml:space="preserve">Prova de regularidade para com a Fazenda Federal (através da Certidão Conjunta Negativa de Débitos </w:t>
            </w:r>
            <w:r>
              <w:rPr>
                <w:rFonts w:ascii="Verdana" w:eastAsia="Verdana" w:hAnsi="Verdana" w:cs="Verdana"/>
                <w:color w:val="000000"/>
              </w:rPr>
              <w:t>relativos a Tributos Federais e à Dívida Ativa da União nos termos da Portaria MF 358/2014 – unificada com a Certidão de Regularidade de Débitos relativos às Contribuições Previdenciárias e às de Terceiros), Estadual (Certidão de Débitos Tributários inscri</w:t>
            </w:r>
            <w:r>
              <w:rPr>
                <w:rFonts w:ascii="Verdana" w:eastAsia="Verdana" w:hAnsi="Verdana" w:cs="Verdana"/>
                <w:color w:val="000000"/>
              </w:rPr>
              <w:t>tos na Dívida Ativa) e Municipal (Certidão de Tributos Mobiliários) do domicílio ou sede do proponente, ou outra equivalente na forma da Lei com prazo de validade em vigor;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6.2.3.</w:t>
            </w:r>
            <w:r>
              <w:rPr>
                <w:rFonts w:ascii="Verdana" w:eastAsia="Verdana" w:hAnsi="Verdana" w:cs="Verdana"/>
                <w:color w:val="000000"/>
              </w:rPr>
              <w:t xml:space="preserve"> No caso de isenção ou de não incidência dos impostos devidos ao Estado e/ou </w:t>
            </w:r>
            <w:r>
              <w:rPr>
                <w:rFonts w:ascii="Verdana" w:eastAsia="Verdana" w:hAnsi="Verdana" w:cs="Verdana"/>
                <w:color w:val="000000"/>
              </w:rPr>
              <w:t>Município, deverá, a contratada apresentar declaração assinada pelo representante legal, sob pena da lei;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6.2.4.</w:t>
            </w:r>
            <w:r>
              <w:rPr>
                <w:rFonts w:ascii="Verdana" w:eastAsia="Verdana" w:hAnsi="Verdana" w:cs="Verdana"/>
                <w:color w:val="000000"/>
              </w:rPr>
              <w:t xml:space="preserve"> Prova de Regularidade relativa ao Fundo de Garantia por Tempo de Serviço, através do Certificado de Regularidade do FGTS (CRF) ou do documento </w:t>
            </w:r>
            <w:r>
              <w:rPr>
                <w:rFonts w:ascii="Verdana" w:eastAsia="Verdana" w:hAnsi="Verdana" w:cs="Verdana"/>
                <w:color w:val="000000"/>
              </w:rPr>
              <w:t>denominado "Situação de Regularidade do Empregador", com prazo de validade em vigor na data da contratação;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6.2.5.</w:t>
            </w:r>
            <w:r>
              <w:rPr>
                <w:rFonts w:ascii="Verdana" w:eastAsia="Verdana" w:hAnsi="Verdana" w:cs="Verdana"/>
                <w:color w:val="000000"/>
              </w:rPr>
              <w:t xml:space="preserve"> Prova de Inexistência de débitos inadimplidos perante a Justiça do Trabalho, mediante a apresentação da Certidão Negativa de Débitos Trabalhistas ou de Certidão Positiva de Débitos Trabalhistas com efeito de negativa, nos termos do artigo 642-A da Consoli</w:t>
            </w:r>
            <w:r>
              <w:rPr>
                <w:rFonts w:ascii="Verdana" w:eastAsia="Verdana" w:hAnsi="Verdana" w:cs="Verdana"/>
                <w:color w:val="000000"/>
              </w:rPr>
              <w:t>dação das Leis do Trabalho, com prazo de validade em vigor na data da contratação;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6.2.6</w:t>
            </w:r>
            <w:r>
              <w:rPr>
                <w:rFonts w:ascii="Verdana" w:eastAsia="Verdana" w:hAnsi="Verdana" w:cs="Verdana"/>
                <w:color w:val="000000"/>
              </w:rPr>
              <w:t>. Serão aceitas certidões positivas com efeito de negativas. Não constando do documento seu prazo de validade, será aceito documento emitido até 180 (cento e oitenta) dias anteriores à data da contratação;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6.2.7</w:t>
            </w:r>
            <w:r>
              <w:rPr>
                <w:rFonts w:ascii="Verdana" w:eastAsia="Verdana" w:hAnsi="Verdana" w:cs="Verdana"/>
                <w:color w:val="000000"/>
              </w:rPr>
              <w:t>. Para efeito da Lei Complementar nº 123/2006</w:t>
            </w:r>
            <w:r>
              <w:rPr>
                <w:rFonts w:ascii="Verdana" w:eastAsia="Verdana" w:hAnsi="Verdana" w:cs="Verdana"/>
                <w:color w:val="000000"/>
              </w:rPr>
              <w:t xml:space="preserve"> e alterações, bem como do art. 22 da Lei Municipal nº 4.660/2008, as microempresas e empresas de pequeno porte deverão apresentar toda a documentação relativa </w:t>
            </w:r>
            <w:r>
              <w:rPr>
                <w:rFonts w:ascii="Verdana" w:eastAsia="Verdana" w:hAnsi="Verdana" w:cs="Verdana"/>
              </w:rPr>
              <w:t>à regularidade</w:t>
            </w:r>
            <w:r>
              <w:rPr>
                <w:rFonts w:ascii="Verdana" w:eastAsia="Verdana" w:hAnsi="Verdana" w:cs="Verdana"/>
                <w:color w:val="000000"/>
              </w:rPr>
              <w:t xml:space="preserve"> fiscal e trabalhista, mesmo que est</w:t>
            </w:r>
            <w:r>
              <w:rPr>
                <w:rFonts w:ascii="Verdana" w:eastAsia="Verdana" w:hAnsi="Verdana" w:cs="Verdana"/>
              </w:rPr>
              <w:t>a</w:t>
            </w:r>
            <w:r>
              <w:rPr>
                <w:rFonts w:ascii="Verdana" w:eastAsia="Verdana" w:hAnsi="Verdana" w:cs="Verdana"/>
                <w:color w:val="000000"/>
              </w:rPr>
              <w:t xml:space="preserve"> apresente alguma restrição;</w:t>
            </w:r>
          </w:p>
          <w:p w:rsidR="00334C54" w:rsidRDefault="00A84BBE">
            <w:pPr>
              <w:spacing w:after="0"/>
              <w:ind w:right="228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000000"/>
              </w:rPr>
              <w:t>Obs.: Caso o for</w:t>
            </w:r>
            <w:r>
              <w:rPr>
                <w:rFonts w:ascii="Verdana" w:eastAsia="Verdana" w:hAnsi="Verdana" w:cs="Verdana"/>
                <w:color w:val="000000"/>
              </w:rPr>
              <w:t>necedor seja considerado isento dos tributos [Estadual/Distrital] ou [Municipal/Distrital] relacionados ao objeto contratual, deverá comprovar tal condição mediante a apresentação de declaração da Fazenda respectiva do seu domicílio ou sede, ou outra equiv</w:t>
            </w:r>
            <w:r>
              <w:rPr>
                <w:rFonts w:ascii="Verdana" w:eastAsia="Verdana" w:hAnsi="Verdana" w:cs="Verdana"/>
                <w:color w:val="000000"/>
              </w:rPr>
              <w:t>alente, na forma da lei.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 6.3. HABILITAÇÃO ECONÔMICO-FINANCEIRA</w:t>
            </w:r>
            <w:r>
              <w:rPr>
                <w:rFonts w:ascii="Verdana" w:eastAsia="Verdana" w:hAnsi="Verdana" w:cs="Verdana"/>
                <w:color w:val="000000"/>
              </w:rPr>
              <w:t>: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 6.3.1.</w:t>
            </w:r>
            <w:r>
              <w:rPr>
                <w:rFonts w:ascii="Verdana" w:eastAsia="Verdana" w:hAnsi="Verdana" w:cs="Verdana"/>
                <w:color w:val="000000"/>
              </w:rPr>
              <w:t xml:space="preserve"> Certidão Negativa de Falência expedida pelo distribuidor da sede da pessoa jurídica, ou de execução patrimonial expedida no domicílio da pessoa física. Não constando do documento seu </w:t>
            </w:r>
            <w:r>
              <w:rPr>
                <w:rFonts w:ascii="Verdana" w:eastAsia="Verdana" w:hAnsi="Verdana" w:cs="Verdana"/>
                <w:color w:val="000000"/>
              </w:rPr>
              <w:t>prazo de validade, será aceito documento emitido até 180 (cento e oitenta) dias imediatamente anteriores à data da contratação;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 6.3.2.</w:t>
            </w:r>
            <w:r>
              <w:rPr>
                <w:rFonts w:ascii="Verdana" w:eastAsia="Verdana" w:hAnsi="Verdana" w:cs="Verdana"/>
                <w:color w:val="000000"/>
              </w:rPr>
              <w:t xml:space="preserve"> Para fins da comprovação acima, entende-se por sede o principal estabelecimento da empresa (a matriz)</w:t>
            </w:r>
            <w:r>
              <w:rPr>
                <w:rFonts w:ascii="Verdana" w:eastAsia="Verdana" w:hAnsi="Verdana" w:cs="Verdana"/>
              </w:rPr>
              <w:t>;</w:t>
            </w: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6"/>
        <w:tblW w:w="962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29"/>
      </w:tblGrid>
      <w:tr w:rsidR="00334C54">
        <w:tc>
          <w:tcPr>
            <w:tcW w:w="9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  <w:highlight w:val="lightGray"/>
              </w:rPr>
              <w:t xml:space="preserve">7. OBRIGAÇÕES </w:t>
            </w:r>
            <w:r>
              <w:rPr>
                <w:rFonts w:ascii="Verdana" w:eastAsia="Verdana" w:hAnsi="Verdana" w:cs="Verdana"/>
                <w:b/>
                <w:bCs/>
                <w:color w:val="000000"/>
                <w:highlight w:val="lightGray"/>
              </w:rPr>
              <w:t>DAS PARTES:</w:t>
            </w:r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rPr>
                <w:rFonts w:ascii="Verdana" w:eastAsia="Verdana" w:hAnsi="Verdana" w:cs="Verdana"/>
                <w:b/>
                <w:bCs/>
                <w:color w:val="000000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7.1. OBRIGAÇÕES DO LOCADOR: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Constituem obrigações essenciais do locador: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7.1.1. – </w:t>
            </w:r>
            <w:r>
              <w:rPr>
                <w:rFonts w:ascii="Verdana" w:eastAsia="Verdana" w:hAnsi="Verdana" w:cs="Verdana"/>
              </w:rPr>
              <w:t>Entregar o imóvel em condições de uso: entregar o imóvel ao locatário em estado adequado ao uso a que se destina, garantindo condições de segurança, salubridade,</w:t>
            </w:r>
            <w:r>
              <w:rPr>
                <w:rFonts w:ascii="Verdana" w:eastAsia="Verdana" w:hAnsi="Verdana" w:cs="Verdana"/>
              </w:rPr>
              <w:t xml:space="preserve"> funcionalidade e habitabilidade;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7.1.2. – </w:t>
            </w:r>
            <w:r>
              <w:rPr>
                <w:rFonts w:ascii="Verdana" w:eastAsia="Verdana" w:hAnsi="Verdana" w:cs="Verdana"/>
              </w:rPr>
              <w:t>Garantir o uso pacífico do imóvel: Assegurar ao locatário o uso tranquilo do bem durante toda a vigência contratual, livre de turbações, embaraços ou reivindicações de terceiros;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7.1.3. – </w:t>
            </w:r>
            <w:r>
              <w:rPr>
                <w:rFonts w:ascii="Verdana" w:eastAsia="Verdana" w:hAnsi="Verdana" w:cs="Verdana"/>
              </w:rPr>
              <w:t>Manter a forma e o destino do imóvel: manter, durante toda a locação, a forma e o destino do imóvel, não podendo alterar suas características de modo a prejudicar o uso contratado;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7.1.4. – </w:t>
            </w:r>
            <w:r>
              <w:rPr>
                <w:rFonts w:ascii="Verdana" w:eastAsia="Verdana" w:hAnsi="Verdana" w:cs="Verdana"/>
              </w:rPr>
              <w:t>Responder por vícios e defeitos anteriores à locação: responder po</w:t>
            </w:r>
            <w:r>
              <w:rPr>
                <w:rFonts w:ascii="Verdana" w:eastAsia="Verdana" w:hAnsi="Verdana" w:cs="Verdana"/>
              </w:rPr>
              <w:t>r vícios ou defeitos ocultos existentes antes da celebração do contrato, mesmo que só se manifestem posteriormente;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7.1.5. – </w:t>
            </w:r>
            <w:r>
              <w:rPr>
                <w:rFonts w:ascii="Verdana" w:eastAsia="Verdana" w:hAnsi="Verdana" w:cs="Verdana"/>
              </w:rPr>
              <w:t xml:space="preserve">Realizar reparos estruturais e de conservação: executar, às suas expensas, as obras e reparos necessários à conservação do imóvel, </w:t>
            </w:r>
            <w:r>
              <w:rPr>
                <w:rFonts w:ascii="Verdana" w:eastAsia="Verdana" w:hAnsi="Verdana" w:cs="Verdana"/>
              </w:rPr>
              <w:t>notadamente os de natureza: estrutural, hidráulica principal, elétrica principal, telhado, fundações, fachadas e demais elementos essenciais da edificação;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7.1.6. </w:t>
            </w:r>
            <w:r>
              <w:rPr>
                <w:rFonts w:ascii="Verdana" w:eastAsia="Verdana" w:hAnsi="Verdana" w:cs="Verdana"/>
              </w:rPr>
              <w:t>Pagar tributos e encargos, salvo disposição contratual em contrário, com: impostos, taxas e c</w:t>
            </w:r>
            <w:r>
              <w:rPr>
                <w:rFonts w:ascii="Verdana" w:eastAsia="Verdana" w:hAnsi="Verdana" w:cs="Verdana"/>
              </w:rPr>
              <w:t>ontribuições que incidam sobre o imóvel, salvo se houver cláusula expressa transferindo algum encargo ao locatário, nos limites da lei.</w:t>
            </w:r>
          </w:p>
          <w:p w:rsidR="00334C54" w:rsidRDefault="00334C54">
            <w:pPr>
              <w:spacing w:after="0"/>
              <w:jc w:val="both"/>
              <w:rPr>
                <w:rFonts w:ascii="Verdana" w:eastAsia="Verdana" w:hAnsi="Verdana" w:cs="Verdana"/>
              </w:rPr>
            </w:pPr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7.2. OBRIGAÇÕES DA CONTRATANTE: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7.2.1. </w:t>
            </w:r>
            <w:r>
              <w:rPr>
                <w:rFonts w:ascii="Verdana" w:eastAsia="Verdana" w:hAnsi="Verdana" w:cs="Verdana"/>
              </w:rPr>
              <w:t>Efetuar o pagamento do aluguel e dos encargos da locação nos prazos e condições estipulados em contrato.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7.2.2. </w:t>
            </w:r>
            <w:r>
              <w:rPr>
                <w:rFonts w:ascii="Verdana" w:eastAsia="Verdana" w:hAnsi="Verdana" w:cs="Verdana"/>
              </w:rPr>
              <w:t>Utilizar o imóvel estritamente para a finalidade contratada, preservando sua natureza e finalidade pública;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7.2.3. </w:t>
            </w:r>
            <w:r>
              <w:rPr>
                <w:rFonts w:ascii="Verdana" w:eastAsia="Verdana" w:hAnsi="Verdana" w:cs="Verdana"/>
              </w:rPr>
              <w:t>Zelar pela conservação do imó</w:t>
            </w:r>
            <w:r>
              <w:rPr>
                <w:rFonts w:ascii="Verdana" w:eastAsia="Verdana" w:hAnsi="Verdana" w:cs="Verdana"/>
              </w:rPr>
              <w:t>vel, responsabilizando-se pela conservação cotidiana e pelos danos decorrentes de mau uso;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7.2.4. </w:t>
            </w:r>
            <w:r>
              <w:rPr>
                <w:rFonts w:ascii="Verdana" w:eastAsia="Verdana" w:hAnsi="Verdana" w:cs="Verdana"/>
              </w:rPr>
              <w:t>Comunicar imediatamente ao locador qualquer dano, defeito ou necessidade de reparo cuja responsabilidade seja do proprietário;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7.2.5. </w:t>
            </w:r>
            <w:r>
              <w:rPr>
                <w:rFonts w:ascii="Verdana" w:eastAsia="Verdana" w:hAnsi="Verdana" w:cs="Verdana"/>
              </w:rPr>
              <w:t>Executar, às suas expens</w:t>
            </w:r>
            <w:r>
              <w:rPr>
                <w:rFonts w:ascii="Verdana" w:eastAsia="Verdana" w:hAnsi="Verdana" w:cs="Verdana"/>
              </w:rPr>
              <w:t>as, os reparos decorrentes do uso normal do imóvel, tais como: troca de lâmpadas, fechaduras, vidros quebrados, pintura interna por desgaste de uso, pequenos consertos hidráulicos e elétricos de manutenção cotidiana;</w:t>
            </w:r>
          </w:p>
          <w:p w:rsidR="00334C54" w:rsidRDefault="00A84BBE">
            <w:pPr>
              <w:spacing w:after="0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7.2.6. </w:t>
            </w:r>
            <w:r>
              <w:rPr>
                <w:rFonts w:ascii="Verdana" w:eastAsia="Verdana" w:hAnsi="Verdana" w:cs="Verdana"/>
              </w:rPr>
              <w:t>Permitir a vistoria do imóvel pe</w:t>
            </w:r>
            <w:r>
              <w:rPr>
                <w:rFonts w:ascii="Verdana" w:eastAsia="Verdana" w:hAnsi="Verdana" w:cs="Verdana"/>
              </w:rPr>
              <w:t>lo locador, mediante prévio agendamento, bem como o acompanhamento de obras e reparos necessários;</w:t>
            </w:r>
          </w:p>
          <w:p w:rsidR="00334C54" w:rsidRDefault="00A84BBE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bCs/>
              </w:rPr>
              <w:t xml:space="preserve">7.2.7. </w:t>
            </w:r>
            <w:r>
              <w:rPr>
                <w:rFonts w:ascii="Verdana" w:eastAsia="Verdana" w:hAnsi="Verdana" w:cs="Verdana"/>
              </w:rPr>
              <w:t>Restituir o imóvel ao término da locação no estado em que recebeu, ressalvadas as deteriorações naturais decorrentes do uso regular, conforme laudo de</w:t>
            </w:r>
            <w:r>
              <w:rPr>
                <w:rFonts w:ascii="Verdana" w:eastAsia="Verdana" w:hAnsi="Verdana" w:cs="Verdana"/>
              </w:rPr>
              <w:t xml:space="preserve"> vistoria inicial;</w:t>
            </w: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tbl>
      <w:tblPr>
        <w:tblStyle w:val="a7"/>
        <w:tblW w:w="963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634"/>
      </w:tblGrid>
      <w:tr w:rsidR="00334C54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C54" w:rsidRDefault="00A84BBE">
            <w:pPr>
              <w:spacing w:after="0"/>
              <w:rPr>
                <w:rFonts w:ascii="Verdana" w:eastAsia="Verdana" w:hAnsi="Verdana" w:cs="Verdana"/>
                <w:shd w:val="clear" w:color="auto" w:fill="B7B7B7"/>
              </w:rPr>
            </w:pPr>
            <w:r>
              <w:rPr>
                <w:rFonts w:ascii="Verdana" w:eastAsia="Verdana" w:hAnsi="Verdana" w:cs="Verdana"/>
                <w:b/>
                <w:bCs/>
                <w:shd w:val="clear" w:color="auto" w:fill="B7B7B7"/>
              </w:rPr>
              <w:t>8. GESTÃO E FISCALIZAÇÃO:</w:t>
            </w:r>
          </w:p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Gestor:</w:t>
            </w:r>
          </w:p>
          <w:tbl>
            <w:tblPr>
              <w:tblStyle w:val="a8"/>
              <w:tblW w:w="9383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9383"/>
            </w:tblGrid>
            <w:tr w:rsidR="00334C54">
              <w:tc>
                <w:tcPr>
                  <w:tcW w:w="9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34C54" w:rsidRDefault="00A84BBE">
                  <w:pPr>
                    <w:spacing w:after="0"/>
                    <w:rPr>
                      <w:rFonts w:ascii="Verdana" w:eastAsia="Verdana" w:hAnsi="Verdana" w:cs="Verdana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</w:rPr>
                    <w:t>Nome: VANESSA SENATORI</w:t>
                  </w:r>
                </w:p>
              </w:tc>
            </w:tr>
            <w:tr w:rsidR="00334C54">
              <w:tc>
                <w:tcPr>
                  <w:tcW w:w="9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34C54" w:rsidRDefault="00A84BBE">
                  <w:pPr>
                    <w:spacing w:after="0"/>
                    <w:rPr>
                      <w:rFonts w:ascii="Verdana" w:eastAsia="Verdana" w:hAnsi="Verdana" w:cs="Verdana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</w:rPr>
                    <w:t>Cargo: Respondendo pelo expediente da Diretoria pedagógica</w:t>
                  </w:r>
                </w:p>
              </w:tc>
            </w:tr>
            <w:tr w:rsidR="00334C54">
              <w:tc>
                <w:tcPr>
                  <w:tcW w:w="9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34C54" w:rsidRDefault="00A84BBE">
                  <w:pPr>
                    <w:spacing w:after="0"/>
                    <w:rPr>
                      <w:rFonts w:ascii="Verdana" w:eastAsia="Verdana" w:hAnsi="Verdana" w:cs="Verdana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</w:rPr>
                    <w:t>E-mail: vanessa.senatori@fascsconectada.com.br</w:t>
                  </w:r>
                </w:p>
              </w:tc>
            </w:tr>
          </w:tbl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  <w:p w:rsidR="00334C54" w:rsidRDefault="00A84BBE">
            <w:pPr>
              <w:spacing w:after="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000000"/>
              </w:rPr>
              <w:t>Fiscalizador:</w:t>
            </w:r>
          </w:p>
          <w:tbl>
            <w:tblPr>
              <w:tblStyle w:val="a9"/>
              <w:tblW w:w="9383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9383"/>
            </w:tblGrid>
            <w:tr w:rsidR="00334C54">
              <w:tc>
                <w:tcPr>
                  <w:tcW w:w="9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34C54" w:rsidRDefault="00A84BBE">
                  <w:pPr>
                    <w:spacing w:after="0"/>
                    <w:rPr>
                      <w:rFonts w:ascii="Verdana" w:eastAsia="Verdana" w:hAnsi="Verdana" w:cs="Verdana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</w:rPr>
                    <w:t>Nome: Celso Correia Lopes</w:t>
                  </w:r>
                </w:p>
              </w:tc>
            </w:tr>
            <w:tr w:rsidR="00334C54">
              <w:tc>
                <w:tcPr>
                  <w:tcW w:w="9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34C54" w:rsidRDefault="00A84BBE">
                  <w:pPr>
                    <w:spacing w:after="0"/>
                    <w:rPr>
                      <w:rFonts w:ascii="Verdana" w:eastAsia="Verdana" w:hAnsi="Verdana" w:cs="Verdana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</w:rPr>
                    <w:t xml:space="preserve">Cargo: Coordenador Geral do </w:t>
                  </w:r>
                  <w:proofErr w:type="spellStart"/>
                  <w:r>
                    <w:rPr>
                      <w:rFonts w:ascii="Verdana" w:eastAsia="Verdana" w:hAnsi="Verdana" w:cs="Verdana"/>
                      <w:color w:val="000000"/>
                    </w:rPr>
                    <w:t>Pronatec</w:t>
                  </w:r>
                  <w:proofErr w:type="spellEnd"/>
                </w:p>
              </w:tc>
            </w:tr>
            <w:tr w:rsidR="00334C54">
              <w:tc>
                <w:tcPr>
                  <w:tcW w:w="9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34C54" w:rsidRDefault="00A84BBE">
                  <w:pPr>
                    <w:spacing w:after="0"/>
                    <w:rPr>
                      <w:rFonts w:ascii="Verdana" w:eastAsia="Verdana" w:hAnsi="Verdana" w:cs="Verdana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</w:rPr>
                    <w:t>E-mail:</w:t>
                  </w:r>
                  <w:r>
                    <w:t xml:space="preserve"> </w:t>
                  </w:r>
                  <w:r>
                    <w:rPr>
                      <w:rFonts w:ascii="Verdana" w:eastAsia="Verdana" w:hAnsi="Verdana" w:cs="Verdana"/>
                      <w:color w:val="000000"/>
                    </w:rPr>
                    <w:t>celso.correia@fascsconectada.com.br</w:t>
                  </w:r>
                </w:p>
              </w:tc>
            </w:tr>
          </w:tbl>
          <w:p w:rsidR="00334C54" w:rsidRDefault="00334C54">
            <w:pPr>
              <w:spacing w:after="0"/>
              <w:rPr>
                <w:rFonts w:ascii="Verdana" w:eastAsia="Verdana" w:hAnsi="Verdana" w:cs="Verdana"/>
              </w:rPr>
            </w:pPr>
          </w:p>
        </w:tc>
      </w:tr>
    </w:tbl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A84BBE">
      <w:pPr>
        <w:spacing w:after="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br/>
      </w:r>
      <w:r>
        <w:rPr>
          <w:rFonts w:ascii="Verdana" w:eastAsia="Verdana" w:hAnsi="Verdana" w:cs="Verdana"/>
        </w:rPr>
        <w:br/>
      </w:r>
      <w:r>
        <w:rPr>
          <w:rFonts w:ascii="Verdana" w:eastAsia="Verdana" w:hAnsi="Verdana" w:cs="Verdana"/>
        </w:rPr>
        <w:br/>
      </w:r>
    </w:p>
    <w:p w:rsidR="00334C54" w:rsidRDefault="00A84BBE">
      <w:pPr>
        <w:spacing w:after="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Vanessa </w:t>
      </w:r>
      <w:proofErr w:type="spellStart"/>
      <w:r>
        <w:rPr>
          <w:rFonts w:ascii="Verdana" w:eastAsia="Verdana" w:hAnsi="Verdana" w:cs="Verdana"/>
        </w:rPr>
        <w:t>Senatori</w:t>
      </w:r>
      <w:proofErr w:type="spellEnd"/>
    </w:p>
    <w:p w:rsidR="00334C54" w:rsidRDefault="00A84BBE">
      <w:pPr>
        <w:spacing w:after="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Responsável pelo Expediente da Diretoria Pedagógica</w:t>
      </w:r>
    </w:p>
    <w:p w:rsidR="00334C54" w:rsidRDefault="00334C54">
      <w:pPr>
        <w:spacing w:after="0"/>
        <w:jc w:val="center"/>
        <w:rPr>
          <w:rFonts w:ascii="Verdana" w:eastAsia="Verdana" w:hAnsi="Verdana" w:cs="Verdana"/>
        </w:rPr>
      </w:pPr>
    </w:p>
    <w:p w:rsidR="00334C54" w:rsidRDefault="00334C54">
      <w:pPr>
        <w:spacing w:after="0"/>
        <w:jc w:val="center"/>
        <w:rPr>
          <w:rFonts w:ascii="Verdana" w:eastAsia="Verdana" w:hAnsi="Verdana" w:cs="Verdana"/>
        </w:rPr>
      </w:pPr>
    </w:p>
    <w:p w:rsidR="00334C54" w:rsidRDefault="00334C54">
      <w:pPr>
        <w:spacing w:after="0"/>
        <w:jc w:val="center"/>
        <w:rPr>
          <w:rFonts w:ascii="Verdana" w:eastAsia="Verdana" w:hAnsi="Verdana" w:cs="Verdana"/>
        </w:rPr>
      </w:pPr>
      <w:bookmarkStart w:id="2" w:name="_heading=h.lz4hssr7ebn4" w:colFirst="0" w:colLast="0"/>
      <w:bookmarkEnd w:id="2"/>
    </w:p>
    <w:p w:rsidR="00334C54" w:rsidRDefault="00A84BBE">
      <w:pPr>
        <w:spacing w:after="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Celso Correia Lopes</w:t>
      </w:r>
    </w:p>
    <w:p w:rsidR="00334C54" w:rsidRDefault="00A84BBE">
      <w:pPr>
        <w:spacing w:after="0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Coordenador Geral </w:t>
      </w:r>
      <w:proofErr w:type="spellStart"/>
      <w:r>
        <w:rPr>
          <w:rFonts w:ascii="Verdana" w:eastAsia="Verdana" w:hAnsi="Verdana" w:cs="Verdana"/>
        </w:rPr>
        <w:t>Pronatec</w:t>
      </w:r>
      <w:proofErr w:type="spellEnd"/>
    </w:p>
    <w:p w:rsidR="00334C54" w:rsidRDefault="00334C54">
      <w:pPr>
        <w:spacing w:after="0"/>
        <w:rPr>
          <w:rFonts w:ascii="Verdana" w:eastAsia="Verdana" w:hAnsi="Verdana" w:cs="Verdana"/>
        </w:rPr>
      </w:pPr>
    </w:p>
    <w:p w:rsidR="00334C54" w:rsidRDefault="00334C54">
      <w:pPr>
        <w:spacing w:after="0"/>
        <w:rPr>
          <w:rFonts w:ascii="Verdana" w:eastAsia="Verdana" w:hAnsi="Verdana" w:cs="Verdana"/>
        </w:rPr>
      </w:pPr>
    </w:p>
    <w:sectPr w:rsidR="00334C54">
      <w:headerReference w:type="default" r:id="rId8"/>
      <w:footerReference w:type="default" r:id="rId9"/>
      <w:pgSz w:w="11907" w:h="16840"/>
      <w:pgMar w:top="2410" w:right="1134" w:bottom="851" w:left="1134" w:header="720" w:footer="62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BBE" w:rsidRDefault="00A84BBE">
      <w:pPr>
        <w:spacing w:after="0" w:line="240" w:lineRule="auto"/>
      </w:pPr>
      <w:r>
        <w:separator/>
      </w:r>
    </w:p>
  </w:endnote>
  <w:endnote w:type="continuationSeparator" w:id="0">
    <w:p w:rsidR="00A84BBE" w:rsidRDefault="00A84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  <w:embedRegular r:id="rId1" w:fontKey="{9FC89507-B2CF-4CD5-A1C7-3E8E210F2AE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CEA7D52A-89EB-4E32-B882-A724D93A3AAC}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3" w:fontKey="{C5272B4E-04B8-4BFA-B166-A2EA4A2D5A4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24483233-6652-44A8-B8BC-A7A5E306D8B8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883E6001-3BF9-4659-B1C5-C509B072E5FF}"/>
    <w:embedBold r:id="rId6" w:fontKey="{FFB0F473-588E-4075-96B7-9072B42B4270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7" w:fontKey="{FFBA4A5F-A8D5-46FB-8F84-59D9DFEE39BA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C54" w:rsidRDefault="00A84B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0" distR="0">
          <wp:extent cx="6117123" cy="954405"/>
          <wp:effectExtent l="0" t="0" r="0" b="0"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7123" cy="9544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BBE" w:rsidRDefault="00A84BBE">
      <w:pPr>
        <w:spacing w:after="0" w:line="240" w:lineRule="auto"/>
      </w:pPr>
      <w:r>
        <w:separator/>
      </w:r>
    </w:p>
  </w:footnote>
  <w:footnote w:type="continuationSeparator" w:id="0">
    <w:p w:rsidR="00A84BBE" w:rsidRDefault="00A84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C54" w:rsidRDefault="00A84B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center" w:pos="-3119"/>
      </w:tabs>
      <w:rPr>
        <w:color w:val="000000"/>
      </w:rPr>
    </w:pPr>
    <w:r>
      <w:rPr>
        <w:noProof/>
        <w:color w:val="000000"/>
      </w:rPr>
      <w:drawing>
        <wp:inline distT="0" distB="0" distL="0" distR="0">
          <wp:extent cx="6100919" cy="75247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00919" cy="752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3D3"/>
    <w:multiLevelType w:val="multilevel"/>
    <w:tmpl w:val="1856E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21B0AFB"/>
    <w:multiLevelType w:val="multilevel"/>
    <w:tmpl w:val="03565E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54"/>
    <w:rsid w:val="00334C54"/>
    <w:rsid w:val="00A84BBE"/>
    <w:rsid w:val="00DA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035B3-76C4-4106-BBF3-7DBBA945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spacing w:line="240" w:lineRule="auto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spacing w:line="240" w:lineRule="auto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Cabealho">
    <w:name w:val="header"/>
    <w:basedOn w:val="Normal"/>
    <w:rsid w:val="00AC3AC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C3AC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C3AC5"/>
    <w:rPr>
      <w:sz w:val="14"/>
    </w:rPr>
  </w:style>
  <w:style w:type="paragraph" w:styleId="Textodebalo">
    <w:name w:val="Balloon Text"/>
    <w:basedOn w:val="Normal"/>
    <w:link w:val="TextodebaloChar"/>
    <w:rsid w:val="001E77FC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1E77F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324A76"/>
    <w:rPr>
      <w:color w:val="0563C1"/>
      <w:u w:val="single"/>
    </w:rPr>
  </w:style>
  <w:style w:type="table" w:styleId="Tabelacomgrade">
    <w:name w:val="Table Grid"/>
    <w:basedOn w:val="Tabelanormal"/>
    <w:rsid w:val="00ED4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96A30"/>
    <w:pPr>
      <w:ind w:left="720"/>
      <w:contextualSpacing/>
    </w:pPr>
  </w:style>
  <w:style w:type="paragraph" w:styleId="SemEspaamento">
    <w:name w:val="No Spacing"/>
    <w:uiPriority w:val="1"/>
    <w:qFormat/>
    <w:rsid w:val="00AE761E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AE761E"/>
  </w:style>
  <w:style w:type="paragraph" w:styleId="NormalWeb">
    <w:name w:val="Normal (Web)"/>
    <w:basedOn w:val="Normal"/>
    <w:uiPriority w:val="99"/>
    <w:unhideWhenUsed/>
    <w:rsid w:val="00322057"/>
    <w:pPr>
      <w:spacing w:after="288" w:line="288" w:lineRule="atLeast"/>
      <w:jc w:val="both"/>
    </w:pPr>
    <w:rPr>
      <w:sz w:val="23"/>
      <w:szCs w:val="23"/>
    </w:rPr>
  </w:style>
  <w:style w:type="paragraph" w:customStyle="1" w:styleId="ecxmsonormal">
    <w:name w:val="ecxmsonormal"/>
    <w:basedOn w:val="Normal"/>
    <w:rsid w:val="00322057"/>
    <w:pPr>
      <w:spacing w:after="324"/>
    </w:pPr>
    <w:rPr>
      <w:sz w:val="24"/>
      <w:szCs w:val="24"/>
    </w:rPr>
  </w:style>
  <w:style w:type="character" w:customStyle="1" w:styleId="textexposedshow">
    <w:name w:val="text_exposed_show"/>
    <w:rsid w:val="00E3240F"/>
  </w:style>
  <w:style w:type="paragraph" w:customStyle="1" w:styleId="yiv3453407043msonormal">
    <w:name w:val="yiv3453407043msonormal"/>
    <w:basedOn w:val="Normal"/>
    <w:rsid w:val="00CE0043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semiHidden/>
    <w:unhideWhenUsed/>
    <w:rsid w:val="00D36479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D36479"/>
  </w:style>
  <w:style w:type="character" w:customStyle="1" w:styleId="TextodecomentrioChar">
    <w:name w:val="Texto de comentário Char"/>
    <w:basedOn w:val="Fontepargpadro"/>
    <w:link w:val="Textodecomentrio"/>
    <w:semiHidden/>
    <w:rsid w:val="00D36479"/>
  </w:style>
  <w:style w:type="paragraph" w:customStyle="1" w:styleId="Default">
    <w:name w:val="Default"/>
    <w:rsid w:val="002D2CF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apple-tab-span">
    <w:name w:val="apple-tab-span"/>
    <w:basedOn w:val="Fontepargpadro"/>
    <w:rsid w:val="00187BF7"/>
  </w:style>
  <w:style w:type="character" w:styleId="Forte">
    <w:name w:val="Strong"/>
    <w:basedOn w:val="Fontepargpadro"/>
    <w:uiPriority w:val="22"/>
    <w:qFormat/>
    <w:rsid w:val="00647039"/>
    <w:rPr>
      <w:b/>
      <w:bCs/>
    </w:rPr>
  </w:style>
  <w:style w:type="character" w:customStyle="1" w:styleId="Ttulo2Char">
    <w:name w:val="Título 2 Char"/>
    <w:basedOn w:val="Fontepargpadro"/>
    <w:uiPriority w:val="9"/>
    <w:rsid w:val="00763229"/>
    <w:rPr>
      <w:b/>
      <w:bCs/>
      <w:sz w:val="36"/>
      <w:szCs w:val="36"/>
    </w:rPr>
  </w:style>
  <w:style w:type="character" w:customStyle="1" w:styleId="Ttulo3Char">
    <w:name w:val="Título 3 Char"/>
    <w:basedOn w:val="Fontepargpadro"/>
    <w:uiPriority w:val="9"/>
    <w:rsid w:val="00763229"/>
    <w:rPr>
      <w:b/>
      <w:bCs/>
      <w:sz w:val="27"/>
      <w:szCs w:val="27"/>
    </w:rPr>
  </w:style>
  <w:style w:type="character" w:styleId="nfase">
    <w:name w:val="Emphasis"/>
    <w:basedOn w:val="Fontepargpadro"/>
    <w:uiPriority w:val="20"/>
    <w:qFormat/>
    <w:rsid w:val="00763229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kYu4sIs8AycAzCPRuOhHcwNEPA==">CgMxLjAyCWguMzBqMHpsbDIOaC5sejRoc3NyN2VibjQ4AHIhMWJtUWtvWEpEODRKekNhMWNwclZBQi1VLVVrVksyaUZa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2507</Words>
  <Characters>13542</Characters>
  <Application>Microsoft Office Word</Application>
  <DocSecurity>0</DocSecurity>
  <Lines>112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recepcao</dc:creator>
  <cp:lastModifiedBy>diretoria</cp:lastModifiedBy>
  <cp:revision>2</cp:revision>
  <dcterms:created xsi:type="dcterms:W3CDTF">2026-01-09T19:17:00Z</dcterms:created>
  <dcterms:modified xsi:type="dcterms:W3CDTF">2026-01-09T19:17:00Z</dcterms:modified>
</cp:coreProperties>
</file>