
<file path=[Content_Types].xml><?xml version="1.0" encoding="utf-8"?>
<Types xmlns="http://schemas.openxmlformats.org/package/2006/content-types">
  <Default Extension="rels" ContentType="application/vnd.openxmlformats-package.relationships+xml"/>
  <Default Extension="xml" ContentType="application/xml"/>
  <Default Extension="emf" ContentType="image/x-emf"/>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Override PartName="/word/settings.xml" ContentType="application/vnd.openxmlformats-officedocument.wordprocessingml.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body>
    <w:p>
      <w:r>
        <w:t/>
      </w:r>
    </w:p>
    <w:p>
      <w:pPr>
        <w:jc w:val="center"/>
        <w:ind w:left="1335" w:right="1335"/>
      </w:pPr>
      <w:r>
        <w:t/>
      </w:r>
    </w:p>
    <w:p>
      <w:pPr>
        <w:jc w:val="center"/>
        <w:ind w:left="1335" w:right="1335"/>
      </w:pPr>
      <w:r>
        <w:rPr>
          <w:b/>
          <w:u w:val="single"/>
          <w:sz w:val="19"/>
        </w:rPr>
        <w:t>EDITAL DE LICITAÇÃO</w:t>
      </w:r>
    </w:p>
    <w:p>
      <w:r>
        <w:drawing>
          <wp:inline distT="0" distB="0" distL="0" distR="0">
            <wp:extent cx="0" cy="0"/>
            <wp:effectExtent l="0" t="0" r="0" b="0"/>
            <wp:docPr id="2" name="P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emf"/>
                    <pic:cNvPicPr/>
                  </pic:nvPicPr>
                  <pic:blipFill>
                    <a:blip r:embed="prId1" cstate="print"/>
                    <a:stretch>
                      <a:fillRect/>
                    </a:stretch>
                  </pic:blipFill>
                  <pic:spPr>
                    <a:xfrm>
                      <a:off x="0" y="0"/>
                      <a:ext cx="0" cy="0"/>
                    </a:xfrm>
                    <a:prstGeom prst="rect">
                      <a:avLst/>
                    </a:prstGeom>
                  </pic:spPr>
                </pic:pic>
              </a:graphicData>
            </a:graphic>
          </wp:inline>
        </w:drawing>
      </w:r>
    </w:p>
    <w:p>
      <w:pPr>
        <w:jc w:val="center"/>
        <w:ind w:left="1335" w:right="1335"/>
        <w:spacing w:before="90"/>
      </w:pPr>
      <w:r>
        <w:rPr>
          <w:b/>
          <w:sz w:val="19"/>
        </w:rPr>
        <w:t>PROCESSO ADMINISTRATIVO N.° 54/2024</w:t>
      </w:r>
    </w:p>
    <w:p>
      <w:pPr>
        <w:jc w:val="center"/>
        <w:ind w:left="1335" w:right="1335"/>
        <w:spacing w:before="90"/>
      </w:pPr>
      <w:r>
        <w:rPr>
          <w:b/>
          <w:sz w:val="19"/>
        </w:rPr>
        <w:t>PREGÃO ELETRÔNICO N. 31/2024.</w:t>
      </w:r>
    </w:p>
    <w:p>
      <w:r>
        <w:drawing>
          <wp:inline distT="0" distB="0" distL="0" distR="0">
            <wp:extent cx="0" cy="0"/>
            <wp:effectExtent l="0" t="0" r="0" b="0"/>
            <wp:docPr id="3" name="P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emf"/>
                    <pic:cNvPicPr/>
                  </pic:nvPicPr>
                  <pic:blipFill>
                    <a:blip r:embed="prId2" cstate="print"/>
                    <a:stretch>
                      <a:fillRect/>
                    </a:stretch>
                  </pic:blipFill>
                  <pic:spPr>
                    <a:xfrm>
                      <a:off x="0" y="0"/>
                      <a:ext cx="0" cy="0"/>
                    </a:xfrm>
                    <a:prstGeom prst="rect">
                      <a:avLst/>
                    </a:prstGeom>
                  </pic:spPr>
                </pic:pic>
              </a:graphicData>
            </a:graphic>
          </wp:inline>
        </w:drawing>
      </w:r>
    </w:p>
    <w:p>
      <w:pPr>
        <w:spacing w:before="15"/>
      </w:pPr>
      <w:r>
        <w:t/>
      </w:r>
    </w:p>
    <w:p>
      <w:pPr>
        <w:jc w:val="both"/>
        <w:ind w:left="165" w:right="210"/>
        <w:spacing w:before="90" w:lineRule="auto" w:line="276"/>
      </w:pPr>
      <w:r>
        <w:drawing>
          <wp:inline distT="0" distB="0" distL="0" distR="0">
            <wp:extent cx="6772275" cy="180975"/>
            <wp:effectExtent l="0" t="0" r="0" b="0"/>
            <wp:docPr id="4" name="P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emf"/>
                    <pic:cNvPicPr/>
                  </pic:nvPicPr>
                  <pic:blipFill>
                    <a:blip r:embed="prId3" cstate="print"/>
                    <a:stretch>
                      <a:fillRect/>
                    </a:stretch>
                  </pic:blipFill>
                  <pic:spPr>
                    <a:xfrm>
                      <a:off x="0" y="0"/>
                      <a:ext cx="6772275" cy="180975"/>
                    </a:xfrm>
                    <a:prstGeom prst="rect">
                      <a:avLst/>
                    </a:prstGeom>
                  </pic:spPr>
                </pic:pic>
              </a:graphicData>
            </a:graphic>
          </wp:inline>
        </w:drawing>
      </w:r>
    </w:p>
    <w:p>
      <w:pPr>
        <w:jc w:val="both"/>
        <w:ind w:left="165" w:right="210"/>
        <w:spacing w:before="90" w:lineRule="auto" w:line="276"/>
      </w:pPr>
      <w:r>
        <w:rPr>
          <w:b/>
          <w:sz w:val="19"/>
        </w:rPr>
        <w:t>O MUNICÍPIO DE SÃO TOMÉ</w:t>
      </w:r>
      <w:r>
        <w:rPr>
          <w:rFonts w:ascii="Arial MT" w:hAnsi="Arial MT" w:cs="Arial MT" w:eastAsia="Arial MT"/>
          <w:sz w:val="19"/>
        </w:rPr>
        <w:t xml:space="preserve">, Estado do Paraná, torna público, para conhecimento de quem possa interessar, que realizará a licitação na modalidade </w:t>
      </w:r>
      <w:r>
        <w:rPr>
          <w:b/>
          <w:sz w:val="19"/>
        </w:rPr>
        <w:t>PREGÃO</w:t>
      </w:r>
      <w:r>
        <w:rPr>
          <w:rFonts w:ascii="Arial MT" w:hAnsi="Arial MT" w:cs="Arial MT" w:eastAsia="Arial MT"/>
          <w:sz w:val="19"/>
        </w:rPr>
        <w:t xml:space="preserve">, na forma </w:t>
      </w:r>
      <w:r>
        <w:rPr>
          <w:b/>
          <w:sz w:val="19"/>
        </w:rPr>
        <w:t>ELETRÔNICA</w:t>
      </w:r>
      <w:r>
        <w:rPr>
          <w:rFonts w:ascii="Arial MT" w:hAnsi="Arial MT" w:cs="Arial MT" w:eastAsia="Arial MT"/>
          <w:sz w:val="19"/>
        </w:rPr>
        <w:t xml:space="preserve">, com critério de julgamento </w:t>
      </w:r>
      <w:r>
        <w:rPr>
          <w:b/>
          <w:sz w:val="19"/>
        </w:rPr>
        <w:t>MENOR PREÇO POR ITEM</w:t>
      </w:r>
      <w:r>
        <w:rPr>
          <w:rFonts w:ascii="Arial MT" w:hAnsi="Arial MT" w:cs="Arial MT" w:eastAsia="Arial MT"/>
          <w:sz w:val="19"/>
        </w:rPr>
        <w:t>, nos termos da Lei nº 14.133, de 1º de abril de 2021, da Instrução Normativa SEGES/ME nº 73/2022, das Leis Complementares nº 123/06, 147/2014 e 155/2016, demais legislações aplicáveis e das exigências estabelecidas neste edital, conforme os critérios e procedimentos a seguir definidos, objetivando obter a melhor proposta, observadas as datas e horários discriminados a seguir:</w:t>
      </w:r>
    </w:p>
    <w:p>
      <w:pPr>
        <w:spacing w:before="15"/>
      </w:pPr>
      <w:r>
        <w:drawing>
          <wp:inline distT="0" distB="0" distL="0" distR="0">
            <wp:extent cx="0" cy="0"/>
            <wp:effectExtent l="0" t="0" r="0" b="0"/>
            <wp:docPr id="5" name="P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emf"/>
                    <pic:cNvPicPr/>
                  </pic:nvPicPr>
                  <pic:blipFill>
                    <a:blip r:embed="prId4" cstate="print"/>
                    <a:stretch>
                      <a:fillRect/>
                    </a:stretch>
                  </pic:blipFill>
                  <pic:spPr>
                    <a:xfrm>
                      <a:off x="0" y="0"/>
                      <a:ext cx="0" cy="0"/>
                    </a:xfrm>
                    <a:prstGeom prst="rect">
                      <a:avLst/>
                    </a:prstGeom>
                  </pic:spPr>
                </pic:pic>
              </a:graphicData>
            </a:graphic>
          </wp:inline>
        </w:drawing>
      </w:r>
    </w:p>
    <w:p>
      <w:pPr>
        <w:ind w:left="75"/>
        <w:spacing w:before="15"/>
      </w:pPr>
      <w:r>
        <w:drawing>
          <wp:inline distT="0" distB="0" distL="0" distR="0">
            <wp:extent cx="6896100" cy="200025"/>
            <wp:effectExtent l="0" t="0" r="0" b="0"/>
            <wp:docPr id="6" name="P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emf"/>
                    <pic:cNvPicPr/>
                  </pic:nvPicPr>
                  <pic:blipFill>
                    <a:blip r:embed="prId5" cstate="print"/>
                    <a:stretch>
                      <a:fillRect/>
                    </a:stretch>
                  </pic:blipFill>
                  <pic:spPr>
                    <a:xfrm>
                      <a:off x="0" y="0"/>
                      <a:ext cx="6896100" cy="200025"/>
                    </a:xfrm>
                    <a:prstGeom prst="rect">
                      <a:avLst/>
                    </a:prstGeom>
                  </pic:spPr>
                </pic:pic>
              </a:graphicData>
            </a:graphic>
          </wp:inline>
        </w:drawing>
      </w:r>
    </w:p>
    <w:p>
      <w:pPr>
        <w:jc w:val="both"/>
        <w:outlineLvl w:val="1"/>
        <w:ind w:right="210"/>
        <w:spacing w:before="90" w:lineRule="auto" w:line="276"/>
        <w:numPr>
          <w:ilvl w:val="1"/>
          <w:numId w:val="21"/>
        </w:numPr>
      </w:pPr>
      <w:r/>
      <w:r>
        <w:rPr>
          <w:b/>
          <w:sz w:val="19"/>
        </w:rPr>
        <w:t xml:space="preserve"> OBJETO: CREDENCIAMENTO DE EMPRESAS PARA PRESTAÇÃO DE SERVIÇOS DE RESERVA, EMISSÃO, MARCAÇÃO REMARCAÇÃO, ENDOSSO E FORNECIMENTO DE PASSAGENS RODOVIÁRIAS, DESTINADOS AOS SERVIDORES QUANDO EM VIAGENS PARA REALIZAÇÃO DE CAPACITAÇÃO OU A SERVIÇO DO MUNICÍPIO, BEM COMO PARA ATENDIMENTO DE EVENTUAIS PASSAGEIROS ATENDIDOS PELA SECRETARIA DE ASSISTÊNCIA SOCIAL COM NECESSIDADE DE LOCOMOÇÃO PARA OUTROS MUNICÍPIOS E PARA ATENDIMENTO DE PACIENTES TFD – TRATAMENTO FORA DE DOMICÍLIO DA SECRETARIA DE SAÚDE.</w:t>
      </w:r>
    </w:p>
    <w:p>
      <w:pPr>
        <w:spacing w:before="15"/>
      </w:pPr>
      <w:r>
        <w:t/>
      </w:r>
    </w:p>
    <w:p>
      <w:pPr>
        <w:numPr>
          <w:ilvl w:val="1"/>
          <w:numId w:val="21"/>
        </w:numPr>
      </w:pPr>
      <w:r/>
      <w:r>
        <w:rPr>
          <w:b/>
          <w:sz w:val="19"/>
        </w:rPr>
        <w:t xml:space="preserve"> RECEBIMENTO DAS PROPOSTAS DE PREÇOS: </w:t>
      </w:r>
      <w:r>
        <w:rPr>
          <w:rFonts w:ascii="Arial MT" w:hAnsi="Arial MT" w:cs="Arial MT" w:eastAsia="Arial MT"/>
          <w:sz w:val="19"/>
        </w:rPr>
        <w:t>Até às 09:00 horas do dia 31/07/2024.</w:t>
      </w:r>
    </w:p>
    <w:p>
      <w:r>
        <w:t/>
      </w:r>
    </w:p>
    <w:p>
      <w:pPr>
        <w:numPr>
          <w:ilvl w:val="1"/>
          <w:numId w:val="21"/>
        </w:numPr>
      </w:pPr>
      <w:r/>
      <w:r>
        <w:rPr>
          <w:b/>
          <w:sz w:val="19"/>
        </w:rPr>
        <w:t xml:space="preserve"> ABERTURA E JULGAMENTO DAS PROPOSTAS: </w:t>
      </w:r>
      <w:r>
        <w:rPr>
          <w:rFonts w:ascii="Arial MT" w:hAnsi="Arial MT" w:cs="Arial MT" w:eastAsia="Arial MT"/>
          <w:sz w:val="19"/>
        </w:rPr>
        <w:t>às 09:01 do dia 31/07/2024.</w:t>
      </w:r>
    </w:p>
    <w:p>
      <w:pPr>
        <w:spacing w:before="150"/>
        <w:numPr>
          <w:ilvl w:val="1"/>
          <w:numId w:val="21"/>
        </w:numPr>
      </w:pPr>
      <w:r/>
      <w:r>
        <w:rPr>
          <w:b/>
          <w:sz w:val="19"/>
        </w:rPr>
        <w:t xml:space="preserve"> INÍCIO DA SESSÃO DE DISPUTA DE PREÇOS: </w:t>
      </w:r>
      <w:r>
        <w:rPr>
          <w:rFonts w:ascii="Arial MT" w:hAnsi="Arial MT" w:cs="Arial MT" w:eastAsia="Arial MT"/>
          <w:sz w:val="19"/>
        </w:rPr>
        <w:t>às 09:01 horas do dia 31/07/2024.</w:t>
      </w:r>
    </w:p>
    <w:p>
      <w:pPr>
        <w:outlineLvl w:val="1"/>
        <w:spacing w:before="150"/>
        <w:numPr>
          <w:ilvl w:val="1"/>
          <w:numId w:val="21"/>
        </w:numPr>
      </w:pPr>
      <w:r/>
      <w:r>
        <w:rPr>
          <w:b/>
          <w:sz w:val="19"/>
        </w:rPr>
        <w:t xml:space="preserve"> CRITÉRIO DE JULGAMENTO: MENOR PREÇO POR ITEM</w:t>
      </w:r>
    </w:p>
    <w:p>
      <w:pPr>
        <w:spacing w:before="150"/>
        <w:numPr>
          <w:ilvl w:val="1"/>
          <w:numId w:val="21"/>
        </w:numPr>
      </w:pPr>
      <w:r/>
      <w:r>
        <w:rPr>
          <w:b/>
          <w:sz w:val="19"/>
        </w:rPr>
        <w:t xml:space="preserve"> MODO DE DISPUTA: ABERTO</w:t>
      </w:r>
    </w:p>
    <w:p>
      <w:pPr>
        <w:spacing w:before="150"/>
        <w:numPr>
          <w:ilvl w:val="1"/>
          <w:numId w:val="21"/>
        </w:numPr>
      </w:pPr>
      <w:r/>
      <w:r>
        <w:rPr>
          <w:b/>
          <w:sz w:val="19"/>
        </w:rPr>
        <w:t xml:space="preserve"> LINK PARA REALIZAÇÃO DA SESSÃO DA DISPUTA: </w:t>
      </w:r>
      <w:r>
        <w:rPr>
          <w:rFonts w:ascii="Arial MT" w:hAnsi="Arial MT" w:cs="Arial MT" w:eastAsia="Arial MT"/>
          <w:u w:val="single"/>
          <w:sz w:val="19"/>
        </w:rPr>
        <w:t>https://</w:t>
      </w:r>
      <w:hyperlink r:id="hrId1">
        <w:r>
          <w:rPr>
            <w:rFonts w:ascii="Arial MT" w:hAnsi="Arial MT" w:cs="Arial MT" w:eastAsia="Arial MT"/>
            <w:u w:val="single"/>
            <w:sz w:val="19"/>
          </w:rPr>
          <w:t>www.comprasbr.com.br</w:t>
        </w:r>
        <w:r>
          <w:rPr>
            <w:rFonts w:ascii="Arial MT" w:hAnsi="Arial MT" w:cs="Arial MT" w:eastAsia="Arial MT"/>
            <w:sz w:val="19"/>
          </w:rPr>
          <w:t>.</w:t>
        </w:r>
      </w:hyperlink>
    </w:p>
    <w:p>
      <w:pPr>
        <w:spacing w:before="150"/>
        <w:numPr>
          <w:ilvl w:val="1"/>
          <w:numId w:val="21"/>
        </w:numPr>
      </w:pPr>
      <w:r/>
      <w:r>
        <w:rPr>
          <w:b/>
          <w:sz w:val="19"/>
        </w:rPr>
        <w:t xml:space="preserve"> REFERÊNCIA DE HORÁRIO: </w:t>
      </w:r>
      <w:r>
        <w:rPr>
          <w:rFonts w:ascii="Arial MT" w:hAnsi="Arial MT" w:cs="Arial MT" w:eastAsia="Arial MT"/>
          <w:sz w:val="19"/>
        </w:rPr>
        <w:t>Horário de Brasília/DF.</w:t>
      </w:r>
    </w:p>
    <w:p>
      <w:pPr>
        <w:outlineLvl w:val="1"/>
        <w:spacing w:before="150"/>
        <w:numPr>
          <w:ilvl w:val="1"/>
          <w:numId w:val="21"/>
        </w:numPr>
      </w:pPr>
      <w:r/>
      <w:r>
        <w:rPr>
          <w:b/>
          <w:sz w:val="19"/>
        </w:rPr>
        <w:t xml:space="preserve"> INFORMAÇÕES:</w:t>
      </w:r>
    </w:p>
    <w:p>
      <w:pPr>
        <w:jc w:val="both"/>
        <w:ind w:right="210"/>
        <w:spacing w:before="150" w:lineRule="auto" w:line="276"/>
        <w:tabs>
          <w:tab w:val="left" w:pos="1035"/>
        </w:tabs>
        <w:numPr>
          <w:ilvl w:val="2"/>
          <w:numId w:val="21"/>
        </w:numPr>
      </w:pPr>
      <w:r/>
      <w:r>
        <w:rPr>
          <w:rFonts w:ascii="Arial MT" w:hAnsi="Arial MT" w:cs="Arial MT" w:eastAsia="Arial MT"/>
          <w:sz w:val="19"/>
        </w:rPr>
        <w:t xml:space="preserve"> Eventuais esclarecimentos poderão ser fornecidos diretamente no Setor de Licitações, situado na Rua Professor Pedro Fecchio, 248 – São Tomé-Pr </w:t>
      </w:r>
      <w:r>
        <w:rPr>
          <w:b/>
          <w:sz w:val="19"/>
        </w:rPr>
        <w:t xml:space="preserve">OU </w:t>
      </w:r>
      <w:r>
        <w:rPr>
          <w:rFonts w:ascii="Arial MT" w:hAnsi="Arial MT" w:cs="Arial MT" w:eastAsia="Arial MT"/>
          <w:sz w:val="19"/>
        </w:rPr>
        <w:t>por meio do Telefone (44) 3607-1280.</w:t>
      </w:r>
    </w:p>
    <w:p>
      <w:pPr>
        <w:jc w:val="both"/>
        <w:ind w:right="210"/>
        <w:spacing w:before="120" w:lineRule="auto" w:line="264"/>
        <w:numPr>
          <w:ilvl w:val="2"/>
          <w:numId w:val="21"/>
        </w:numPr>
      </w:pPr>
      <w:r/>
      <w:r>
        <w:rPr>
          <w:rFonts w:ascii="Arial MT" w:hAnsi="Arial MT" w:cs="Arial MT" w:eastAsia="Arial MT"/>
          <w:sz w:val="19"/>
        </w:rPr>
        <w:t xml:space="preserve"> Para acompanhar o processo licitatório, o proponente deverá acessar o site comprasbr.com.br.</w:t>
      </w:r>
    </w:p>
    <w:p>
      <w:pPr>
        <w:outlineLvl w:val="1"/>
        <w:spacing w:before="120"/>
        <w:tabs>
          <w:tab w:val="left" w:pos="585"/>
        </w:tabs>
        <w:numPr>
          <w:ilvl w:val="1"/>
          <w:numId w:val="21"/>
        </w:numPr>
      </w:pPr>
      <w:r/>
      <w:r>
        <w:rPr>
          <w:b/>
          <w:sz w:val="19"/>
        </w:rPr>
        <w:t xml:space="preserve"> DISPOSIÇÕES PRELIMINARES:</w:t>
      </w:r>
    </w:p>
    <w:p>
      <w:pPr>
        <w:jc w:val="both"/>
        <w:ind w:right="210"/>
        <w:spacing w:before="150" w:lineRule="auto" w:line="276"/>
        <w:tabs>
          <w:tab w:val="left" w:pos="1095"/>
        </w:tabs>
        <w:numPr>
          <w:ilvl w:val="2"/>
          <w:numId w:val="21"/>
        </w:numPr>
      </w:pPr>
      <w:r/>
      <w:r>
        <w:rPr>
          <w:b/>
          <w:sz w:val="19"/>
        </w:rPr>
        <w:t xml:space="preserve"> O Pregão </w:t>
      </w:r>
      <w:r>
        <w:rPr>
          <w:rFonts w:ascii="Arial MT" w:hAnsi="Arial MT" w:cs="Arial MT" w:eastAsia="Arial MT"/>
          <w:sz w:val="19"/>
        </w:rPr>
        <w:t xml:space="preserve">será realizado em sessão pública, por meio da </w:t>
      </w:r>
      <w:r>
        <w:rPr>
          <w:b/>
          <w:sz w:val="19"/>
        </w:rPr>
        <w:t xml:space="preserve">INTERNET, </w:t>
      </w:r>
      <w:r>
        <w:rPr>
          <w:rFonts w:ascii="Arial MT" w:hAnsi="Arial MT" w:cs="Arial MT" w:eastAsia="Arial MT"/>
          <w:sz w:val="19"/>
        </w:rPr>
        <w:t xml:space="preserve">mediante condições de segurança – criptografia e autenticação – em todas as suas fases, por meio do </w:t>
      </w:r>
      <w:r>
        <w:rPr>
          <w:b/>
          <w:sz w:val="19"/>
        </w:rPr>
        <w:t>Sistema de Pregão, na Forma Eletrônica (licitações) do COMPRASBR</w:t>
      </w:r>
      <w:r>
        <w:rPr>
          <w:b/>
          <w:u w:val="single"/>
          <w:sz w:val="19"/>
        </w:rPr>
        <w:t>.</w:t>
      </w:r>
    </w:p>
    <w:p>
      <w:pPr>
        <w:jc w:val="both"/>
        <w:ind w:right="210"/>
        <w:spacing w:before="120" w:lineRule="auto" w:line="276"/>
        <w:tabs>
          <w:tab w:val="left" w:pos="1140"/>
        </w:tabs>
        <w:numPr>
          <w:ilvl w:val="2"/>
          <w:numId w:val="21"/>
        </w:numPr>
      </w:pPr>
      <w:r/>
      <w:r>
        <w:rPr>
          <w:rFonts w:ascii="Arial MT" w:hAnsi="Arial MT" w:cs="Arial MT" w:eastAsia="Arial MT"/>
          <w:sz w:val="19"/>
        </w:rPr>
        <w:t xml:space="preserve"> Os trabalhos serão conduzidos por </w:t>
      </w:r>
      <w:r>
        <w:rPr>
          <w:b/>
          <w:u w:val="single"/>
          <w:sz w:val="19"/>
        </w:rPr>
        <w:t>PREGOEIRO</w:t>
      </w:r>
      <w:r>
        <w:rPr>
          <w:b/>
          <w:sz w:val="19"/>
        </w:rPr>
        <w:t xml:space="preserve"> </w:t>
      </w:r>
      <w:r>
        <w:rPr>
          <w:rFonts w:ascii="Arial MT" w:hAnsi="Arial MT" w:cs="Arial MT" w:eastAsia="Arial MT"/>
          <w:sz w:val="19"/>
        </w:rPr>
        <w:t>do MUNICÍPIO DE SÃO TOME – designado pela autoridade competente, mediante a inserção e monitoramento de dados gerados ou transferidos para o aplicativo constante da página eletrônica do COMPRASBR</w:t>
      </w:r>
      <w:r>
        <w:rPr>
          <w:b/>
          <w:u w:val="single"/>
          <w:sz w:val="19"/>
        </w:rPr>
        <w:t xml:space="preserve"> </w:t>
      </w:r>
      <w:r>
        <w:rPr>
          <w:rFonts w:ascii="Arial MT" w:hAnsi="Arial MT" w:cs="Arial MT" w:eastAsia="Arial MT"/>
          <w:u w:val="single"/>
          <w:sz w:val="19"/>
        </w:rPr>
        <w:t>(www.comrasbr.com.br).</w:t>
      </w:r>
    </w:p>
    <w:p>
      <w:pPr>
        <w:spacing w:before="15"/>
      </w:pPr>
      <w:r>
        <w:drawing>
          <wp:inline distT="0" distB="0" distL="0" distR="0">
            <wp:extent cx="0" cy="0"/>
            <wp:effectExtent l="0" t="0" r="0" b="0"/>
            <wp:docPr id="7" name="P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7.emf"/>
                    <pic:cNvPicPr/>
                  </pic:nvPicPr>
                  <pic:blipFill>
                    <a:blip r:embed="prId6" cstate="print"/>
                    <a:stretch>
                      <a:fillRect/>
                    </a:stretch>
                  </pic:blipFill>
                  <pic:spPr>
                    <a:xfrm>
                      <a:off x="0" y="0"/>
                      <a:ext cx="0" cy="0"/>
                    </a:xfrm>
                    <a:prstGeom prst="rect">
                      <a:avLst/>
                    </a:prstGeom>
                  </pic:spPr>
                </pic:pic>
              </a:graphicData>
            </a:graphic>
          </wp:inline>
        </w:drawing>
      </w:r>
    </w:p>
    <w:p>
      <w:pPr>
        <w:spacing w:before="15"/>
      </w:pPr>
      <w:r>
        <w:t/>
      </w:r>
    </w:p>
    <w:p>
      <w:pPr>
        <w:spacing w:before="15"/>
      </w:pPr>
      <w:r>
        <w:drawing>
          <wp:inline distT="0" distB="0" distL="0" distR="0">
            <wp:extent cx="6838950" cy="200025"/>
            <wp:effectExtent l="0" t="0" r="0" b="0"/>
            <wp:docPr id="8" name="P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8.emf"/>
                    <pic:cNvPicPr/>
                  </pic:nvPicPr>
                  <pic:blipFill>
                    <a:blip r:embed="prId7" cstate="print"/>
                    <a:stretch>
                      <a:fillRect/>
                    </a:stretch>
                  </pic:blipFill>
                  <pic:spPr>
                    <a:xfrm>
                      <a:off x="0" y="0"/>
                      <a:ext cx="6838950" cy="200025"/>
                    </a:xfrm>
                    <a:prstGeom prst="rect">
                      <a:avLst/>
                    </a:prstGeom>
                  </pic:spPr>
                </pic:pic>
              </a:graphicData>
            </a:graphic>
          </wp:inline>
        </w:drawing>
      </w:r>
    </w:p>
    <w:p>
      <w:r>
        <w:t/>
      </w:r>
    </w:p>
    <w:p>
      <w:pPr>
        <w:jc w:val="both"/>
        <w:ind w:left="165" w:right="210"/>
        <w:spacing w:lineRule="auto" w:line="264"/>
      </w:pPr>
      <w:r>
        <w:rPr>
          <w:b/>
          <w:sz w:val="19"/>
        </w:rPr>
        <w:t>AMPLA CONCORRÊNCIA</w:t>
      </w:r>
    </w:p>
    <w:p>
      <w:pPr>
        <w:jc w:val="both"/>
        <w:ind w:left="165" w:right="210"/>
        <w:spacing w:lineRule="auto" w:line="264"/>
      </w:pPr>
      <w:r>
        <w:rPr>
          <w:b/>
          <w:sz w:val="19"/>
        </w:rPr>
        <w:t xml:space="preserve">2.1 </w:t>
      </w:r>
      <w:r>
        <w:rPr>
          <w:rFonts w:ascii="Arial MT" w:hAnsi="Arial MT" w:cs="Arial MT" w:eastAsia="Arial MT"/>
          <w:sz w:val="19"/>
        </w:rPr>
        <w:t>Poderão participar desta licitação todas e quaisquer empresas especializadas do ramo (objeto contratual previsto no contrato social da empresa) que atendam às condições estabelecidas neste edital.</w:t>
      </w:r>
    </w:p>
    <w:p>
      <w:pPr>
        <w:spacing w:before="15"/>
      </w:pPr>
      <w:r>
        <w:t/>
      </w:r>
    </w:p>
    <w:p>
      <w:pPr>
        <w:jc w:val="both"/>
        <w:ind w:left="165" w:right="210"/>
        <w:spacing w:lineRule="auto" w:line="276"/>
      </w:pPr>
      <w:r>
        <w:rPr>
          <w:b/>
          <w:sz w:val="19"/>
        </w:rPr>
        <w:t xml:space="preserve">2.2. </w:t>
      </w:r>
      <w:r>
        <w:rPr>
          <w:rFonts w:ascii="Arial MT" w:hAnsi="Arial MT" w:cs="Arial MT" w:eastAsia="Arial MT"/>
          <w:sz w:val="19"/>
        </w:rPr>
        <w:t xml:space="preserve">Serão assegurados os benefícios da Lei Complementar nº 123, de 14/12/2006, em seu artigo 48, inciso I, alterado pela Lei Complementar nº 147, de 07/08/2014, às </w:t>
      </w:r>
      <w:r>
        <w:rPr>
          <w:b/>
          <w:sz w:val="19"/>
        </w:rPr>
        <w:t xml:space="preserve">MICROEMPRESAS (ME), EMPRESAS DE PEQUENO PORTE (EPP) </w:t>
      </w:r>
      <w:r>
        <w:rPr>
          <w:rFonts w:ascii="Arial MT" w:hAnsi="Arial MT" w:cs="Arial MT" w:eastAsia="Arial MT"/>
          <w:sz w:val="19"/>
        </w:rPr>
        <w:t xml:space="preserve">e aos </w:t>
      </w:r>
      <w:r>
        <w:rPr>
          <w:b/>
          <w:sz w:val="19"/>
        </w:rPr>
        <w:t>MICROEMPREENDEDORES INDIVIDUAIS (MEI)</w:t>
      </w:r>
      <w:r>
        <w:rPr>
          <w:rFonts w:ascii="Arial MT" w:hAnsi="Arial MT" w:cs="Arial MT" w:eastAsia="Arial MT"/>
          <w:sz w:val="19"/>
        </w:rPr>
        <w:t>, que declararem e comprovarem regularmente essa condição.</w:t>
      </w:r>
    </w:p>
    <w:p>
      <w:pPr>
        <w:spacing w:before="15"/>
      </w:pPr>
      <w:r>
        <w:t/>
      </w:r>
    </w:p>
    <w:p>
      <w:pPr>
        <w:jc w:val="both"/>
        <w:outlineLvl w:val="1"/>
        <w:ind w:left="495" w:right="210"/>
        <w:spacing w:lineRule="auto" w:line="276"/>
      </w:pPr>
      <w:r>
        <w:rPr>
          <w:b/>
          <w:sz w:val="19"/>
        </w:rPr>
        <w:t>2.2.6.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pPr>
        <w:jc w:val="both"/>
        <w:ind w:right="210"/>
        <w:spacing w:before="120" w:lineRule="auto" w:line="264"/>
        <w:numPr>
          <w:ilvl w:val="1"/>
          <w:numId w:val="15"/>
        </w:numPr>
      </w:pPr>
      <w:r/>
      <w:r>
        <w:rPr>
          <w:b/>
          <w:sz w:val="19"/>
        </w:rPr>
        <w:t xml:space="preserve">Os fornecedores deverão atender aos procedimentos previstos no endereço </w:t>
      </w:r>
      <w:r>
        <w:rPr>
          <w:b/>
          <w:u w:val="single"/>
          <w:sz w:val="19"/>
        </w:rPr>
        <w:t>https://www.comprasbr.com.br)</w:t>
      </w:r>
      <w:r>
        <w:rPr>
          <w:b/>
          <w:sz w:val="19"/>
        </w:rPr>
        <w:t>, para acesso ao sistemae operacionalização.</w:t>
      </w:r>
    </w:p>
    <w:p>
      <w:pPr>
        <w:jc w:val="both"/>
        <w:ind w:right="210"/>
        <w:spacing w:before="120" w:lineRule="auto" w:line="276"/>
        <w:numPr>
          <w:ilvl w:val="2"/>
          <w:numId w:val="15"/>
        </w:numPr>
      </w:pPr>
      <w:r/>
      <w:r>
        <w:rPr>
          <w:rFonts w:ascii="Arial MT" w:hAnsi="Arial MT" w:cs="Arial MT" w:eastAsia="Arial MT"/>
          <w:sz w:val="19"/>
        </w:rPr>
        <w:t xml:space="preserve">A ADMINISTRAÇÃO PÚBLICA MUNICIPAL NÃO SE RESPONSABILIZA POR PROBLEMAS TÉCNICOS QUE INVIABILIZEM O CADASTRO DO FORNECEDOR NA PLATAFORMA COMPRASBR A TEMPO DE PARTICIPAR DA LICITAÇÃO, BEM COMO POR ORIENTAR O SISTEMA. DESTE MODO, RECOMENDA-SE QUE OS INTERESSADOS EM PARTICIPAR DO PRESENTE CERTAME, EFETUEM O CADASTRO O MAIS BREVE POSSÍVEL, DE MODO A EVITAR TRANSTORNOS POR QUESTÕES RELATIVAS À INTERNET OU À INCOMPATIBILIDADE DE </w:t>
      </w:r>
      <w:r>
        <w:rPr>
          <w:i/>
          <w:sz w:val="19"/>
        </w:rPr>
        <w:t>HARDWARE</w:t>
      </w:r>
      <w:r>
        <w:rPr>
          <w:rFonts w:ascii="Arial MT" w:hAnsi="Arial MT" w:cs="Arial MT" w:eastAsia="Arial MT"/>
          <w:sz w:val="19"/>
        </w:rPr>
        <w:t xml:space="preserve">, </w:t>
      </w:r>
      <w:r>
        <w:rPr>
          <w:i/>
          <w:sz w:val="19"/>
        </w:rPr>
        <w:t xml:space="preserve">SOFTWARE </w:t>
      </w:r>
      <w:r>
        <w:rPr>
          <w:rFonts w:ascii="Arial MT" w:hAnsi="Arial MT" w:cs="Arial MT" w:eastAsia="Arial MT"/>
          <w:sz w:val="19"/>
        </w:rPr>
        <w:t>OU QUAISQUER OUTRAS QUESTÕES QUE POSSAM PREJUDICAR A PARTICIPAÇÃO DO LICITANTE. EM CASO DE DÚVIDA, O LICITANTE DEVERÁ ENTRAR EM CONTATO DIRETAMENTE COM A PLATAFORMA COMPRASBR.</w:t>
      </w:r>
    </w:p>
    <w:p>
      <w:pPr>
        <w:jc w:val="both"/>
        <w:outlineLvl w:val="1"/>
        <w:ind w:right="210"/>
        <w:spacing w:before="150" w:lineRule="auto" w:line="276"/>
        <w:tabs>
          <w:tab w:val="left" w:pos="1050"/>
        </w:tabs>
        <w:numPr>
          <w:ilvl w:val="2"/>
          <w:numId w:val="15"/>
        </w:numPr>
      </w:pPr>
      <w:r/>
      <w:r>
        <w:rPr>
          <w:b/>
          <w:sz w:val="19"/>
        </w:rPr>
        <w:t xml:space="preserve"> O fornecedor é o responsável por qualquer transação efetuada – diretamente ou por seu representante – no Sistema de Pregão Eletrônico, não cabendo ao provedor do Sistema ou ao órgão entidade promotor do processo a responsabilidade por eventuais danos decorrentes de uso indevido da senha, ainda que por terceiros não autorizados.</w:t>
      </w:r>
    </w:p>
    <w:p>
      <w:pPr>
        <w:jc w:val="both"/>
        <w:spacing w:before="120"/>
        <w:numPr>
          <w:ilvl w:val="1"/>
          <w:numId w:val="15"/>
        </w:numPr>
      </w:pPr>
      <w:r/>
      <w:r>
        <w:rPr>
          <w:rFonts w:ascii="Arial MT" w:hAnsi="Arial MT" w:cs="Arial MT" w:eastAsia="Arial MT"/>
          <w:sz w:val="19"/>
        </w:rPr>
        <w:t xml:space="preserve"> Não poderão participar desta Licitação os fornecedores:</w:t>
      </w:r>
    </w:p>
    <w:p>
      <w:pPr>
        <w:spacing w:before="150"/>
        <w:numPr>
          <w:ilvl w:val="2"/>
          <w:numId w:val="15"/>
        </w:numPr>
      </w:pPr>
      <w:r/>
      <w:r>
        <w:rPr>
          <w:rFonts w:ascii="Arial MT" w:hAnsi="Arial MT" w:cs="Arial MT" w:eastAsia="Arial MT"/>
          <w:sz w:val="19"/>
        </w:rPr>
        <w:t xml:space="preserve"> Que não atendam às condições deste Edital de Licitação e seu (s) anexo (s);</w:t>
      </w:r>
    </w:p>
    <w:p>
      <w:pPr>
        <w:ind w:right="210"/>
        <w:spacing w:before="150" w:lineRule="auto" w:line="264"/>
        <w:numPr>
          <w:ilvl w:val="2"/>
          <w:numId w:val="15"/>
        </w:numPr>
      </w:pPr>
      <w:r/>
      <w:r>
        <w:rPr>
          <w:rFonts w:ascii="Arial MT" w:hAnsi="Arial MT" w:cs="Arial MT" w:eastAsia="Arial MT"/>
          <w:sz w:val="19"/>
        </w:rPr>
        <w:t xml:space="preserve"> Estrangeiros que não tenham representação legal no Brasil com poderes expressos parareceber citação e responder administrativa ou judicialmente;</w:t>
      </w:r>
    </w:p>
    <w:p>
      <w:pPr>
        <w:spacing w:before="120"/>
        <w:numPr>
          <w:ilvl w:val="2"/>
          <w:numId w:val="15"/>
        </w:numPr>
      </w:pPr>
      <w:r/>
      <w:r>
        <w:rPr>
          <w:rFonts w:ascii="Arial MT" w:hAnsi="Arial MT" w:cs="Arial MT" w:eastAsia="Arial MT"/>
          <w:sz w:val="19"/>
        </w:rPr>
        <w:t xml:space="preserve"> Que se enquadrem nas seguintes vedações:</w:t>
      </w:r>
    </w:p>
    <w:p>
      <w:pPr>
        <w:jc w:val="both"/>
        <w:ind w:right="210"/>
        <w:spacing w:before="150" w:lineRule="auto" w:line="264"/>
        <w:tabs>
          <w:tab w:val="left" w:pos="1065"/>
        </w:tabs>
        <w:numPr>
          <w:ilvl w:val="3"/>
          <w:numId w:val="15"/>
        </w:numPr>
      </w:pPr>
      <w:r/>
      <w:r>
        <w:rPr>
          <w:rFonts w:ascii="Arial MT" w:hAnsi="Arial MT" w:cs="Arial MT" w:eastAsia="Arial MT"/>
          <w:sz w:val="19"/>
        </w:rPr>
        <w:t>autor do anteprojeto, do projeto básico ou do projeto executivo, pessoa física ou jurídica, quando a contratação versar sobre obra, serviços ou fornecimento de bens a ele relacionados;</w:t>
      </w:r>
    </w:p>
    <w:p>
      <w:pPr>
        <w:jc w:val="both"/>
        <w:ind w:right="210"/>
        <w:spacing w:before="120" w:lineRule="auto" w:line="276"/>
        <w:tabs>
          <w:tab w:val="left" w:pos="1065"/>
        </w:tabs>
        <w:numPr>
          <w:ilvl w:val="3"/>
          <w:numId w:val="15"/>
        </w:numPr>
      </w:pPr>
      <w:r/>
      <w:r>
        <w:rPr>
          <w:rFonts w:ascii="Arial MT" w:hAnsi="Arial MT" w:cs="Arial MT" w:eastAsia="Arial MT"/>
          <w:sz w:val="19"/>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w:t>
      </w:r>
    </w:p>
    <w:p>
      <w:pPr>
        <w:jc w:val="both"/>
        <w:ind w:right="210"/>
        <w:spacing w:before="120" w:lineRule="auto" w:line="264"/>
        <w:tabs>
          <w:tab w:val="left" w:pos="1065"/>
        </w:tabs>
        <w:numPr>
          <w:ilvl w:val="3"/>
          <w:numId w:val="15"/>
        </w:numPr>
      </w:pPr>
      <w:r/>
      <w:r>
        <w:rPr>
          <w:rFonts w:ascii="Arial MT" w:hAnsi="Arial MT" w:cs="Arial MT" w:eastAsia="Arial MT"/>
          <w:sz w:val="19"/>
        </w:rPr>
        <w:t>pessoa física ou jurídica que se encontre, ao tempo da contratação, impossibilitada de contratar em decorrência de sanção que lhe foi imposta;</w:t>
      </w:r>
    </w:p>
    <w:p>
      <w:pPr>
        <w:jc w:val="both"/>
        <w:ind w:right="210"/>
        <w:spacing w:before="120" w:lineRule="auto" w:line="276"/>
        <w:numPr>
          <w:ilvl w:val="3"/>
          <w:numId w:val="15"/>
        </w:numPr>
      </w:pPr>
      <w:r/>
      <w:r>
        <w:rPr>
          <w:rFonts w:ascii="Arial MT" w:hAnsi="Arial MT" w:cs="Arial MT" w:eastAsia="Arial MT"/>
          <w:sz w:val="19"/>
        </w:rPr>
        <w:t>aquele que mantenha vínculo de natureza técnica, comercial, econômica, financeira, trabalhista ou civil com dirigente do órgão ou entidade contratante ou com agente público que desempenhe função no processo licitatório ou atue na fiscalização ou na gestão do contrato, ou que delesseja cônjuge, companheiro ou parente em linha reta, colateral ou por afinidade, até o terceiro grau;</w:t>
      </w:r>
    </w:p>
    <w:p>
      <w:pPr>
        <w:jc w:val="both"/>
        <w:ind w:right="210"/>
        <w:spacing w:before="120" w:lineRule="auto" w:line="276"/>
        <w:numPr>
          <w:ilvl w:val="3"/>
          <w:numId w:val="15"/>
        </w:numPr>
      </w:pPr>
      <w:r/>
      <w:r>
        <w:rPr>
          <w:rFonts w:ascii="Arial MT" w:hAnsi="Arial MT" w:cs="Arial MT" w:eastAsia="Arial MT"/>
          <w:sz w:val="19"/>
        </w:rPr>
        <w:t>empresas controladoras, controladas ou coligadas, nos termos da Lei nº 6.404, de 15 de dezembro de 1976, concorrendo entre si;</w:t>
      </w:r>
    </w:p>
    <w:p>
      <w:pPr>
        <w:jc w:val="both"/>
        <w:ind w:right="210"/>
        <w:spacing w:before="120" w:lineRule="auto" w:line="264"/>
        <w:numPr>
          <w:ilvl w:val="3"/>
          <w:numId w:val="15"/>
        </w:numPr>
      </w:pPr>
      <w:r/>
      <w:r>
        <w:rPr>
          <w:rFonts w:ascii="Arial MT" w:hAnsi="Arial MT" w:cs="Arial MT" w:eastAsia="Arial MT"/>
          <w:sz w:val="19"/>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pPr>
        <w:spacing w:before="120"/>
        <w:numPr>
          <w:ilvl w:val="3"/>
          <w:numId w:val="15"/>
        </w:numPr>
      </w:pPr>
      <w:r/>
      <w:r>
        <w:rPr>
          <w:rFonts w:ascii="Arial MT" w:hAnsi="Arial MT" w:cs="Arial MT" w:eastAsia="Arial MT"/>
          <w:sz w:val="19"/>
        </w:rPr>
        <w:t>agente público do órgão ou entidade licitante.</w:t>
      </w:r>
    </w:p>
    <w:p>
      <w:pPr>
        <w:jc w:val="both"/>
        <w:spacing w:before="150"/>
        <w:tabs>
          <w:tab w:val="left" w:pos="1710"/>
        </w:tabs>
        <w:numPr>
          <w:ilvl w:val="3"/>
          <w:numId w:val="37"/>
        </w:numPr>
      </w:pPr>
      <w:r/>
      <w:r>
        <w:rPr>
          <w:rFonts w:ascii="Arial MT" w:hAnsi="Arial MT" w:cs="Arial MT" w:eastAsia="Arial MT"/>
          <w:sz w:val="19"/>
        </w:rPr>
        <w:t>Equiparam-se aos autores do projeto, as empresas integrantes do mesmo grupo econômico;</w:t>
      </w:r>
    </w:p>
    <w:p>
      <w:pPr>
        <w:jc w:val="both"/>
        <w:ind w:right="210"/>
        <w:spacing w:before="150" w:lineRule="auto" w:line="276"/>
        <w:tabs>
          <w:tab w:val="left" w:pos="1725"/>
        </w:tabs>
        <w:numPr>
          <w:ilvl w:val="3"/>
          <w:numId w:val="37"/>
        </w:numPr>
      </w:pPr>
      <w:r/>
      <w:r>
        <w:rPr>
          <w:rFonts w:ascii="Arial MT" w:hAnsi="Arial MT" w:cs="Arial MT" w:eastAsia="Arial MT"/>
          <w:sz w:val="19"/>
        </w:rPr>
        <w:t>Aplica-se o disposto no item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pPr>
        <w:jc w:val="both"/>
        <w:ind w:right="210"/>
        <w:spacing w:before="120" w:lineRule="auto" w:line="276"/>
        <w:tabs>
          <w:tab w:val="left" w:pos="1710"/>
        </w:tabs>
        <w:numPr>
          <w:ilvl w:val="3"/>
          <w:numId w:val="37"/>
        </w:numPr>
      </w:pPr>
      <w:r/>
      <w:r>
        <w:rPr>
          <w:rFonts w:ascii="Arial MT" w:hAnsi="Arial MT" w:cs="Arial MT" w:eastAsia="Arial MT"/>
          <w:sz w:val="19"/>
        </w:rPr>
        <w:t>A vedação de que trata o item “g)” estende-se a terceiro que auxilie a condução da contratação na qualidade de integrante de equipe de apoio, profissional especializado ou funcionário ou representante de empresa que preste assessoria técnica.</w:t>
      </w:r>
    </w:p>
    <w:p>
      <w:pPr>
        <w:jc w:val="both"/>
        <w:ind w:right="210"/>
        <w:spacing w:before="120" w:lineRule="auto" w:line="276"/>
        <w:tabs>
          <w:tab w:val="left" w:pos="1020"/>
        </w:tabs>
        <w:numPr>
          <w:ilvl w:val="2"/>
          <w:numId w:val="15"/>
        </w:numPr>
      </w:pPr>
      <w:r/>
      <w:r>
        <w:rPr>
          <w:rFonts w:ascii="Arial MT" w:hAnsi="Arial MT" w:cs="Arial MT" w:eastAsia="Arial MT"/>
          <w:sz w:val="19"/>
        </w:rPr>
        <w:t xml:space="preserve"> Organizações da Sociedade Civil de Interesse Público – OSCIP, atuando nessa condição (Acórdão nº 746/2014-TCU-Plenário).</w:t>
      </w:r>
    </w:p>
    <w:p>
      <w:pPr>
        <w:jc w:val="both"/>
        <w:ind w:right="210"/>
        <w:spacing w:before="120" w:lineRule="auto" w:line="276"/>
        <w:numPr>
          <w:ilvl w:val="1"/>
          <w:numId w:val="15"/>
        </w:numPr>
      </w:pPr>
      <w:r/>
      <w:r>
        <w:rPr>
          <w:rFonts w:ascii="Arial MT" w:hAnsi="Arial MT" w:cs="Arial MT" w:eastAsia="Arial MT"/>
          <w:sz w:val="19"/>
        </w:rPr>
        <w:t xml:space="preserve"> Será permitida a participação de cooperativas, desde que apresentem demonstrativo de atuação em regime cooperado, com repartição de receitas e despesas entre os cooperados e atendam ao art. 16, da Lei nº14.133/21.</w:t>
      </w:r>
    </w:p>
    <w:p>
      <w:pPr>
        <w:jc w:val="both"/>
        <w:ind w:right="210"/>
        <w:spacing w:before="120" w:lineRule="auto" w:line="276"/>
        <w:numPr>
          <w:ilvl w:val="2"/>
          <w:numId w:val="15"/>
        </w:numPr>
      </w:pPr>
      <w:r/>
      <w:r>
        <w:rPr>
          <w:rFonts w:ascii="Arial MT" w:hAnsi="Arial MT" w:cs="Arial MT" w:eastAsia="Arial MT"/>
          <w:sz w:val="19"/>
        </w:rPr>
        <w:t xml:space="preserve"> Em sendo permitida a participação de cooperativas, poderão ser estendidas a elas os benefícios previstos para as microempresas e empresas de pequeno porte, desde que atenderem ao disposto no art. 34 da Lei nº 11.488, de 15 de junho de 2007.</w:t>
      </w:r>
    </w:p>
    <w:p>
      <w:pPr>
        <w:jc w:val="both"/>
        <w:ind w:left="495" w:right="210" w:firstLine="510"/>
        <w:spacing w:before="120" w:lineRule="auto" w:line="276"/>
      </w:pPr>
      <w:r>
        <w:t/>
      </w:r>
    </w:p>
    <w:p>
      <w:pPr>
        <w:spacing w:before="15"/>
      </w:pPr>
      <w:r>
        <w:drawing>
          <wp:inline distT="0" distB="0" distL="0" distR="0">
            <wp:extent cx="0" cy="0"/>
            <wp:effectExtent l="0" t="0" r="0" b="0"/>
            <wp:docPr id="9" name="P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9.emf"/>
                    <pic:cNvPicPr/>
                  </pic:nvPicPr>
                  <pic:blipFill>
                    <a:blip r:embed="prId8" cstate="print"/>
                    <a:stretch>
                      <a:fillRect/>
                    </a:stretch>
                  </pic:blipFill>
                  <pic:spPr>
                    <a:xfrm>
                      <a:off x="0" y="0"/>
                      <a:ext cx="0" cy="0"/>
                    </a:xfrm>
                    <a:prstGeom prst="rect">
                      <a:avLst/>
                    </a:prstGeom>
                  </pic:spPr>
                </pic:pic>
              </a:graphicData>
            </a:graphic>
          </wp:inline>
        </w:drawing>
      </w:r>
    </w:p>
    <w:p>
      <w:pPr>
        <w:spacing w:before="15"/>
      </w:pPr>
      <w:r>
        <w:drawing>
          <wp:inline distT="0" distB="0" distL="0" distR="0">
            <wp:extent cx="6896100" cy="200025"/>
            <wp:effectExtent l="0" t="0" r="0" b="0"/>
            <wp:docPr id="10" name="P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0.emf"/>
                    <pic:cNvPicPr/>
                  </pic:nvPicPr>
                  <pic:blipFill>
                    <a:blip r:embed="prId9" cstate="print"/>
                    <a:stretch>
                      <a:fillRect/>
                    </a:stretch>
                  </pic:blipFill>
                  <pic:spPr>
                    <a:xfrm>
                      <a:off x="0" y="0"/>
                      <a:ext cx="6896100" cy="200025"/>
                    </a:xfrm>
                    <a:prstGeom prst="rect">
                      <a:avLst/>
                    </a:prstGeom>
                  </pic:spPr>
                </pic:pic>
              </a:graphicData>
            </a:graphic>
          </wp:inline>
        </w:drawing>
      </w:r>
    </w:p>
    <w:p>
      <w:pPr>
        <w:spacing w:before="15"/>
      </w:pPr>
      <w:r>
        <w:t/>
      </w:r>
    </w:p>
    <w:p>
      <w:pPr>
        <w:jc w:val="both"/>
        <w:ind w:right="210"/>
        <w:spacing w:before="90" w:lineRule="auto" w:line="276"/>
        <w:numPr>
          <w:ilvl w:val="1"/>
          <w:numId w:val="13"/>
        </w:numPr>
      </w:pPr>
      <w:r/>
      <w:r>
        <w:rPr>
          <w:rFonts w:ascii="Arial MT" w:hAnsi="Arial MT" w:cs="Arial MT" w:eastAsia="Arial MT"/>
          <w:sz w:val="19"/>
        </w:rPr>
        <w:t xml:space="preserve"> O ingresso do fornecedor na disputa do Pregão Eletrônico se dará com o cadastramento de sua proposta inicial, na forma desta Seção.</w:t>
      </w:r>
    </w:p>
    <w:p>
      <w:pPr>
        <w:jc w:val="both"/>
        <w:ind w:right="210"/>
        <w:spacing w:before="120" w:lineRule="auto" w:line="276"/>
        <w:numPr>
          <w:ilvl w:val="1"/>
          <w:numId w:val="13"/>
        </w:numPr>
      </w:pPr>
      <w:r/>
      <w:r>
        <w:rPr>
          <w:rFonts w:ascii="Arial MT" w:hAnsi="Arial MT" w:cs="Arial MT" w:eastAsia="Arial MT"/>
          <w:sz w:val="19"/>
        </w:rPr>
        <w:t xml:space="preserve"> Após a divulgação do Edital de Pregão Eletrônico, o licitante interessado deverá encaminhar, exclusivamente por meio do Sistema Eletrônico, a proposta com a descrição do objeto ofertado, a marca/modelo do produto, quando for o caso, e o preço, até a data e o horário estabelecidos para abertura do procedimento.</w:t>
      </w:r>
    </w:p>
    <w:p>
      <w:pPr>
        <w:jc w:val="both"/>
        <w:spacing w:before="120"/>
        <w:numPr>
          <w:ilvl w:val="1"/>
          <w:numId w:val="13"/>
        </w:numPr>
      </w:pPr>
      <w:r/>
      <w:r>
        <w:rPr>
          <w:rFonts w:ascii="Arial MT" w:hAnsi="Arial MT" w:cs="Arial MT" w:eastAsia="Arial MT"/>
          <w:sz w:val="19"/>
        </w:rPr>
        <w:t xml:space="preserve"> No cadastramento da proposta inicial, o licitante apresentará declaração de que:</w:t>
      </w:r>
    </w:p>
    <w:p>
      <w:pPr>
        <w:jc w:val="both"/>
        <w:ind w:right="210"/>
        <w:spacing w:before="150" w:lineRule="auto" w:line="276"/>
        <w:numPr>
          <w:ilvl w:val="2"/>
          <w:numId w:val="13"/>
        </w:numPr>
      </w:pPr>
      <w:r/>
      <w:r>
        <w:rPr>
          <w:rFonts w:ascii="Arial MT" w:hAnsi="Arial MT" w:cs="Arial MT" w:eastAsia="Arial MT"/>
          <w:sz w:val="19"/>
        </w:rPr>
        <w:t xml:space="preserve">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jc w:val="both"/>
        <w:ind w:right="210"/>
        <w:spacing w:before="120" w:lineRule="auto" w:line="276"/>
        <w:numPr>
          <w:ilvl w:val="2"/>
          <w:numId w:val="13"/>
        </w:numPr>
      </w:pPr>
      <w:r/>
      <w:r>
        <w:rPr>
          <w:rFonts w:ascii="Arial MT" w:hAnsi="Arial MT" w:cs="Arial MT" w:eastAsia="Arial MT"/>
          <w:sz w:val="19"/>
        </w:rPr>
        <w:t xml:space="preserve"> Não emprega menor de 18 (dezoito) anos em trabalho noturno, perigoso ou insalubre e não emprega menor de 16 (dezesseis) anos, salvo menor, a partir de 14 (quatorze) anos, na condição de aprendiz, nos termos do artigo 7°, XXXIII, da Constituição;</w:t>
      </w:r>
    </w:p>
    <w:p>
      <w:pPr>
        <w:jc w:val="both"/>
        <w:ind w:right="210"/>
        <w:spacing w:before="120" w:lineRule="auto" w:line="276"/>
        <w:numPr>
          <w:ilvl w:val="2"/>
          <w:numId w:val="13"/>
        </w:numPr>
      </w:pPr>
      <w:r/>
      <w:r>
        <w:rPr>
          <w:rFonts w:ascii="Arial MT" w:hAnsi="Arial MT" w:cs="Arial MT" w:eastAsia="Arial MT"/>
          <w:sz w:val="19"/>
        </w:rPr>
        <w:t xml:space="preserve"> Não possui empregados executando trabalho degradante ou forçado, observando o disposto nos incisos III e IV do art. 1º e no inciso III do art. 5º da Constituição Federal;</w:t>
      </w:r>
    </w:p>
    <w:p>
      <w:pPr>
        <w:jc w:val="both"/>
        <w:ind w:right="210"/>
        <w:spacing w:before="120" w:lineRule="auto" w:line="276"/>
        <w:numPr>
          <w:ilvl w:val="2"/>
          <w:numId w:val="13"/>
        </w:numPr>
      </w:pPr>
      <w:r/>
      <w:r>
        <w:rPr>
          <w:rFonts w:ascii="Arial MT" w:hAnsi="Arial MT" w:cs="Arial MT" w:eastAsia="Arial MT"/>
          <w:sz w:val="19"/>
        </w:rPr>
        <w:t xml:space="preserve"> Cumpre as exigências de reserva de cargos para pessoa com deficiência e para reabilitado da Previdência Social, previstas em lei e em outras normas específicas.</w:t>
      </w:r>
    </w:p>
    <w:p>
      <w:pPr>
        <w:jc w:val="both"/>
        <w:ind w:right="210"/>
        <w:spacing w:before="120" w:lineRule="auto" w:line="276"/>
        <w:numPr>
          <w:ilvl w:val="1"/>
          <w:numId w:val="13"/>
        </w:numPr>
      </w:pPr>
      <w:r/>
      <w:r>
        <w:rPr>
          <w:rFonts w:ascii="Arial MT" w:hAnsi="Arial MT" w:cs="Arial MT" w:eastAsia="Arial MT"/>
          <w:sz w:val="19"/>
        </w:rPr>
        <w:t xml:space="preserve"> O licitante organizado em </w:t>
      </w:r>
      <w:r>
        <w:rPr>
          <w:b/>
          <w:sz w:val="19"/>
        </w:rPr>
        <w:t xml:space="preserve">cooperativa </w:t>
      </w:r>
      <w:r>
        <w:rPr>
          <w:rFonts w:ascii="Arial MT" w:hAnsi="Arial MT" w:cs="Arial MT" w:eastAsia="Arial MT"/>
          <w:sz w:val="19"/>
        </w:rPr>
        <w:t>deverá declarar, ainda, que cumpre os requisitos estabelecidos no artigo 16, da Lei nº 14.133, de 2021.</w:t>
      </w:r>
    </w:p>
    <w:p>
      <w:pPr>
        <w:jc w:val="both"/>
        <w:ind w:right="210"/>
        <w:spacing w:before="120" w:lineRule="auto" w:line="276"/>
        <w:numPr>
          <w:ilvl w:val="1"/>
          <w:numId w:val="13"/>
        </w:numPr>
      </w:pPr>
      <w:r/>
      <w:r>
        <w:rPr>
          <w:rFonts w:ascii="Arial MT" w:hAnsi="Arial MT" w:cs="Arial MT" w:eastAsia="Arial MT"/>
          <w:sz w:val="19"/>
        </w:rPr>
        <w:t xml:space="preserve"> O fornecedor enquadrado como ME, EPP, MEI ou Sociedade Cooperativa deverá declarar, ainda, que cumpre os requisitos estabelecidos no artigo 3°, da Lei Complementar nº 123, de 2006, estando apto a usufruir do tratamento favorecido estabelecido em seus arts. 42 a 49, observado o disposto nos §§ 1º ao 3º do art. 4º, da Lei n.º 14.133, de 2021.</w:t>
      </w:r>
    </w:p>
    <w:p>
      <w:pPr>
        <w:jc w:val="both"/>
        <w:spacing w:before="120"/>
        <w:numPr>
          <w:ilvl w:val="1"/>
          <w:numId w:val="13"/>
        </w:numPr>
      </w:pPr>
      <w:r/>
      <w:r>
        <w:rPr>
          <w:rFonts w:ascii="Arial MT" w:hAnsi="Arial MT" w:cs="Arial MT" w:eastAsia="Arial MT"/>
          <w:sz w:val="19"/>
        </w:rPr>
        <w:t xml:space="preserve"> Todas as especificações do objeto contidas na proposta, em especial o preço, vinculam a Contratada.</w:t>
      </w:r>
    </w:p>
    <w:p>
      <w:pPr>
        <w:spacing w:before="15"/>
      </w:pPr>
      <w:r>
        <w:t/>
      </w:r>
    </w:p>
    <w:p>
      <w:pPr>
        <w:jc w:val="both"/>
        <w:ind w:right="210"/>
        <w:spacing w:lineRule="auto" w:line="264"/>
        <w:tabs>
          <w:tab w:val="left" w:pos="525"/>
        </w:tabs>
        <w:numPr>
          <w:ilvl w:val="1"/>
          <w:numId w:val="13"/>
        </w:numPr>
      </w:pPr>
      <w:r/>
      <w:r>
        <w:rPr>
          <w:rFonts w:ascii="Arial MT" w:hAnsi="Arial MT" w:cs="Arial MT" w:eastAsia="Arial MT"/>
          <w:sz w:val="19"/>
        </w:rPr>
        <w:t xml:space="preserve"> Nos valores propostos estarão inclusos todos os custos operacionais, encargos previdenciários, trabalhistas, tributários, comerciais e quaisquer outros que incidam direta ou indiretamente na prestação dos serviços.</w:t>
      </w:r>
    </w:p>
    <w:p>
      <w:pPr>
        <w:jc w:val="both"/>
        <w:ind w:right="210"/>
        <w:spacing w:before="120" w:lineRule="auto" w:line="276"/>
        <w:numPr>
          <w:ilvl w:val="2"/>
          <w:numId w:val="13"/>
        </w:numPr>
      </w:pPr>
      <w:r/>
      <w:r>
        <w:rPr>
          <w:rFonts w:ascii="Arial MT" w:hAnsi="Arial MT" w:cs="Arial MT" w:eastAsia="Arial MT"/>
          <w:sz w:val="19"/>
        </w:rPr>
        <w:t xml:space="preserve"> Os preços ofertados, tanto na proposta inicial, quanto na etapa de lances, serão de exclusivaresponsabilidade do fornecedor, não lhe assistindo o direito de pleitear qualquer alteração, sob alegação de erro, omissão ou qualquer outro pretexto.</w:t>
      </w:r>
    </w:p>
    <w:p>
      <w:pPr>
        <w:jc w:val="both"/>
        <w:ind w:right="210"/>
        <w:spacing w:before="120" w:lineRule="auto" w:line="264"/>
        <w:tabs>
          <w:tab w:val="left" w:pos="525"/>
        </w:tabs>
        <w:numPr>
          <w:ilvl w:val="1"/>
          <w:numId w:val="13"/>
        </w:numPr>
      </w:pPr>
      <w:r/>
      <w:r>
        <w:rPr>
          <w:rFonts w:ascii="Arial MT" w:hAnsi="Arial MT" w:cs="Arial MT" w:eastAsia="Arial MT"/>
          <w:sz w:val="19"/>
        </w:rPr>
        <w:t xml:space="preserve"> Se o regime tributário da empresa implicar o recolhimento de tributos em percentuais variáveis, a cotação adequada será a que corresponde à média dos efetivos recolhimentos da empresa nos últimos doze meses.</w:t>
      </w:r>
    </w:p>
    <w:p>
      <w:pPr>
        <w:jc w:val="both"/>
        <w:ind w:right="210"/>
        <w:spacing w:before="120" w:lineRule="auto" w:line="276"/>
        <w:tabs>
          <w:tab w:val="left" w:pos="540"/>
        </w:tabs>
        <w:numPr>
          <w:ilvl w:val="1"/>
          <w:numId w:val="13"/>
        </w:numPr>
      </w:pPr>
      <w:r/>
      <w:r>
        <w:rPr>
          <w:rFonts w:ascii="Arial MT" w:hAnsi="Arial MT" w:cs="Arial MT" w:eastAsia="Arial MT"/>
          <w:sz w:val="19"/>
        </w:rPr>
        <w:t xml:space="preserve"> Independentemente do percentual de tributo inserido na planilha, no pagamento serão retidos na fonte os percentuais estabelecidos na legislação vigente.</w:t>
      </w:r>
    </w:p>
    <w:p>
      <w:pPr>
        <w:jc w:val="both"/>
        <w:ind w:right="210"/>
        <w:spacing w:before="120" w:lineRule="auto" w:line="276"/>
        <w:tabs>
          <w:tab w:val="left" w:pos="615"/>
        </w:tabs>
        <w:numPr>
          <w:ilvl w:val="1"/>
          <w:numId w:val="13"/>
        </w:numPr>
      </w:pPr>
      <w:r/>
      <w:r>
        <w:rPr>
          <w:rFonts w:ascii="Arial MT" w:hAnsi="Arial MT" w:cs="Arial MT" w:eastAsia="Arial MT"/>
          <w:sz w:val="19"/>
        </w:rPr>
        <w:t xml:space="preserve"> Na presente licitação, a Microempresa e a Empresa de Pequeno Porte poderão se beneficiar do regime de tributação pelo Simples Nacional.</w:t>
      </w:r>
    </w:p>
    <w:p>
      <w:pPr>
        <w:jc w:val="both"/>
        <w:ind w:right="210"/>
        <w:spacing w:before="120" w:lineRule="auto" w:line="276"/>
        <w:tabs>
          <w:tab w:val="left" w:pos="630"/>
        </w:tabs>
        <w:numPr>
          <w:ilvl w:val="1"/>
          <w:numId w:val="13"/>
        </w:numPr>
      </w:pPr>
      <w:r/>
      <w:r>
        <w:rPr>
          <w:rFonts w:ascii="Arial MT" w:hAnsi="Arial MT" w:cs="Arial MT" w:eastAsia="Arial MT"/>
          <w:sz w:val="19"/>
        </w:rPr>
        <w:t xml:space="preserve"> A apresentação das propostas implica obrigatoriedade do cumprimento das disposições nelas contidas, em conformidade com o que dispõe no Termo de Referência, assumindo o proponente o compromisso de executar o objeto licitado nos seus termos, bem como de fornecer os materiais, equipamentos, ferramentas e utensílios necessários, em quantidades e qualidades adequadasà perfeita execução contratual, promovendo, quando requerido, sua substituição.</w:t>
      </w:r>
    </w:p>
    <w:p>
      <w:pPr>
        <w:jc w:val="both"/>
        <w:spacing w:before="120"/>
        <w:tabs>
          <w:tab w:val="left" w:pos="585"/>
        </w:tabs>
        <w:numPr>
          <w:ilvl w:val="1"/>
          <w:numId w:val="13"/>
        </w:numPr>
      </w:pPr>
      <w:r/>
      <w:r>
        <w:rPr>
          <w:rFonts w:ascii="Arial MT" w:hAnsi="Arial MT" w:cs="Arial MT" w:eastAsia="Arial MT"/>
          <w:sz w:val="19"/>
        </w:rPr>
        <w:t xml:space="preserve"> Uma vez enviada a proposta no sistema, os fornecedores NÃO poderão retirá-la, substituí-la ou modificá-la;</w:t>
      </w:r>
    </w:p>
    <w:p>
      <w:pPr>
        <w:jc w:val="both"/>
        <w:ind w:right="210"/>
        <w:spacing w:before="150" w:lineRule="auto" w:line="276"/>
        <w:tabs>
          <w:tab w:val="left" w:pos="615"/>
        </w:tabs>
        <w:numPr>
          <w:ilvl w:val="1"/>
          <w:numId w:val="13"/>
        </w:numPr>
      </w:pPr>
      <w:r/>
      <w:r>
        <w:rPr>
          <w:rFonts w:ascii="Arial MT" w:hAnsi="Arial MT" w:cs="Arial MT" w:eastAsia="Arial MT"/>
          <w:sz w:val="19"/>
        </w:rPr>
        <w:t xml:space="preserve"> Fica facultado ao fornecedor, ao cadastrar sua proposta inicial, a parametrização de valor final mínimo, com o registro do seu lance final aceitável (menor preço).</w:t>
      </w:r>
    </w:p>
    <w:p>
      <w:pPr>
        <w:jc w:val="both"/>
        <w:ind w:right="210"/>
        <w:spacing w:before="120" w:lineRule="auto" w:line="276"/>
        <w:tabs>
          <w:tab w:val="left" w:pos="1155"/>
        </w:tabs>
        <w:numPr>
          <w:ilvl w:val="2"/>
          <w:numId w:val="13"/>
        </w:numPr>
      </w:pPr>
      <w:r/>
      <w:r>
        <w:rPr>
          <w:rFonts w:ascii="Arial MT" w:hAnsi="Arial MT" w:cs="Arial MT" w:eastAsia="Arial MT"/>
          <w:sz w:val="19"/>
        </w:rPr>
        <w:t xml:space="preserve"> Feita essa opção, os lances serão enviados automaticamente pelo sistema, respeitados os limites cadastrados pelo fornecedor e o intervalo mínimo entre lances previsto neste edital.</w:t>
      </w:r>
    </w:p>
    <w:p>
      <w:pPr>
        <w:jc w:val="both"/>
        <w:ind w:right="210"/>
        <w:spacing w:before="120" w:lineRule="auto" w:line="264"/>
        <w:tabs>
          <w:tab w:val="left" w:pos="1815"/>
        </w:tabs>
        <w:numPr>
          <w:ilvl w:val="3"/>
          <w:numId w:val="13"/>
        </w:numPr>
      </w:pPr>
      <w:r/>
      <w:r>
        <w:rPr>
          <w:rFonts w:ascii="Arial MT" w:hAnsi="Arial MT" w:cs="Arial MT" w:eastAsia="Arial MT"/>
          <w:sz w:val="19"/>
        </w:rPr>
        <w:t>Sem prejuízo do disposto acima, os lances poderão ser enviados manualmente, na forma da seção respectiva deste Edital de Licitação;</w:t>
      </w:r>
    </w:p>
    <w:p>
      <w:pPr>
        <w:jc w:val="both"/>
        <w:ind w:right="210"/>
        <w:spacing w:before="120" w:lineRule="auto" w:line="276"/>
        <w:tabs>
          <w:tab w:val="left" w:pos="1095"/>
        </w:tabs>
        <w:numPr>
          <w:ilvl w:val="2"/>
          <w:numId w:val="13"/>
        </w:numPr>
      </w:pPr>
      <w:r/>
      <w:r>
        <w:rPr>
          <w:rFonts w:ascii="Arial MT" w:hAnsi="Arial MT" w:cs="Arial MT" w:eastAsia="Arial MT"/>
          <w:sz w:val="19"/>
        </w:rPr>
        <w:t xml:space="preserve"> O valor final mínimo poderá ser alterado pelo fornecedor durante a fase de disputa, desde que não assuma valor superior a lance já registrado por ele no sistema.</w:t>
      </w:r>
    </w:p>
    <w:p>
      <w:pPr>
        <w:jc w:val="both"/>
        <w:ind w:right="210"/>
        <w:spacing w:before="120" w:lineRule="auto" w:line="276"/>
        <w:tabs>
          <w:tab w:val="left" w:pos="1080"/>
        </w:tabs>
        <w:numPr>
          <w:ilvl w:val="2"/>
          <w:numId w:val="13"/>
        </w:numPr>
      </w:pPr>
      <w:r/>
      <w:r>
        <w:rPr>
          <w:rFonts w:ascii="Arial MT" w:hAnsi="Arial MT" w:cs="Arial MT" w:eastAsia="Arial MT"/>
          <w:sz w:val="19"/>
        </w:rPr>
        <w:t xml:space="preserve"> O valor mínimo parametrizado possui caráter sigiloso aos demais participantes do certame e para o órgão ou entidade contratante. Apenas os lances efetivamente enviados poderão ser conhecidos dos fornecedores na forma da seção seguinte deste Edital.</w:t>
      </w:r>
    </w:p>
    <w:p>
      <w:pPr>
        <w:spacing w:before="15"/>
      </w:pPr>
      <w:r>
        <w:drawing>
          <wp:inline distT="0" distB="0" distL="0" distR="0">
            <wp:extent cx="0" cy="0"/>
            <wp:effectExtent l="0" t="0" r="0" b="0"/>
            <wp:docPr id="11" name="P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1.emf"/>
                    <pic:cNvPicPr/>
                  </pic:nvPicPr>
                  <pic:blipFill>
                    <a:blip r:embed="prId10" cstate="print"/>
                    <a:stretch>
                      <a:fillRect/>
                    </a:stretch>
                  </pic:blipFill>
                  <pic:spPr>
                    <a:xfrm>
                      <a:off x="0" y="0"/>
                      <a:ext cx="0" cy="0"/>
                    </a:xfrm>
                    <a:prstGeom prst="rect">
                      <a:avLst/>
                    </a:prstGeom>
                  </pic:spPr>
                </pic:pic>
              </a:graphicData>
            </a:graphic>
          </wp:inline>
        </w:drawing>
      </w:r>
    </w:p>
    <w:p>
      <w:pPr>
        <w:spacing w:before="15"/>
      </w:pPr>
      <w:r>
        <w:t/>
      </w:r>
    </w:p>
    <w:p>
      <w:pPr>
        <w:spacing w:before="15"/>
      </w:pPr>
      <w:r>
        <w:drawing>
          <wp:inline distT="0" distB="0" distL="0" distR="0">
            <wp:extent cx="6858000" cy="200025"/>
            <wp:effectExtent l="0" t="0" r="0" b="0"/>
            <wp:docPr id="12" name="Pic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2.emf"/>
                    <pic:cNvPicPr/>
                  </pic:nvPicPr>
                  <pic:blipFill>
                    <a:blip r:embed="prId11" cstate="print"/>
                    <a:stretch>
                      <a:fillRect/>
                    </a:stretch>
                  </pic:blipFill>
                  <pic:spPr>
                    <a:xfrm>
                      <a:off x="0" y="0"/>
                      <a:ext cx="6858000" cy="200025"/>
                    </a:xfrm>
                    <a:prstGeom prst="rect">
                      <a:avLst/>
                    </a:prstGeom>
                  </pic:spPr>
                </pic:pic>
              </a:graphicData>
            </a:graphic>
          </wp:inline>
        </w:drawing>
      </w:r>
    </w:p>
    <w:p>
      <w:pPr>
        <w:spacing w:before="15"/>
      </w:pPr>
      <w:r>
        <w:t/>
      </w:r>
    </w:p>
    <w:p>
      <w:pPr>
        <w:jc w:val="both"/>
        <w:ind w:right="210"/>
        <w:spacing w:before="90" w:lineRule="auto" w:line="276"/>
        <w:numPr>
          <w:ilvl w:val="1"/>
          <w:numId w:val="9"/>
        </w:numPr>
      </w:pPr>
      <w:r/>
      <w:r>
        <w:rPr>
          <w:rFonts w:ascii="Arial MT" w:hAnsi="Arial MT" w:cs="Arial MT" w:eastAsia="Arial MT"/>
          <w:sz w:val="19"/>
        </w:rPr>
        <w:t xml:space="preserve"> A abertura da presente licitação dar-se-á automaticamente em sessão pública, por meio de sistema eletrônico, na data, horário e local indicados neste Edital.</w:t>
      </w:r>
    </w:p>
    <w:p>
      <w:pPr>
        <w:jc w:val="both"/>
        <w:ind w:right="210"/>
        <w:spacing w:before="120" w:lineRule="auto" w:line="276"/>
        <w:tabs>
          <w:tab w:val="left" w:pos="540"/>
        </w:tabs>
        <w:numPr>
          <w:ilvl w:val="1"/>
          <w:numId w:val="9"/>
        </w:numPr>
      </w:pPr>
      <w:r/>
      <w:r>
        <w:rPr>
          <w:rFonts w:ascii="Arial MT" w:hAnsi="Arial MT" w:cs="Arial MT" w:eastAsia="Arial MT"/>
          <w:sz w:val="19"/>
        </w:rPr>
        <w:t xml:space="preserve"> Iniciada a etapa competitiva, os licitantes deverão encaminhar lances exclusivamente por meio de sistema eletrônico, sendo imediatamente informados do seu recebimento e do valor consignado no registro.</w:t>
      </w:r>
    </w:p>
    <w:p>
      <w:pPr>
        <w:jc w:val="both"/>
        <w:spacing w:before="120"/>
        <w:numPr>
          <w:ilvl w:val="2"/>
          <w:numId w:val="9"/>
        </w:numPr>
      </w:pPr>
      <w:r/>
      <w:r>
        <w:rPr>
          <w:rFonts w:ascii="Arial MT" w:hAnsi="Arial MT" w:cs="Arial MT" w:eastAsia="Arial MT"/>
          <w:sz w:val="19"/>
        </w:rPr>
        <w:t xml:space="preserve">O lance deverá ser ofertado pelo </w:t>
      </w:r>
      <w:r>
        <w:rPr>
          <w:b/>
          <w:u w:val="single"/>
          <w:sz w:val="19"/>
        </w:rPr>
        <w:t>valor unitário do item.</w:t>
      </w:r>
    </w:p>
    <w:p>
      <w:pPr>
        <w:jc w:val="both"/>
        <w:ind w:right="210"/>
        <w:spacing w:before="150" w:lineRule="auto" w:line="264"/>
        <w:numPr>
          <w:ilvl w:val="1"/>
          <w:numId w:val="9"/>
        </w:numPr>
      </w:pPr>
      <w:r/>
      <w:r>
        <w:rPr>
          <w:rFonts w:ascii="Arial MT" w:hAnsi="Arial MT" w:cs="Arial MT" w:eastAsia="Arial MT"/>
          <w:sz w:val="19"/>
        </w:rPr>
        <w:t xml:space="preserve"> O licitante somente poderá oferecer lance de </w:t>
      </w:r>
      <w:r>
        <w:rPr>
          <w:b/>
          <w:u w:val="single"/>
          <w:sz w:val="19"/>
        </w:rPr>
        <w:t>valor inferior</w:t>
      </w:r>
      <w:r>
        <w:rPr>
          <w:b/>
          <w:sz w:val="19"/>
        </w:rPr>
        <w:t xml:space="preserve"> </w:t>
      </w:r>
      <w:r>
        <w:rPr>
          <w:rFonts w:ascii="Arial MT" w:hAnsi="Arial MT" w:cs="Arial MT" w:eastAsia="Arial MT"/>
          <w:sz w:val="19"/>
        </w:rPr>
        <w:t>ou maior percentual de desconto em relação ao último lance por ele ofertado e registrado pelo sistema.</w:t>
      </w:r>
    </w:p>
    <w:p>
      <w:pPr>
        <w:jc w:val="both"/>
        <w:ind w:right="210"/>
        <w:spacing w:before="120" w:lineRule="auto" w:line="276"/>
        <w:tabs>
          <w:tab w:val="left" w:pos="990"/>
        </w:tabs>
        <w:numPr>
          <w:ilvl w:val="2"/>
          <w:numId w:val="9"/>
        </w:numPr>
      </w:pPr>
      <w:r/>
      <w:r>
        <w:rPr>
          <w:rFonts w:ascii="Arial MT" w:hAnsi="Arial MT" w:cs="Arial MT" w:eastAsia="Arial MT"/>
          <w:sz w:val="19"/>
        </w:rPr>
        <w:t xml:space="preserve">O licitante poderá oferecer lances sucessivos iguais ou superiores ao lance que esteja vencendo o certame, desde que inferiores ao menor por ele ofertado e registrado pelo sistema, sendo tais lances definidos como </w:t>
      </w:r>
      <w:r>
        <w:rPr>
          <w:b/>
          <w:sz w:val="19"/>
        </w:rPr>
        <w:t xml:space="preserve">“lances intermediários” </w:t>
      </w:r>
      <w:r>
        <w:rPr>
          <w:rFonts w:ascii="Arial MT" w:hAnsi="Arial MT" w:cs="Arial MT" w:eastAsia="Arial MT"/>
          <w:sz w:val="19"/>
        </w:rPr>
        <w:t>para os fins deste Edital de Licitação.</w:t>
      </w:r>
    </w:p>
    <w:p>
      <w:pPr>
        <w:jc w:val="both"/>
        <w:outlineLvl w:val="1"/>
        <w:ind w:right="210"/>
        <w:spacing w:before="120" w:lineRule="auto" w:line="276"/>
        <w:tabs>
          <w:tab w:val="left" w:pos="1005"/>
        </w:tabs>
        <w:numPr>
          <w:ilvl w:val="2"/>
          <w:numId w:val="9"/>
        </w:numPr>
      </w:pPr>
      <w:r/>
      <w:r>
        <w:rPr>
          <w:b/>
          <w:sz w:val="19"/>
        </w:rPr>
        <w:t>O intervalo mínimo de diferença de valores ou percentuais entre os lances, que incidirá tanto em relação aos lances intermediários quanto em relação ao que cobrir a melhor oferta é sem limites, podendo ser estipulado pelo Pregoeiro, no ato do certame</w:t>
      </w:r>
      <w:r>
        <w:rPr>
          <w:rFonts w:ascii="Arial MT" w:hAnsi="Arial MT" w:cs="Arial MT" w:eastAsia="Arial MT"/>
          <w:sz w:val="19"/>
        </w:rPr>
        <w:t>.</w:t>
      </w:r>
    </w:p>
    <w:p>
      <w:pPr>
        <w:spacing w:before="15"/>
      </w:pPr>
      <w:r>
        <w:t/>
      </w:r>
    </w:p>
    <w:p>
      <w:pPr>
        <w:jc w:val="both"/>
        <w:ind w:right="210"/>
        <w:spacing w:lineRule="auto" w:line="264"/>
        <w:tabs>
          <w:tab w:val="left" w:pos="855"/>
        </w:tabs>
        <w:numPr>
          <w:ilvl w:val="1"/>
          <w:numId w:val="9"/>
        </w:numPr>
      </w:pPr>
      <w:r/>
      <w:r>
        <w:rPr>
          <w:rFonts w:ascii="Arial MT" w:hAnsi="Arial MT" w:cs="Arial MT" w:eastAsia="Arial MT"/>
          <w:sz w:val="19"/>
          <w:shd w:val="clear" w:color="auto" w:fill="FFFF00"/>
        </w:rPr>
        <w:t xml:space="preserve"> Havendo lances iguais ao menor já ofertado, prevalecerá aquele que for recebido e registrado primeiro no sistema.</w:t>
      </w:r>
    </w:p>
    <w:p>
      <w:pPr>
        <w:jc w:val="both"/>
        <w:ind w:right="210"/>
        <w:spacing w:before="120" w:lineRule="auto" w:line="276"/>
        <w:tabs>
          <w:tab w:val="left" w:pos="540"/>
        </w:tabs>
        <w:numPr>
          <w:ilvl w:val="1"/>
          <w:numId w:val="9"/>
        </w:numPr>
      </w:pPr>
      <w:r/>
      <w:r>
        <w:rPr>
          <w:rFonts w:ascii="Arial MT" w:hAnsi="Arial MT" w:cs="Arial MT" w:eastAsia="Arial MT"/>
          <w:sz w:val="19"/>
          <w:shd w:val="clear" w:color="auto" w:fill="FFFF00"/>
        </w:rPr>
        <w:t xml:space="preserve"> Para o envio de lances, será adotado o modo de disputa </w:t>
      </w:r>
      <w:r>
        <w:rPr>
          <w:b/>
          <w:u w:val="single"/>
          <w:sz w:val="19"/>
          <w:shd w:val="clear" w:color="auto" w:fill="FFFF00"/>
        </w:rPr>
        <w:t>“aberto”</w:t>
      </w:r>
      <w:r>
        <w:rPr>
          <w:rFonts w:ascii="Arial MT" w:hAnsi="Arial MT" w:cs="Arial MT" w:eastAsia="Arial MT"/>
          <w:sz w:val="19"/>
          <w:shd w:val="clear" w:color="auto" w:fill="FFFF00"/>
        </w:rPr>
        <w:t>, em que os participantes apresentarão lances públicos e sucessivos.</w:t>
      </w:r>
    </w:p>
    <w:p>
      <w:pPr>
        <w:jc w:val="both"/>
        <w:ind w:right="210"/>
        <w:spacing w:before="120" w:lineRule="auto" w:line="276"/>
        <w:numPr>
          <w:ilvl w:val="1"/>
          <w:numId w:val="9"/>
        </w:numPr>
      </w:pPr>
      <w:r/>
      <w:r>
        <w:rPr>
          <w:rFonts w:ascii="Arial MT" w:hAnsi="Arial MT" w:cs="Arial MT" w:eastAsia="Arial MT"/>
          <w:sz w:val="19"/>
        </w:rPr>
        <w:t xml:space="preserve"> Será utilizado o modo de disputa “ABERTO”, onde os licitantes apresentarão lances públicos e sucessivos, a etapa de envio de lances na sessão pública durará dez minutos e, após isso, será prorrogada automaticamente pelo sistema quando houver lance ofertado nos últimos dois minutos do período de duração da sessão pública.</w:t>
      </w:r>
    </w:p>
    <w:p>
      <w:pPr>
        <w:jc w:val="both"/>
        <w:ind w:right="210"/>
        <w:spacing w:before="120" w:lineRule="auto" w:line="276"/>
        <w:numPr>
          <w:ilvl w:val="1"/>
          <w:numId w:val="9"/>
        </w:numPr>
      </w:pPr>
      <w:r/>
      <w:r>
        <w:rPr>
          <w:rFonts w:ascii="Arial MT" w:hAnsi="Arial MT" w:cs="Arial MT" w:eastAsia="Arial MT"/>
          <w:sz w:val="19"/>
        </w:rPr>
        <w:t xml:space="preserve"> A prorrogação automática da etapa de envio de lances, de que trata o caput, será de dois minutos e ocorrerá sucessivamente sempre que houver lances enviados nesse período de prorrogação, inclusive quando se tratar de lances intermediários.</w:t>
      </w:r>
    </w:p>
    <w:p>
      <w:pPr>
        <w:jc w:val="both"/>
        <w:ind w:right="210"/>
        <w:spacing w:before="120" w:lineRule="auto" w:line="276"/>
        <w:tabs>
          <w:tab w:val="left" w:pos="600"/>
        </w:tabs>
        <w:numPr>
          <w:ilvl w:val="1"/>
          <w:numId w:val="9"/>
        </w:numPr>
      </w:pPr>
      <w:r/>
      <w:r>
        <w:rPr>
          <w:rFonts w:ascii="Arial MT" w:hAnsi="Arial MT" w:cs="Arial MT" w:eastAsia="Arial MT"/>
          <w:sz w:val="19"/>
        </w:rPr>
        <w:t xml:space="preserve"> Não havendo novos lances na forma estabelecida nos itens anteriores, a sessão pública encerrar-se-á automaticamente.</w:t>
      </w:r>
    </w:p>
    <w:p>
      <w:pPr>
        <w:jc w:val="both"/>
        <w:ind w:right="210"/>
        <w:spacing w:before="120" w:lineRule="auto" w:line="276"/>
        <w:tabs>
          <w:tab w:val="left" w:pos="600"/>
        </w:tabs>
        <w:numPr>
          <w:ilvl w:val="1"/>
          <w:numId w:val="9"/>
        </w:numPr>
      </w:pPr>
      <w:r/>
      <w:r>
        <w:rPr>
          <w:rFonts w:ascii="Arial MT" w:hAnsi="Arial MT" w:cs="Arial MT" w:eastAsia="Arial MT"/>
          <w:sz w:val="19"/>
        </w:rPr>
        <w:t xml:space="preserve"> Encerrada a fase competitiva sem que haja a prorrogação automática pelo sistema, poderá o pregoeiro, assessorado pela equipe de apoio, justificadamente, admitir o reinício da sessão pública de lances, em prol da consecução do melhor preço.</w:t>
      </w:r>
    </w:p>
    <w:p>
      <w:pPr>
        <w:jc w:val="both"/>
        <w:ind w:right="210"/>
        <w:spacing w:before="120" w:lineRule="auto" w:line="276"/>
        <w:tabs>
          <w:tab w:val="left" w:pos="600"/>
        </w:tabs>
        <w:numPr>
          <w:ilvl w:val="1"/>
          <w:numId w:val="9"/>
        </w:numPr>
      </w:pPr>
      <w:r/>
      <w:r>
        <w:rPr>
          <w:rFonts w:ascii="Arial MT" w:hAnsi="Arial MT" w:cs="Arial MT" w:eastAsia="Arial MT"/>
          <w:sz w:val="19"/>
        </w:rPr>
        <w:t xml:space="preserve"> Não serão aceitos dois ou mais lances de mesmo valor, prevalecendo aquele que for recebido e registrado em primeiro lugar.</w:t>
      </w:r>
    </w:p>
    <w:p>
      <w:pPr>
        <w:jc w:val="both"/>
        <w:ind w:right="210"/>
        <w:spacing w:before="120" w:lineRule="auto" w:line="276"/>
        <w:tabs>
          <w:tab w:val="left" w:pos="600"/>
        </w:tabs>
        <w:numPr>
          <w:ilvl w:val="1"/>
          <w:numId w:val="9"/>
        </w:numPr>
      </w:pPr>
      <w:r/>
      <w:r>
        <w:rPr>
          <w:rFonts w:ascii="Arial MT" w:hAnsi="Arial MT" w:cs="Arial MT" w:eastAsia="Arial MT"/>
          <w:sz w:val="19"/>
        </w:rPr>
        <w:t xml:space="preserve"> Durante o transcurso da sessão pública, os licitantes serão informados, em tempo real, do valor do menor lance registrado, vedada a identificação do licitante</w:t>
      </w:r>
    </w:p>
    <w:p>
      <w:pPr>
        <w:jc w:val="both"/>
        <w:ind w:right="210"/>
        <w:spacing w:before="120" w:lineRule="auto" w:line="264"/>
        <w:tabs>
          <w:tab w:val="left" w:pos="600"/>
        </w:tabs>
        <w:numPr>
          <w:ilvl w:val="1"/>
          <w:numId w:val="9"/>
        </w:numPr>
      </w:pPr>
      <w:r/>
      <w:r>
        <w:rPr>
          <w:rFonts w:ascii="Arial MT" w:hAnsi="Arial MT" w:cs="Arial MT" w:eastAsia="Arial MT"/>
          <w:sz w:val="19"/>
        </w:rPr>
        <w:t xml:space="preserve"> No caso de desconexão com o Pregoeiro, no decorrer da etapa competitiva da Licitação, o sistema eletrônico poderá permanecer acessível aos licitantes para a recepção dos lances.</w:t>
      </w:r>
    </w:p>
    <w:p>
      <w:pPr>
        <w:jc w:val="both"/>
        <w:ind w:right="210"/>
        <w:spacing w:before="120" w:lineRule="auto" w:line="276"/>
        <w:tabs>
          <w:tab w:val="left" w:pos="600"/>
        </w:tabs>
        <w:numPr>
          <w:ilvl w:val="1"/>
          <w:numId w:val="9"/>
        </w:numPr>
      </w:pPr>
      <w:r/>
      <w:r>
        <w:rPr>
          <w:rFonts w:ascii="Arial MT" w:hAnsi="Arial MT" w:cs="Arial MT" w:eastAsia="Arial MT"/>
          <w:sz w:val="19"/>
        </w:rPr>
        <w:t xml:space="preserve"> Quando a desconexão do sistema eletrônico para o Pregoeiro persistir por tempo superior a 10 (dez) minutos, a sessão pública será suspensa e reiniciada somente após decorridas 24 (vinte e quatro) horas da comunicação do fato pelo Pregoeiro aos participantes, no sítio eletrônico utilizado para divulgação.</w:t>
      </w:r>
    </w:p>
    <w:p>
      <w:pPr>
        <w:jc w:val="both"/>
        <w:spacing w:before="120"/>
        <w:tabs>
          <w:tab w:val="left" w:pos="585"/>
        </w:tabs>
        <w:numPr>
          <w:ilvl w:val="1"/>
          <w:numId w:val="9"/>
        </w:numPr>
      </w:pPr>
      <w:r/>
      <w:r>
        <w:rPr>
          <w:rFonts w:ascii="Arial MT" w:hAnsi="Arial MT" w:cs="Arial MT" w:eastAsia="Arial MT"/>
          <w:sz w:val="19"/>
        </w:rPr>
        <w:t xml:space="preserve"> Caso o licitante não apresente lances, concorrerá com o valor de sua proposta.</w:t>
      </w:r>
    </w:p>
    <w:p>
      <w:pPr>
        <w:jc w:val="both"/>
        <w:ind w:right="210"/>
        <w:spacing w:before="150" w:lineRule="auto" w:line="276"/>
        <w:tabs>
          <w:tab w:val="left" w:pos="600"/>
        </w:tabs>
        <w:numPr>
          <w:ilvl w:val="1"/>
          <w:numId w:val="9"/>
        </w:numPr>
      </w:pPr>
      <w:r/>
      <w:r>
        <w:rPr>
          <w:rFonts w:ascii="Arial MT" w:hAnsi="Arial MT" w:cs="Arial MT" w:eastAsia="Arial MT"/>
          <w:sz w:val="19"/>
        </w:rPr>
        <w:t xml:space="preserve"> Imediatamente após o término do prazo estabelecido para a fase de lances, haverá o seu encerramento, com o ordenamento e divulgação dos lances, pelo sistema, em ordem crescente de classificação.</w:t>
      </w:r>
    </w:p>
    <w:p>
      <w:pPr>
        <w:spacing w:before="15"/>
      </w:pPr>
      <w:r>
        <w:drawing>
          <wp:inline distT="0" distB="0" distL="0" distR="0">
            <wp:extent cx="0" cy="0"/>
            <wp:effectExtent l="0" t="0" r="0" b="0"/>
            <wp:docPr id="13" name="Pic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3.emf"/>
                    <pic:cNvPicPr/>
                  </pic:nvPicPr>
                  <pic:blipFill>
                    <a:blip r:embed="prId12" cstate="print"/>
                    <a:stretch>
                      <a:fillRect/>
                    </a:stretch>
                  </pic:blipFill>
                  <pic:spPr>
                    <a:xfrm>
                      <a:off x="0" y="0"/>
                      <a:ext cx="0" cy="0"/>
                    </a:xfrm>
                    <a:prstGeom prst="rect">
                      <a:avLst/>
                    </a:prstGeom>
                  </pic:spPr>
                </pic:pic>
              </a:graphicData>
            </a:graphic>
          </wp:inline>
        </w:drawing>
      </w:r>
    </w:p>
    <w:p>
      <w:pPr>
        <w:spacing w:before="15"/>
      </w:pPr>
      <w:r>
        <w:t/>
      </w:r>
    </w:p>
    <w:p>
      <w:pPr>
        <w:spacing w:before="15"/>
      </w:pPr>
      <w:r>
        <w:drawing>
          <wp:inline distT="0" distB="0" distL="0" distR="0">
            <wp:extent cx="6896100" cy="209550"/>
            <wp:effectExtent l="0" t="0" r="0" b="0"/>
            <wp:docPr id="14" name="Pic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4.emf"/>
                    <pic:cNvPicPr/>
                  </pic:nvPicPr>
                  <pic:blipFill>
                    <a:blip r:embed="prId13" cstate="print"/>
                    <a:stretch>
                      <a:fillRect/>
                    </a:stretch>
                  </pic:blipFill>
                  <pic:spPr>
                    <a:xfrm>
                      <a:off x="0" y="0"/>
                      <a:ext cx="6896100" cy="209550"/>
                    </a:xfrm>
                    <a:prstGeom prst="rect">
                      <a:avLst/>
                    </a:prstGeom>
                  </pic:spPr>
                </pic:pic>
              </a:graphicData>
            </a:graphic>
          </wp:inline>
        </w:drawing>
      </w:r>
    </w:p>
    <w:p>
      <w:pPr>
        <w:spacing w:before="15"/>
      </w:pPr>
      <w:r>
        <w:t/>
      </w:r>
    </w:p>
    <w:p>
      <w:pPr>
        <w:jc w:val="both"/>
        <w:ind w:right="210"/>
        <w:spacing w:before="90" w:lineRule="auto" w:line="276"/>
        <w:numPr>
          <w:ilvl w:val="1"/>
          <w:numId w:val="23"/>
        </w:numPr>
      </w:pPr>
      <w:r/>
      <w:r>
        <w:rPr>
          <w:rFonts w:ascii="Arial MT" w:hAnsi="Arial MT" w:cs="Arial MT" w:eastAsia="Arial MT"/>
          <w:sz w:val="19"/>
        </w:rPr>
        <w:t xml:space="preserve"> Encerrada a fase de lances, será verificada a conformidade da proposta classificada em primeiro lugar quanto à adequação do objeto e à compatibilidade do preço em relação ao estipulado para a contratação.</w:t>
      </w:r>
    </w:p>
    <w:p>
      <w:pPr>
        <w:jc w:val="both"/>
        <w:ind w:right="210"/>
        <w:spacing w:before="105" w:lineRule="auto" w:line="276"/>
        <w:numPr>
          <w:ilvl w:val="1"/>
          <w:numId w:val="23"/>
        </w:numPr>
      </w:pPr>
      <w:r/>
      <w:r>
        <w:rPr>
          <w:rFonts w:ascii="Arial MT" w:hAnsi="Arial MT" w:cs="Arial MT" w:eastAsia="Arial MT"/>
          <w:sz w:val="19"/>
        </w:rPr>
        <w:t xml:space="preserve"> No caso de o preço da proposta vencedora estar acima do estimado pela Administração, poderá havera negociação de condições mais vantajosas.</w:t>
      </w:r>
    </w:p>
    <w:p>
      <w:pPr>
        <w:jc w:val="both"/>
        <w:ind w:right="210"/>
        <w:spacing w:before="120" w:lineRule="auto" w:line="276"/>
        <w:tabs>
          <w:tab w:val="left" w:pos="990"/>
        </w:tabs>
        <w:numPr>
          <w:ilvl w:val="2"/>
          <w:numId w:val="23"/>
        </w:numPr>
      </w:pPr>
      <w:r/>
      <w:r>
        <w:rPr>
          <w:rFonts w:ascii="Arial MT" w:hAnsi="Arial MT" w:cs="Arial MT" w:eastAsia="Arial MT"/>
          <w:sz w:val="19"/>
        </w:rPr>
        <w:t xml:space="preserve"> Neste caso, será encaminhada contraproposta ao licitante que tenha apresentado o melhor preço, para que seja obtida melhor proposta com preço compatível ao estimado pela Administração.</w:t>
      </w:r>
    </w:p>
    <w:p>
      <w:pPr>
        <w:jc w:val="both"/>
        <w:ind w:right="165"/>
        <w:spacing w:before="120"/>
        <w:tabs>
          <w:tab w:val="left" w:pos="1005"/>
        </w:tabs>
        <w:numPr>
          <w:ilvl w:val="2"/>
          <w:numId w:val="47"/>
        </w:numPr>
      </w:pPr>
      <w:r/>
      <w:r>
        <w:rPr>
          <w:rFonts w:ascii="Arial MT" w:hAnsi="Arial MT" w:cs="Arial MT" w:eastAsia="Arial MT"/>
          <w:sz w:val="19"/>
        </w:rPr>
        <w:t xml:space="preserve"> A negociação poderá ser feita com os demais licitantes classificados, respeitada a ordem de classificação, quando o primeiro colocado, mesmo após a negociação, for desclassificado em razão de sua proposta permanecer acima do preço máximo definido para a contratação.</w:t>
      </w:r>
    </w:p>
    <w:p>
      <w:pPr>
        <w:jc w:val="both"/>
        <w:ind w:right="210"/>
        <w:spacing w:before="120" w:lineRule="auto" w:line="264"/>
        <w:tabs>
          <w:tab w:val="left" w:pos="990"/>
        </w:tabs>
        <w:numPr>
          <w:ilvl w:val="2"/>
          <w:numId w:val="23"/>
        </w:numPr>
      </w:pPr>
      <w:r/>
      <w:r>
        <w:rPr>
          <w:rFonts w:ascii="Arial MT" w:hAnsi="Arial MT" w:cs="Arial MT" w:eastAsia="Arial MT"/>
          <w:sz w:val="19"/>
        </w:rPr>
        <w:t xml:space="preserve"> Em qualquer caso, concluída a negociação, o resultado será registrado na ata do procedimento do Pregão Eletrônico.</w:t>
      </w:r>
    </w:p>
    <w:p>
      <w:pPr>
        <w:jc w:val="both"/>
        <w:ind w:right="210"/>
        <w:spacing w:before="120" w:lineRule="auto" w:line="264"/>
        <w:tabs>
          <w:tab w:val="left" w:pos="990"/>
        </w:tabs>
        <w:numPr>
          <w:ilvl w:val="2"/>
          <w:numId w:val="23"/>
        </w:numPr>
      </w:pPr>
      <w:r/>
      <w:r>
        <w:rPr>
          <w:rFonts w:ascii="Arial MT" w:hAnsi="Arial MT" w:cs="Arial MT" w:eastAsia="Arial MT"/>
          <w:sz w:val="19"/>
        </w:rPr>
        <w:t xml:space="preserve"> Estando o preço compatível, será solicitado o envio da proposta adequada ao último lance, por meio eletrônico, no prazo de 2 (duas) horas e, </w:t>
      </w:r>
      <w:r>
        <w:rPr>
          <w:rFonts w:ascii="Arial MT" w:hAnsi="Arial MT" w:cs="Arial MT" w:eastAsia="Arial MT"/>
          <w:b/>
          <w:sz w:val="19"/>
        </w:rPr>
        <w:t>se necessário</w:t>
      </w:r>
      <w:r>
        <w:rPr>
          <w:rFonts w:ascii="Arial MT" w:hAnsi="Arial MT" w:cs="Arial MT" w:eastAsia="Arial MT"/>
          <w:sz w:val="19"/>
        </w:rPr>
        <w:t xml:space="preserve">, poderá ser solicitado documentos complementares, </w:t>
      </w:r>
      <w:r>
        <w:rPr>
          <w:b/>
          <w:sz w:val="19"/>
        </w:rPr>
        <w:t>no prazo máximo de até 24 (vinte e quatro) horas, após encerramento do certame.</w:t>
      </w:r>
    </w:p>
    <w:p>
      <w:pPr>
        <w:jc w:val="both"/>
        <w:ind w:right="210"/>
        <w:spacing w:before="120" w:lineRule="auto" w:line="276"/>
        <w:tabs>
          <w:tab w:val="left" w:pos="540"/>
        </w:tabs>
        <w:numPr>
          <w:ilvl w:val="1"/>
          <w:numId w:val="23"/>
        </w:numPr>
      </w:pPr>
      <w:r/>
      <w:r>
        <w:rPr>
          <w:rFonts w:ascii="Arial MT" w:hAnsi="Arial MT" w:cs="Arial MT" w:eastAsia="Arial MT"/>
          <w:sz w:val="19"/>
        </w:rPr>
        <w:t xml:space="preserve"> O prazo de validade da proposta não será inferior a </w:t>
      </w:r>
      <w:r>
        <w:rPr>
          <w:b/>
          <w:sz w:val="19"/>
        </w:rPr>
        <w:t xml:space="preserve">60 (sessenta) dias, </w:t>
      </w:r>
      <w:r>
        <w:rPr>
          <w:rFonts w:ascii="Arial MT" w:hAnsi="Arial MT" w:cs="Arial MT" w:eastAsia="Arial MT"/>
          <w:sz w:val="19"/>
        </w:rPr>
        <w:t>a contar da data de sua apresentação.</w:t>
      </w:r>
    </w:p>
    <w:p>
      <w:pPr>
        <w:jc w:val="both"/>
        <w:spacing w:before="120"/>
        <w:numPr>
          <w:ilvl w:val="1"/>
          <w:numId w:val="23"/>
        </w:numPr>
      </w:pPr>
      <w:r/>
      <w:r>
        <w:rPr>
          <w:rFonts w:ascii="Arial MT" w:hAnsi="Arial MT" w:cs="Arial MT" w:eastAsia="Arial MT"/>
          <w:sz w:val="19"/>
        </w:rPr>
        <w:t xml:space="preserve"> Será </w:t>
      </w:r>
      <w:r>
        <w:rPr>
          <w:b/>
          <w:sz w:val="19"/>
        </w:rPr>
        <w:t xml:space="preserve">desclassificada </w:t>
      </w:r>
      <w:r>
        <w:rPr>
          <w:rFonts w:ascii="Arial MT" w:hAnsi="Arial MT" w:cs="Arial MT" w:eastAsia="Arial MT"/>
          <w:sz w:val="19"/>
        </w:rPr>
        <w:t>a proposta vencedora que:</w:t>
      </w:r>
    </w:p>
    <w:p>
      <w:pPr>
        <w:jc w:val="both"/>
        <w:spacing w:before="150"/>
        <w:numPr>
          <w:ilvl w:val="2"/>
          <w:numId w:val="23"/>
        </w:numPr>
      </w:pPr>
      <w:r/>
      <w:r>
        <w:rPr>
          <w:rFonts w:ascii="Arial MT" w:hAnsi="Arial MT" w:cs="Arial MT" w:eastAsia="Arial MT"/>
          <w:sz w:val="19"/>
        </w:rPr>
        <w:t xml:space="preserve"> Contiver vícios insanáveis;</w:t>
      </w:r>
    </w:p>
    <w:p>
      <w:pPr>
        <w:spacing w:before="150"/>
        <w:numPr>
          <w:ilvl w:val="2"/>
          <w:numId w:val="23"/>
        </w:numPr>
      </w:pPr>
      <w:r/>
      <w:r>
        <w:rPr>
          <w:rFonts w:ascii="Arial MT" w:hAnsi="Arial MT" w:cs="Arial MT" w:eastAsia="Arial MT"/>
          <w:sz w:val="19"/>
        </w:rPr>
        <w:t xml:space="preserve"> Não obedecer às especificações técnicas pormenorizadas no aviso de licitação ou em seus anexos;</w:t>
      </w:r>
    </w:p>
    <w:p>
      <w:pPr>
        <w:spacing w:before="150"/>
        <w:numPr>
          <w:ilvl w:val="2"/>
          <w:numId w:val="23"/>
        </w:numPr>
      </w:pPr>
      <w:r/>
      <w:r>
        <w:rPr>
          <w:rFonts w:ascii="Arial MT" w:hAnsi="Arial MT" w:cs="Arial MT" w:eastAsia="Arial MT"/>
          <w:sz w:val="19"/>
        </w:rPr>
        <w:t xml:space="preserve"> Apresentar preços inexequíveis ou permanecerem acima do preço máximo definido para acontratação;</w:t>
      </w:r>
    </w:p>
    <w:p>
      <w:pPr>
        <w:spacing w:before="150"/>
        <w:numPr>
          <w:ilvl w:val="2"/>
          <w:numId w:val="23"/>
        </w:numPr>
      </w:pPr>
      <w:r/>
      <w:r>
        <w:rPr>
          <w:rFonts w:ascii="Arial MT" w:hAnsi="Arial MT" w:cs="Arial MT" w:eastAsia="Arial MT"/>
          <w:sz w:val="19"/>
        </w:rPr>
        <w:t xml:space="preserve"> Não tiverem sua exequibilidade demonstrada, quando exigido pela Administração;</w:t>
      </w:r>
    </w:p>
    <w:p>
      <w:pPr>
        <w:jc w:val="both"/>
        <w:ind w:right="210"/>
        <w:spacing w:before="150" w:lineRule="auto" w:line="264"/>
        <w:tabs>
          <w:tab w:val="left" w:pos="1020"/>
        </w:tabs>
        <w:numPr>
          <w:ilvl w:val="2"/>
          <w:numId w:val="23"/>
        </w:numPr>
      </w:pPr>
      <w:r/>
      <w:r>
        <w:rPr>
          <w:rFonts w:ascii="Arial MT" w:hAnsi="Arial MT" w:cs="Arial MT" w:eastAsia="Arial MT"/>
          <w:sz w:val="19"/>
        </w:rPr>
        <w:t xml:space="preserve"> Apresentar desconformidade com quaisquer outras exigências deste edital ou seus anexos, desde que insanável.</w:t>
      </w:r>
    </w:p>
    <w:p>
      <w:pPr>
        <w:jc w:val="both"/>
        <w:ind w:right="210"/>
        <w:spacing w:before="120" w:lineRule="auto" w:line="264"/>
        <w:numPr>
          <w:ilvl w:val="1"/>
          <w:numId w:val="23"/>
        </w:numPr>
      </w:pPr>
      <w:r/>
      <w:r>
        <w:rPr>
          <w:rFonts w:ascii="Arial MT" w:hAnsi="Arial MT" w:cs="Arial MT" w:eastAsia="Arial MT"/>
          <w:sz w:val="19"/>
        </w:rPr>
        <w:t xml:space="preserve"> Quando o licitante não conseguir comprovar que possui ou possuirá recursos suficientes para executar a contento o objeto, será considerada inexequível a proposta de preços ou menor lance que:</w:t>
      </w:r>
    </w:p>
    <w:p>
      <w:pPr>
        <w:jc w:val="both"/>
        <w:ind w:right="210"/>
        <w:spacing w:before="120" w:lineRule="auto" w:line="276"/>
        <w:tabs>
          <w:tab w:val="left" w:pos="1035"/>
        </w:tabs>
        <w:numPr>
          <w:ilvl w:val="2"/>
          <w:numId w:val="23"/>
        </w:numPr>
      </w:pPr>
      <w:r/>
      <w:r>
        <w:rPr>
          <w:rFonts w:ascii="Arial MT" w:hAnsi="Arial MT" w:cs="Arial MT" w:eastAsia="Arial MT"/>
          <w:sz w:val="19"/>
        </w:rPr>
        <w:t xml:space="preserve"> For insuficiente para a cobertura dos custos da contratação, apresente preços – global ou unitário – simbólicos, irrisórios ou de valor zero, incompatíveis com os preços dos insumos e saláriosde mercado, acrescidos dos respectivos encargos, ainda que o ato convocatório da licitação não tenha estabelecido limites mínimos, exceto quando se referirem a materiais e instalações de propriedade do próprio fornecedor, para os quais ele renuncie a parcela ou à totalidade da remuneração.</w:t>
      </w:r>
    </w:p>
    <w:p>
      <w:pPr>
        <w:jc w:val="both"/>
        <w:ind w:right="210"/>
        <w:spacing w:before="120" w:lineRule="auto" w:line="276"/>
        <w:tabs>
          <w:tab w:val="left" w:pos="990"/>
        </w:tabs>
        <w:numPr>
          <w:ilvl w:val="2"/>
          <w:numId w:val="23"/>
        </w:numPr>
      </w:pPr>
      <w:r/>
      <w:r>
        <w:rPr>
          <w:rFonts w:ascii="Arial MT" w:hAnsi="Arial MT" w:cs="Arial MT" w:eastAsia="Arial MT"/>
          <w:sz w:val="19"/>
        </w:rPr>
        <w:t xml:space="preserve"> Apresentar um ou mais valores da planilha de custo que sejam inferiores àqueles fixados eminstrumentos de caráter normativo obrigatório, tais como leis, medidas provisórias e convenções coletivas de trabalho vigentes.</w:t>
      </w:r>
    </w:p>
    <w:p>
      <w:pPr>
        <w:jc w:val="both"/>
        <w:ind w:right="210"/>
        <w:spacing w:before="120" w:lineRule="auto" w:line="264"/>
        <w:numPr>
          <w:ilvl w:val="1"/>
          <w:numId w:val="23"/>
        </w:numPr>
      </w:pPr>
      <w:r/>
      <w:r>
        <w:rPr>
          <w:rFonts w:ascii="Arial MT" w:hAnsi="Arial MT" w:cs="Arial MT" w:eastAsia="Arial MT"/>
          <w:sz w:val="19"/>
        </w:rPr>
        <w:t xml:space="preserve"> Se houver indícios de inexequibilidade da proposta de preço, ou em caso da necessidade de esclarecimentos complementares, poderão ser efetuadas diligências, para que a empresa comprove a exequibilidade da proposta.</w:t>
      </w:r>
    </w:p>
    <w:p>
      <w:pPr>
        <w:jc w:val="both"/>
        <w:ind w:right="210"/>
        <w:spacing w:before="120" w:lineRule="auto" w:line="300"/>
        <w:tabs>
          <w:tab w:val="left" w:pos="525"/>
        </w:tabs>
        <w:numPr>
          <w:ilvl w:val="1"/>
          <w:numId w:val="23"/>
        </w:numPr>
      </w:pPr>
      <w:r/>
      <w:r>
        <w:rPr>
          <w:rFonts w:ascii="Arial MT" w:hAnsi="Arial MT" w:cs="Arial MT" w:eastAsia="Arial MT"/>
          <w:sz w:val="19"/>
        </w:rPr>
        <w:t xml:space="preserve"> Erros no preenchimento da planilha (quando for o caso) não constituem motivo para a desclassificação da proposta. A planilha poderá ser ajustada pelo licitante, no prazo indicado pelo sistema, desde que não haja majoraçãodo preço.</w:t>
      </w:r>
    </w:p>
    <w:p>
      <w:pPr>
        <w:jc w:val="both"/>
        <w:ind w:right="210"/>
        <w:spacing w:before="105" w:lineRule="auto" w:line="276"/>
        <w:tabs>
          <w:tab w:val="left" w:pos="1005"/>
        </w:tabs>
        <w:numPr>
          <w:ilvl w:val="2"/>
          <w:numId w:val="23"/>
        </w:numPr>
      </w:pPr>
      <w:r/>
      <w:r>
        <w:rPr>
          <w:rFonts w:ascii="Arial MT" w:hAnsi="Arial MT" w:cs="Arial MT" w:eastAsia="Arial MT"/>
          <w:sz w:val="19"/>
        </w:rPr>
        <w:t xml:space="preserve"> O ajuste de que trata este dispositivo se limita a sanar erros ou falhas que não alterem a substância das propostas;</w:t>
      </w:r>
    </w:p>
    <w:p>
      <w:pPr>
        <w:jc w:val="both"/>
        <w:ind w:right="210"/>
        <w:spacing w:before="120" w:lineRule="auto" w:line="276"/>
        <w:tabs>
          <w:tab w:val="left" w:pos="1020"/>
        </w:tabs>
        <w:numPr>
          <w:ilvl w:val="2"/>
          <w:numId w:val="23"/>
        </w:numPr>
      </w:pPr>
      <w:r/>
      <w:r>
        <w:rPr>
          <w:rFonts w:ascii="Arial MT" w:hAnsi="Arial MT" w:cs="Arial MT" w:eastAsia="Arial MT"/>
          <w:sz w:val="19"/>
        </w:rPr>
        <w:t xml:space="preserve"> Considera-se erro no preenchimento da planilha passível de correção, a indicação de recolhimento de impostos e contribuições na forma do Simples Nacional, quando não cabível esse regime.</w:t>
      </w:r>
    </w:p>
    <w:p>
      <w:pPr>
        <w:jc w:val="both"/>
        <w:ind w:right="210"/>
        <w:spacing w:before="120" w:lineRule="auto" w:line="264"/>
        <w:numPr>
          <w:ilvl w:val="1"/>
          <w:numId w:val="23"/>
        </w:numPr>
      </w:pPr>
      <w:r/>
      <w:r>
        <w:rPr>
          <w:rFonts w:ascii="Arial MT" w:hAnsi="Arial MT" w:cs="Arial MT" w:eastAsia="Arial MT"/>
          <w:sz w:val="19"/>
        </w:rPr>
        <w:t xml:space="preserve"> Para fins de análise da proposta quanto ao cumprimento das especificações do objeto, poderá ser colhida a manifestação escrita do setor requisitante do serviço ou da área especializada no objeto.</w:t>
      </w:r>
    </w:p>
    <w:p>
      <w:pPr>
        <w:jc w:val="both"/>
        <w:ind w:right="210"/>
        <w:spacing w:before="120" w:lineRule="auto" w:line="264"/>
        <w:tabs>
          <w:tab w:val="left" w:pos="600"/>
        </w:tabs>
        <w:numPr>
          <w:ilvl w:val="1"/>
          <w:numId w:val="23"/>
        </w:numPr>
      </w:pPr>
      <w:r/>
      <w:r>
        <w:rPr>
          <w:rFonts w:ascii="Arial MT" w:hAnsi="Arial MT" w:cs="Arial MT" w:eastAsia="Arial MT"/>
          <w:sz w:val="19"/>
        </w:rPr>
        <w:t xml:space="preserve"> Se a proposta ou lance vencedor for desclassificado, será examinada a proposta ou lance subsequente, e, assim sucessivamente, na ordem de classificação.</w:t>
      </w:r>
    </w:p>
    <w:p>
      <w:pPr>
        <w:jc w:val="both"/>
        <w:ind w:right="210"/>
        <w:spacing w:before="120" w:lineRule="auto" w:line="276"/>
        <w:tabs>
          <w:tab w:val="left" w:pos="630"/>
        </w:tabs>
        <w:numPr>
          <w:ilvl w:val="1"/>
          <w:numId w:val="23"/>
        </w:numPr>
      </w:pPr>
      <w:r/>
      <w:r>
        <w:rPr>
          <w:rFonts w:ascii="Arial MT" w:hAnsi="Arial MT" w:cs="Arial MT" w:eastAsia="Arial MT"/>
          <w:sz w:val="19"/>
        </w:rPr>
        <w:t xml:space="preserve"> Havendo necessidade, a sessão será suspensa, informando-se no “</w:t>
      </w:r>
      <w:r>
        <w:rPr>
          <w:i/>
          <w:sz w:val="19"/>
        </w:rPr>
        <w:t>chat</w:t>
      </w:r>
      <w:r>
        <w:rPr>
          <w:rFonts w:ascii="Arial MT" w:hAnsi="Arial MT" w:cs="Arial MT" w:eastAsia="Arial MT"/>
          <w:sz w:val="19"/>
        </w:rPr>
        <w:t>” a nova data e horário para a sua continuidade.</w:t>
      </w:r>
    </w:p>
    <w:p>
      <w:pPr>
        <w:jc w:val="both"/>
        <w:ind w:right="210"/>
        <w:spacing w:before="120" w:lineRule="auto" w:line="276"/>
        <w:tabs>
          <w:tab w:val="left" w:pos="600"/>
        </w:tabs>
        <w:numPr>
          <w:ilvl w:val="1"/>
          <w:numId w:val="23"/>
        </w:numPr>
      </w:pPr>
      <w:r/>
      <w:r>
        <w:rPr>
          <w:rFonts w:ascii="Arial MT" w:hAnsi="Arial MT" w:cs="Arial MT" w:eastAsia="Arial MT"/>
          <w:sz w:val="19"/>
        </w:rPr>
        <w:t xml:space="preserve"> Encerrada a análise quanto à aceitação da proposta, se iniciará a fase de habilitação, observado o disposto neste Edital de Licitação.</w:t>
      </w:r>
    </w:p>
    <w:p>
      <w:pPr>
        <w:jc w:val="both"/>
        <w:ind w:left="165" w:right="210" w:firstLine="345"/>
        <w:spacing w:before="120" w:lineRule="auto" w:line="276"/>
        <w:tabs>
          <w:tab w:val="left" w:pos="600"/>
        </w:tabs>
      </w:pPr>
      <w:r>
        <w:t/>
      </w:r>
    </w:p>
    <w:p>
      <w:pPr>
        <w:spacing w:before="15"/>
      </w:pPr>
      <w:r>
        <w:drawing>
          <wp:inline distT="0" distB="0" distL="0" distR="0">
            <wp:extent cx="6838950" cy="209550"/>
            <wp:effectExtent l="0" t="0" r="0" b="0"/>
            <wp:docPr id="15" name="Pic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5.emf"/>
                    <pic:cNvPicPr/>
                  </pic:nvPicPr>
                  <pic:blipFill>
                    <a:blip r:embed="prId14" cstate="print"/>
                    <a:stretch>
                      <a:fillRect/>
                    </a:stretch>
                  </pic:blipFill>
                  <pic:spPr>
                    <a:xfrm>
                      <a:off x="0" y="0"/>
                      <a:ext cx="6838950" cy="209550"/>
                    </a:xfrm>
                    <a:prstGeom prst="rect">
                      <a:avLst/>
                    </a:prstGeom>
                  </pic:spPr>
                </pic:pic>
              </a:graphicData>
            </a:graphic>
          </wp:inline>
        </w:drawing>
      </w:r>
    </w:p>
    <w:p>
      <w:r>
        <w:drawing>
          <wp:inline distT="0" distB="0" distL="0" distR="0">
            <wp:extent cx="0" cy="0"/>
            <wp:effectExtent l="0" t="0" r="0" b="0"/>
            <wp:docPr id="16" name="Pic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6.emf"/>
                    <pic:cNvPicPr/>
                  </pic:nvPicPr>
                  <pic:blipFill>
                    <a:blip r:embed="prId15" cstate="print"/>
                    <a:stretch>
                      <a:fillRect/>
                    </a:stretch>
                  </pic:blipFill>
                  <pic:spPr>
                    <a:xfrm>
                      <a:off x="0" y="0"/>
                      <a:ext cx="0" cy="0"/>
                    </a:xfrm>
                    <a:prstGeom prst="rect">
                      <a:avLst/>
                    </a:prstGeom>
                  </pic:spPr>
                </pic:pic>
              </a:graphicData>
            </a:graphic>
          </wp:inline>
        </w:drawing>
      </w:r>
    </w:p>
    <w:p>
      <w:pPr>
        <w:jc w:val="both"/>
        <w:ind w:right="210"/>
        <w:spacing w:before="90" w:lineRule="auto" w:line="276"/>
        <w:numPr>
          <w:ilvl w:val="1"/>
          <w:numId w:val="28"/>
        </w:numPr>
      </w:pPr>
      <w:r/>
      <w:r>
        <w:rPr>
          <w:rFonts w:ascii="Arial MT" w:hAnsi="Arial MT" w:cs="Arial MT" w:eastAsia="Arial MT"/>
          <w:sz w:val="19"/>
        </w:rPr>
        <w:t xml:space="preserve"> Os documentos indicados no Termo de Referência, necessários e suficientes para demonstrar a capacidade do licitante de realizar o objeto da licitação, serão exigidos para fins de habilitação, nos termos dos arts. 62 a 70 da Lei nº 14.133, de 2021.</w:t>
      </w:r>
    </w:p>
    <w:p>
      <w:pPr>
        <w:spacing w:before="15"/>
      </w:pPr>
      <w:r>
        <w:t/>
      </w:r>
    </w:p>
    <w:p>
      <w:pPr>
        <w:jc w:val="both"/>
        <w:outlineLvl w:val="1"/>
        <w:numPr>
          <w:ilvl w:val="1"/>
          <w:numId w:val="28"/>
        </w:numPr>
      </w:pPr>
      <w:r/>
      <w:r>
        <w:rPr>
          <w:b/>
          <w:sz w:val="19"/>
        </w:rPr>
        <w:t xml:space="preserve"> Habilitação Jurídica:</w:t>
      </w:r>
    </w:p>
    <w:p>
      <w:pPr>
        <w:jc w:val="both"/>
        <w:spacing w:before="150"/>
        <w:numPr>
          <w:ilvl w:val="2"/>
          <w:numId w:val="28"/>
        </w:numPr>
      </w:pPr>
      <w:r/>
      <w:r>
        <w:rPr>
          <w:rFonts w:ascii="Arial MT" w:hAnsi="Arial MT" w:cs="Arial MT" w:eastAsia="Arial MT"/>
          <w:sz w:val="19"/>
        </w:rPr>
        <w:t xml:space="preserve">Para </w:t>
      </w:r>
      <w:r>
        <w:rPr>
          <w:b/>
          <w:sz w:val="19"/>
        </w:rPr>
        <w:t>Empresário Individual</w:t>
      </w:r>
      <w:r>
        <w:rPr>
          <w:rFonts w:ascii="Arial MT" w:hAnsi="Arial MT" w:cs="Arial MT" w:eastAsia="Arial MT"/>
          <w:sz w:val="19"/>
        </w:rPr>
        <w:t>: Registro Comercial, a cargo da Junta Comercial da respectiva sede;</w:t>
      </w:r>
    </w:p>
    <w:p>
      <w:pPr>
        <w:jc w:val="both"/>
        <w:ind w:right="210"/>
        <w:spacing w:before="150" w:lineRule="auto" w:line="276"/>
        <w:tabs>
          <w:tab w:val="left" w:pos="1035"/>
        </w:tabs>
        <w:numPr>
          <w:ilvl w:val="2"/>
          <w:numId w:val="28"/>
        </w:numPr>
      </w:pPr>
      <w:r/>
      <w:r>
        <w:rPr>
          <w:rFonts w:ascii="Arial MT" w:hAnsi="Arial MT" w:cs="Arial MT" w:eastAsia="Arial MT"/>
          <w:sz w:val="19"/>
        </w:rPr>
        <w:t xml:space="preserve">Para </w:t>
      </w:r>
      <w:r>
        <w:rPr>
          <w:b/>
          <w:sz w:val="19"/>
        </w:rPr>
        <w:t>Microempreendedor Individual – MEI</w:t>
      </w:r>
      <w:r>
        <w:rPr>
          <w:rFonts w:ascii="Arial MT" w:hAnsi="Arial MT" w:cs="Arial MT" w:eastAsia="Arial MT"/>
          <w:sz w:val="19"/>
        </w:rPr>
        <w:t>: Certificado da Condição de Microempreendedor Individual – CCMEI, cuja aceitação ficará condicionada à verificação da autenticidade no sítio www.portaldoempreendedor.gov.br;</w:t>
      </w:r>
    </w:p>
    <w:p>
      <w:pPr>
        <w:jc w:val="both"/>
        <w:ind w:right="210"/>
        <w:spacing w:before="105" w:lineRule="auto" w:line="276"/>
        <w:tabs>
          <w:tab w:val="left" w:pos="1020"/>
        </w:tabs>
        <w:numPr>
          <w:ilvl w:val="2"/>
          <w:numId w:val="28"/>
        </w:numPr>
      </w:pPr>
      <w:r/>
      <w:r>
        <w:rPr>
          <w:rFonts w:ascii="Arial MT" w:hAnsi="Arial MT" w:cs="Arial MT" w:eastAsia="Arial MT"/>
          <w:sz w:val="19"/>
        </w:rPr>
        <w:t xml:space="preserve">Para </w:t>
      </w:r>
      <w:r>
        <w:rPr>
          <w:b/>
          <w:sz w:val="19"/>
        </w:rPr>
        <w:t>Sociedade Cooperativa</w:t>
      </w:r>
      <w:r>
        <w:rPr>
          <w:rFonts w:ascii="Arial MT" w:hAnsi="Arial MT" w:cs="Arial MT" w:eastAsia="Arial MT"/>
          <w:sz w:val="19"/>
        </w:rPr>
        <w:t>: Ata de fundação e Estatuto social em vigor, com a ata da assembleia que o aprovou, devidamente arquivado na Junta Comercial ou inscrito no Registro Civil das Pessoas Jurídicas da respectiva sede, bem como o registro de que trata o art. 107 da Lei nº 5.764, de 1971;</w:t>
      </w:r>
    </w:p>
    <w:p>
      <w:pPr>
        <w:jc w:val="both"/>
        <w:spacing w:before="120"/>
        <w:tabs>
          <w:tab w:val="left" w:pos="1020"/>
        </w:tabs>
        <w:numPr>
          <w:ilvl w:val="2"/>
          <w:numId w:val="28"/>
        </w:numPr>
      </w:pPr>
      <w:r/>
      <w:r>
        <w:rPr>
          <w:rFonts w:ascii="Arial MT" w:hAnsi="Arial MT" w:cs="Arial MT" w:eastAsia="Arial MT"/>
          <w:sz w:val="19"/>
        </w:rPr>
        <w:t xml:space="preserve">Para </w:t>
      </w:r>
      <w:r>
        <w:rPr>
          <w:b/>
          <w:sz w:val="19"/>
        </w:rPr>
        <w:t>Sociedades Civis</w:t>
      </w:r>
      <w:r>
        <w:rPr>
          <w:rFonts w:ascii="Arial MT" w:hAnsi="Arial MT" w:cs="Arial MT" w:eastAsia="Arial MT"/>
          <w:sz w:val="19"/>
        </w:rPr>
        <w:t>: Ato Constitutivo, acompanhado de prova de diretoria em exercício;</w:t>
      </w:r>
    </w:p>
    <w:p>
      <w:pPr>
        <w:jc w:val="both"/>
        <w:ind w:right="210"/>
        <w:spacing w:before="150" w:lineRule="auto" w:line="276"/>
        <w:tabs>
          <w:tab w:val="left" w:pos="1065"/>
        </w:tabs>
        <w:numPr>
          <w:ilvl w:val="2"/>
          <w:numId w:val="28"/>
        </w:numPr>
      </w:pPr>
      <w:r/>
      <w:r>
        <w:rPr>
          <w:rFonts w:ascii="Arial MT" w:hAnsi="Arial MT" w:cs="Arial MT" w:eastAsia="Arial MT"/>
          <w:sz w:val="19"/>
        </w:rPr>
        <w:t xml:space="preserve">Para </w:t>
      </w:r>
      <w:r>
        <w:rPr>
          <w:b/>
          <w:sz w:val="19"/>
        </w:rPr>
        <w:t>Sociedades Comerciais</w:t>
      </w:r>
      <w:r>
        <w:rPr>
          <w:rFonts w:ascii="Arial MT" w:hAnsi="Arial MT" w:cs="Arial MT" w:eastAsia="Arial MT"/>
          <w:sz w:val="19"/>
        </w:rPr>
        <w:t>: Ato Constitutivo, Estatuto ou Contrato Social em vigor, devidamente registrado na Junta Comercial (cujo ramo de atividade seja compatível com o objeto licitado);</w:t>
      </w:r>
    </w:p>
    <w:p>
      <w:pPr>
        <w:jc w:val="both"/>
        <w:ind w:right="210"/>
        <w:spacing w:before="120" w:lineRule="auto" w:line="276"/>
        <w:numPr>
          <w:ilvl w:val="2"/>
          <w:numId w:val="28"/>
        </w:numPr>
      </w:pPr>
      <w:r/>
      <w:r>
        <w:rPr>
          <w:rFonts w:ascii="Arial MT" w:hAnsi="Arial MT" w:cs="Arial MT" w:eastAsia="Arial MT"/>
          <w:sz w:val="19"/>
        </w:rPr>
        <w:t xml:space="preserve">Para </w:t>
      </w:r>
      <w:r>
        <w:rPr>
          <w:b/>
          <w:sz w:val="19"/>
        </w:rPr>
        <w:t>Sociedades por Ações</w:t>
      </w:r>
      <w:r>
        <w:rPr>
          <w:rFonts w:ascii="Arial MT" w:hAnsi="Arial MT" w:cs="Arial MT" w:eastAsia="Arial MT"/>
          <w:sz w:val="19"/>
        </w:rPr>
        <w:t>: Ato Constitutivo, Estatuto ou Contrato Social em vigor, acompanhado de documentos de eleição de seus administradores;</w:t>
      </w:r>
    </w:p>
    <w:p>
      <w:pPr>
        <w:jc w:val="both"/>
        <w:ind w:right="210"/>
        <w:spacing w:before="120" w:lineRule="auto" w:line="276"/>
        <w:numPr>
          <w:ilvl w:val="2"/>
          <w:numId w:val="42"/>
        </w:numPr>
      </w:pPr>
      <w:r/>
      <w:r>
        <w:rPr>
          <w:rFonts w:ascii="Arial MT" w:hAnsi="Arial MT" w:cs="Arial MT" w:eastAsia="Arial MT"/>
          <w:sz w:val="19"/>
        </w:rPr>
        <w:t xml:space="preserve"> Nas hipóteses das alíneas “e” e “f”, caso seja apresentado o Contrato Social, este deverá estar acompanhado de todas as alterações ou da respectiva consolidação;</w:t>
      </w:r>
    </w:p>
    <w:p>
      <w:pPr>
        <w:jc w:val="both"/>
        <w:ind w:right="210"/>
        <w:spacing w:before="120" w:lineRule="auto" w:line="276"/>
        <w:numPr>
          <w:ilvl w:val="2"/>
          <w:numId w:val="42"/>
        </w:numPr>
      </w:pPr>
      <w:r/>
      <w:r>
        <w:rPr>
          <w:rFonts w:ascii="Arial MT" w:hAnsi="Arial MT" w:cs="Arial MT" w:eastAsia="Arial MT"/>
          <w:sz w:val="19"/>
        </w:rPr>
        <w:t xml:space="preserve"> Os documentos de habilitação referidos neste subitem deverão explicitar o objeto social, que deverá ser compatível com o objeto desta contratação, segundo a tabela de classificação do CNAE, a sede do licitante e os responsáveis por sua administração que tenham poderes para assinar os documentos pelo participante.</w:t>
      </w:r>
    </w:p>
    <w:p>
      <w:pPr>
        <w:jc w:val="both"/>
        <w:outlineLvl w:val="1"/>
        <w:spacing w:before="120"/>
        <w:numPr>
          <w:ilvl w:val="1"/>
          <w:numId w:val="28"/>
        </w:numPr>
      </w:pPr>
      <w:r/>
      <w:r>
        <w:rPr>
          <w:b/>
          <w:sz w:val="19"/>
        </w:rPr>
        <w:t xml:space="preserve"> Regularidade Fiscal, Social e Trabalhista:</w:t>
      </w:r>
    </w:p>
    <w:p>
      <w:pPr>
        <w:jc w:val="both"/>
        <w:spacing w:before="150"/>
        <w:numPr>
          <w:ilvl w:val="2"/>
          <w:numId w:val="22"/>
        </w:numPr>
      </w:pPr>
      <w:r/>
      <w:r>
        <w:rPr>
          <w:rFonts w:ascii="Arial MT" w:hAnsi="Arial MT" w:cs="Arial MT" w:eastAsia="Arial MT"/>
          <w:sz w:val="19"/>
        </w:rPr>
        <w:t xml:space="preserve">Prova de inscrição no </w:t>
      </w:r>
      <w:r>
        <w:rPr>
          <w:b/>
          <w:sz w:val="19"/>
        </w:rPr>
        <w:t xml:space="preserve">Cadastro Nacional de Pessoa Jurídica </w:t>
      </w:r>
      <w:r>
        <w:rPr>
          <w:rFonts w:ascii="Arial MT" w:hAnsi="Arial MT" w:cs="Arial MT" w:eastAsia="Arial MT"/>
          <w:sz w:val="19"/>
        </w:rPr>
        <w:t>(CNPJ);</w:t>
      </w:r>
    </w:p>
    <w:p>
      <w:pPr>
        <w:jc w:val="both"/>
        <w:ind w:right="210"/>
        <w:spacing w:before="150" w:lineRule="auto" w:line="276"/>
        <w:tabs>
          <w:tab w:val="left" w:pos="1005"/>
        </w:tabs>
        <w:numPr>
          <w:ilvl w:val="2"/>
          <w:numId w:val="22"/>
        </w:numPr>
      </w:pPr>
      <w:r/>
      <w:r>
        <w:rPr>
          <w:rFonts w:ascii="Arial MT" w:hAnsi="Arial MT" w:cs="Arial MT" w:eastAsia="Arial MT"/>
          <w:sz w:val="19"/>
        </w:rPr>
        <w:t xml:space="preserve">Prova de regularidade fiscal perante a </w:t>
      </w:r>
      <w:r>
        <w:rPr>
          <w:b/>
          <w:sz w:val="19"/>
        </w:rPr>
        <w:t>Fazenda Nacional</w:t>
      </w:r>
      <w:r>
        <w:rPr>
          <w:rFonts w:ascii="Arial MT" w:hAnsi="Arial MT" w:cs="Arial MT" w:eastAsia="Arial MT"/>
          <w:sz w:val="19"/>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 CERTIDÃO CONJUNTA DE REGULARIDADE DE DÉBITOS RELATIVOS AOS TRIBUTOS FEDERAIS;</w:t>
      </w:r>
    </w:p>
    <w:p>
      <w:pPr>
        <w:jc w:val="both"/>
        <w:ind w:right="210"/>
        <w:spacing w:before="120" w:lineRule="auto" w:line="264"/>
        <w:tabs>
          <w:tab w:val="left" w:pos="990"/>
        </w:tabs>
        <w:numPr>
          <w:ilvl w:val="2"/>
          <w:numId w:val="22"/>
        </w:numPr>
      </w:pPr>
      <w:r/>
      <w:r>
        <w:rPr>
          <w:rFonts w:ascii="Arial MT" w:hAnsi="Arial MT" w:cs="Arial MT" w:eastAsia="Arial MT"/>
          <w:sz w:val="19"/>
        </w:rPr>
        <w:t xml:space="preserve">Prova de regularidade fiscal perante a </w:t>
      </w:r>
      <w:r>
        <w:rPr>
          <w:b/>
          <w:sz w:val="19"/>
        </w:rPr>
        <w:t>Fazenda Estadual</w:t>
      </w:r>
      <w:r>
        <w:rPr>
          <w:rFonts w:ascii="Arial MT" w:hAnsi="Arial MT" w:cs="Arial MT" w:eastAsia="Arial MT"/>
          <w:sz w:val="19"/>
        </w:rPr>
        <w:t>, mediante a apresentação de Certidão Negativa de Débitos ou Certidão Positiva com efeito de Negativa, expedida pelo Estado do domicílio ou sede do participante</w:t>
      </w:r>
    </w:p>
    <w:p>
      <w:pPr>
        <w:spacing w:before="15"/>
        <w:numPr>
          <w:ilvl w:val="0"/>
          <w:numId w:val="5"/>
        </w:numPr>
      </w:pPr>
      <w:r/>
      <w:r>
        <w:rPr>
          <w:rFonts w:ascii="Arial MT" w:hAnsi="Arial MT" w:cs="Arial MT" w:eastAsia="Arial MT"/>
          <w:sz w:val="19"/>
        </w:rPr>
        <w:t>CERTIDÃO DE REGULARIDADE DE DÉBITOS COM A FAZENDA ESTADUAL;</w:t>
      </w:r>
    </w:p>
    <w:p>
      <w:pPr>
        <w:jc w:val="both"/>
        <w:ind w:right="210"/>
        <w:spacing w:before="150" w:lineRule="auto" w:line="276"/>
        <w:tabs>
          <w:tab w:val="left" w:pos="990"/>
        </w:tabs>
        <w:numPr>
          <w:ilvl w:val="2"/>
          <w:numId w:val="22"/>
        </w:numPr>
      </w:pPr>
      <w:r/>
      <w:r>
        <w:rPr>
          <w:rFonts w:ascii="Arial MT" w:hAnsi="Arial MT" w:cs="Arial MT" w:eastAsia="Arial MT"/>
          <w:sz w:val="19"/>
        </w:rPr>
        <w:t xml:space="preserve">Prova de regularidade fiscal perante a </w:t>
      </w:r>
      <w:r>
        <w:rPr>
          <w:b/>
          <w:sz w:val="19"/>
        </w:rPr>
        <w:t>Fazenda Municipal</w:t>
      </w:r>
      <w:r>
        <w:rPr>
          <w:rFonts w:ascii="Arial MT" w:hAnsi="Arial MT" w:cs="Arial MT" w:eastAsia="Arial MT"/>
          <w:sz w:val="19"/>
        </w:rPr>
        <w:t>, mediante a apresentação de Certidão Negativa de Débitos ou Certidão Positiva com efeito de negativa, expedida pelo Município do domicílio ou sede do participante – CERTIDÃO DE REGULARIDADE DE DÉBITOS COM A FAZENDA MUNICIPAL;</w:t>
      </w:r>
    </w:p>
    <w:p>
      <w:pPr>
        <w:jc w:val="both"/>
        <w:ind w:right="210"/>
        <w:spacing w:before="120" w:lineRule="auto" w:line="264"/>
        <w:tabs>
          <w:tab w:val="left" w:pos="1005"/>
        </w:tabs>
        <w:numPr>
          <w:ilvl w:val="2"/>
          <w:numId w:val="22"/>
        </w:numPr>
      </w:pPr>
      <w:r/>
      <w:r>
        <w:rPr>
          <w:rFonts w:ascii="Arial MT" w:hAnsi="Arial MT" w:cs="Arial MT" w:eastAsia="Arial MT"/>
          <w:sz w:val="19"/>
        </w:rPr>
        <w:t xml:space="preserve">Prova de regularidade fiscal perante o </w:t>
      </w:r>
      <w:r>
        <w:rPr>
          <w:b/>
          <w:sz w:val="19"/>
        </w:rPr>
        <w:t>Fundo de Garantia por Tempo de Serviço – FGTS</w:t>
      </w:r>
      <w:r>
        <w:rPr>
          <w:rFonts w:ascii="Arial MT" w:hAnsi="Arial MT" w:cs="Arial MT" w:eastAsia="Arial MT"/>
          <w:sz w:val="19"/>
        </w:rPr>
        <w:t>, mediante a apresentação de Certificado de Regularidade de Situação do FGTS – CRF, emitido pela Caixa Econômica Federal</w:t>
      </w:r>
    </w:p>
    <w:p>
      <w:pPr>
        <w:ind w:right="210"/>
        <w:spacing w:before="15" w:lineRule="auto" w:line="276"/>
        <w:numPr>
          <w:ilvl w:val="0"/>
          <w:numId w:val="5"/>
        </w:numPr>
      </w:pPr>
      <w:r/>
      <w:r>
        <w:rPr>
          <w:rFonts w:ascii="Arial MT" w:hAnsi="Arial MT" w:cs="Arial MT" w:eastAsia="Arial MT"/>
          <w:sz w:val="19"/>
        </w:rPr>
        <w:t>CEF – CERTIDÃO DE REGULARIDADE DE DÉBITOS PARA COM O FUNDO DE GARANTIA POR TEMPO DE SERVIÇO – FGTS;</w:t>
      </w:r>
    </w:p>
    <w:p>
      <w:pPr>
        <w:jc w:val="both"/>
        <w:ind w:right="210"/>
        <w:spacing w:before="120" w:lineRule="auto" w:line="276"/>
        <w:tabs>
          <w:tab w:val="left" w:pos="990"/>
        </w:tabs>
        <w:numPr>
          <w:ilvl w:val="2"/>
          <w:numId w:val="22"/>
        </w:numPr>
      </w:pPr>
      <w:r/>
      <w:r>
        <w:rPr>
          <w:rFonts w:ascii="Arial MT" w:hAnsi="Arial MT" w:cs="Arial MT" w:eastAsia="Arial MT"/>
          <w:sz w:val="19"/>
        </w:rPr>
        <w:t xml:space="preserve">Prova de inexistência de débitos inadimplidos perante a </w:t>
      </w:r>
      <w:r>
        <w:rPr>
          <w:b/>
          <w:sz w:val="19"/>
        </w:rPr>
        <w:t>Justiça do Trabalho</w:t>
      </w:r>
      <w:r>
        <w:rPr>
          <w:rFonts w:ascii="Arial MT" w:hAnsi="Arial MT" w:cs="Arial MT" w:eastAsia="Arial MT"/>
          <w:sz w:val="19"/>
        </w:rPr>
        <w:t>, mediante a apresentação de Certidão Negativa de Débitos Trabalhistas ou Certidão Positiva com efeito de Negativa, expedida pelos portais da Justiça do Trabalho (Tribunal Superior do Trabalho, Conselho Superior da Justiça do Trabalho e dos Tribunais Regionais do Trabalho), nos termos do Título VII-A da Consolidação das Leis do Trabalho, aprovada pelo Decreto- Lei nº 5.452, de 1º de maio de 1943 – CERTIDÃO DE REGULARIDADE DE DÉBITOS TRABALHISTAS;</w:t>
      </w:r>
    </w:p>
    <w:p>
      <w:pPr>
        <w:outlineLvl w:val="1"/>
        <w:spacing w:before="120"/>
        <w:numPr>
          <w:ilvl w:val="1"/>
          <w:numId w:val="28"/>
        </w:numPr>
      </w:pPr>
      <w:r/>
      <w:r>
        <w:rPr>
          <w:b/>
          <w:sz w:val="19"/>
        </w:rPr>
        <w:t xml:space="preserve"> Qualificação Econômico-Financeira:</w:t>
      </w:r>
    </w:p>
    <w:p>
      <w:pPr>
        <w:jc w:val="both"/>
        <w:ind w:left="495" w:right="210"/>
        <w:spacing w:before="150" w:lineRule="auto" w:line="276"/>
      </w:pPr>
      <w:r>
        <w:rPr>
          <w:b/>
          <w:sz w:val="19"/>
        </w:rPr>
        <w:t xml:space="preserve">6.4.1 Certidão Negativa de Falência </w:t>
      </w:r>
      <w:r>
        <w:rPr>
          <w:rFonts w:ascii="Arial MT" w:hAnsi="Arial MT" w:cs="Arial MT" w:eastAsia="Arial MT"/>
          <w:sz w:val="19"/>
        </w:rPr>
        <w:t>expedida pelo Cartório/Ofício Distribuidor da sede da pessoa jurídica a menos de 90 (noventa) dias da data de recebimento dos envelopes, prevista no preâmbulo deste Edital, caso não haja menção quanto ao prazo de validade</w:t>
      </w:r>
    </w:p>
    <w:p>
      <w:pPr>
        <w:outlineLvl w:val="1"/>
        <w:spacing w:before="120"/>
        <w:numPr>
          <w:ilvl w:val="1"/>
          <w:numId w:val="29"/>
        </w:numPr>
      </w:pPr>
      <w:r/>
      <w:r>
        <w:rPr>
          <w:b/>
          <w:sz w:val="19"/>
        </w:rPr>
        <w:t>Outras comprovações:</w:t>
      </w:r>
    </w:p>
    <w:p>
      <w:pPr>
        <w:jc w:val="both"/>
        <w:ind w:right="210"/>
        <w:spacing w:before="150" w:lineRule="auto" w:line="276"/>
        <w:numPr>
          <w:ilvl w:val="2"/>
          <w:numId w:val="29"/>
        </w:numPr>
      </w:pPr>
      <w:r/>
      <w:r>
        <w:rPr>
          <w:rFonts w:ascii="Arial MT" w:hAnsi="Arial MT" w:cs="Arial MT" w:eastAsia="Arial MT"/>
          <w:sz w:val="19"/>
        </w:rPr>
        <w:t xml:space="preserve"> Para comprovação de enquadramento de empresa ME ou EPP, beneficiárias da Lei Complementar nº 123/2006 suas alterações, a empresa deverá apresentar declaração firmada por seu representante legal, por contador ou certidão simplificada, expedida pela Junta Comercial, com prazo de validade de até </w:t>
      </w:r>
      <w:r>
        <w:rPr>
          <w:b/>
          <w:sz w:val="19"/>
        </w:rPr>
        <w:t xml:space="preserve">90 (noventa) dias </w:t>
      </w:r>
      <w:r>
        <w:rPr>
          <w:rFonts w:ascii="Arial MT" w:hAnsi="Arial MT" w:cs="Arial MT" w:eastAsia="Arial MT"/>
          <w:sz w:val="19"/>
        </w:rPr>
        <w:t>a contar da data de emissão.</w:t>
      </w:r>
    </w:p>
    <w:p>
      <w:pPr>
        <w:jc w:val="both"/>
        <w:spacing w:before="120"/>
        <w:numPr>
          <w:ilvl w:val="2"/>
          <w:numId w:val="29"/>
        </w:numPr>
      </w:pPr>
      <w:r/>
      <w:r>
        <w:rPr>
          <w:rFonts w:ascii="Arial MT" w:hAnsi="Arial MT" w:cs="Arial MT" w:eastAsia="Arial MT"/>
          <w:sz w:val="19"/>
        </w:rPr>
        <w:t xml:space="preserve"> Declaração de Responsabilidade Unificada, constante no Anexo III do presente instrumento.</w:t>
      </w:r>
    </w:p>
    <w:p>
      <w:pPr>
        <w:jc w:val="both"/>
        <w:ind w:right="210"/>
        <w:spacing w:before="150" w:lineRule="auto" w:line="276"/>
        <w:numPr>
          <w:ilvl w:val="3"/>
          <w:numId w:val="29"/>
        </w:numPr>
      </w:pPr>
      <w:r/>
      <w:r>
        <w:rPr>
          <w:rFonts w:ascii="Arial MT" w:hAnsi="Arial MT" w:cs="Arial MT" w:eastAsia="Arial MT"/>
          <w:sz w:val="19"/>
        </w:rPr>
        <w:t xml:space="preserve"> Em caso de incongruências no documento apresentado/anexado, o </w:t>
      </w:r>
      <w:r>
        <w:rPr>
          <w:b/>
          <w:sz w:val="19"/>
        </w:rPr>
        <w:t xml:space="preserve">Pregoeiro </w:t>
      </w:r>
      <w:r>
        <w:rPr>
          <w:rFonts w:ascii="Arial MT" w:hAnsi="Arial MT" w:cs="Arial MT" w:eastAsia="Arial MT"/>
          <w:sz w:val="19"/>
        </w:rPr>
        <w:t>poderá diligenciar a fim de solicitar manifestação do representante da empresa na Plataforma COMPRASBR, quanto às declarações contidas no referido termo;</w:t>
      </w:r>
    </w:p>
    <w:p>
      <w:pPr>
        <w:jc w:val="both"/>
        <w:ind w:right="210"/>
        <w:spacing w:before="120" w:lineRule="auto" w:line="276"/>
        <w:tabs>
          <w:tab w:val="left" w:pos="1650"/>
        </w:tabs>
        <w:numPr>
          <w:ilvl w:val="3"/>
          <w:numId w:val="29"/>
        </w:numPr>
      </w:pPr>
      <w:r/>
      <w:r>
        <w:rPr>
          <w:rFonts w:ascii="Arial MT" w:hAnsi="Arial MT" w:cs="Arial MT" w:eastAsia="Arial MT"/>
          <w:sz w:val="19"/>
        </w:rPr>
        <w:t xml:space="preserve"> O prazo para a manifestação indicada no subitem anterior será informado pelo </w:t>
      </w:r>
      <w:r>
        <w:rPr>
          <w:b/>
          <w:sz w:val="19"/>
        </w:rPr>
        <w:t xml:space="preserve">Pregoeiro </w:t>
      </w:r>
      <w:r>
        <w:rPr>
          <w:rFonts w:ascii="Arial MT" w:hAnsi="Arial MT" w:cs="Arial MT" w:eastAsia="Arial MT"/>
          <w:sz w:val="19"/>
        </w:rPr>
        <w:t>na Plataforma COMPRASBR;</w:t>
      </w:r>
    </w:p>
    <w:p>
      <w:pPr>
        <w:jc w:val="both"/>
        <w:spacing w:before="120"/>
        <w:numPr>
          <w:ilvl w:val="3"/>
          <w:numId w:val="29"/>
        </w:numPr>
      </w:pPr>
      <w:r/>
      <w:r>
        <w:rPr>
          <w:rFonts w:ascii="Arial MT" w:hAnsi="Arial MT" w:cs="Arial MT" w:eastAsia="Arial MT"/>
          <w:sz w:val="19"/>
        </w:rPr>
        <w:t>Manifestações encaminhadas fora do prazo estipulado no subitem anterior serão desconsideradas;</w:t>
      </w:r>
    </w:p>
    <w:p>
      <w:pPr>
        <w:jc w:val="both"/>
        <w:ind w:right="210"/>
        <w:spacing w:before="150" w:lineRule="auto" w:line="276"/>
        <w:numPr>
          <w:ilvl w:val="3"/>
          <w:numId w:val="29"/>
        </w:numPr>
      </w:pPr>
      <w:r/>
      <w:r>
        <w:rPr>
          <w:rFonts w:ascii="Arial MT" w:hAnsi="Arial MT" w:cs="Arial MT" w:eastAsia="Arial MT"/>
          <w:sz w:val="19"/>
        </w:rPr>
        <w:t>A diligência prevista no subitem 6.5.2.1 não se aplica para fornecedores que deixaram de anexar a Declaração de Responsabilidade Unificada.</w:t>
      </w:r>
    </w:p>
    <w:p>
      <w:pPr>
        <w:jc w:val="both"/>
        <w:outlineLvl w:val="1"/>
        <w:ind w:right="210"/>
        <w:spacing w:before="120" w:lineRule="auto" w:line="276"/>
        <w:tabs>
          <w:tab w:val="left" w:pos="1065"/>
        </w:tabs>
        <w:numPr>
          <w:ilvl w:val="2"/>
          <w:numId w:val="29"/>
        </w:numPr>
      </w:pPr>
      <w:r/>
      <w:r>
        <w:rPr>
          <w:b/>
          <w:sz w:val="19"/>
        </w:rPr>
        <w:t xml:space="preserve"> Instrumento de mandato respectivo: Procuração/credenciamento, conforme Anexo II, caso o responsável pela assinatura do documento não faça parte do quadro societário ou não esteja cadastrado como representante da empresa na Plataforma COMPRASBR.</w:t>
      </w:r>
    </w:p>
    <w:p>
      <w:pPr>
        <w:spacing w:before="15"/>
      </w:pPr>
      <w:r>
        <w:t/>
      </w:r>
    </w:p>
    <w:p>
      <w:pPr>
        <w:numPr>
          <w:ilvl w:val="1"/>
          <w:numId w:val="38"/>
        </w:numPr>
      </w:pPr>
      <w:r/>
      <w:r>
        <w:rPr>
          <w:b/>
          <w:sz w:val="19"/>
        </w:rPr>
        <w:t>Habilitação imediata dos Arrematantes</w:t>
      </w:r>
    </w:p>
    <w:p>
      <w:pPr>
        <w:jc w:val="both"/>
        <w:ind w:right="210"/>
        <w:spacing w:before="150" w:lineRule="auto" w:line="276"/>
        <w:numPr>
          <w:ilvl w:val="2"/>
          <w:numId w:val="38"/>
        </w:numPr>
      </w:pPr>
      <w:r/>
      <w:r>
        <w:rPr>
          <w:rFonts w:ascii="Arial MT" w:hAnsi="Arial MT" w:cs="Arial MT" w:eastAsia="Arial MT"/>
          <w:sz w:val="19"/>
        </w:rPr>
        <w:t xml:space="preserve">Os licitantes encaminharão os documentos de habilitação exigidos, exclusivamente por meio do sistema, devendo realizar </w:t>
      </w:r>
      <w:r>
        <w:rPr>
          <w:b/>
          <w:i/>
          <w:sz w:val="19"/>
        </w:rPr>
        <w:t xml:space="preserve">upload </w:t>
      </w:r>
      <w:r>
        <w:rPr>
          <w:b/>
          <w:sz w:val="19"/>
        </w:rPr>
        <w:t>dos documentos relacionados nos itens 6.2 a 6.5 deste edital</w:t>
      </w:r>
      <w:r>
        <w:rPr>
          <w:rFonts w:ascii="Arial MT" w:hAnsi="Arial MT" w:cs="Arial MT" w:eastAsia="Arial MT"/>
          <w:sz w:val="19"/>
        </w:rPr>
        <w:t xml:space="preserve">, no prazo de até 2 (duas) horas após a solicitação, que servirão para </w:t>
      </w:r>
      <w:r>
        <w:rPr>
          <w:b/>
          <w:u w:val="single"/>
          <w:sz w:val="19"/>
        </w:rPr>
        <w:t>adjudicação</w:t>
      </w:r>
      <w:r>
        <w:rPr>
          <w:rFonts w:ascii="Arial MT" w:hAnsi="Arial MT" w:cs="Arial MT" w:eastAsia="Arial MT"/>
          <w:sz w:val="19"/>
        </w:rPr>
        <w:t>, bem como para justificativa de possíveis desclassificações.</w:t>
      </w:r>
    </w:p>
    <w:p>
      <w:pPr>
        <w:jc w:val="both"/>
        <w:spacing w:before="120"/>
        <w:tabs>
          <w:tab w:val="left" w:pos="1710"/>
        </w:tabs>
        <w:numPr>
          <w:ilvl w:val="3"/>
          <w:numId w:val="38"/>
        </w:numPr>
      </w:pPr>
      <w:r/>
      <w:r>
        <w:rPr>
          <w:rFonts w:ascii="Arial MT" w:hAnsi="Arial MT" w:cs="Arial MT" w:eastAsia="Arial MT"/>
          <w:sz w:val="19"/>
        </w:rPr>
        <w:t>Esses documentos só estarão disponíveis aos licitantes após o encerramento da disputa do Pregão.</w:t>
      </w:r>
    </w:p>
    <w:p>
      <w:pPr>
        <w:jc w:val="both"/>
        <w:ind w:right="210"/>
        <w:spacing w:before="150" w:lineRule="auto" w:line="276"/>
        <w:numPr>
          <w:ilvl w:val="2"/>
          <w:numId w:val="38"/>
        </w:numPr>
      </w:pPr>
      <w:r/>
      <w:r>
        <w:rPr>
          <w:rFonts w:ascii="Arial MT" w:hAnsi="Arial MT" w:cs="Arial MT" w:eastAsia="Arial MT"/>
          <w:sz w:val="19"/>
        </w:rPr>
        <w:t xml:space="preserve"> Quando um item for arrematado, o Pregoeiro realizará a conferência da documentação para comprovação da habilitação.</w:t>
      </w:r>
    </w:p>
    <w:p>
      <w:pPr>
        <w:jc w:val="both"/>
        <w:ind w:right="210"/>
        <w:spacing w:before="120" w:lineRule="auto" w:line="276"/>
        <w:tabs>
          <w:tab w:val="left" w:pos="1740"/>
        </w:tabs>
        <w:numPr>
          <w:ilvl w:val="3"/>
          <w:numId w:val="38"/>
        </w:numPr>
      </w:pPr>
      <w:r/>
      <w:r>
        <w:rPr>
          <w:rFonts w:ascii="Arial MT" w:hAnsi="Arial MT" w:cs="Arial MT" w:eastAsia="Arial MT"/>
          <w:sz w:val="19"/>
        </w:rPr>
        <w:t>Na análise dos documentos de habilitação, o Pregoeiro poderá sanar erros ou falhas, que não alterem a substância dos documentos e sua validade jurídica, mediante decisão fundamentada, registrada em ata e acessível a todos, atribuindo-lhes eficácia para fins de habilitação e classificação.</w:t>
      </w:r>
    </w:p>
    <w:p>
      <w:pPr>
        <w:jc w:val="both"/>
        <w:ind w:right="210"/>
        <w:spacing w:before="105" w:lineRule="auto" w:line="276"/>
        <w:tabs>
          <w:tab w:val="left" w:pos="1710"/>
        </w:tabs>
        <w:numPr>
          <w:ilvl w:val="3"/>
          <w:numId w:val="38"/>
        </w:numPr>
      </w:pPr>
      <w:r/>
      <w:r>
        <w:rPr>
          <w:rFonts w:ascii="Arial MT" w:hAnsi="Arial MT" w:cs="Arial MT" w:eastAsia="Arial MT"/>
          <w:sz w:val="19"/>
        </w:rPr>
        <w:t>Documento ausente, que atesta condição de habilitação preexistente a abertura do certame, deverá ser solicitado e avaliado pelo Pregoeiro.</w:t>
      </w:r>
    </w:p>
    <w:p>
      <w:pPr>
        <w:jc w:val="both"/>
        <w:ind w:right="210"/>
        <w:spacing w:before="120" w:lineRule="auto" w:line="276"/>
        <w:numPr>
          <w:ilvl w:val="2"/>
          <w:numId w:val="38"/>
        </w:numPr>
      </w:pPr>
      <w:r/>
      <w:r>
        <w:rPr>
          <w:rFonts w:ascii="Arial MT" w:hAnsi="Arial MT" w:cs="Arial MT" w:eastAsia="Arial MT"/>
          <w:sz w:val="19"/>
        </w:rPr>
        <w:t xml:space="preserve"> Na hipótese de o licitante não atender às exigências para habilitação, mesmo após as devidas diligências, o Pregoeiro examinará a proposta subsequente e assim sucessivamente, na ordem de classificação, até a apuração de uma proposta em conformidade com o edital.</w:t>
      </w:r>
    </w:p>
    <w:p>
      <w:pPr>
        <w:jc w:val="both"/>
        <w:outlineLvl w:val="1"/>
        <w:ind w:right="210"/>
        <w:spacing w:before="120" w:lineRule="auto" w:line="276"/>
        <w:numPr>
          <w:ilvl w:val="2"/>
          <w:numId w:val="38"/>
        </w:numPr>
      </w:pPr>
      <w:r/>
      <w:r>
        <w:rPr>
          <w:b/>
          <w:sz w:val="19"/>
        </w:rPr>
        <w:t xml:space="preserve"> Estando a documentação de habilitação da licitante completa, correta, com observância de todos os dispositivos deste Edital e seus Anexos, o Pregoeiro considerará a proponente habilitada e vencedora do certame.</w:t>
      </w:r>
    </w:p>
    <w:p>
      <w:pPr>
        <w:jc w:val="both"/>
        <w:outlineLvl w:val="1"/>
        <w:ind w:left="495" w:right="210" w:firstLine="510"/>
        <w:spacing w:before="120" w:lineRule="auto" w:line="276"/>
      </w:pPr>
      <w:r>
        <w:t/>
      </w:r>
    </w:p>
    <w:p>
      <w:pPr>
        <w:spacing w:before="15"/>
      </w:pPr>
      <w:r>
        <w:drawing>
          <wp:inline distT="0" distB="0" distL="0" distR="0">
            <wp:extent cx="0" cy="0"/>
            <wp:effectExtent l="0" t="0" r="0" b="0"/>
            <wp:docPr id="17" name="Pic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7.emf"/>
                    <pic:cNvPicPr/>
                  </pic:nvPicPr>
                  <pic:blipFill>
                    <a:blip r:embed="prId16" cstate="print"/>
                    <a:stretch>
                      <a:fillRect/>
                    </a:stretch>
                  </pic:blipFill>
                  <pic:spPr>
                    <a:xfrm>
                      <a:off x="0" y="0"/>
                      <a:ext cx="0" cy="0"/>
                    </a:xfrm>
                    <a:prstGeom prst="rect">
                      <a:avLst/>
                    </a:prstGeom>
                  </pic:spPr>
                </pic:pic>
              </a:graphicData>
            </a:graphic>
          </wp:inline>
        </w:drawing>
      </w:r>
    </w:p>
    <w:p>
      <w:r>
        <w:drawing>
          <wp:inline distT="0" distB="0" distL="0" distR="0">
            <wp:extent cx="6838950" cy="247650"/>
            <wp:effectExtent l="0" t="0" r="0" b="0"/>
            <wp:docPr id="18" name="Pic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8.emf"/>
                    <pic:cNvPicPr/>
                  </pic:nvPicPr>
                  <pic:blipFill>
                    <a:blip r:embed="prId17" cstate="print"/>
                    <a:stretch>
                      <a:fillRect/>
                    </a:stretch>
                  </pic:blipFill>
                  <pic:spPr>
                    <a:xfrm>
                      <a:off x="0" y="0"/>
                      <a:ext cx="6838950" cy="247650"/>
                    </a:xfrm>
                    <a:prstGeom prst="rect">
                      <a:avLst/>
                    </a:prstGeom>
                  </pic:spPr>
                </pic:pic>
              </a:graphicData>
            </a:graphic>
          </wp:inline>
        </w:drawing>
      </w:r>
    </w:p>
    <w:p>
      <w:pPr>
        <w:spacing w:before="15"/>
      </w:pPr>
      <w:r>
        <w:t/>
      </w:r>
    </w:p>
    <w:p>
      <w:pPr>
        <w:jc w:val="both"/>
        <w:ind w:right="210"/>
        <w:spacing w:lineRule="auto" w:line="276"/>
        <w:numPr>
          <w:ilvl w:val="1"/>
          <w:numId w:val="14"/>
        </w:numPr>
      </w:pPr>
      <w:r/>
      <w:r>
        <w:rPr>
          <w:rFonts w:ascii="Arial MT" w:hAnsi="Arial MT" w:cs="Arial MT" w:eastAsia="Arial MT"/>
          <w:sz w:val="19"/>
        </w:rPr>
        <w:t>Sob pena de inabilitação, todos os documentos apresentados para a habilitação deverão estar em nome do licitante, dentro de seu prazo de validade e, preferencialmente, com o número do CNPJ e com o endereço respectivo.</w:t>
      </w:r>
    </w:p>
    <w:p>
      <w:pPr>
        <w:jc w:val="both"/>
        <w:ind w:right="210"/>
        <w:spacing w:before="120" w:lineRule="auto" w:line="276"/>
        <w:tabs>
          <w:tab w:val="left" w:pos="990"/>
        </w:tabs>
        <w:numPr>
          <w:ilvl w:val="2"/>
          <w:numId w:val="14"/>
        </w:numPr>
      </w:pPr>
      <w:r/>
      <w:r>
        <w:rPr>
          <w:rFonts w:ascii="Arial MT" w:hAnsi="Arial MT" w:cs="Arial MT" w:eastAsia="Arial MT"/>
          <w:sz w:val="19"/>
        </w:rPr>
        <w:t>Se a licitante for a matriz, todos os documentos deverão estar em nome da matriz, e se a licitante for a filial, todos os documentos deverão estar em nome da filial, exceto aqueles documentos que, pela própria natureza, comprovadamente, forem emitidos somente em nome da matriz;</w:t>
      </w:r>
    </w:p>
    <w:p>
      <w:pPr>
        <w:jc w:val="both"/>
        <w:ind w:right="210"/>
        <w:spacing w:before="120" w:lineRule="auto" w:line="276"/>
        <w:tabs>
          <w:tab w:val="left" w:pos="1005"/>
        </w:tabs>
        <w:numPr>
          <w:ilvl w:val="2"/>
          <w:numId w:val="14"/>
        </w:numPr>
      </w:pPr>
      <w:r/>
      <w:r>
        <w:rPr>
          <w:rFonts w:ascii="Arial MT" w:hAnsi="Arial MT" w:cs="Arial MT" w:eastAsia="Arial MT"/>
          <w:sz w:val="19"/>
        </w:rPr>
        <w:t>Serão aceitos registros de CNPJ de fornecedor matriz e filial com diferenças de números de documentos pertinentes à Certidão Negativa de Débitos e ao CRF/FGTS, quando for comprovada a centralização do recolhimento dessas contribuições.</w:t>
      </w:r>
    </w:p>
    <w:p>
      <w:pPr>
        <w:jc w:val="both"/>
        <w:ind w:left="165"/>
        <w:spacing w:before="120"/>
      </w:pPr>
      <w:r>
        <w:rPr>
          <w:b/>
          <w:sz w:val="19"/>
        </w:rPr>
        <w:t xml:space="preserve">7.2. </w:t>
      </w:r>
      <w:r>
        <w:rPr>
          <w:rFonts w:ascii="Arial MT" w:hAnsi="Arial MT" w:cs="Arial MT" w:eastAsia="Arial MT"/>
          <w:sz w:val="19"/>
        </w:rPr>
        <w:t>A documentação exigida deverá ser obrigatoriamente da empresa que lançará a Nota Fiscal/Fatura.</w:t>
      </w:r>
    </w:p>
    <w:p>
      <w:pPr>
        <w:jc w:val="both"/>
        <w:ind w:right="210"/>
        <w:spacing w:before="150" w:lineRule="auto" w:line="276"/>
        <w:numPr>
          <w:ilvl w:val="1"/>
          <w:numId w:val="34"/>
        </w:numPr>
      </w:pPr>
      <w:r/>
      <w:r>
        <w:rPr>
          <w:rFonts w:ascii="Arial MT" w:hAnsi="Arial MT" w:cs="Arial MT" w:eastAsia="Arial MT"/>
          <w:sz w:val="19"/>
        </w:rPr>
        <w:t>As Microempresas e Empresas de Pequeno Porte, por ocasião da participação em contratações públicas, deverão apresentar toda a documentação exigida para efeito de comprovação de regularidade fiscal, mesmo que esta apresente alguma restrição.</w:t>
      </w:r>
    </w:p>
    <w:p>
      <w:pPr>
        <w:jc w:val="both"/>
        <w:ind w:right="210"/>
        <w:spacing w:before="120" w:lineRule="auto" w:line="276"/>
        <w:tabs>
          <w:tab w:val="left" w:pos="990"/>
        </w:tabs>
        <w:numPr>
          <w:ilvl w:val="2"/>
          <w:numId w:val="34"/>
        </w:numPr>
      </w:pPr>
      <w:r/>
      <w:r>
        <w:rPr>
          <w:rFonts w:ascii="Arial MT" w:hAnsi="Arial MT" w:cs="Arial MT" w:eastAsia="Arial MT"/>
          <w:sz w:val="19"/>
        </w:rPr>
        <w:t xml:space="preserve">Havendo alguma restrição na comprovação da regularidade fiscal e trabalhista, será assegurado o prazo de </w:t>
      </w:r>
      <w:r>
        <w:rPr>
          <w:b/>
          <w:sz w:val="19"/>
        </w:rPr>
        <w:t>05 (cinco) dias úteis</w:t>
      </w:r>
      <w:r>
        <w:rPr>
          <w:rFonts w:ascii="Arial MT" w:hAnsi="Arial MT" w:cs="Arial MT" w:eastAsia="Arial MT"/>
          <w:sz w:val="19"/>
        </w:rPr>
        <w:t>, cujo termo inicial corresponderá ao momento em que o participante for declarado o vencedor do certame, prorrogáveis por igual período, a critério da Administração Pública, para a regularização da documentação, pagamento ou parcelamento do débito, e emissão de eventuais certidões negativas ou positivas com efeito de certidão negativa;</w:t>
      </w:r>
    </w:p>
    <w:p>
      <w:pPr>
        <w:jc w:val="both"/>
        <w:ind w:right="210"/>
        <w:spacing w:before="120" w:lineRule="auto" w:line="276"/>
        <w:tabs>
          <w:tab w:val="left" w:pos="1005"/>
        </w:tabs>
        <w:numPr>
          <w:ilvl w:val="2"/>
          <w:numId w:val="34"/>
        </w:numPr>
      </w:pPr>
      <w:r/>
      <w:r>
        <w:rPr>
          <w:rFonts w:ascii="Arial MT" w:hAnsi="Arial MT" w:cs="Arial MT" w:eastAsia="Arial MT"/>
          <w:sz w:val="19"/>
        </w:rPr>
        <w:t>A não regularização da documentação, no prazo previsto no item 7.3.1, implicará decadência do direito à contratação, sendo facultado à Administração convocar os participantes remanescentes, na ordem de classificação.</w:t>
      </w:r>
    </w:p>
    <w:p>
      <w:pPr>
        <w:jc w:val="both"/>
        <w:ind w:right="210"/>
        <w:spacing w:before="120" w:lineRule="auto" w:line="276"/>
        <w:tabs>
          <w:tab w:val="left" w:pos="525"/>
        </w:tabs>
        <w:numPr>
          <w:ilvl w:val="1"/>
          <w:numId w:val="34"/>
        </w:numPr>
      </w:pPr>
      <w:r/>
      <w:r>
        <w:rPr>
          <w:rFonts w:ascii="Arial MT" w:hAnsi="Arial MT" w:cs="Arial MT" w:eastAsia="Arial MT"/>
          <w:sz w:val="19"/>
        </w:rPr>
        <w:t>Havendo a necessidade de envio de documentos de habilitação complementares, necessários à confirmação daqueles exigidos neste Edital de Licitação e já apresentados, a licitante será convocada a encaminhá-los, em formato digital, após solicitação da Administração, sob pena de inabilitação.</w:t>
      </w:r>
    </w:p>
    <w:p>
      <w:pPr>
        <w:jc w:val="both"/>
        <w:ind w:right="210"/>
        <w:spacing w:before="105" w:lineRule="auto" w:line="276"/>
        <w:tabs>
          <w:tab w:val="left" w:pos="525"/>
        </w:tabs>
        <w:numPr>
          <w:ilvl w:val="1"/>
          <w:numId w:val="34"/>
        </w:numPr>
      </w:pPr>
      <w:r/>
      <w:r>
        <w:rPr>
          <w:rFonts w:ascii="Arial MT" w:hAnsi="Arial MT" w:cs="Arial MT" w:eastAsia="Arial MT"/>
          <w:sz w:val="19"/>
        </w:rPr>
        <w:t>Havendo necessidade de analisar minuciosamente os documentos exigidos, a sessão será suspensa, sendo informada a nova data e horário para a sua continuidade.</w:t>
      </w:r>
    </w:p>
    <w:p>
      <w:pPr>
        <w:jc w:val="both"/>
        <w:ind w:right="210"/>
        <w:spacing w:before="120" w:lineRule="auto" w:line="264"/>
        <w:numPr>
          <w:ilvl w:val="1"/>
          <w:numId w:val="34"/>
        </w:numPr>
      </w:pPr>
      <w:r/>
      <w:r>
        <w:rPr>
          <w:rFonts w:ascii="Arial MT" w:hAnsi="Arial MT" w:cs="Arial MT" w:eastAsia="Arial MT"/>
          <w:sz w:val="19"/>
        </w:rPr>
        <w:t>Será inabilitado o licitante que não comprovar sua habilitação, seja por não apresentar quaisquer dos documentos exigidos, ou apresentá-los em desacordo com o estabelecido neste Edital.</w:t>
      </w:r>
    </w:p>
    <w:p>
      <w:pPr>
        <w:jc w:val="both"/>
        <w:ind w:left="495" w:right="210"/>
        <w:spacing w:before="120" w:lineRule="auto" w:line="276"/>
      </w:pPr>
      <w:r>
        <w:rPr>
          <w:b/>
          <w:sz w:val="19"/>
        </w:rPr>
        <w:t xml:space="preserve">7.6.1. </w:t>
      </w:r>
      <w:r>
        <w:rPr>
          <w:rFonts w:ascii="Arial MT" w:hAnsi="Arial MT" w:cs="Arial MT" w:eastAsia="Arial MT"/>
          <w:sz w:val="19"/>
        </w:rPr>
        <w:t>Na hipótese de o licitante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jc w:val="both"/>
        <w:spacing w:before="120"/>
        <w:numPr>
          <w:ilvl w:val="1"/>
          <w:numId w:val="34"/>
        </w:numPr>
      </w:pPr>
      <w:r/>
      <w:r>
        <w:rPr>
          <w:rFonts w:ascii="Arial MT" w:hAnsi="Arial MT" w:cs="Arial MT" w:eastAsia="Arial MT"/>
          <w:sz w:val="19"/>
        </w:rPr>
        <w:t>Constatado o atendimento às exigências de habilitação, o licitante será habilitado.</w:t>
      </w:r>
    </w:p>
    <w:p>
      <w:pPr>
        <w:spacing w:before="15"/>
      </w:pPr>
      <w:r>
        <w:drawing>
          <wp:inline distT="0" distB="0" distL="0" distR="0">
            <wp:extent cx="0" cy="0"/>
            <wp:effectExtent l="0" t="0" r="0" b="0"/>
            <wp:docPr id="19" name="Pic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9.emf"/>
                    <pic:cNvPicPr/>
                  </pic:nvPicPr>
                  <pic:blipFill>
                    <a:blip r:embed="prId18" cstate="print"/>
                    <a:stretch>
                      <a:fillRect/>
                    </a:stretch>
                  </pic:blipFill>
                  <pic:spPr>
                    <a:xfrm>
                      <a:off x="0" y="0"/>
                      <a:ext cx="0" cy="0"/>
                    </a:xfrm>
                    <a:prstGeom prst="rect">
                      <a:avLst/>
                    </a:prstGeom>
                  </pic:spPr>
                </pic:pic>
              </a:graphicData>
            </a:graphic>
          </wp:inline>
        </w:drawing>
      </w:r>
    </w:p>
    <w:p>
      <w:pPr>
        <w:spacing w:before="15"/>
      </w:pPr>
      <w:r>
        <w:t/>
      </w:r>
    </w:p>
    <w:p>
      <w:pPr>
        <w:spacing w:before="15"/>
      </w:pPr>
      <w:r>
        <w:drawing>
          <wp:inline distT="0" distB="0" distL="0" distR="0">
            <wp:extent cx="6896100" cy="219075"/>
            <wp:effectExtent l="0" t="0" r="0" b="0"/>
            <wp:docPr id="20" name="Pic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0.emf"/>
                    <pic:cNvPicPr/>
                  </pic:nvPicPr>
                  <pic:blipFill>
                    <a:blip r:embed="prId19" cstate="print"/>
                    <a:stretch>
                      <a:fillRect/>
                    </a:stretch>
                  </pic:blipFill>
                  <pic:spPr>
                    <a:xfrm>
                      <a:off x="0" y="0"/>
                      <a:ext cx="6896100" cy="219075"/>
                    </a:xfrm>
                    <a:prstGeom prst="rect">
                      <a:avLst/>
                    </a:prstGeom>
                  </pic:spPr>
                </pic:pic>
              </a:graphicData>
            </a:graphic>
          </wp:inline>
        </w:drawing>
      </w:r>
    </w:p>
    <w:p>
      <w:pPr>
        <w:spacing w:before="15"/>
      </w:pPr>
      <w:r>
        <w:t/>
      </w:r>
    </w:p>
    <w:p>
      <w:pPr>
        <w:jc w:val="both"/>
        <w:ind w:right="210"/>
        <w:spacing w:before="90" w:lineRule="auto" w:line="276"/>
        <w:numPr>
          <w:ilvl w:val="1"/>
          <w:numId w:val="19"/>
        </w:numPr>
      </w:pPr>
      <w:r/>
      <w:r>
        <w:rPr>
          <w:rFonts w:ascii="Arial MT" w:hAnsi="Arial MT" w:cs="Arial MT" w:eastAsia="Arial MT"/>
          <w:sz w:val="19"/>
        </w:rPr>
        <w:t>Qualquer pessoa é parte legítima para impugnar o presente Edital por irregularidade na aplicação da Lei Federal nº 14.133/2021, ou para solicitar esclarecimentos e providências sobre os seus termos.</w:t>
      </w:r>
    </w:p>
    <w:p>
      <w:pPr>
        <w:spacing w:before="15"/>
      </w:pPr>
      <w:r>
        <w:t/>
      </w:r>
    </w:p>
    <w:p>
      <w:pPr>
        <w:jc w:val="both"/>
        <w:ind w:right="210"/>
        <w:spacing w:lineRule="auto" w:line="276"/>
        <w:tabs>
          <w:tab w:val="left" w:pos="510"/>
        </w:tabs>
        <w:numPr>
          <w:ilvl w:val="1"/>
          <w:numId w:val="19"/>
        </w:numPr>
      </w:pPr>
      <w:r/>
      <w:r>
        <w:rPr>
          <w:rFonts w:ascii="Arial MT" w:hAnsi="Arial MT" w:cs="Arial MT" w:eastAsia="Arial MT"/>
          <w:sz w:val="19"/>
        </w:rPr>
        <w:t xml:space="preserve">As impugnações e os pedidos de esclarecimento deverão ser encaminhados por meio eletrônico, em campo específico da plataforma COMPRASBR, em </w:t>
      </w:r>
      <w:r>
        <w:rPr>
          <w:b/>
          <w:u w:val="single"/>
          <w:sz w:val="19"/>
        </w:rPr>
        <w:t>até 03 (três) dias úteis anteriores à data fixada para a abertura da sessão</w:t>
      </w:r>
      <w:r>
        <w:rPr>
          <w:b/>
          <w:sz w:val="19"/>
        </w:rPr>
        <w:t xml:space="preserve"> </w:t>
      </w:r>
      <w:r>
        <w:rPr>
          <w:b/>
          <w:u w:val="single"/>
          <w:sz w:val="19"/>
        </w:rPr>
        <w:t>pública.</w:t>
      </w:r>
    </w:p>
    <w:p>
      <w:pPr>
        <w:spacing w:before="15"/>
      </w:pPr>
      <w:r>
        <w:t/>
      </w:r>
    </w:p>
    <w:p>
      <w:pPr>
        <w:spacing w:before="90"/>
        <w:tabs>
          <w:tab w:val="left" w:pos="930"/>
        </w:tabs>
        <w:numPr>
          <w:ilvl w:val="1"/>
          <w:numId w:val="19"/>
        </w:numPr>
      </w:pPr>
      <w:r/>
      <w:r>
        <w:rPr>
          <w:rFonts w:ascii="Arial MT" w:hAnsi="Arial MT" w:cs="Arial MT" w:eastAsia="Arial MT"/>
          <w:sz w:val="19"/>
        </w:rPr>
        <w:t xml:space="preserve">As impugnações e os pedidos de esclarecimentos </w:t>
      </w:r>
      <w:r>
        <w:rPr>
          <w:rFonts w:ascii="Arial MT" w:hAnsi="Arial MT" w:cs="Arial MT" w:eastAsia="Arial MT"/>
          <w:u w:val="single"/>
          <w:sz w:val="19"/>
        </w:rPr>
        <w:t>não</w:t>
      </w:r>
      <w:r>
        <w:rPr>
          <w:rFonts w:ascii="Arial MT" w:hAnsi="Arial MT" w:cs="Arial MT" w:eastAsia="Arial MT"/>
          <w:sz w:val="19"/>
        </w:rPr>
        <w:t xml:space="preserve"> suspendem os prazos previstos no certame.</w:t>
      </w:r>
    </w:p>
    <w:p>
      <w:pPr>
        <w:jc w:val="both"/>
        <w:spacing w:before="15"/>
      </w:pPr>
      <w:r>
        <w:t/>
      </w:r>
    </w:p>
    <w:p>
      <w:pPr>
        <w:jc w:val="both"/>
        <w:ind w:right="210"/>
        <w:spacing w:lineRule="auto" w:line="264"/>
        <w:tabs>
          <w:tab w:val="left" w:pos="1020"/>
        </w:tabs>
        <w:numPr>
          <w:ilvl w:val="2"/>
          <w:numId w:val="19"/>
        </w:numPr>
      </w:pPr>
      <w:r/>
      <w:r>
        <w:rPr>
          <w:rFonts w:ascii="Arial MT" w:hAnsi="Arial MT" w:cs="Arial MT" w:eastAsia="Arial MT"/>
          <w:sz w:val="19"/>
        </w:rPr>
        <w:t>A concessão de efeito suspensivo à impugnação é medida excepcional e deverá ser motivada pelo (a) Pregoeiro (a), nos autos do processo de licitação.</w:t>
      </w:r>
    </w:p>
    <w:p>
      <w:pPr>
        <w:jc w:val="both"/>
        <w:spacing w:before="15"/>
      </w:pPr>
      <w:r>
        <w:t/>
      </w:r>
    </w:p>
    <w:p>
      <w:pPr>
        <w:jc w:val="both"/>
        <w:ind w:right="210"/>
        <w:spacing w:lineRule="auto" w:line="276"/>
        <w:tabs>
          <w:tab w:val="left" w:pos="570"/>
        </w:tabs>
        <w:numPr>
          <w:ilvl w:val="1"/>
          <w:numId w:val="19"/>
        </w:numPr>
      </w:pPr>
      <w:r/>
      <w:r>
        <w:rPr>
          <w:rFonts w:ascii="Arial MT" w:hAnsi="Arial MT" w:cs="Arial MT" w:eastAsia="Arial MT"/>
          <w:sz w:val="19"/>
        </w:rPr>
        <w:t xml:space="preserve">O Pregoeiro deverá julgar as impugnações e responder aos pedidos de esclarecimento em até </w:t>
      </w:r>
      <w:r>
        <w:rPr>
          <w:b/>
          <w:sz w:val="19"/>
        </w:rPr>
        <w:t>03 (três) dias úteis</w:t>
      </w:r>
      <w:r>
        <w:rPr>
          <w:rFonts w:ascii="Arial MT" w:hAnsi="Arial MT" w:cs="Arial MT" w:eastAsia="Arial MT"/>
          <w:sz w:val="19"/>
        </w:rPr>
        <w:t>, contados da data de seu recebimento, limitado ao último dia útil anterior à data de abertura do certame, podendo, para tanto, requisitar subsídios formais ao setor técnico competente.</w:t>
      </w:r>
    </w:p>
    <w:p>
      <w:pPr>
        <w:spacing w:before="15"/>
      </w:pPr>
      <w:r>
        <w:t/>
      </w:r>
    </w:p>
    <w:p>
      <w:pPr>
        <w:jc w:val="both"/>
        <w:ind w:right="210"/>
        <w:spacing w:lineRule="auto" w:line="276"/>
        <w:numPr>
          <w:ilvl w:val="1"/>
          <w:numId w:val="19"/>
        </w:numPr>
      </w:pPr>
      <w:r/>
      <w:r>
        <w:rPr>
          <w:rFonts w:ascii="Arial MT" w:hAnsi="Arial MT" w:cs="Arial MT" w:eastAsia="Arial MT"/>
          <w:sz w:val="19"/>
        </w:rPr>
        <w:t>A resposta à impugnação ou ao pedido de esclarecimento será divulgada pelo sistema e vinculará os participantes e a Administração.</w:t>
      </w:r>
    </w:p>
    <w:p>
      <w:pPr>
        <w:spacing w:before="15"/>
      </w:pPr>
      <w:r>
        <w:t/>
      </w:r>
    </w:p>
    <w:p>
      <w:pPr>
        <w:jc w:val="both"/>
        <w:ind w:right="210"/>
        <w:spacing w:before="15" w:lineRule="auto" w:line="264"/>
        <w:numPr>
          <w:ilvl w:val="1"/>
          <w:numId w:val="19"/>
        </w:numPr>
      </w:pPr>
      <w:r/>
      <w:r>
        <w:rPr>
          <w:rFonts w:ascii="Arial MT" w:hAnsi="Arial MT" w:cs="Arial MT" w:eastAsia="Arial MT"/>
          <w:sz w:val="19"/>
        </w:rPr>
        <w:t>Acolhida a impugnação, será definida e publicada nova data para a realização do certame, respeitando o disposto no §1º, do art. 55, da Lei nº 14.133/2021.</w:t>
      </w:r>
    </w:p>
    <w:p>
      <w:pPr>
        <w:spacing w:before="15"/>
      </w:pPr>
      <w:r>
        <w:drawing>
          <wp:inline distT="0" distB="0" distL="0" distR="0">
            <wp:extent cx="0" cy="0"/>
            <wp:effectExtent l="0" t="0" r="0" b="0"/>
            <wp:docPr id="21" name="Pic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1.emf"/>
                    <pic:cNvPicPr/>
                  </pic:nvPicPr>
                  <pic:blipFill>
                    <a:blip r:embed="prId20" cstate="print"/>
                    <a:stretch>
                      <a:fillRect/>
                    </a:stretch>
                  </pic:blipFill>
                  <pic:spPr>
                    <a:xfrm>
                      <a:off x="0" y="0"/>
                      <a:ext cx="0" cy="0"/>
                    </a:xfrm>
                    <a:prstGeom prst="rect">
                      <a:avLst/>
                    </a:prstGeom>
                  </pic:spPr>
                </pic:pic>
              </a:graphicData>
            </a:graphic>
          </wp:inline>
        </w:drawing>
      </w:r>
    </w:p>
    <w:p>
      <w:pPr>
        <w:spacing w:before="15"/>
      </w:pPr>
      <w:r>
        <w:t/>
      </w:r>
    </w:p>
    <w:p>
      <w:pPr>
        <w:spacing w:before="15"/>
      </w:pPr>
      <w:r>
        <w:drawing>
          <wp:inline distT="0" distB="0" distL="0" distR="0">
            <wp:extent cx="6838950" cy="200025"/>
            <wp:effectExtent l="0" t="0" r="0" b="0"/>
            <wp:docPr id="22" name="Pic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2.emf"/>
                    <pic:cNvPicPr/>
                  </pic:nvPicPr>
                  <pic:blipFill>
                    <a:blip r:embed="prId21" cstate="print"/>
                    <a:stretch>
                      <a:fillRect/>
                    </a:stretch>
                  </pic:blipFill>
                  <pic:spPr>
                    <a:xfrm>
                      <a:off x="0" y="0"/>
                      <a:ext cx="6838950" cy="200025"/>
                    </a:xfrm>
                    <a:prstGeom prst="rect">
                      <a:avLst/>
                    </a:prstGeom>
                  </pic:spPr>
                </pic:pic>
              </a:graphicData>
            </a:graphic>
          </wp:inline>
        </w:drawing>
      </w:r>
    </w:p>
    <w:p>
      <w:pPr>
        <w:jc w:val="both"/>
        <w:ind w:right="210"/>
        <w:spacing w:before="90" w:lineRule="auto" w:line="264"/>
        <w:numPr>
          <w:ilvl w:val="1"/>
          <w:numId w:val="27"/>
        </w:numPr>
      </w:pPr>
      <w:r/>
      <w:r>
        <w:rPr>
          <w:rFonts w:ascii="Arial MT" w:hAnsi="Arial MT" w:cs="Arial MT" w:eastAsia="Arial MT"/>
          <w:sz w:val="19"/>
        </w:rPr>
        <w:t>A interposição de recurso referente ao julgamento das propostas, à habilitação ou inabilitação de licitantes, à anulação ou revogação da licitação, observará o disposto no art. 165, da Lei nº 14.133, de 2021.</w:t>
      </w:r>
    </w:p>
    <w:p>
      <w:pPr>
        <w:jc w:val="both"/>
        <w:ind w:right="210"/>
        <w:spacing w:before="120" w:lineRule="auto" w:line="276"/>
        <w:numPr>
          <w:ilvl w:val="1"/>
          <w:numId w:val="27"/>
        </w:numPr>
      </w:pPr>
      <w:r/>
      <w:r>
        <w:rPr>
          <w:rFonts w:ascii="Arial MT" w:hAnsi="Arial MT" w:cs="Arial MT" w:eastAsia="Arial MT"/>
          <w:sz w:val="19"/>
        </w:rPr>
        <w:t>Após a empresa arrematante ser declarada vencedora e provisoriamente habilitada, o Pregoeiro abrirá prazo de 2</w:t>
      </w:r>
      <w:r>
        <w:rPr>
          <w:b/>
          <w:sz w:val="19"/>
        </w:rPr>
        <w:t>0 (vinte) minutos</w:t>
      </w:r>
      <w:r>
        <w:rPr>
          <w:rFonts w:ascii="Arial MT" w:hAnsi="Arial MT" w:cs="Arial MT" w:eastAsia="Arial MT"/>
          <w:sz w:val="19"/>
        </w:rPr>
        <w:t xml:space="preserve">, durante o qual o licitante poderá, </w:t>
      </w:r>
      <w:r>
        <w:rPr>
          <w:b/>
          <w:sz w:val="19"/>
        </w:rPr>
        <w:t xml:space="preserve">exclusivamente via Sistema COMPRASBR, </w:t>
      </w:r>
      <w:r>
        <w:rPr>
          <w:rFonts w:ascii="Arial MT" w:hAnsi="Arial MT" w:cs="Arial MT" w:eastAsia="Arial MT"/>
          <w:sz w:val="19"/>
        </w:rPr>
        <w:t>de forma imediata e motivada, manifestar sua intenção de recurso.</w:t>
      </w:r>
    </w:p>
    <w:p>
      <w:pPr>
        <w:jc w:val="both"/>
        <w:ind w:right="210"/>
        <w:spacing w:before="120" w:lineRule="auto" w:line="276"/>
        <w:numPr>
          <w:ilvl w:val="2"/>
          <w:numId w:val="27"/>
        </w:numPr>
      </w:pPr>
      <w:r/>
      <w:r>
        <w:rPr>
          <w:rFonts w:ascii="Arial MT" w:hAnsi="Arial MT" w:cs="Arial MT" w:eastAsia="Arial MT"/>
          <w:sz w:val="19"/>
        </w:rPr>
        <w:t>Caberá ao Pregoeiro verificar a tempestividade e a existência de motivação da intenção de recorrer, para decidir se admite ou não o recurso, fundamentadamente.</w:t>
      </w:r>
    </w:p>
    <w:p>
      <w:pPr>
        <w:jc w:val="both"/>
        <w:ind w:right="210"/>
        <w:spacing w:before="120" w:lineRule="auto" w:line="276"/>
        <w:numPr>
          <w:ilvl w:val="2"/>
          <w:numId w:val="27"/>
        </w:numPr>
      </w:pPr>
      <w:r/>
      <w:r>
        <w:rPr>
          <w:rFonts w:ascii="Arial MT" w:hAnsi="Arial MT" w:cs="Arial MT" w:eastAsia="Arial MT"/>
          <w:sz w:val="19"/>
        </w:rPr>
        <w:t>A falta de manifestação motivada do licitante quanto à intenção de recorrer importará na decadência desse direito.</w:t>
      </w:r>
    </w:p>
    <w:p>
      <w:pPr>
        <w:jc w:val="both"/>
        <w:ind w:right="210"/>
        <w:spacing w:before="120" w:lineRule="auto" w:line="264"/>
        <w:numPr>
          <w:ilvl w:val="1"/>
          <w:numId w:val="27"/>
        </w:numPr>
      </w:pPr>
      <w:r/>
      <w:r>
        <w:rPr>
          <w:rFonts w:ascii="Arial MT" w:hAnsi="Arial MT" w:cs="Arial MT" w:eastAsia="Arial MT"/>
          <w:sz w:val="19"/>
        </w:rPr>
        <w:t xml:space="preserve">Uma vez admitido o recurso, o recorrente terá, a partir de então, o prazo de </w:t>
      </w:r>
      <w:r>
        <w:rPr>
          <w:b/>
          <w:sz w:val="19"/>
        </w:rPr>
        <w:t xml:space="preserve">03 (três) dias úteis </w:t>
      </w:r>
      <w:r>
        <w:rPr>
          <w:rFonts w:ascii="Arial MT" w:hAnsi="Arial MT" w:cs="Arial MT" w:eastAsia="Arial MT"/>
          <w:sz w:val="19"/>
        </w:rPr>
        <w:t>para apresentar as razões recursais, exclusivamente pelo sistema eletrônico.</w:t>
      </w:r>
    </w:p>
    <w:p>
      <w:pPr>
        <w:jc w:val="both"/>
        <w:ind w:right="210"/>
        <w:spacing w:before="120" w:lineRule="auto" w:line="276"/>
        <w:numPr>
          <w:ilvl w:val="1"/>
          <w:numId w:val="27"/>
        </w:numPr>
      </w:pPr>
      <w:r/>
      <w:r>
        <w:rPr>
          <w:rFonts w:ascii="Arial MT" w:hAnsi="Arial MT" w:cs="Arial MT" w:eastAsia="Arial MT"/>
          <w:sz w:val="19"/>
        </w:rPr>
        <w:t xml:space="preserve">O prazo para apresentação de contrarrazões ao recurso pelos demais licitantes será de </w:t>
      </w:r>
      <w:r>
        <w:rPr>
          <w:b/>
          <w:sz w:val="19"/>
        </w:rPr>
        <w:t>3 (três) dias úteis</w:t>
      </w:r>
      <w:r>
        <w:rPr>
          <w:rFonts w:ascii="Arial MT" w:hAnsi="Arial MT" w:cs="Arial MT" w:eastAsia="Arial MT"/>
          <w:sz w:val="19"/>
        </w:rPr>
        <w:t>, contados da data da intimação pessoal ou da divulgação da interposição do recurso, também exclusivamente pelo sistema eletrônico, assegurada a vista imediata dos elementos indispensáveis à defesa de seus interesses.</w:t>
      </w:r>
    </w:p>
    <w:p>
      <w:pPr>
        <w:jc w:val="both"/>
        <w:ind w:left="165" w:right="210"/>
        <w:spacing w:before="120" w:lineRule="auto" w:line="276"/>
      </w:pPr>
      <w:r>
        <w:rPr>
          <w:b/>
          <w:sz w:val="19"/>
        </w:rPr>
        <w:t xml:space="preserve">9.5. </w:t>
      </w:r>
      <w:r>
        <w:rPr>
          <w:rFonts w:ascii="Arial MT" w:hAnsi="Arial MT" w:cs="Arial MT" w:eastAsia="Arial MT"/>
          <w:sz w:val="19"/>
        </w:rPr>
        <w:t xml:space="preserve">O recurso será dirigido à autoridade que tiver editado o ato ou proferido a decisão recorrida, a qual poderá reconsiderar sua decisão no prazo de </w:t>
      </w:r>
      <w:r>
        <w:rPr>
          <w:b/>
          <w:sz w:val="19"/>
        </w:rPr>
        <w:t>3 (três) dias úteis</w:t>
      </w:r>
      <w:r>
        <w:rPr>
          <w:rFonts w:ascii="Arial MT" w:hAnsi="Arial MT" w:cs="Arial MT" w:eastAsia="Arial MT"/>
          <w:sz w:val="19"/>
        </w:rPr>
        <w:t xml:space="preserve">, ou, nesse mesmo prazo, submeter o processo à Autoridade Superior, a qual deverá proferir sua decisão no prazo de </w:t>
      </w:r>
      <w:r>
        <w:rPr>
          <w:b/>
          <w:sz w:val="19"/>
        </w:rPr>
        <w:t>10 (dez) dias úteis</w:t>
      </w:r>
      <w:r>
        <w:rPr>
          <w:rFonts w:ascii="Arial MT" w:hAnsi="Arial MT" w:cs="Arial MT" w:eastAsia="Arial MT"/>
          <w:sz w:val="19"/>
        </w:rPr>
        <w:t>, contados do recebimento dos autos.</w:t>
      </w:r>
    </w:p>
    <w:p>
      <w:pPr>
        <w:jc w:val="both"/>
        <w:ind w:right="210"/>
        <w:spacing w:before="120" w:lineRule="auto" w:line="276"/>
        <w:numPr>
          <w:ilvl w:val="1"/>
          <w:numId w:val="17"/>
        </w:numPr>
      </w:pPr>
      <w:r/>
      <w:r>
        <w:rPr>
          <w:rFonts w:ascii="Arial MT" w:hAnsi="Arial MT" w:cs="Arial MT" w:eastAsia="Arial MT"/>
          <w:sz w:val="19"/>
        </w:rPr>
        <w:t>Não serão conhecidos os recursos apresentados fora do prazo legal e/ou subscritos por representante não habilitado ou não identificado no processo para responder pela proponente.</w:t>
      </w:r>
    </w:p>
    <w:p>
      <w:pPr>
        <w:jc w:val="both"/>
        <w:ind w:right="210"/>
        <w:spacing w:before="120" w:lineRule="auto" w:line="264"/>
        <w:tabs>
          <w:tab w:val="left" w:pos="540"/>
        </w:tabs>
        <w:numPr>
          <w:ilvl w:val="1"/>
          <w:numId w:val="17"/>
        </w:numPr>
      </w:pPr>
      <w:r/>
      <w:r>
        <w:rPr>
          <w:rFonts w:ascii="Arial MT" w:hAnsi="Arial MT" w:cs="Arial MT" w:eastAsia="Arial MT"/>
          <w:sz w:val="19"/>
        </w:rPr>
        <w:t>O recurso e o pedido de reconsideração terão efeito suspensivo do ato ou da decisão recorrida até que sobrevenha decisão final da autoridade competente.</w:t>
      </w:r>
    </w:p>
    <w:p>
      <w:pPr>
        <w:jc w:val="both"/>
        <w:spacing w:before="120"/>
        <w:numPr>
          <w:ilvl w:val="1"/>
          <w:numId w:val="17"/>
        </w:numPr>
      </w:pPr>
      <w:r/>
      <w:r>
        <w:rPr>
          <w:rFonts w:ascii="Arial MT" w:hAnsi="Arial MT" w:cs="Arial MT" w:eastAsia="Arial MT"/>
          <w:sz w:val="19"/>
        </w:rPr>
        <w:t>O acolhimento do recurso invalida tão somente os atos insuscetíveis de aproveitamento.</w:t>
      </w:r>
    </w:p>
    <w:p>
      <w:pPr>
        <w:spacing w:before="15"/>
      </w:pPr>
      <w:r>
        <w:drawing>
          <wp:inline distT="0" distB="0" distL="0" distR="0">
            <wp:extent cx="0" cy="0"/>
            <wp:effectExtent l="0" t="0" r="0" b="0"/>
            <wp:docPr id="23" name="Pic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3.emf"/>
                    <pic:cNvPicPr/>
                  </pic:nvPicPr>
                  <pic:blipFill>
                    <a:blip r:embed="prId22" cstate="print"/>
                    <a:stretch>
                      <a:fillRect/>
                    </a:stretch>
                  </pic:blipFill>
                  <pic:spPr>
                    <a:xfrm>
                      <a:off x="0" y="0"/>
                      <a:ext cx="0" cy="0"/>
                    </a:xfrm>
                    <a:prstGeom prst="rect">
                      <a:avLst/>
                    </a:prstGeom>
                  </pic:spPr>
                </pic:pic>
              </a:graphicData>
            </a:graphic>
          </wp:inline>
        </w:drawing>
      </w:r>
    </w:p>
    <w:p>
      <w:pPr>
        <w:spacing w:before="15"/>
      </w:pPr>
      <w:r>
        <w:t/>
      </w:r>
    </w:p>
    <w:p>
      <w:pPr>
        <w:spacing w:before="15"/>
      </w:pPr>
      <w:r>
        <w:drawing>
          <wp:inline distT="0" distB="0" distL="0" distR="0">
            <wp:extent cx="6924675" cy="200025"/>
            <wp:effectExtent l="0" t="0" r="0" b="0"/>
            <wp:docPr id="24" name="Pic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4.emf"/>
                    <pic:cNvPicPr/>
                  </pic:nvPicPr>
                  <pic:blipFill>
                    <a:blip r:embed="prId23" cstate="print"/>
                    <a:stretch>
                      <a:fillRect/>
                    </a:stretch>
                  </pic:blipFill>
                  <pic:spPr>
                    <a:xfrm>
                      <a:off x="0" y="0"/>
                      <a:ext cx="6924675" cy="200025"/>
                    </a:xfrm>
                    <a:prstGeom prst="rect">
                      <a:avLst/>
                    </a:prstGeom>
                  </pic:spPr>
                </pic:pic>
              </a:graphicData>
            </a:graphic>
          </wp:inline>
        </w:drawing>
      </w:r>
    </w:p>
    <w:p>
      <w:pPr>
        <w:spacing w:before="15"/>
      </w:pPr>
      <w:r>
        <w:t xml:space="preserve"> </w:t>
      </w:r>
    </w:p>
    <w:p>
      <w:pPr>
        <w:jc w:val="both"/>
        <w:ind w:right="210"/>
        <w:spacing w:before="90" w:lineRule="auto" w:line="276"/>
        <w:numPr>
          <w:ilvl w:val="1"/>
          <w:numId w:val="16"/>
        </w:numPr>
      </w:pPr>
      <w:r/>
      <w:r>
        <w:rPr>
          <w:rFonts w:ascii="Arial MT" w:hAnsi="Arial MT" w:cs="Arial MT" w:eastAsia="Arial MT"/>
          <w:sz w:val="19"/>
        </w:rPr>
        <w:t xml:space="preserve"> Constatado o atendimento das exigências previstas no Edital, a licitante será declarada vencedora, sendo-lhe adjudicado o objeto da licitação pelo próprio Pregoeiro, com a posterior homologação do resultado pela Autoridade Superior.</w:t>
      </w:r>
    </w:p>
    <w:p>
      <w:pPr>
        <w:spacing w:before="15"/>
      </w:pPr>
      <w:r>
        <w:t/>
      </w:r>
    </w:p>
    <w:p>
      <w:pPr>
        <w:jc w:val="both"/>
        <w:outlineLvl w:val="1"/>
        <w:ind w:right="210"/>
        <w:spacing w:lineRule="auto" w:line="276"/>
        <w:numPr>
          <w:ilvl w:val="1"/>
          <w:numId w:val="16"/>
        </w:numPr>
      </w:pPr>
      <w:r/>
      <w:r>
        <w:rPr>
          <w:b/>
          <w:sz w:val="19"/>
        </w:rPr>
        <w:t xml:space="preserve"> O resultado desta licitação será publicado no Portal de Transparência do Município.</w:t>
      </w:r>
    </w:p>
    <w:p>
      <w:pPr>
        <w:spacing w:before="15"/>
      </w:pPr>
      <w:r>
        <w:t/>
      </w:r>
    </w:p>
    <w:p>
      <w:pPr>
        <w:jc w:val="both"/>
        <w:ind w:right="210"/>
        <w:spacing w:lineRule="auto" w:line="276"/>
        <w:numPr>
          <w:ilvl w:val="1"/>
          <w:numId w:val="16"/>
        </w:numPr>
      </w:pPr>
      <w:r/>
      <w:r>
        <w:rPr>
          <w:rFonts w:ascii="Arial MT" w:hAnsi="Arial MT" w:cs="Arial MT" w:eastAsia="Arial MT"/>
          <w:sz w:val="19"/>
        </w:rPr>
        <w:t xml:space="preserve"> A partir do ato de homologação, será fixado o início do prazo de convocação da proponente adjudicatária para assinar o Contrato, bem como para sua retirada na Diretoria de Licitações e Contratos, respeitada a validade de sua proposta.</w:t>
      </w:r>
    </w:p>
    <w:p>
      <w:pPr>
        <w:jc w:val="both"/>
        <w:ind w:left="165" w:right="210" w:firstLine="450"/>
        <w:spacing w:lineRule="auto" w:line="276"/>
      </w:pPr>
      <w:r>
        <w:t/>
      </w:r>
    </w:p>
    <w:p>
      <w:r>
        <w:drawing>
          <wp:inline distT="0" distB="0" distL="0" distR="0">
            <wp:extent cx="0" cy="0"/>
            <wp:effectExtent l="0" t="0" r="0" b="0"/>
            <wp:docPr id="25" name="Pic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5.emf"/>
                    <pic:cNvPicPr/>
                  </pic:nvPicPr>
                  <pic:blipFill>
                    <a:blip r:embed="prId24"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26" name="Pic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6.emf"/>
                    <pic:cNvPicPr/>
                  </pic:nvPicPr>
                  <pic:blipFill>
                    <a:blip r:embed="prId25" cstate="print"/>
                    <a:stretch>
                      <a:fillRect/>
                    </a:stretch>
                  </pic:blipFill>
                  <pic:spPr>
                    <a:xfrm>
                      <a:off x="0" y="0"/>
                      <a:ext cx="0" cy="0"/>
                    </a:xfrm>
                    <a:prstGeom prst="rect">
                      <a:avLst/>
                    </a:prstGeom>
                  </pic:spPr>
                </pic:pic>
              </a:graphicData>
            </a:graphic>
          </wp:inline>
        </w:drawing>
      </w:r>
    </w:p>
    <w:p>
      <w:pPr>
        <w:jc w:val="both"/>
        <w:ind w:left="45" w:right="210"/>
        <w:spacing w:lineRule="auto" w:line="276"/>
      </w:pPr>
      <w:r>
        <w:drawing>
          <wp:inline distT="0" distB="0" distL="0" distR="0">
            <wp:extent cx="6858000" cy="200025"/>
            <wp:effectExtent l="0" t="0" r="0" b="0"/>
            <wp:docPr id="27" name="Pic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7.emf"/>
                    <pic:cNvPicPr/>
                  </pic:nvPicPr>
                  <pic:blipFill>
                    <a:blip r:embed="prId26" cstate="print"/>
                    <a:stretch>
                      <a:fillRect/>
                    </a:stretch>
                  </pic:blipFill>
                  <pic:spPr>
                    <a:xfrm>
                      <a:off x="0" y="0"/>
                      <a:ext cx="6858000" cy="200025"/>
                    </a:xfrm>
                    <a:prstGeom prst="rect">
                      <a:avLst/>
                    </a:prstGeom>
                  </pic:spPr>
                </pic:pic>
              </a:graphicData>
            </a:graphic>
          </wp:inline>
        </w:drawing>
      </w:r>
    </w:p>
    <w:p>
      <w:r>
        <w:drawing>
          <wp:inline distT="0" distB="0" distL="0" distR="0">
            <wp:extent cx="0" cy="0"/>
            <wp:effectExtent l="0" t="0" r="0" b="0"/>
            <wp:docPr id="28" name="Pic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8.emf"/>
                    <pic:cNvPicPr/>
                  </pic:nvPicPr>
                  <pic:blipFill>
                    <a:blip r:embed="prId27"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29" name="Pic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9.emf"/>
                    <pic:cNvPicPr/>
                  </pic:nvPicPr>
                  <pic:blipFill>
                    <a:blip r:embed="prId28"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30" name="Pic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0.emf"/>
                    <pic:cNvPicPr/>
                  </pic:nvPicPr>
                  <pic:blipFill>
                    <a:blip r:embed="prId29"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31" name="Pic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1.emf"/>
                    <pic:cNvPicPr/>
                  </pic:nvPicPr>
                  <pic:blipFill>
                    <a:blip r:embed="prId30" cstate="print"/>
                    <a:stretch>
                      <a:fillRect/>
                    </a:stretch>
                  </pic:blipFill>
                  <pic:spPr>
                    <a:xfrm>
                      <a:off x="0" y="0"/>
                      <a:ext cx="0" cy="0"/>
                    </a:xfrm>
                    <a:prstGeom prst="rect">
                      <a:avLst/>
                    </a:prstGeom>
                  </pic:spPr>
                </pic:pic>
              </a:graphicData>
            </a:graphic>
          </wp:inline>
        </w:drawing>
      </w:r>
    </w:p>
    <w:p>
      <w:pPr>
        <w:ind w:left="135"/>
      </w:pPr>
      <w:r>
        <w:drawing>
          <wp:inline distT="0" distB="0" distL="0" distR="0">
            <wp:extent cx="0" cy="0"/>
            <wp:effectExtent l="0" t="0" r="0" b="0"/>
            <wp:docPr id="32" name="Pic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2.emf"/>
                    <pic:cNvPicPr/>
                  </pic:nvPicPr>
                  <pic:blipFill>
                    <a:blip r:embed="prId31"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33" name="Pic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3.emf"/>
                    <pic:cNvPicPr/>
                  </pic:nvPicPr>
                  <pic:blipFill>
                    <a:blip r:embed="prId32"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34" name="Pic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4.emf"/>
                    <pic:cNvPicPr/>
                  </pic:nvPicPr>
                  <pic:blipFill>
                    <a:blip r:embed="prId33"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35" name="Pic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5.emf"/>
                    <pic:cNvPicPr/>
                  </pic:nvPicPr>
                  <pic:blipFill>
                    <a:blip r:embed="prId34" cstate="print"/>
                    <a:stretch>
                      <a:fillRect/>
                    </a:stretch>
                  </pic:blipFill>
                  <pic:spPr>
                    <a:xfrm>
                      <a:off x="0" y="0"/>
                      <a:ext cx="0" cy="0"/>
                    </a:xfrm>
                    <a:prstGeom prst="rect">
                      <a:avLst/>
                    </a:prstGeom>
                  </pic:spPr>
                </pic:pic>
              </a:graphicData>
            </a:graphic>
          </wp:inline>
        </w:drawing>
      </w:r>
    </w:p>
    <w:p>
      <w:r>
        <w:t/>
      </w:r>
    </w:p>
    <w:p>
      <w:r>
        <w:drawing>
          <wp:inline distT="0" distB="0" distL="0" distR="0">
            <wp:extent cx="0" cy="0"/>
            <wp:effectExtent l="0" t="0" r="0" b="0"/>
            <wp:docPr id="36" name="Pic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6.emf"/>
                    <pic:cNvPicPr/>
                  </pic:nvPicPr>
                  <pic:blipFill>
                    <a:blip r:embed="prId35"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37" name="Pic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7.emf"/>
                    <pic:cNvPicPr/>
                  </pic:nvPicPr>
                  <pic:blipFill>
                    <a:blip r:embed="prId36" cstate="print"/>
                    <a:stretch>
                      <a:fillRect/>
                    </a:stretch>
                  </pic:blipFill>
                  <pic:spPr>
                    <a:xfrm>
                      <a:off x="0" y="0"/>
                      <a:ext cx="0" cy="0"/>
                    </a:xfrm>
                    <a:prstGeom prst="rect">
                      <a:avLst/>
                    </a:prstGeom>
                  </pic:spPr>
                </pic:pic>
              </a:graphicData>
            </a:graphic>
          </wp:inline>
        </w:drawing>
      </w:r>
    </w:p>
    <w:p>
      <w:r>
        <w:drawing>
          <wp:inline distT="0" distB="0" distL="0" distR="0">
            <wp:extent cx="0" cy="0"/>
            <wp:effectExtent l="0" t="0" r="0" b="0"/>
            <wp:docPr id="38" name="Pic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8.emf"/>
                    <pic:cNvPicPr/>
                  </pic:nvPicPr>
                  <pic:blipFill>
                    <a:blip r:embed="prId37"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39" name="Pic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9.emf"/>
                    <pic:cNvPicPr/>
                  </pic:nvPicPr>
                  <pic:blipFill>
                    <a:blip r:embed="prId38" cstate="print"/>
                    <a:stretch>
                      <a:fillRect/>
                    </a:stretch>
                  </pic:blipFill>
                  <pic:spPr>
                    <a:xfrm>
                      <a:off x="0" y="0"/>
                      <a:ext cx="0" cy="0"/>
                    </a:xfrm>
                    <a:prstGeom prst="rect">
                      <a:avLst/>
                    </a:prstGeom>
                  </pic:spPr>
                </pic:pic>
              </a:graphicData>
            </a:graphic>
          </wp:inline>
        </w:drawing>
      </w:r>
    </w:p>
    <w:p>
      <w:pPr>
        <w:jc w:val="both"/>
        <w:ind w:right="210"/>
        <w:spacing w:before="90" w:lineRule="auto" w:line="264"/>
        <w:numPr>
          <w:ilvl w:val="1"/>
          <w:numId w:val="7"/>
        </w:numPr>
      </w:pPr>
      <w:r/>
      <w:r>
        <w:rPr>
          <w:rFonts w:ascii="Arial MT" w:hAnsi="Arial MT" w:cs="Arial MT" w:eastAsia="Arial MT"/>
          <w:sz w:val="19"/>
        </w:rPr>
        <w:t>Após a homologação e adjudicação, caso se conclua pela contratação, será firmado Termo de Contrato ou emitido instrumento equivalente.</w:t>
      </w:r>
    </w:p>
    <w:p>
      <w:pPr>
        <w:jc w:val="both"/>
        <w:ind w:right="210"/>
        <w:spacing w:before="120" w:lineRule="auto" w:line="276"/>
        <w:numPr>
          <w:ilvl w:val="1"/>
          <w:numId w:val="7"/>
        </w:numPr>
      </w:pPr>
      <w:r/>
      <w:r>
        <w:rPr>
          <w:rFonts w:ascii="Arial MT" w:hAnsi="Arial MT" w:cs="Arial MT" w:eastAsia="Arial MT"/>
          <w:sz w:val="19"/>
        </w:rPr>
        <w:t xml:space="preserve">O adjudicatário terá o prazo de </w:t>
      </w:r>
      <w:r>
        <w:rPr>
          <w:b/>
          <w:u w:val="single"/>
          <w:sz w:val="19"/>
        </w:rPr>
        <w:t>05 (cinco) dias úteis</w:t>
      </w:r>
      <w:r>
        <w:rPr>
          <w:rFonts w:ascii="Arial MT" w:hAnsi="Arial MT" w:cs="Arial MT" w:eastAsia="Arial MT"/>
          <w:sz w:val="19"/>
        </w:rPr>
        <w:t>,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pPr>
        <w:jc w:val="both"/>
        <w:ind w:right="210"/>
        <w:spacing w:before="105" w:lineRule="auto" w:line="276"/>
        <w:tabs>
          <w:tab w:val="left" w:pos="1095"/>
        </w:tabs>
        <w:numPr>
          <w:ilvl w:val="2"/>
          <w:numId w:val="7"/>
        </w:numPr>
      </w:pPr>
      <w:r/>
      <w:r>
        <w:rPr>
          <w:rFonts w:ascii="Arial MT" w:hAnsi="Arial MT" w:cs="Arial MT" w:eastAsia="Arial MT"/>
          <w:sz w:val="19"/>
        </w:rPr>
        <w:t>O prazo previsto para assinatura do contrato ou aceitação da nota de empenho ou instrumento equivalente poderá ser prorrogado 1 (uma) vez, por igual período, por solicitação justificada do adjudicatário e aceita pela Administração.</w:t>
      </w:r>
    </w:p>
    <w:p>
      <w:pPr>
        <w:jc w:val="both"/>
        <w:ind w:right="210"/>
        <w:spacing w:before="120" w:lineRule="auto" w:line="264"/>
        <w:numPr>
          <w:ilvl w:val="1"/>
          <w:numId w:val="7"/>
        </w:numPr>
      </w:pPr>
      <w:r/>
      <w:r>
        <w:rPr>
          <w:rFonts w:ascii="Arial MT" w:hAnsi="Arial MT" w:cs="Arial MT" w:eastAsia="Arial MT"/>
          <w:sz w:val="19"/>
        </w:rPr>
        <w:t>O Aceite da Nota de Empenho ou do instrumento equivalente, emitido pela empresa adjudicada, implica no reconhecimento de que:</w:t>
      </w:r>
    </w:p>
    <w:p>
      <w:pPr>
        <w:jc w:val="both"/>
        <w:ind w:right="210"/>
        <w:spacing w:before="120" w:lineRule="auto" w:line="276"/>
        <w:tabs>
          <w:tab w:val="left" w:pos="1140"/>
        </w:tabs>
        <w:numPr>
          <w:ilvl w:val="2"/>
          <w:numId w:val="7"/>
        </w:numPr>
      </w:pPr>
      <w:r/>
      <w:r>
        <w:rPr>
          <w:rFonts w:ascii="Arial MT" w:hAnsi="Arial MT" w:cs="Arial MT" w:eastAsia="Arial MT"/>
          <w:sz w:val="19"/>
        </w:rPr>
        <w:t>Referida Nota está substituindo o contrato, aplicando-se à relação de negócios ali estabelecida as disposições da Lei nº 14.133, de 2021;</w:t>
      </w:r>
    </w:p>
    <w:p>
      <w:pPr>
        <w:jc w:val="both"/>
        <w:ind w:right="210"/>
        <w:spacing w:before="105" w:lineRule="auto" w:line="276"/>
        <w:tabs>
          <w:tab w:val="left" w:pos="1110"/>
        </w:tabs>
        <w:numPr>
          <w:ilvl w:val="2"/>
          <w:numId w:val="7"/>
        </w:numPr>
      </w:pPr>
      <w:r/>
      <w:r>
        <w:rPr>
          <w:rFonts w:ascii="Arial MT" w:hAnsi="Arial MT" w:cs="Arial MT" w:eastAsia="Arial MT"/>
          <w:sz w:val="19"/>
        </w:rPr>
        <w:t>A Contratada se vincula à sua proposta e às previsões contidas no Edital de Pregão Eletrônico e seus anexos;</w:t>
      </w:r>
    </w:p>
    <w:p>
      <w:pPr>
        <w:jc w:val="both"/>
        <w:ind w:right="210"/>
        <w:spacing w:before="105" w:lineRule="auto" w:line="264"/>
        <w:numPr>
          <w:ilvl w:val="2"/>
          <w:numId w:val="7"/>
        </w:numPr>
      </w:pPr>
      <w:r/>
      <w:r>
        <w:rPr>
          <w:rFonts w:ascii="Arial MT" w:hAnsi="Arial MT" w:cs="Arial MT" w:eastAsia="Arial MT"/>
          <w:sz w:val="19"/>
        </w:rPr>
        <w:t>A Contratada reconhece que as hipóteses de rescisão são aquelas previstas nos artigos 137e 138, da Lei nº 14.133/21 e reconhece os direitos da Administração previstos nos artigos 137 a 139 da mesma Lei.</w:t>
      </w:r>
    </w:p>
    <w:p>
      <w:pPr>
        <w:jc w:val="both"/>
        <w:ind w:left="180" w:right="210"/>
        <w:spacing w:before="105" w:lineRule="auto" w:line="264"/>
      </w:pPr>
      <w:r>
        <w:rPr>
          <w:rFonts w:ascii="Arial MT" w:hAnsi="Arial MT" w:cs="Arial MT" w:eastAsia="Arial MT"/>
          <w:b/>
          <w:sz w:val="19"/>
        </w:rPr>
        <w:t>11.4</w:t>
      </w:r>
      <w:r>
        <w:rPr>
          <w:rFonts w:ascii="Arial MT" w:hAnsi="Arial MT" w:cs="Arial MT" w:eastAsia="Arial MT"/>
          <w:sz w:val="19"/>
        </w:rPr>
        <w:t xml:space="preserve"> O </w:t>
      </w:r>
      <w:r>
        <w:rPr>
          <w:b/>
          <w:sz w:val="19"/>
        </w:rPr>
        <w:t xml:space="preserve">prazo de vigência </w:t>
      </w:r>
      <w:r>
        <w:rPr>
          <w:rFonts w:ascii="Arial MT" w:hAnsi="Arial MT" w:cs="Arial MT" w:eastAsia="Arial MT"/>
          <w:sz w:val="19"/>
        </w:rPr>
        <w:t xml:space="preserve">da contratação será de até </w:t>
      </w:r>
      <w:r>
        <w:rPr>
          <w:b/>
          <w:u w:val="single"/>
          <w:sz w:val="19"/>
        </w:rPr>
        <w:t>12 (doze) meses</w:t>
      </w:r>
      <w:r>
        <w:rPr>
          <w:rFonts w:ascii="Arial MT" w:hAnsi="Arial MT" w:cs="Arial MT" w:eastAsia="Arial MT"/>
          <w:sz w:val="19"/>
        </w:rPr>
        <w:t>, contados da data de sua assinatura, tendo eficácia legal após a publicação de seu extrato no Diário Oficial do Município, prorrogável conforme previsão nos anexos a este instrumento.</w:t>
      </w:r>
    </w:p>
    <w:p>
      <w:pPr>
        <w:jc w:val="both"/>
        <w:ind w:left="165" w:right="210"/>
        <w:spacing w:before="120" w:lineRule="auto" w:line="276"/>
      </w:pPr>
      <w:r>
        <w:rPr>
          <w:rFonts w:ascii="Arial MT" w:hAnsi="Arial MT" w:cs="Arial MT" w:eastAsia="Arial MT"/>
          <w:b/>
          <w:sz w:val="19"/>
        </w:rPr>
        <w:t>11.5</w:t>
      </w:r>
      <w:r>
        <w:rPr>
          <w:rFonts w:ascii="Arial MT" w:hAnsi="Arial MT" w:cs="Arial MT" w:eastAsia="Arial MT"/>
          <w:sz w:val="19"/>
        </w:rPr>
        <w:t xml:space="preserve"> O pagamento será efetuado </w:t>
      </w:r>
      <w:r>
        <w:rPr>
          <w:b/>
          <w:sz w:val="19"/>
        </w:rPr>
        <w:t>em até 30 (trinta) dias, após entrega</w:t>
      </w:r>
      <w:r>
        <w:rPr>
          <w:rFonts w:ascii="Arial MT" w:hAnsi="Arial MT" w:cs="Arial MT" w:eastAsia="Arial MT"/>
          <w:sz w:val="19"/>
        </w:rPr>
        <w:t>, com a apresentação da nota fiscal/fatura na Prefeitura Municipal, à vista do respectivo Termo de Recebimento do objeto ou Recibo.</w:t>
      </w:r>
    </w:p>
    <w:p>
      <w:pPr>
        <w:jc w:val="both"/>
        <w:ind w:left="495" w:right="210"/>
        <w:spacing w:before="120" w:lineRule="auto" w:line="276"/>
        <w:tabs>
          <w:tab w:val="left" w:pos="1110"/>
        </w:tabs>
      </w:pPr>
      <w:r>
        <w:rPr>
          <w:rFonts w:ascii="Arial MT" w:hAnsi="Arial MT" w:cs="Arial MT" w:eastAsia="Arial MT"/>
          <w:sz w:val="19"/>
        </w:rPr>
        <w:t>11.5.1 As notas fiscais/faturas que apresentarem incorreções serão devolvidas à Contratada e seu vencimento ocorrerá após sua reapresentação.</w:t>
      </w:r>
    </w:p>
    <w:p>
      <w:pPr>
        <w:jc w:val="both"/>
        <w:ind w:left="495"/>
        <w:spacing w:before="120"/>
      </w:pPr>
      <w:r>
        <w:rPr>
          <w:rFonts w:ascii="Arial MT" w:hAnsi="Arial MT" w:cs="Arial MT" w:eastAsia="Arial MT"/>
          <w:sz w:val="19"/>
        </w:rPr>
        <w:t>11.5.2 As notas fiscais deverão ser apresentadas na entrega dos produtos.</w:t>
      </w:r>
    </w:p>
    <w:p>
      <w:pPr>
        <w:jc w:val="both"/>
        <w:ind w:left="495"/>
        <w:spacing w:before="150"/>
      </w:pPr>
      <w:r>
        <w:rPr>
          <w:rFonts w:ascii="Arial MT" w:hAnsi="Arial MT" w:cs="Arial MT" w:eastAsia="Arial MT"/>
          <w:sz w:val="19"/>
        </w:rPr>
        <w:t>11.5.3 O pagamento será realizado mediante crédito aberto em conta corrente em nome da Contratada.</w:t>
      </w:r>
    </w:p>
    <w:p>
      <w:pPr>
        <w:jc w:val="both"/>
        <w:ind w:left="165" w:right="210"/>
        <w:spacing w:before="150" w:lineRule="auto" w:line="276"/>
      </w:pPr>
      <w:r>
        <w:rPr>
          <w:rFonts w:ascii="Arial MT" w:hAnsi="Arial MT" w:cs="Arial MT" w:eastAsia="Arial MT"/>
          <w:b/>
          <w:sz w:val="19"/>
        </w:rPr>
        <w:t>11.6</w:t>
      </w:r>
      <w:r>
        <w:rPr>
          <w:rFonts w:ascii="Arial MT" w:hAnsi="Arial MT" w:cs="Arial MT" w:eastAsia="Arial MT"/>
          <w:sz w:val="19"/>
        </w:rPr>
        <w:t xml:space="preserve"> Os custos das aquisições resultantes da presente licitação serão cobertos com recursos provenientes das seguintes Dotações Orçamentárias:</w:t>
      </w:r>
    </w:p>
    <w:tbl>
      <w:tblPr>
        <w:tblW w:w="4500" w:type="pct"/>
        <w:jc w:val="center"/>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165" w:type="dxa"/>
        <w:shd w:val="clear" w:color="auto" w:fill="FFFFFF"/>
      </w:tblPr>
      <w:tblGrid>
        <w:gridCol w:w="975"/>
        <w:gridCol w:w="975"/>
        <w:gridCol w:w="3270"/>
        <w:gridCol w:w="975"/>
        <w:gridCol w:w="1755"/>
        <w:gridCol w:w="1740"/>
      </w:tblGrid>
      <w:tr>
        <w:tc>
          <w:tcPr>
            <w:gridSpan w:val="6"/>
            <w:shd w:val="clear" w:color="auto" w:fill="FFFFFF"/>
          </w:tcPr>
          <w:p>
            <w:r>
              <w:rPr>
                <w:sz w:val="16"/>
              </w:rPr>
              <w:t>Dotações</w:t>
            </w:r>
          </w:p>
        </w:tc>
      </w:tr>
      <w:tr>
        <w:tc>
          <w:tcPr>
            <w:tcW w:w="500" w:type="pct"/>
            <w:shd w:val="clear" w:color="auto" w:fill="C0C0C0"/>
          </w:tcPr>
          <w:p>
            <w:r>
              <w:rPr>
                <w:sz w:val="16"/>
              </w:rPr>
              <w:t>Exercício da despesa</w:t>
            </w:r>
          </w:p>
        </w:tc>
        <w:tc>
          <w:tcPr>
            <w:tcW w:w="500" w:type="pct"/>
            <w:shd w:val="clear" w:color="auto" w:fill="C0C0C0"/>
          </w:tcPr>
          <w:p>
            <w:r>
              <w:rPr>
                <w:sz w:val="16"/>
              </w:rPr>
              <w:t>Conta da despesa</w:t>
            </w:r>
          </w:p>
        </w:tc>
        <w:tc>
          <w:tcPr>
            <w:tcW w:w="1700" w:type="pct"/>
            <w:shd w:val="clear" w:color="auto" w:fill="C0C0C0"/>
          </w:tcPr>
          <w:p>
            <w:r>
              <w:rPr>
                <w:sz w:val="16"/>
              </w:rPr>
              <w:t>Funcional programática</w:t>
            </w:r>
          </w:p>
        </w:tc>
        <w:tc>
          <w:tcPr>
            <w:tcW w:w="500" w:type="pct"/>
            <w:shd w:val="clear" w:color="auto" w:fill="C0C0C0"/>
          </w:tcPr>
          <w:p>
            <w:r>
              <w:rPr>
                <w:sz w:val="16"/>
              </w:rPr>
              <w:t>Fonte de recurso</w:t>
            </w:r>
          </w:p>
        </w:tc>
        <w:tc>
          <w:tcPr>
            <w:tcW w:w="900" w:type="pct"/>
            <w:shd w:val="clear" w:color="auto" w:fill="C0C0C0"/>
          </w:tcPr>
          <w:p>
            <w:r>
              <w:rPr>
                <w:sz w:val="16"/>
              </w:rPr>
              <w:t>Natureza da despesa</w:t>
            </w:r>
          </w:p>
        </w:tc>
        <w:tc>
          <w:tcPr>
            <w:tcW w:w="900" w:type="pct"/>
            <w:shd w:val="clear" w:color="auto" w:fill="C0C0C0"/>
          </w:tcPr>
          <w:p>
            <w:r>
              <w:rPr>
                <w:sz w:val="16"/>
              </w:rPr>
              <w:t>Grupo da fonte</w:t>
            </w:r>
          </w:p>
        </w:tc>
      </w:tr>
      <w:tr>
        <w:tc>
          <w:tcPr>
            <w:shd w:val="clear" w:color="auto" w:fill="FFFFFF"/>
          </w:tcPr>
          <w:p>
            <w:r>
              <w:rPr>
                <w:sz w:val="16"/>
              </w:rPr>
              <w:t>2024</w:t>
            </w:r>
          </w:p>
        </w:tc>
        <w:tc>
          <w:tcPr>
            <w:shd w:val="clear" w:color="auto" w:fill="FFFFFF"/>
          </w:tcPr>
          <w:p>
            <w:r>
              <w:rPr>
                <w:sz w:val="16"/>
              </w:rPr>
              <w:t>1590</w:t>
            </w:r>
          </w:p>
        </w:tc>
        <w:tc>
          <w:tcPr>
            <w:shd w:val="clear" w:color="auto" w:fill="FFFFFF"/>
          </w:tcPr>
          <w:p>
            <w:r>
              <w:rPr>
                <w:sz w:val="16"/>
              </w:rPr>
              <w:t>07.002.08.244.0005.2044</w:t>
            </w:r>
          </w:p>
        </w:tc>
        <w:tc>
          <w:tcPr>
            <w:shd w:val="clear" w:color="auto" w:fill="FFFFFF"/>
          </w:tcPr>
          <w:p>
            <w:r>
              <w:rPr>
                <w:sz w:val="16"/>
              </w:rPr>
              <w:t>0</w:t>
            </w:r>
          </w:p>
        </w:tc>
        <w:tc>
          <w:tcPr>
            <w:shd w:val="clear" w:color="auto" w:fill="FFFFFF"/>
          </w:tcPr>
          <w:p>
            <w:r>
              <w:rPr>
                <w:sz w:val="16"/>
              </w:rPr>
              <w:t>3.3.90.32.00.00</w:t>
            </w:r>
          </w:p>
        </w:tc>
        <w:tc>
          <w:tcPr>
            <w:shd w:val="clear" w:color="auto" w:fill="FFFFFF"/>
          </w:tcPr>
          <w:p>
            <w:r>
              <w:rPr>
                <w:sz w:val="16"/>
              </w:rPr>
              <w:t>Do Exercício</w:t>
            </w:r>
          </w:p>
        </w:tc>
      </w:tr>
      <w:tr>
        <w:tc>
          <w:tcPr>
            <w:shd w:val="clear" w:color="auto" w:fill="FFFFFF"/>
          </w:tcPr>
          <w:p>
            <w:r>
              <w:rPr>
                <w:sz w:val="16"/>
              </w:rPr>
              <w:t>2024</w:t>
            </w:r>
          </w:p>
        </w:tc>
        <w:tc>
          <w:tcPr>
            <w:shd w:val="clear" w:color="auto" w:fill="FFFFFF"/>
          </w:tcPr>
          <w:p>
            <w:r>
              <w:rPr>
                <w:sz w:val="16"/>
              </w:rPr>
              <w:t>1940</w:t>
            </w:r>
          </w:p>
        </w:tc>
        <w:tc>
          <w:tcPr>
            <w:shd w:val="clear" w:color="auto" w:fill="FFFFFF"/>
          </w:tcPr>
          <w:p>
            <w:r>
              <w:rPr>
                <w:sz w:val="16"/>
              </w:rPr>
              <w:t>07.003.08.244.0006.2050</w:t>
            </w:r>
          </w:p>
        </w:tc>
        <w:tc>
          <w:tcPr>
            <w:shd w:val="clear" w:color="auto" w:fill="FFFFFF"/>
          </w:tcPr>
          <w:p>
            <w:r>
              <w:rPr>
                <w:sz w:val="16"/>
              </w:rPr>
              <w:t>0</w:t>
            </w:r>
          </w:p>
        </w:tc>
        <w:tc>
          <w:tcPr>
            <w:shd w:val="clear" w:color="auto" w:fill="FFFFFF"/>
          </w:tcPr>
          <w:p>
            <w:r>
              <w:rPr>
                <w:sz w:val="16"/>
              </w:rPr>
              <w:t>3.3.90.32.00.00</w:t>
            </w:r>
          </w:p>
        </w:tc>
        <w:tc>
          <w:tcPr>
            <w:shd w:val="clear" w:color="auto" w:fill="FFFFFF"/>
          </w:tcPr>
          <w:p>
            <w:r>
              <w:rPr>
                <w:sz w:val="16"/>
              </w:rPr>
              <w:t>Do Exercício</w:t>
            </w:r>
          </w:p>
        </w:tc>
      </w:tr>
      <w:tr>
        <w:tc>
          <w:tcPr>
            <w:shd w:val="clear" w:color="auto" w:fill="FFFFFF"/>
          </w:tcPr>
          <w:p>
            <w:r>
              <w:rPr>
                <w:sz w:val="16"/>
              </w:rPr>
              <w:t>2024</w:t>
            </w:r>
          </w:p>
        </w:tc>
        <w:tc>
          <w:tcPr>
            <w:shd w:val="clear" w:color="auto" w:fill="FFFFFF"/>
          </w:tcPr>
          <w:p>
            <w:r>
              <w:rPr>
                <w:sz w:val="16"/>
              </w:rPr>
              <w:t>1950</w:t>
            </w:r>
          </w:p>
        </w:tc>
        <w:tc>
          <w:tcPr>
            <w:shd w:val="clear" w:color="auto" w:fill="FFFFFF"/>
          </w:tcPr>
          <w:p>
            <w:r>
              <w:rPr>
                <w:sz w:val="16"/>
              </w:rPr>
              <w:t>07.003.08.244.0006.2050</w:t>
            </w:r>
          </w:p>
        </w:tc>
        <w:tc>
          <w:tcPr>
            <w:shd w:val="clear" w:color="auto" w:fill="FFFFFF"/>
          </w:tcPr>
          <w:p>
            <w:r>
              <w:rPr>
                <w:sz w:val="16"/>
              </w:rPr>
              <w:t>0</w:t>
            </w:r>
          </w:p>
        </w:tc>
        <w:tc>
          <w:tcPr>
            <w:shd w:val="clear" w:color="auto" w:fill="FFFFFF"/>
          </w:tcPr>
          <w:p>
            <w:r>
              <w:rPr>
                <w:sz w:val="16"/>
              </w:rPr>
              <w:t>3.3.90.33.00.00</w:t>
            </w:r>
          </w:p>
        </w:tc>
        <w:tc>
          <w:tcPr>
            <w:shd w:val="clear" w:color="auto" w:fill="FFFFFF"/>
          </w:tcPr>
          <w:p>
            <w:r>
              <w:rPr>
                <w:sz w:val="16"/>
              </w:rPr>
              <w:t>Do Exercício</w:t>
            </w:r>
          </w:p>
        </w:tc>
      </w:tr>
    </w:tbl>
    <w:p>
      <w:pPr>
        <w:jc w:val="both"/>
        <w:ind w:left="165" w:right="210"/>
        <w:spacing w:before="150" w:lineRule="auto" w:line="276"/>
      </w:pPr>
      <w:r>
        <w:rPr>
          <w:rFonts w:ascii="Arial MT" w:hAnsi="Arial MT" w:cs="Arial MT" w:eastAsia="Arial MT"/>
          <w:b/>
          <w:sz w:val="19"/>
        </w:rPr>
        <w:t>11.7</w:t>
      </w:r>
      <w:r>
        <w:rPr>
          <w:rFonts w:ascii="Arial MT" w:hAnsi="Arial MT" w:cs="Arial MT" w:eastAsia="Arial MT"/>
          <w:sz w:val="19"/>
        </w:rPr>
        <w:t xml:space="preserve"> Nenhum pagamento será efetuado à Contratada enquanto pendente de liquidação qualquer obrigação financeira que lhe for imposta, em virtude de penalidade ou inadimplência, sem que isso gere direito ao pleito de reajustamento dos preços ou correção monetária.</w:t>
      </w:r>
    </w:p>
    <w:p>
      <w:pPr>
        <w:jc w:val="both"/>
        <w:ind w:left="165" w:right="210"/>
        <w:spacing w:before="120" w:lineRule="auto" w:line="276"/>
      </w:pPr>
      <w:r>
        <w:rPr>
          <w:rFonts w:ascii="Arial MT" w:hAnsi="Arial MT" w:cs="Arial MT" w:eastAsia="Arial MT"/>
          <w:b/>
          <w:sz w:val="19"/>
        </w:rPr>
        <w:t>11.8</w:t>
      </w:r>
      <w:r>
        <w:rPr>
          <w:rFonts w:ascii="Arial MT" w:hAnsi="Arial MT" w:cs="Arial MT" w:eastAsia="Arial MT"/>
          <w:sz w:val="19"/>
        </w:rPr>
        <w:t xml:space="preserve"> As notas fiscais deverão ser emitidas em nome do </w:t>
      </w:r>
      <w:r>
        <w:rPr>
          <w:b/>
          <w:sz w:val="19"/>
        </w:rPr>
        <w:t>Município de São Tomé</w:t>
      </w:r>
      <w:r>
        <w:rPr>
          <w:rFonts w:ascii="Arial MT" w:hAnsi="Arial MT" w:cs="Arial MT" w:eastAsia="Arial MT"/>
          <w:sz w:val="19"/>
        </w:rPr>
        <w:t xml:space="preserve">, com CNPJ nº </w:t>
      </w:r>
      <w:r>
        <w:rPr>
          <w:b/>
          <w:sz w:val="19"/>
        </w:rPr>
        <w:t>75.381.178/0001-29</w:t>
      </w:r>
      <w:r>
        <w:rPr>
          <w:rFonts w:ascii="Arial MT" w:hAnsi="Arial MT" w:cs="Arial MT" w:eastAsia="Arial MT"/>
          <w:sz w:val="19"/>
        </w:rPr>
        <w:t>, com as informações contidas na Nota de Empenho.</w:t>
      </w:r>
    </w:p>
    <w:p>
      <w:pPr>
        <w:jc w:val="both"/>
        <w:ind w:left="165"/>
        <w:spacing w:before="120"/>
      </w:pPr>
      <w:r>
        <w:rPr>
          <w:rFonts w:ascii="Arial MT" w:hAnsi="Arial MT" w:cs="Arial MT" w:eastAsia="Arial MT"/>
          <w:b/>
          <w:sz w:val="19"/>
        </w:rPr>
        <w:t>11.9</w:t>
      </w:r>
      <w:r>
        <w:rPr>
          <w:rFonts w:ascii="Arial MT" w:hAnsi="Arial MT" w:cs="Arial MT" w:eastAsia="Arial MT"/>
          <w:sz w:val="19"/>
        </w:rPr>
        <w:t xml:space="preserve"> Os preços são fixos e irreajustáveis no prazo de 01 (um) ano, contado da data do orçamento estimado.</w:t>
      </w:r>
    </w:p>
    <w:p>
      <w:pPr>
        <w:jc w:val="both"/>
        <w:ind w:left="495" w:right="210"/>
        <w:spacing w:before="150" w:lineRule="auto" w:line="276"/>
      </w:pPr>
      <w:r>
        <w:rPr>
          <w:rFonts w:ascii="Arial MT" w:hAnsi="Arial MT" w:cs="Arial MT" w:eastAsia="Arial MT"/>
          <w:sz w:val="19"/>
        </w:rPr>
        <w:t xml:space="preserve">11.9.1 Após o interregno de 01 (um) ano da data do orçamento estimado e mediante solicitação da Contratada, os preços iniciais serão reajustados, mediante a aplicação, pelo Contratante, do índice </w:t>
      </w:r>
      <w:r>
        <w:rPr>
          <w:b/>
          <w:sz w:val="19"/>
        </w:rPr>
        <w:t xml:space="preserve">IPCA/IBGE </w:t>
      </w:r>
      <w:r>
        <w:rPr>
          <w:rFonts w:ascii="Arial MT" w:hAnsi="Arial MT" w:cs="Arial MT" w:eastAsia="Arial MT"/>
          <w:sz w:val="19"/>
        </w:rPr>
        <w:t>do período, e em sua falta, aplicar-se-á o índice fixado pelo Governo Federal, no período do reajuste, legalmente permitido à época, exclusivamente para as obrigações iniciadas e concluídas após a ocorrência da anualidade, nos termos do §7º, do art. 25, da Lei nº 14.133/2021.</w:t>
      </w:r>
    </w:p>
    <w:p>
      <w:r>
        <w:rPr>
          <w:rFonts w:ascii="Times New Roman" w:hAnsi="Times New Roman" w:cs="Times New Roman" w:eastAsia="Times New Roman"/>
        </w:rPr>
        <w:t/>
      </w:r>
    </w:p>
    <w:p>
      <w:r>
        <w:t/>
      </w:r>
    </w:p>
    <w:p>
      <w:r>
        <w:drawing>
          <wp:inline distT="0" distB="0" distL="0" distR="0">
            <wp:extent cx="6858000" cy="200025"/>
            <wp:effectExtent l="0" t="0" r="0" b="0"/>
            <wp:docPr id="40" name="Pic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0.emf"/>
                    <pic:cNvPicPr/>
                  </pic:nvPicPr>
                  <pic:blipFill>
                    <a:blip r:embed="prId39" cstate="print"/>
                    <a:stretch>
                      <a:fillRect/>
                    </a:stretch>
                  </pic:blipFill>
                  <pic:spPr>
                    <a:xfrm>
                      <a:off x="0" y="0"/>
                      <a:ext cx="6858000" cy="200025"/>
                    </a:xfrm>
                    <a:prstGeom prst="rect">
                      <a:avLst/>
                    </a:prstGeom>
                  </pic:spPr>
                </pic:pic>
              </a:graphicData>
            </a:graphic>
          </wp:inline>
        </w:drawing>
      </w:r>
    </w:p>
    <w:p>
      <w:pPr>
        <w:spacing w:before="15"/>
      </w:pPr>
      <w:r>
        <w:t/>
      </w:r>
    </w:p>
    <w:p>
      <w:pPr>
        <w:jc w:val="both"/>
        <w:ind w:right="210"/>
        <w:spacing w:lineRule="auto" w:line="264"/>
        <w:numPr>
          <w:ilvl w:val="1"/>
          <w:numId w:val="33"/>
        </w:numPr>
      </w:pPr>
      <w:r/>
      <w:r>
        <w:rPr>
          <w:rFonts w:ascii="Arial MT" w:hAnsi="Arial MT" w:cs="Arial MT" w:eastAsia="Arial MT"/>
          <w:sz w:val="19"/>
        </w:rPr>
        <w:t>Comete infração administrativa o licitante e/ou a Contratada que cometer quaisquer das infrações previstas no art. 155da Lei nº 14.133, de 2021, quais sejam:</w:t>
      </w:r>
    </w:p>
    <w:p>
      <w:pPr>
        <w:jc w:val="both"/>
        <w:spacing w:before="120"/>
        <w:numPr>
          <w:ilvl w:val="2"/>
          <w:numId w:val="33"/>
        </w:numPr>
      </w:pPr>
      <w:r/>
      <w:r>
        <w:rPr>
          <w:rFonts w:ascii="Arial MT" w:hAnsi="Arial MT" w:cs="Arial MT" w:eastAsia="Arial MT"/>
          <w:sz w:val="19"/>
        </w:rPr>
        <w:t>Dar causa à inexecução parcial do contrato;</w:t>
      </w:r>
    </w:p>
    <w:p>
      <w:pPr>
        <w:jc w:val="both"/>
        <w:ind w:right="210"/>
        <w:spacing w:before="150" w:lineRule="auto" w:line="276"/>
        <w:tabs>
          <w:tab w:val="left" w:pos="1095"/>
        </w:tabs>
        <w:numPr>
          <w:ilvl w:val="2"/>
          <w:numId w:val="33"/>
        </w:numPr>
      </w:pPr>
      <w:r/>
      <w:r>
        <w:rPr>
          <w:rFonts w:ascii="Arial MT" w:hAnsi="Arial MT" w:cs="Arial MT" w:eastAsia="Arial MT"/>
          <w:sz w:val="19"/>
        </w:rPr>
        <w:t>Dar causa à inexecução parcial do contrato que cause grave dano à Administração, aofuncionamento dos serviços públicos ou ao interesse coletivo;</w:t>
      </w:r>
    </w:p>
    <w:p>
      <w:pPr>
        <w:jc w:val="both"/>
        <w:spacing w:before="120"/>
        <w:numPr>
          <w:ilvl w:val="2"/>
          <w:numId w:val="33"/>
        </w:numPr>
      </w:pPr>
      <w:r/>
      <w:r>
        <w:rPr>
          <w:rFonts w:ascii="Arial MT" w:hAnsi="Arial MT" w:cs="Arial MT" w:eastAsia="Arial MT"/>
          <w:sz w:val="19"/>
        </w:rPr>
        <w:t>Dar causa à inexecução total do contrato;</w:t>
      </w:r>
    </w:p>
    <w:p>
      <w:pPr>
        <w:jc w:val="both"/>
        <w:spacing w:before="150"/>
        <w:numPr>
          <w:ilvl w:val="2"/>
          <w:numId w:val="33"/>
        </w:numPr>
      </w:pPr>
      <w:r/>
      <w:r>
        <w:rPr>
          <w:rFonts w:ascii="Arial MT" w:hAnsi="Arial MT" w:cs="Arial MT" w:eastAsia="Arial MT"/>
          <w:sz w:val="19"/>
        </w:rPr>
        <w:t>Deixar de entregar a documentação exigida para o certame;</w:t>
      </w:r>
    </w:p>
    <w:p>
      <w:pPr>
        <w:jc w:val="both"/>
        <w:spacing w:before="150"/>
        <w:numPr>
          <w:ilvl w:val="2"/>
          <w:numId w:val="33"/>
        </w:numPr>
      </w:pPr>
      <w:r/>
      <w:r>
        <w:rPr>
          <w:rFonts w:ascii="Arial MT" w:hAnsi="Arial MT" w:cs="Arial MT" w:eastAsia="Arial MT"/>
          <w:sz w:val="19"/>
        </w:rPr>
        <w:t>Não manter a proposta, salvo em decorrência de fato superveniente devidamentejustificado;</w:t>
      </w:r>
    </w:p>
    <w:p>
      <w:pPr>
        <w:jc w:val="both"/>
        <w:ind w:right="210"/>
        <w:spacing w:before="150" w:lineRule="auto" w:line="276"/>
        <w:tabs>
          <w:tab w:val="left" w:pos="1140"/>
        </w:tabs>
        <w:numPr>
          <w:ilvl w:val="2"/>
          <w:numId w:val="33"/>
        </w:numPr>
      </w:pPr>
      <w:r/>
      <w:r>
        <w:rPr>
          <w:rFonts w:ascii="Arial MT" w:hAnsi="Arial MT" w:cs="Arial MT" w:eastAsia="Arial MT"/>
          <w:sz w:val="19"/>
        </w:rPr>
        <w:t>Não celebrar o contrato ou não entregar a documentação exigida para a contratação, quando convocado dentro do prazo de validade de sua proposta;</w:t>
      </w:r>
    </w:p>
    <w:p>
      <w:pPr>
        <w:jc w:val="both"/>
        <w:spacing w:before="120"/>
        <w:numPr>
          <w:ilvl w:val="2"/>
          <w:numId w:val="33"/>
        </w:numPr>
      </w:pPr>
      <w:r/>
      <w:r>
        <w:rPr>
          <w:rFonts w:ascii="Arial MT" w:hAnsi="Arial MT" w:cs="Arial MT" w:eastAsia="Arial MT"/>
          <w:sz w:val="19"/>
        </w:rPr>
        <w:t>Ensejar o retardamento da execução ou da entrega do objeto da contratação sem motivojustificado;</w:t>
      </w:r>
    </w:p>
    <w:p>
      <w:pPr>
        <w:jc w:val="both"/>
        <w:ind w:right="210"/>
        <w:spacing w:before="150" w:lineRule="auto" w:line="276"/>
        <w:tabs>
          <w:tab w:val="left" w:pos="1095"/>
        </w:tabs>
        <w:numPr>
          <w:ilvl w:val="2"/>
          <w:numId w:val="33"/>
        </w:numPr>
      </w:pPr>
      <w:r/>
      <w:r>
        <w:rPr>
          <w:rFonts w:ascii="Arial MT" w:hAnsi="Arial MT" w:cs="Arial MT" w:eastAsia="Arial MT"/>
          <w:sz w:val="19"/>
        </w:rPr>
        <w:t>Apresentar declaração ou documentação falsa exigida para o certame ou prestar declaração falsa durante certame ou a execução do contrato;</w:t>
      </w:r>
    </w:p>
    <w:p>
      <w:pPr>
        <w:jc w:val="both"/>
        <w:spacing w:before="120"/>
        <w:numPr>
          <w:ilvl w:val="2"/>
          <w:numId w:val="33"/>
        </w:numPr>
      </w:pPr>
      <w:r/>
      <w:r>
        <w:rPr>
          <w:rFonts w:ascii="Arial MT" w:hAnsi="Arial MT" w:cs="Arial MT" w:eastAsia="Arial MT"/>
          <w:sz w:val="19"/>
        </w:rPr>
        <w:t>Fraudar a licitação ou praticar ato fraudulento na execução do contrato;</w:t>
      </w:r>
    </w:p>
    <w:p>
      <w:pPr>
        <w:jc w:val="both"/>
        <w:spacing w:before="150"/>
        <w:tabs>
          <w:tab w:val="left" w:pos="1185"/>
        </w:tabs>
        <w:numPr>
          <w:ilvl w:val="2"/>
          <w:numId w:val="33"/>
        </w:numPr>
      </w:pPr>
      <w:r/>
      <w:r>
        <w:rPr>
          <w:rFonts w:ascii="Arial MT" w:hAnsi="Arial MT" w:cs="Arial MT" w:eastAsia="Arial MT"/>
          <w:sz w:val="19"/>
        </w:rPr>
        <w:t>Comportar-se de modo inidôneo ou cometer fraude de qualquer natureza;</w:t>
      </w:r>
    </w:p>
    <w:p>
      <w:pPr>
        <w:jc w:val="both"/>
        <w:ind w:right="210"/>
        <w:spacing w:before="150" w:lineRule="auto" w:line="276"/>
        <w:numPr>
          <w:ilvl w:val="3"/>
          <w:numId w:val="33"/>
        </w:numPr>
      </w:pPr>
      <w:r/>
      <w:r>
        <w:rPr>
          <w:rFonts w:ascii="Arial MT" w:hAnsi="Arial MT" w:cs="Arial MT" w:eastAsia="Arial MT"/>
          <w:sz w:val="19"/>
        </w:rPr>
        <w:t>Considera-se comportamento inidôneo, entre outros, a declaração falsa quanto às condições de participação, quanto ao enquadramento como ME/EPP ou o conluio entre os fornecedores, em qualquer momento da licitação, mesmo após o encerramento da fase de lances;</w:t>
      </w:r>
    </w:p>
    <w:p>
      <w:pPr>
        <w:jc w:val="both"/>
        <w:spacing w:before="120"/>
        <w:tabs>
          <w:tab w:val="left" w:pos="1185"/>
        </w:tabs>
        <w:numPr>
          <w:ilvl w:val="2"/>
          <w:numId w:val="33"/>
        </w:numPr>
      </w:pPr>
      <w:r/>
      <w:r>
        <w:rPr>
          <w:rFonts w:ascii="Arial MT" w:hAnsi="Arial MT" w:cs="Arial MT" w:eastAsia="Arial MT"/>
          <w:sz w:val="19"/>
        </w:rPr>
        <w:t xml:space="preserve"> Praticar atos ilícitos com vistas a frustrar os objetivos deste certame;</w:t>
      </w:r>
    </w:p>
    <w:p>
      <w:pPr>
        <w:jc w:val="both"/>
        <w:spacing w:before="150"/>
        <w:tabs>
          <w:tab w:val="left" w:pos="1185"/>
        </w:tabs>
        <w:numPr>
          <w:ilvl w:val="2"/>
          <w:numId w:val="33"/>
        </w:numPr>
      </w:pPr>
      <w:r/>
      <w:r>
        <w:rPr>
          <w:rFonts w:ascii="Arial MT" w:hAnsi="Arial MT" w:cs="Arial MT" w:eastAsia="Arial MT"/>
          <w:sz w:val="19"/>
        </w:rPr>
        <w:t xml:space="preserve"> Praticar ato lesivo previsto no art. 5º da Lei nº 12.846, de 1º de agosto de 2013.</w:t>
      </w:r>
    </w:p>
    <w:p>
      <w:pPr>
        <w:jc w:val="both"/>
        <w:spacing w:before="150"/>
        <w:numPr>
          <w:ilvl w:val="1"/>
          <w:numId w:val="33"/>
        </w:numPr>
      </w:pPr>
      <w:r/>
      <w:r>
        <w:rPr>
          <w:rFonts w:ascii="Arial MT" w:hAnsi="Arial MT" w:cs="Arial MT" w:eastAsia="Arial MT"/>
          <w:sz w:val="19"/>
        </w:rPr>
        <w:t xml:space="preserve"> Serão aplicadas ao responsável pelas infrações administrativas acima descritas as seguintes sanções:</w:t>
      </w:r>
    </w:p>
    <w:p>
      <w:pPr>
        <w:jc w:val="both"/>
        <w:ind w:right="210"/>
        <w:spacing w:before="150" w:lineRule="auto" w:line="276"/>
        <w:tabs>
          <w:tab w:val="left" w:pos="1050"/>
        </w:tabs>
        <w:numPr>
          <w:ilvl w:val="0"/>
          <w:numId w:val="40"/>
        </w:numPr>
      </w:pPr>
      <w:r/>
      <w:r>
        <w:rPr>
          <w:rFonts w:ascii="Arial MT" w:hAnsi="Arial MT" w:cs="Arial MT" w:eastAsia="Arial MT"/>
          <w:sz w:val="19"/>
        </w:rPr>
        <w:t>Advertência, quando a Contratada der causa à inexecução parcial do contrato, sempre que não se justificar a imposição de penalidade mais grave (art. 156, §2º, da Lei);</w:t>
      </w:r>
    </w:p>
    <w:p>
      <w:pPr>
        <w:jc w:val="both"/>
        <w:ind w:right="210"/>
        <w:spacing w:before="120" w:lineRule="auto" w:line="276"/>
        <w:numPr>
          <w:ilvl w:val="0"/>
          <w:numId w:val="40"/>
        </w:numPr>
      </w:pPr>
      <w:r/>
      <w:r>
        <w:rPr>
          <w:rFonts w:ascii="Arial MT" w:hAnsi="Arial MT" w:cs="Arial MT" w:eastAsia="Arial MT"/>
          <w:sz w:val="19"/>
        </w:rPr>
        <w:t>Impedimento de licitar e contratar, quando praticadas as condutas descritas nos subitens 12.1.2 a 12.1.7 deste Edital, sempre que não se justificar a imposição de penalidade mais grave (art. 156, §4º, da Lei);</w:t>
      </w:r>
    </w:p>
    <w:p>
      <w:pPr>
        <w:jc w:val="both"/>
        <w:ind w:right="210"/>
        <w:spacing w:before="120" w:lineRule="auto" w:line="264"/>
        <w:numPr>
          <w:ilvl w:val="0"/>
          <w:numId w:val="40"/>
        </w:numPr>
      </w:pPr>
      <w:r/>
      <w:r>
        <w:rPr>
          <w:rFonts w:ascii="Arial MT" w:hAnsi="Arial MT" w:cs="Arial MT" w:eastAsia="Arial MT"/>
          <w:sz w:val="19"/>
        </w:rPr>
        <w:t>Declaração de inidoneidade para licitar e contratar no âmbito da Administração Pública Direta e Indireta do Ente Federativo que tiver aplicado a sanção, quando praticadas as condutas descritas nos subitens 12.1.8 a</w:t>
      </w:r>
    </w:p>
    <w:p>
      <w:pPr>
        <w:jc w:val="both"/>
        <w:ind w:left="780"/>
        <w:spacing w:before="15" w:lineRule="auto" w:line="276"/>
      </w:pPr>
      <w:r>
        <w:rPr>
          <w:rFonts w:ascii="Arial MT" w:hAnsi="Arial MT" w:cs="Arial MT" w:eastAsia="Arial MT"/>
          <w:sz w:val="19"/>
        </w:rPr>
        <w:t>12.1.12 deste Edital, bem como nos subitens 12.1.2 a 12.1.7 que justifiquem a imposiçãode penalidade mais grave (art. 156, §5º, da Lei);</w:t>
      </w:r>
    </w:p>
    <w:p>
      <w:pPr>
        <w:jc w:val="both"/>
        <w:spacing w:before="120"/>
        <w:numPr>
          <w:ilvl w:val="0"/>
          <w:numId w:val="40"/>
        </w:numPr>
      </w:pPr>
      <w:r/>
      <w:r>
        <w:rPr>
          <w:rFonts w:ascii="Arial MT" w:hAnsi="Arial MT" w:cs="Arial MT" w:eastAsia="Arial MT"/>
          <w:sz w:val="19"/>
        </w:rPr>
        <w:t>Multa:</w:t>
      </w:r>
    </w:p>
    <w:p>
      <w:pPr>
        <w:jc w:val="both"/>
        <w:ind w:right="210"/>
        <w:spacing w:before="150" w:lineRule="auto" w:line="276"/>
        <w:tabs>
          <w:tab w:val="left" w:pos="1470"/>
        </w:tabs>
        <w:numPr>
          <w:ilvl w:val="1"/>
          <w:numId w:val="40"/>
        </w:numPr>
      </w:pPr>
      <w:r/>
      <w:r>
        <w:rPr>
          <w:rFonts w:ascii="Arial MT" w:hAnsi="Arial MT" w:cs="Arial MT" w:eastAsia="Arial MT"/>
          <w:sz w:val="19"/>
        </w:rPr>
        <w:t>moratória de 1% (um por cento) por dia de atraso injustificado sobre o valor da parcela inadimplida, atéo limite de 30 (trinta) dias;</w:t>
      </w:r>
    </w:p>
    <w:p>
      <w:pPr>
        <w:jc w:val="both"/>
        <w:ind w:right="210"/>
        <w:spacing w:before="120" w:lineRule="auto" w:line="276"/>
        <w:numPr>
          <w:ilvl w:val="2"/>
          <w:numId w:val="40"/>
        </w:numPr>
      </w:pPr>
      <w:r/>
      <w:r>
        <w:rPr>
          <w:rFonts w:ascii="Arial MT" w:hAnsi="Arial MT" w:cs="Arial MT" w:eastAsia="Arial MT"/>
          <w:sz w:val="19"/>
        </w:rPr>
        <w:t>O atraso superior a 30 (trinta) dias autoriza a Administração a promover a rescisão do contrato por descumprimento ou cumprimento irregular de suas cláusulas, conforme dispõe o inciso I, do art. 137, da Lei nº 14.133/2021.</w:t>
      </w:r>
    </w:p>
    <w:p>
      <w:pPr>
        <w:jc w:val="both"/>
        <w:ind w:right="210"/>
        <w:spacing w:before="120" w:lineRule="auto" w:line="276"/>
        <w:tabs>
          <w:tab w:val="left" w:pos="1485"/>
        </w:tabs>
        <w:numPr>
          <w:ilvl w:val="1"/>
          <w:numId w:val="40"/>
        </w:numPr>
      </w:pPr>
      <w:r/>
      <w:r>
        <w:rPr>
          <w:rFonts w:ascii="Arial MT" w:hAnsi="Arial MT" w:cs="Arial MT" w:eastAsia="Arial MT"/>
          <w:sz w:val="19"/>
        </w:rPr>
        <w:t>moratória de 1% (um por cento) por dia de atraso injustificado sobre o valor total do contrato, até o máximo de 30% (trinta por cento) pela inobservância do prazo fixado para apresentação, suplementação ou reposição da garantia;</w:t>
      </w:r>
    </w:p>
    <w:p>
      <w:pPr>
        <w:jc w:val="both"/>
        <w:ind w:right="210"/>
        <w:spacing w:before="120" w:lineRule="auto" w:line="264"/>
        <w:tabs>
          <w:tab w:val="left" w:pos="1470"/>
        </w:tabs>
        <w:numPr>
          <w:ilvl w:val="1"/>
          <w:numId w:val="40"/>
        </w:numPr>
      </w:pPr>
      <w:r/>
      <w:r>
        <w:rPr>
          <w:rFonts w:ascii="Arial MT" w:hAnsi="Arial MT" w:cs="Arial MT" w:eastAsia="Arial MT"/>
          <w:sz w:val="19"/>
        </w:rPr>
        <w:t>compensatória de 30% (trinta por cento) sobre o valor total do contrato, no caso de inexecução total do objeto;</w:t>
      </w:r>
    </w:p>
    <w:p>
      <w:pPr>
        <w:jc w:val="both"/>
        <w:ind w:right="210"/>
        <w:spacing w:before="120" w:lineRule="auto" w:line="276"/>
        <w:tabs>
          <w:tab w:val="left" w:pos="630"/>
        </w:tabs>
        <w:numPr>
          <w:ilvl w:val="1"/>
          <w:numId w:val="33"/>
        </w:numPr>
      </w:pPr>
      <w:r/>
      <w:r>
        <w:rPr>
          <w:rFonts w:ascii="Arial MT" w:hAnsi="Arial MT" w:cs="Arial MT" w:eastAsia="Arial MT"/>
          <w:sz w:val="19"/>
        </w:rPr>
        <w:t>A aplicação das sanções previstas neste Edital não exclui, em hipótese alguma, a obrigação de reparação integral do dano causado ao Contratante (art. 156, §9º).</w:t>
      </w:r>
    </w:p>
    <w:p>
      <w:pPr>
        <w:spacing w:before="15"/>
      </w:pPr>
      <w:r>
        <w:t/>
      </w:r>
    </w:p>
    <w:p>
      <w:pPr>
        <w:jc w:val="both"/>
        <w:numPr>
          <w:ilvl w:val="1"/>
          <w:numId w:val="33"/>
        </w:numPr>
      </w:pPr>
      <w:r/>
      <w:r>
        <w:rPr>
          <w:rFonts w:ascii="Arial MT" w:hAnsi="Arial MT" w:cs="Arial MT" w:eastAsia="Arial MT"/>
          <w:sz w:val="19"/>
        </w:rPr>
        <w:t>Todas as sanções previstas neste Edital poderão ser aplicadas cumulativamente com a multa (art. 156,§7º).</w:t>
      </w:r>
    </w:p>
    <w:p>
      <w:pPr>
        <w:jc w:val="both"/>
        <w:ind w:right="210"/>
        <w:spacing w:before="150" w:lineRule="auto" w:line="276"/>
        <w:tabs>
          <w:tab w:val="left" w:pos="1095"/>
        </w:tabs>
        <w:numPr>
          <w:ilvl w:val="2"/>
          <w:numId w:val="33"/>
        </w:numPr>
      </w:pPr>
      <w:r/>
      <w:r>
        <w:rPr>
          <w:rFonts w:ascii="Arial MT" w:hAnsi="Arial MT" w:cs="Arial MT" w:eastAsia="Arial MT"/>
          <w:sz w:val="19"/>
        </w:rPr>
        <w:t>Antes da aplicação da multa, será facultada a defesa do interessado no prazo de 15 (quinze) dias úteis, contados da data de sua intimação (art. 157);</w:t>
      </w:r>
    </w:p>
    <w:p>
      <w:pPr>
        <w:jc w:val="both"/>
        <w:ind w:right="210"/>
        <w:spacing w:before="120" w:lineRule="auto" w:line="276"/>
        <w:tabs>
          <w:tab w:val="left" w:pos="1110"/>
        </w:tabs>
        <w:numPr>
          <w:ilvl w:val="2"/>
          <w:numId w:val="33"/>
        </w:numPr>
      </w:pPr>
      <w:r/>
      <w:r>
        <w:rPr>
          <w:rFonts w:ascii="Arial MT" w:hAnsi="Arial MT" w:cs="Arial MT" w:eastAsia="Arial MT"/>
          <w:sz w:val="19"/>
        </w:rPr>
        <w:t>Se a multa aplicada e as indenizações cabíveis forem superiores ao valor do pagamento eventualmente devido pelo Contratante à Contratada, além da perda desse valor, a diferença será descontada da garantia prestada ou será cobrada judicialmente (art. 156, §8º);</w:t>
      </w:r>
    </w:p>
    <w:p>
      <w:pPr>
        <w:jc w:val="both"/>
        <w:ind w:right="210"/>
        <w:spacing w:before="120" w:lineRule="auto" w:line="276"/>
        <w:tabs>
          <w:tab w:val="left" w:pos="1095"/>
        </w:tabs>
        <w:numPr>
          <w:ilvl w:val="2"/>
          <w:numId w:val="33"/>
        </w:numPr>
      </w:pPr>
      <w:r/>
      <w:r>
        <w:rPr>
          <w:rFonts w:ascii="Arial MT" w:hAnsi="Arial MT" w:cs="Arial MT" w:eastAsia="Arial MT"/>
          <w:sz w:val="19"/>
        </w:rPr>
        <w:t>Previamente ao encaminhamento à cobrança judicial, a multa poderá ser recolhida administrativamenteno prazo máximo de 30 (trinta) dias, a contar da data do recebimento da comunicação enviada pela autoridade competente;</w:t>
      </w:r>
    </w:p>
    <w:p>
      <w:pPr>
        <w:jc w:val="both"/>
        <w:ind w:right="210"/>
        <w:spacing w:before="120" w:lineRule="auto" w:line="276"/>
        <w:numPr>
          <w:ilvl w:val="1"/>
          <w:numId w:val="33"/>
        </w:numPr>
      </w:pPr>
      <w:r/>
      <w:r>
        <w:rPr>
          <w:rFonts w:ascii="Arial MT" w:hAnsi="Arial MT" w:cs="Arial MT" w:eastAsia="Arial MT"/>
          <w:sz w:val="19"/>
        </w:rPr>
        <w:t xml:space="preserve">A aplicação das sanções realizar-se-á em processo administrativo que assegure o contraditório e a ampla defesa à Contratada, observando-se o procedimento previsto no </w:t>
      </w:r>
      <w:r>
        <w:rPr>
          <w:i/>
          <w:sz w:val="19"/>
        </w:rPr>
        <w:t xml:space="preserve">caput </w:t>
      </w:r>
      <w:r>
        <w:rPr>
          <w:rFonts w:ascii="Arial MT" w:hAnsi="Arial MT" w:cs="Arial MT" w:eastAsia="Arial MT"/>
          <w:sz w:val="19"/>
        </w:rPr>
        <w:t>e parágrafos do art. 158 da Lei nº 14.133, de 2021, para as penalidades de impedimento de licitar e contratar e de declaração de inidoneidade para licitar ou contratar.</w:t>
      </w:r>
    </w:p>
    <w:p>
      <w:pPr>
        <w:jc w:val="both"/>
        <w:spacing w:before="120"/>
        <w:numPr>
          <w:ilvl w:val="1"/>
          <w:numId w:val="33"/>
        </w:numPr>
      </w:pPr>
      <w:r/>
      <w:r>
        <w:rPr>
          <w:rFonts w:ascii="Arial MT" w:hAnsi="Arial MT" w:cs="Arial MT" w:eastAsia="Arial MT"/>
          <w:sz w:val="19"/>
        </w:rPr>
        <w:t>Na aplicação das sanções serão considerados (art. 156, §1º):</w:t>
      </w:r>
    </w:p>
    <w:p>
      <w:pPr>
        <w:spacing w:before="150"/>
        <w:numPr>
          <w:ilvl w:val="0"/>
          <w:numId w:val="24"/>
        </w:numPr>
      </w:pPr>
      <w:r/>
      <w:r>
        <w:rPr>
          <w:rFonts w:ascii="Arial MT" w:hAnsi="Arial MT" w:cs="Arial MT" w:eastAsia="Arial MT"/>
          <w:sz w:val="19"/>
        </w:rPr>
        <w:t>A natureza e a gravidade da infração cometida;</w:t>
      </w:r>
    </w:p>
    <w:p>
      <w:pPr>
        <w:spacing w:before="150"/>
        <w:tabs>
          <w:tab w:val="left" w:pos="1020"/>
        </w:tabs>
        <w:numPr>
          <w:ilvl w:val="0"/>
          <w:numId w:val="24"/>
        </w:numPr>
      </w:pPr>
      <w:r/>
      <w:r>
        <w:rPr>
          <w:rFonts w:ascii="Arial MT" w:hAnsi="Arial MT" w:cs="Arial MT" w:eastAsia="Arial MT"/>
          <w:sz w:val="19"/>
        </w:rPr>
        <w:t>As peculiaridades do caso concreto;</w:t>
      </w:r>
    </w:p>
    <w:p>
      <w:pPr>
        <w:spacing w:before="150"/>
        <w:numPr>
          <w:ilvl w:val="0"/>
          <w:numId w:val="24"/>
        </w:numPr>
      </w:pPr>
      <w:r/>
      <w:r>
        <w:rPr>
          <w:rFonts w:ascii="Arial MT" w:hAnsi="Arial MT" w:cs="Arial MT" w:eastAsia="Arial MT"/>
          <w:sz w:val="19"/>
        </w:rPr>
        <w:t>As circunstâncias agravantes ou atenuantes;</w:t>
      </w:r>
    </w:p>
    <w:p>
      <w:pPr>
        <w:spacing w:before="150"/>
        <w:tabs>
          <w:tab w:val="left" w:pos="1020"/>
        </w:tabs>
        <w:numPr>
          <w:ilvl w:val="0"/>
          <w:numId w:val="24"/>
        </w:numPr>
      </w:pPr>
      <w:r/>
      <w:r>
        <w:rPr>
          <w:rFonts w:ascii="Arial MT" w:hAnsi="Arial MT" w:cs="Arial MT" w:eastAsia="Arial MT"/>
          <w:sz w:val="19"/>
        </w:rPr>
        <w:t>Os danos que dela provierem para o Contratante;</w:t>
      </w:r>
    </w:p>
    <w:p>
      <w:pPr>
        <w:jc w:val="both"/>
        <w:ind w:right="210"/>
        <w:spacing w:before="150" w:lineRule="auto" w:line="276"/>
        <w:numPr>
          <w:ilvl w:val="0"/>
          <w:numId w:val="24"/>
        </w:numPr>
      </w:pPr>
      <w:r/>
      <w:r>
        <w:rPr>
          <w:rFonts w:ascii="Arial MT" w:hAnsi="Arial MT" w:cs="Arial MT" w:eastAsia="Arial MT"/>
          <w:sz w:val="19"/>
        </w:rPr>
        <w:t>A implantação ou o aperfeiçoamento de programa de integridade, conforme normas e orientações dosórgãos de controle.</w:t>
      </w:r>
    </w:p>
    <w:p>
      <w:pPr>
        <w:jc w:val="both"/>
        <w:ind w:right="210"/>
        <w:spacing w:before="120" w:lineRule="auto" w:line="276"/>
        <w:tabs>
          <w:tab w:val="left" w:pos="615"/>
        </w:tabs>
        <w:numPr>
          <w:ilvl w:val="1"/>
          <w:numId w:val="33"/>
        </w:numPr>
      </w:pPr>
      <w:r/>
      <w:r>
        <w:rPr>
          <w:rFonts w:ascii="Arial MT" w:hAnsi="Arial MT" w:cs="Arial MT" w:eastAsia="Arial MT"/>
          <w:sz w:val="19"/>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pPr>
        <w:jc w:val="both"/>
        <w:outlineLvl w:val="1"/>
        <w:ind w:right="210"/>
        <w:spacing w:before="120" w:lineRule="auto" w:line="276"/>
        <w:numPr>
          <w:ilvl w:val="1"/>
          <w:numId w:val="33"/>
        </w:numPr>
      </w:pPr>
      <w:r/>
      <w:r>
        <w:rPr>
          <w:b/>
          <w:sz w:val="19"/>
        </w:rPr>
        <w:t>A personalidade jurídica da Contratada poderá ser desconsiderada sempre que utilizada com abuso do direito para facilitar, encobrir ou dissimular a prática dos atos ilícitos previstos neste Edital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Contratada, observados, em todos os casos, o contraditório, a ampla defesa e a obrigatoriedade de análise jurídica prévia (art. 160).</w:t>
      </w:r>
    </w:p>
    <w:p>
      <w:pPr>
        <w:jc w:val="both"/>
        <w:ind w:right="210"/>
        <w:spacing w:before="120" w:lineRule="auto" w:line="276"/>
        <w:tabs>
          <w:tab w:val="left" w:pos="630"/>
        </w:tabs>
        <w:numPr>
          <w:ilvl w:val="1"/>
          <w:numId w:val="33"/>
        </w:numPr>
      </w:pPr>
      <w:r/>
      <w:r>
        <w:rPr>
          <w:rFonts w:ascii="Arial MT" w:hAnsi="Arial MT" w:cs="Arial MT" w:eastAsia="Arial MT"/>
          <w:sz w:val="19"/>
        </w:rPr>
        <w:t>O Contratante deverá, no prazo máximo 15 (quinze) dias úteis, contados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(Art. 161).</w:t>
      </w:r>
    </w:p>
    <w:p>
      <w:pPr>
        <w:jc w:val="both"/>
        <w:outlineLvl w:val="1"/>
        <w:ind w:right="210"/>
        <w:spacing w:before="120" w:lineRule="auto" w:line="264"/>
        <w:tabs>
          <w:tab w:val="left" w:pos="705"/>
        </w:tabs>
        <w:numPr>
          <w:ilvl w:val="1"/>
          <w:numId w:val="33"/>
        </w:numPr>
      </w:pPr>
      <w:r/>
      <w:r>
        <w:rPr>
          <w:b/>
          <w:sz w:val="19"/>
        </w:rPr>
        <w:t xml:space="preserve"> As sanções de impedimento de licitar e contratar e declaração de inidoneidade para licitar ou contratar são passíveis de reabilitação na forma do art. 163 da Lei nº 14.133/21.</w:t>
      </w:r>
    </w:p>
    <w:p>
      <w:pPr>
        <w:jc w:val="both"/>
        <w:outlineLvl w:val="1"/>
        <w:ind w:left="165" w:right="210" w:firstLine="435"/>
        <w:spacing w:before="120" w:lineRule="auto" w:line="264"/>
        <w:tabs>
          <w:tab w:val="left" w:pos="705"/>
        </w:tabs>
      </w:pPr>
      <w:r>
        <w:t/>
      </w:r>
    </w:p>
    <w:p>
      <w:r>
        <w:drawing>
          <wp:inline distT="0" distB="0" distL="0" distR="0">
            <wp:extent cx="6896100" cy="200025"/>
            <wp:effectExtent l="0" t="0" r="0" b="0"/>
            <wp:docPr id="41" name="Pic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1.emf"/>
                    <pic:cNvPicPr/>
                  </pic:nvPicPr>
                  <pic:blipFill>
                    <a:blip r:embed="prId40" cstate="print"/>
                    <a:stretch>
                      <a:fillRect/>
                    </a:stretch>
                  </pic:blipFill>
                  <pic:spPr>
                    <a:xfrm>
                      <a:off x="0" y="0"/>
                      <a:ext cx="6896100" cy="200025"/>
                    </a:xfrm>
                    <a:prstGeom prst="rect">
                      <a:avLst/>
                    </a:prstGeom>
                  </pic:spPr>
                </pic:pic>
              </a:graphicData>
            </a:graphic>
          </wp:inline>
        </w:drawing>
      </w:r>
    </w:p>
    <w:p>
      <w:r>
        <w:t/>
      </w:r>
    </w:p>
    <w:p>
      <w:pPr>
        <w:jc w:val="both"/>
        <w:ind w:right="210"/>
        <w:spacing w:before="90" w:lineRule="auto" w:line="276"/>
        <w:numPr>
          <w:ilvl w:val="1"/>
          <w:numId w:val="32"/>
        </w:numPr>
      </w:pPr>
      <w:r/>
      <w:r>
        <w:rPr>
          <w:rFonts w:ascii="Arial MT" w:hAnsi="Arial MT" w:cs="Arial MT" w:eastAsia="Arial MT"/>
          <w:sz w:val="19"/>
        </w:rPr>
        <w:t>O Pregoeiro lavrará ata circunstanciada da sessão pública, na qual estarão registrados todos os atos do procedimento e as ocorrências relevantes, que fará parte integrante do processo licitatório e estará disponível para consulta no endereço informado no item 1.2.7, deste Edital.</w:t>
      </w:r>
    </w:p>
    <w:p>
      <w:pPr>
        <w:jc w:val="both"/>
        <w:ind w:right="210"/>
        <w:spacing w:before="120" w:lineRule="auto" w:line="264"/>
        <w:numPr>
          <w:ilvl w:val="1"/>
          <w:numId w:val="32"/>
        </w:numPr>
      </w:pPr>
      <w:r/>
      <w:r>
        <w:rPr>
          <w:rFonts w:ascii="Arial MT" w:hAnsi="Arial MT" w:cs="Arial MT" w:eastAsia="Arial MT"/>
          <w:sz w:val="19"/>
        </w:rPr>
        <w:t xml:space="preserve">O procedimento será divulgado no COMPRASBR </w:t>
      </w:r>
      <w:r>
        <w:rPr>
          <w:rFonts w:ascii="Arial MT" w:hAnsi="Arial MT" w:cs="Arial MT" w:eastAsia="Arial MT"/>
          <w:u w:val="single"/>
          <w:sz w:val="19"/>
        </w:rPr>
        <w:t>https://</w:t>
      </w:r>
      <w:hyperlink r:id="hrId2">
        <w:r>
          <w:rPr>
            <w:rFonts w:ascii="Arial MT" w:hAnsi="Arial MT" w:cs="Arial MT" w:eastAsia="Arial MT"/>
            <w:u w:val="single"/>
            <w:sz w:val="19"/>
          </w:rPr>
          <w:t>www.comprasbr</w:t>
        </w:r>
        <w:r>
          <w:rPr>
            <w:rFonts w:ascii="Arial MT" w:hAnsi="Arial MT" w:cs="Arial MT" w:eastAsia="Arial MT"/>
            <w:sz w:val="19"/>
          </w:rPr>
          <w:t>.com.br,</w:t>
        </w:r>
      </w:hyperlink>
      <w:r>
        <w:rPr>
          <w:rFonts w:ascii="Arial MT" w:hAnsi="Arial MT" w:cs="Arial MT" w:eastAsia="Arial MT"/>
          <w:sz w:val="19"/>
        </w:rPr>
        <w:t xml:space="preserve"> no Portal de Transparência do Município de São Tomé – </w:t>
      </w:r>
      <w:hyperlink r:id="hrId3">
        <w:r>
          <w:rPr>
            <w:rFonts w:ascii="Arial MT" w:hAnsi="Arial MT" w:cs="Arial MT" w:eastAsia="Arial MT"/>
            <w:u w:val="single"/>
            <w:sz w:val="19"/>
          </w:rPr>
          <w:t>www.saotome.pr.gov.br</w:t>
        </w:r>
        <w:r>
          <w:rPr>
            <w:rFonts w:ascii="Arial MT" w:hAnsi="Arial MT" w:cs="Arial MT" w:eastAsia="Arial MT"/>
            <w:sz w:val="19"/>
          </w:rPr>
          <w:t>,</w:t>
        </w:r>
      </w:hyperlink>
      <w:r>
        <w:rPr>
          <w:rFonts w:ascii="Arial MT" w:hAnsi="Arial MT" w:cs="Arial MT" w:eastAsia="Arial MT"/>
          <w:sz w:val="19"/>
        </w:rPr>
        <w:t xml:space="preserve"> no Portal Nacional de Compras Públicas – PNCP e encaminhado automaticamente aos fornecedores, por mensagem eletrônica, na correspondente linha de fornecimento que pretende atender.</w:t>
      </w:r>
    </w:p>
    <w:p>
      <w:pPr>
        <w:jc w:val="both"/>
        <w:ind w:right="210"/>
        <w:spacing w:before="120" w:lineRule="auto" w:line="276"/>
        <w:numPr>
          <w:ilvl w:val="1"/>
          <w:numId w:val="32"/>
        </w:numPr>
      </w:pPr>
      <w:r/>
      <w:r>
        <w:rPr>
          <w:rFonts w:ascii="Arial MT" w:hAnsi="Arial MT" w:cs="Arial MT" w:eastAsia="Arial MT"/>
          <w:sz w:val="19"/>
        </w:rPr>
        <w:t>O Pregoeiro, no interesse público, poderá sanar, relevar omissões ou erros puramente formais observados na Documentação de Habilitação e Proposta de Preços, desde que não contrariem a legislação vigente e não comprometam a lisura da licitação.</w:t>
      </w:r>
    </w:p>
    <w:p>
      <w:pPr>
        <w:jc w:val="both"/>
        <w:ind w:right="210"/>
        <w:spacing w:before="120" w:lineRule="auto" w:line="276"/>
        <w:numPr>
          <w:ilvl w:val="1"/>
          <w:numId w:val="32"/>
        </w:numPr>
      </w:pPr>
      <w:r/>
      <w:r>
        <w:rPr>
          <w:rFonts w:ascii="Arial MT" w:hAnsi="Arial MT" w:cs="Arial MT" w:eastAsia="Arial MT"/>
          <w:sz w:val="19"/>
        </w:rPr>
        <w:t>Encerradas as fases de julgamento e habilitação e exauridos os recursos administrativos, o processo licitatório será encaminhado à autoridade superior, que poderá: (art. 71 da Lei 14.133/21)</w:t>
      </w:r>
    </w:p>
    <w:p>
      <w:pPr>
        <w:jc w:val="both"/>
        <w:spacing w:before="120"/>
        <w:numPr>
          <w:ilvl w:val="2"/>
          <w:numId w:val="32"/>
        </w:numPr>
      </w:pPr>
      <w:r/>
      <w:r>
        <w:rPr>
          <w:rFonts w:ascii="Arial MT" w:hAnsi="Arial MT" w:cs="Arial MT" w:eastAsia="Arial MT"/>
          <w:sz w:val="19"/>
        </w:rPr>
        <w:t>Determinar o retorno dos autos para saneamento de irregularidades;</w:t>
      </w:r>
    </w:p>
    <w:p>
      <w:pPr>
        <w:jc w:val="both"/>
        <w:spacing w:before="150"/>
        <w:tabs>
          <w:tab w:val="left" w:pos="1020"/>
        </w:tabs>
        <w:numPr>
          <w:ilvl w:val="2"/>
          <w:numId w:val="32"/>
        </w:numPr>
      </w:pPr>
      <w:r/>
      <w:r>
        <w:rPr>
          <w:rFonts w:ascii="Arial MT" w:hAnsi="Arial MT" w:cs="Arial MT" w:eastAsia="Arial MT"/>
          <w:sz w:val="19"/>
        </w:rPr>
        <w:t>Revogar a licitação por motivo de conveniência e oportunidade;</w:t>
      </w:r>
    </w:p>
    <w:p>
      <w:pPr>
        <w:jc w:val="both"/>
        <w:ind w:right="210"/>
        <w:spacing w:before="150" w:lineRule="auto" w:line="276"/>
        <w:tabs>
          <w:tab w:val="left" w:pos="1050"/>
        </w:tabs>
        <w:numPr>
          <w:ilvl w:val="2"/>
          <w:numId w:val="32"/>
        </w:numPr>
      </w:pPr>
      <w:r/>
      <w:r>
        <w:rPr>
          <w:rFonts w:ascii="Arial MT" w:hAnsi="Arial MT" w:cs="Arial MT" w:eastAsia="Arial MT"/>
          <w:sz w:val="19"/>
        </w:rPr>
        <w:t>Proceder à anulação da licitação, de ofício ou mediante provocação de terceiros, sempre que presente ilegalidade insanável;</w:t>
      </w:r>
    </w:p>
    <w:p>
      <w:pPr>
        <w:jc w:val="both"/>
        <w:spacing w:before="120"/>
        <w:tabs>
          <w:tab w:val="left" w:pos="1020"/>
        </w:tabs>
        <w:numPr>
          <w:ilvl w:val="2"/>
          <w:numId w:val="32"/>
        </w:numPr>
      </w:pPr>
      <w:r/>
      <w:r>
        <w:rPr>
          <w:rFonts w:ascii="Arial MT" w:hAnsi="Arial MT" w:cs="Arial MT" w:eastAsia="Arial MT"/>
          <w:sz w:val="19"/>
        </w:rPr>
        <w:t>Adjudicar o objeto e homologar a licitação.</w:t>
      </w:r>
    </w:p>
    <w:p>
      <w:pPr>
        <w:jc w:val="both"/>
        <w:ind w:right="210"/>
        <w:spacing w:before="150" w:lineRule="auto" w:line="276"/>
        <w:numPr>
          <w:ilvl w:val="2"/>
          <w:numId w:val="8"/>
        </w:numPr>
      </w:pPr>
      <w:r/>
      <w:r>
        <w:rPr>
          <w:rFonts w:ascii="Arial MT" w:hAnsi="Arial MT" w:cs="Arial MT" w:eastAsia="Arial MT"/>
          <w:sz w:val="19"/>
        </w:rPr>
        <w:t>Ao pronunciar a nulidade, a autoridade indicará expressamente os atos com vícios insanáveis, tornando sem efeito todos os subsequentes que deles dependam, e dará ensejo à apuração de responsabilidade de quem lhes tenha dado causa.</w:t>
      </w:r>
    </w:p>
    <w:p>
      <w:pPr>
        <w:jc w:val="both"/>
        <w:ind w:right="210"/>
        <w:spacing w:before="120" w:lineRule="auto" w:line="276"/>
        <w:tabs>
          <w:tab w:val="left" w:pos="1710"/>
        </w:tabs>
        <w:numPr>
          <w:ilvl w:val="2"/>
          <w:numId w:val="8"/>
        </w:numPr>
      </w:pPr>
      <w:r/>
      <w:r>
        <w:rPr>
          <w:rFonts w:ascii="Arial MT" w:hAnsi="Arial MT" w:cs="Arial MT" w:eastAsia="Arial MT"/>
          <w:sz w:val="19"/>
        </w:rPr>
        <w:t>O motivo determinante para a revogação do processo licitatório deverá ser resultante de fato superveniente devidamente comprovado.</w:t>
      </w:r>
    </w:p>
    <w:p>
      <w:pPr>
        <w:jc w:val="both"/>
        <w:ind w:right="210"/>
        <w:spacing w:before="120" w:lineRule="auto" w:line="264"/>
        <w:tabs>
          <w:tab w:val="left" w:pos="1740"/>
        </w:tabs>
        <w:numPr>
          <w:ilvl w:val="2"/>
          <w:numId w:val="8"/>
        </w:numPr>
      </w:pPr>
      <w:r/>
      <w:r>
        <w:rPr>
          <w:rFonts w:ascii="Arial MT" w:hAnsi="Arial MT" w:cs="Arial MT" w:eastAsia="Arial MT"/>
          <w:sz w:val="19"/>
        </w:rPr>
        <w:t>Nos casos de anulação e revogação, deverá ser assegurada a prévia manifestação dos interessados.</w:t>
      </w:r>
    </w:p>
    <w:p>
      <w:pPr>
        <w:jc w:val="both"/>
        <w:ind w:left="1065" w:right="210"/>
        <w:spacing w:before="120" w:lineRule="auto" w:line="276"/>
      </w:pPr>
      <w:r>
        <w:rPr>
          <w:b/>
          <w:sz w:val="19"/>
        </w:rPr>
        <w:t xml:space="preserve">13.4.5 </w:t>
      </w:r>
      <w:r>
        <w:rPr>
          <w:rFonts w:ascii="Arial MT" w:hAnsi="Arial MT" w:cs="Arial MT" w:eastAsia="Arial MT"/>
          <w:sz w:val="19"/>
        </w:rPr>
        <w:t>O disposto neste artigo será aplicado, no que couber, à contratação direta e os procedimentos auxiliares da licitação.</w:t>
      </w:r>
    </w:p>
    <w:p>
      <w:pPr>
        <w:jc w:val="both"/>
        <w:ind w:left="165" w:right="210"/>
        <w:spacing w:before="120" w:lineRule="auto" w:line="264"/>
      </w:pPr>
      <w:r>
        <w:rPr>
          <w:b/>
          <w:sz w:val="19"/>
        </w:rPr>
        <w:t xml:space="preserve">13.5. </w:t>
      </w:r>
      <w:r>
        <w:rPr>
          <w:rFonts w:ascii="Arial MT" w:hAnsi="Arial MT" w:cs="Arial MT" w:eastAsia="Arial MT"/>
          <w:sz w:val="19"/>
        </w:rPr>
        <w:t>No interesse da Administração, sem que caiba aos participantes qualquer reclamação ou indenização, poderá ser:</w:t>
      </w:r>
    </w:p>
    <w:p>
      <w:pPr>
        <w:jc w:val="both"/>
        <w:spacing w:before="15"/>
        <w:tabs>
          <w:tab w:val="left" w:pos="1155"/>
        </w:tabs>
        <w:numPr>
          <w:ilvl w:val="0"/>
          <w:numId w:val="45"/>
        </w:numPr>
      </w:pPr>
      <w:r/>
      <w:r>
        <w:rPr>
          <w:rFonts w:ascii="Arial MT" w:hAnsi="Arial MT" w:cs="Arial MT" w:eastAsia="Arial MT"/>
          <w:sz w:val="19"/>
        </w:rPr>
        <w:t>Adiada a data da abertura desta licitação;</w:t>
      </w:r>
    </w:p>
    <w:p>
      <w:pPr>
        <w:jc w:val="both"/>
        <w:spacing w:before="150"/>
        <w:tabs>
          <w:tab w:val="left" w:pos="1155"/>
        </w:tabs>
        <w:numPr>
          <w:ilvl w:val="0"/>
          <w:numId w:val="45"/>
        </w:numPr>
      </w:pPr>
      <w:r/>
      <w:r>
        <w:rPr>
          <w:rFonts w:ascii="Arial MT" w:hAnsi="Arial MT" w:cs="Arial MT" w:eastAsia="Arial MT"/>
          <w:sz w:val="19"/>
        </w:rPr>
        <w:t>Alteradas as condições do presente edital, com fixação de novo prazo para a realização do certame.</w:t>
      </w:r>
    </w:p>
    <w:p>
      <w:pPr>
        <w:jc w:val="both"/>
        <w:ind w:right="210"/>
        <w:spacing w:before="150" w:lineRule="auto" w:line="276"/>
        <w:numPr>
          <w:ilvl w:val="1"/>
          <w:numId w:val="43"/>
        </w:numPr>
      </w:pPr>
      <w:r/>
      <w:r>
        <w:rPr>
          <w:rFonts w:ascii="Arial MT" w:hAnsi="Arial MT" w:cs="Arial MT" w:eastAsia="Arial MT"/>
          <w:sz w:val="19"/>
        </w:rPr>
        <w:t>As licitantes são responsáveis administrativa, civil e penalmente pela fidelidade e legitimidade das informações e dos documentos apresentados em qualquer fase da licitação.</w:t>
      </w:r>
    </w:p>
    <w:p>
      <w:pPr>
        <w:jc w:val="both"/>
        <w:spacing w:before="120"/>
        <w:numPr>
          <w:ilvl w:val="1"/>
          <w:numId w:val="43"/>
        </w:numPr>
      </w:pPr>
      <w:r/>
      <w:r>
        <w:rPr>
          <w:rFonts w:ascii="Arial MT" w:hAnsi="Arial MT" w:cs="Arial MT" w:eastAsia="Arial MT"/>
          <w:sz w:val="19"/>
        </w:rPr>
        <w:t>Na contagem dos prazos estabelecidos neste edital, excluir-se-á o dia do início e incluir-se-á o do vencimento.</w:t>
      </w:r>
    </w:p>
    <w:p>
      <w:pPr>
        <w:jc w:val="both"/>
        <w:spacing w:before="150"/>
        <w:numPr>
          <w:ilvl w:val="1"/>
          <w:numId w:val="43"/>
        </w:numPr>
      </w:pPr>
      <w:r/>
      <w:r>
        <w:rPr>
          <w:rFonts w:ascii="Arial MT" w:hAnsi="Arial MT" w:cs="Arial MT" w:eastAsia="Arial MT"/>
          <w:sz w:val="19"/>
        </w:rPr>
        <w:t xml:space="preserve">A homologação do resultado desta licitação </w:t>
      </w:r>
      <w:r>
        <w:rPr>
          <w:rFonts w:ascii="Arial MT" w:hAnsi="Arial MT" w:cs="Arial MT" w:eastAsia="Arial MT"/>
          <w:u w:val="single"/>
          <w:sz w:val="19"/>
        </w:rPr>
        <w:t>não</w:t>
      </w:r>
      <w:r>
        <w:rPr>
          <w:rFonts w:ascii="Arial MT" w:hAnsi="Arial MT" w:cs="Arial MT" w:eastAsia="Arial MT"/>
          <w:sz w:val="19"/>
        </w:rPr>
        <w:t xml:space="preserve"> implicará direito à contratação.</w:t>
      </w:r>
    </w:p>
    <w:p>
      <w:pPr>
        <w:jc w:val="both"/>
        <w:spacing w:before="150"/>
        <w:numPr>
          <w:ilvl w:val="1"/>
          <w:numId w:val="43"/>
        </w:numPr>
      </w:pPr>
      <w:r/>
      <w:r>
        <w:rPr>
          <w:rFonts w:ascii="Arial MT" w:hAnsi="Arial MT" w:cs="Arial MT" w:eastAsia="Arial MT"/>
          <w:sz w:val="19"/>
        </w:rPr>
        <w:t>Os casos omissos serão resolvidos pelo Pregoeiro, com auxílio da Equipe de Apoio.</w:t>
      </w:r>
    </w:p>
    <w:p>
      <w:pPr>
        <w:jc w:val="both"/>
        <w:ind w:right="210"/>
        <w:spacing w:before="150" w:lineRule="auto" w:line="264"/>
        <w:tabs>
          <w:tab w:val="left" w:pos="705"/>
        </w:tabs>
        <w:numPr>
          <w:ilvl w:val="1"/>
          <w:numId w:val="43"/>
        </w:numPr>
      </w:pPr>
      <w:r/>
      <w:r>
        <w:rPr>
          <w:rFonts w:ascii="Arial MT" w:hAnsi="Arial MT" w:cs="Arial MT" w:eastAsia="Arial MT"/>
          <w:sz w:val="19"/>
        </w:rPr>
        <w:t xml:space="preserve"> As normas que disciplinam este pregão serão sempre interpretadas em favor da ampliação da disputa entre os interessados, desde que não comprometam o interesse da Administração, a finalidade e a segurança da contratação.</w:t>
      </w:r>
    </w:p>
    <w:p>
      <w:pPr>
        <w:jc w:val="both"/>
        <w:ind w:right="210"/>
        <w:spacing w:before="120" w:lineRule="auto" w:line="264"/>
        <w:tabs>
          <w:tab w:val="left" w:pos="690"/>
        </w:tabs>
        <w:numPr>
          <w:ilvl w:val="1"/>
          <w:numId w:val="43"/>
        </w:numPr>
      </w:pPr>
      <w:r/>
      <w:r>
        <w:rPr>
          <w:rFonts w:ascii="Arial MT" w:hAnsi="Arial MT" w:cs="Arial MT" w:eastAsia="Arial MT"/>
          <w:sz w:val="19"/>
        </w:rPr>
        <w:t xml:space="preserve"> Não havendo expediente na data marcada, a reunião será realizada no primeiro dia útil subsequente, à mesma hora e local, salvo por motivo de força maior ou qualquer outro fator ou fato imprevisível.</w:t>
      </w:r>
    </w:p>
    <w:p>
      <w:pPr>
        <w:jc w:val="both"/>
        <w:ind w:right="210"/>
        <w:spacing w:before="120" w:lineRule="auto" w:line="276"/>
        <w:tabs>
          <w:tab w:val="left" w:pos="750"/>
        </w:tabs>
        <w:numPr>
          <w:ilvl w:val="1"/>
          <w:numId w:val="43"/>
        </w:numPr>
      </w:pPr>
      <w:r/>
      <w:r>
        <w:rPr>
          <w:rFonts w:ascii="Arial MT" w:hAnsi="Arial MT" w:cs="Arial MT" w:eastAsia="Arial MT"/>
          <w:sz w:val="19"/>
        </w:rPr>
        <w:t xml:space="preserve"> Quaisquer informações e esclarecimentos relativos a esta licitação serão prestados pelo Pregoeiro, na Prefeitura Municipal de São Tome, Setor de Licitações, situada a Rua Praça Professor Pedro Fecchio, 284, Centro, São Tomé – PR.</w:t>
      </w:r>
    </w:p>
    <w:p>
      <w:pPr>
        <w:jc w:val="both"/>
        <w:ind w:right="210"/>
        <w:spacing w:before="120" w:lineRule="auto" w:line="276"/>
        <w:tabs>
          <w:tab w:val="left" w:pos="720"/>
        </w:tabs>
        <w:numPr>
          <w:ilvl w:val="1"/>
          <w:numId w:val="43"/>
        </w:numPr>
      </w:pPr>
      <w:r/>
      <w:r>
        <w:rPr>
          <w:rFonts w:ascii="Arial MT" w:hAnsi="Arial MT" w:cs="Arial MT" w:eastAsia="Arial MT"/>
          <w:sz w:val="19"/>
        </w:rPr>
        <w:t xml:space="preserve"> Em caso de divergência entre disposições deste Edital e de seus anexos ou demais peças que compõem o processo, prevalecerá as deste Edital.</w:t>
      </w:r>
    </w:p>
    <w:p>
      <w:pPr>
        <w:jc w:val="both"/>
        <w:ind w:right="210"/>
        <w:spacing w:before="120" w:lineRule="auto" w:line="276"/>
        <w:tabs>
          <w:tab w:val="left" w:pos="720"/>
        </w:tabs>
        <w:numPr>
          <w:ilvl w:val="1"/>
          <w:numId w:val="43"/>
        </w:numPr>
      </w:pPr>
      <w:r/>
      <w:r>
        <w:rPr>
          <w:rFonts w:ascii="Arial MT" w:hAnsi="Arial MT" w:cs="Arial MT" w:eastAsia="Arial MT"/>
          <w:sz w:val="19"/>
        </w:rPr>
        <w:t xml:space="preserve"> O foro de cidade de Cianorte, Estado do Paraná é designado como o competente para dirimir quaisquer controvérsias relativas a este Pregão e à adjudicação, contratação e execução dela decorrentes.</w:t>
      </w:r>
    </w:p>
    <w:p>
      <w:pPr>
        <w:jc w:val="both"/>
        <w:spacing w:before="120"/>
        <w:tabs>
          <w:tab w:val="left" w:pos="690"/>
        </w:tabs>
        <w:numPr>
          <w:ilvl w:val="1"/>
          <w:numId w:val="43"/>
        </w:numPr>
      </w:pPr>
      <w:r/>
      <w:r>
        <w:rPr>
          <w:rFonts w:ascii="Arial MT" w:hAnsi="Arial MT" w:cs="Arial MT" w:eastAsia="Arial MT"/>
          <w:sz w:val="19"/>
        </w:rPr>
        <w:t xml:space="preserve"> Integram este Edital, para todos os fins e efeitos, os seguintes anexos:</w:t>
      </w:r>
    </w:p>
    <w:p>
      <w:pPr>
        <w:jc w:val="both"/>
      </w:pPr>
      <w:r>
        <w:t/>
      </w:r>
    </w:p>
    <w:p>
      <w:pPr>
        <w:tabs>
          <w:tab w:val="left" w:pos="855"/>
        </w:tabs>
        <w:numPr>
          <w:ilvl w:val="2"/>
          <w:numId w:val="43"/>
        </w:numPr>
      </w:pPr>
      <w:r/>
      <w:r>
        <w:rPr>
          <w:rFonts w:ascii="Arial MT" w:hAnsi="Arial MT" w:cs="Arial MT" w:eastAsia="Arial MT"/>
          <w:sz w:val="19"/>
        </w:rPr>
        <w:t>ANEXO I – TERMO DE REFERÊNCIA E MODELO DE PROPOSTA;</w:t>
      </w:r>
    </w:p>
    <w:p>
      <w:pPr>
        <w:spacing w:before="150"/>
        <w:tabs>
          <w:tab w:val="left" w:pos="855"/>
        </w:tabs>
        <w:numPr>
          <w:ilvl w:val="2"/>
          <w:numId w:val="43"/>
        </w:numPr>
      </w:pPr>
      <w:r/>
      <w:r>
        <w:rPr>
          <w:rFonts w:ascii="Arial MT" w:hAnsi="Arial MT" w:cs="Arial MT" w:eastAsia="Arial MT"/>
          <w:sz w:val="19"/>
        </w:rPr>
        <w:t>ANEXO II – MODELO DE CREDENCIAMENTO;</w:t>
      </w:r>
    </w:p>
    <w:p>
      <w:pPr>
        <w:spacing w:before="150"/>
        <w:tabs>
          <w:tab w:val="left" w:pos="855"/>
        </w:tabs>
        <w:numPr>
          <w:ilvl w:val="2"/>
          <w:numId w:val="43"/>
        </w:numPr>
      </w:pPr>
      <w:r/>
      <w:r>
        <w:rPr>
          <w:rFonts w:ascii="Arial MT" w:hAnsi="Arial MT" w:cs="Arial MT" w:eastAsia="Arial MT"/>
          <w:sz w:val="19"/>
        </w:rPr>
        <w:t>ANEXO III – DECLARAÇÃO UNIFICADA;</w:t>
      </w:r>
    </w:p>
    <w:p>
      <w:pPr>
        <w:spacing w:before="150"/>
        <w:tabs>
          <w:tab w:val="left" w:pos="855"/>
        </w:tabs>
        <w:numPr>
          <w:ilvl w:val="2"/>
          <w:numId w:val="43"/>
        </w:numPr>
      </w:pPr>
      <w:r/>
      <w:r>
        <w:rPr>
          <w:rFonts w:ascii="Arial MT" w:hAnsi="Arial MT" w:cs="Arial MT" w:eastAsia="Arial MT"/>
          <w:sz w:val="19"/>
        </w:rPr>
        <w:t>ANEXO IV – MINUTA DE CONTRATO.</w:t>
      </w:r>
    </w:p>
    <w:p>
      <w:pPr>
        <w:jc w:val="right"/>
        <w:ind w:left="1350" w:right="315"/>
        <w:spacing w:before="150"/>
      </w:pPr>
      <w:r>
        <w:rPr>
          <w:rFonts w:ascii="Arial MT" w:hAnsi="Arial MT" w:cs="Arial MT" w:eastAsia="Arial MT"/>
          <w:sz w:val="19"/>
        </w:rPr>
        <w:tab/>
      </w:r>
      <w:r>
        <w:rPr>
          <w:rFonts w:ascii="Arial MT" w:hAnsi="Arial MT" w:cs="Arial MT" w:eastAsia="Arial MT"/>
          <w:sz w:val="19"/>
        </w:rPr>
        <w:tab/>
      </w:r>
      <w:r>
        <w:rPr>
          <w:rFonts w:ascii="Arial MT" w:hAnsi="Arial MT" w:cs="Arial MT" w:eastAsia="Arial MT"/>
          <w:sz w:val="19"/>
        </w:rPr>
        <w:t>São Tomé-PR, 15 de julho de 2024.</w:t>
      </w:r>
    </w:p>
    <w:p>
      <w:r>
        <w:t/>
      </w:r>
    </w:p>
    <w:p>
      <w:pPr>
        <w:spacing w:before="15"/>
      </w:pPr>
      <w:r>
        <w:t/>
      </w:r>
    </w:p>
    <w:p>
      <w:pPr>
        <w:jc w:val="center"/>
        <w:outlineLvl w:val="1"/>
        <w:ind w:left="1335" w:right="1335"/>
      </w:pPr>
      <w:r>
        <w:rPr>
          <w:b/>
          <w:sz w:val="19"/>
        </w:rPr>
        <w:t>OCELIO FERREIRA LEITE</w:t>
      </w:r>
    </w:p>
    <w:p>
      <w:pPr>
        <w:jc w:val="center"/>
        <w:ind w:left="1335" w:right="1335"/>
      </w:pPr>
      <w:r>
        <w:rPr>
          <w:rFonts w:ascii="Arial MT" w:hAnsi="Arial MT" w:cs="Arial MT" w:eastAsia="Arial MT"/>
          <w:sz w:val="19"/>
        </w:rPr>
        <w:t>Prefeito Municipal</w:t>
      </w:r>
    </w:p>
    <w:p>
      <w:pPr>
        <w:jc w:val="center"/>
        <w:ind w:left="1335" w:right="1335"/>
      </w:pPr>
      <w:r>
        <w:rPr>
          <w:rFonts w:ascii="Arial MT" w:hAnsi="Arial MT" w:cs="Arial MT" w:eastAsia="Arial MT"/>
          <w:sz w:val="19"/>
        </w:rPr>
        <w:t/>
      </w:r>
    </w:p>
    <w:p>
      <w:r>
        <w:br w:type="page"/>
      </w:r>
    </w:p>
    <w:p>
      <w:r>
        <w:t/>
      </w:r>
    </w:p>
    <w:p>
      <w:pPr>
        <w:jc w:val="center"/>
      </w:pPr>
      <w:r>
        <w:t/>
      </w:r>
    </w:p>
    <w:p>
      <w:r>
        <w:drawing>
          <wp:inline distT="0" distB="0" distL="0" distR="0">
            <wp:extent cx="0" cy="0"/>
            <wp:effectExtent l="0" t="0" r="0" b="0"/>
            <wp:docPr id="42" name="Pic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2.emf"/>
                    <pic:cNvPicPr/>
                  </pic:nvPicPr>
                  <pic:blipFill>
                    <a:blip r:embed="prId41"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43" name="Pic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3.emf"/>
                    <pic:cNvPicPr/>
                  </pic:nvPicPr>
                  <pic:blipFill>
                    <a:blip r:embed="prId42" cstate="print"/>
                    <a:stretch>
                      <a:fillRect/>
                    </a:stretch>
                  </pic:blipFill>
                  <pic:spPr>
                    <a:xfrm>
                      <a:off x="0" y="0"/>
                      <a:ext cx="0" cy="0"/>
                    </a:xfrm>
                    <a:prstGeom prst="rect">
                      <a:avLst/>
                    </a:prstGeom>
                  </pic:spPr>
                </pic:pic>
              </a:graphicData>
            </a:graphic>
          </wp:inline>
        </w:drawing>
      </w:r>
    </w:p>
    <w:p>
      <w:pPr>
        <w:ind w:left="135"/>
      </w:pPr>
      <w:r>
        <w:drawing>
          <wp:inline distT="0" distB="0" distL="0" distR="0">
            <wp:extent cx="0" cy="0"/>
            <wp:effectExtent l="0" t="0" r="0" b="0"/>
            <wp:docPr id="44" name="Pic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4.emf"/>
                    <pic:cNvPicPr/>
                  </pic:nvPicPr>
                  <pic:blipFill>
                    <a:blip r:embed="prId43"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45" name="Pic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5.emf"/>
                    <pic:cNvPicPr/>
                  </pic:nvPicPr>
                  <pic:blipFill>
                    <a:blip r:embed="prId44" cstate="print"/>
                    <a:stretch>
                      <a:fillRect/>
                    </a:stretch>
                  </pic:blipFill>
                  <pic:spPr>
                    <a:xfrm>
                      <a:off x="0" y="0"/>
                      <a:ext cx="0" cy="0"/>
                    </a:xfrm>
                    <a:prstGeom prst="rect">
                      <a:avLst/>
                    </a:prstGeom>
                  </pic:spPr>
                </pic:pic>
              </a:graphicData>
            </a:graphic>
          </wp:inline>
        </w:drawing>
      </w:r>
    </w:p>
    <w:p>
      <w:pPr>
        <w:ind w:left="135"/>
      </w:pPr>
      <w:r>
        <w:drawing>
          <wp:inline distT="0" distB="0" distL="0" distR="0">
            <wp:extent cx="0" cy="0"/>
            <wp:effectExtent l="0" t="0" r="0" b="0"/>
            <wp:docPr id="46" name="Pic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6.emf"/>
                    <pic:cNvPicPr/>
                  </pic:nvPicPr>
                  <pic:blipFill>
                    <a:blip r:embed="prId45"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47" name="Pic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7.emf"/>
                    <pic:cNvPicPr/>
                  </pic:nvPicPr>
                  <pic:blipFill>
                    <a:blip r:embed="prId46" cstate="print"/>
                    <a:stretch>
                      <a:fillRect/>
                    </a:stretch>
                  </pic:blipFill>
                  <pic:spPr>
                    <a:xfrm>
                      <a:off x="0" y="0"/>
                      <a:ext cx="0" cy="0"/>
                    </a:xfrm>
                    <a:prstGeom prst="rect">
                      <a:avLst/>
                    </a:prstGeom>
                  </pic:spPr>
                </pic:pic>
              </a:graphicData>
            </a:graphic>
          </wp:inline>
        </w:drawing>
      </w:r>
    </w:p>
    <w:p>
      <w:pPr>
        <w:jc w:val="center"/>
        <w:ind w:left="165"/>
      </w:pPr>
      <w:r>
        <w:rPr>
          <w:rFonts w:ascii="Times New Roman" w:hAnsi="Times New Roman" w:cs="Times New Roman" w:eastAsia="Times New Roman"/>
          <w:sz w:val="19"/>
        </w:rPr>
        <w:tab/>
      </w:r>
      <w:r>
        <w:drawing>
          <wp:inline distT="0" distB="0" distL="0" distR="0">
            <wp:extent cx="6772275" cy="200025"/>
            <wp:effectExtent l="0" t="0" r="0" b="0"/>
            <wp:docPr id="48" name="Pic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8.emf"/>
                    <pic:cNvPicPr/>
                  </pic:nvPicPr>
                  <pic:blipFill>
                    <a:blip r:embed="prId47" cstate="print"/>
                    <a:stretch>
                      <a:fillRect/>
                    </a:stretch>
                  </pic:blipFill>
                  <pic:spPr>
                    <a:xfrm>
                      <a:off x="0" y="0"/>
                      <a:ext cx="6772275" cy="200025"/>
                    </a:xfrm>
                    <a:prstGeom prst="rect">
                      <a:avLst/>
                    </a:prstGeom>
                  </pic:spPr>
                </pic:pic>
              </a:graphicData>
            </a:graphic>
          </wp:inline>
        </w:drawing>
      </w:r>
    </w:p>
    <w:p>
      <w:pPr>
        <w:ind w:left="135"/>
      </w:pPr>
      <w:r>
        <w:drawing>
          <wp:inline distT="0" distB="0" distL="0" distR="0">
            <wp:extent cx="0" cy="0"/>
            <wp:effectExtent l="0" t="0" r="0" b="0"/>
            <wp:docPr id="49" name="Pic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9.emf"/>
                    <pic:cNvPicPr/>
                  </pic:nvPicPr>
                  <pic:blipFill>
                    <a:blip r:embed="prId48"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50" name="Pic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0.emf"/>
                    <pic:cNvPicPr/>
                  </pic:nvPicPr>
                  <pic:blipFill>
                    <a:blip r:embed="prId49" cstate="print"/>
                    <a:stretch>
                      <a:fillRect/>
                    </a:stretch>
                  </pic:blipFill>
                  <pic:spPr>
                    <a:xfrm>
                      <a:off x="0" y="0"/>
                      <a:ext cx="0" cy="0"/>
                    </a:xfrm>
                    <a:prstGeom prst="rect">
                      <a:avLst/>
                    </a:prstGeom>
                  </pic:spPr>
                </pic:pic>
              </a:graphicData>
            </a:graphic>
          </wp:inline>
        </w:drawing>
      </w:r>
    </w:p>
    <w:p>
      <w:r>
        <w:drawing>
          <wp:inline distT="0" distB="0" distL="0" distR="0">
            <wp:extent cx="0" cy="0"/>
            <wp:effectExtent l="0" t="0" r="0" b="0"/>
            <wp:docPr id="51" name="Pic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1.emf"/>
                    <pic:cNvPicPr/>
                  </pic:nvPicPr>
                  <pic:blipFill>
                    <a:blip r:embed="prId50"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52" name="Pic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2.emf"/>
                    <pic:cNvPicPr/>
                  </pic:nvPicPr>
                  <pic:blipFill>
                    <a:blip r:embed="prId51" cstate="print"/>
                    <a:stretch>
                      <a:fillRect/>
                    </a:stretch>
                  </pic:blipFill>
                  <pic:spPr>
                    <a:xfrm>
                      <a:off x="0" y="0"/>
                      <a:ext cx="0" cy="0"/>
                    </a:xfrm>
                    <a:prstGeom prst="rect">
                      <a:avLst/>
                    </a:prstGeom>
                  </pic:spPr>
                </pic:pic>
              </a:graphicData>
            </a:graphic>
          </wp:inline>
        </w:drawing>
      </w:r>
    </w:p>
    <w:p>
      <w:r>
        <w:drawing>
          <wp:inline distT="0" distB="0" distL="0" distR="0">
            <wp:extent cx="0" cy="0"/>
            <wp:effectExtent l="0" t="0" r="0" b="0"/>
            <wp:docPr id="53" name="Pic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3.emf"/>
                    <pic:cNvPicPr/>
                  </pic:nvPicPr>
                  <pic:blipFill>
                    <a:blip r:embed="prId52" cstate="print"/>
                    <a:stretch>
                      <a:fillRect/>
                    </a:stretch>
                  </pic:blipFill>
                  <pic:spPr>
                    <a:xfrm>
                      <a:off x="0" y="0"/>
                      <a:ext cx="0" cy="0"/>
                    </a:xfrm>
                    <a:prstGeom prst="rect">
                      <a:avLst/>
                    </a:prstGeom>
                  </pic:spPr>
                </pic:pic>
              </a:graphicData>
            </a:graphic>
          </wp:inline>
        </w:drawing>
      </w:r>
      <w:r>
        <w:drawing>
          <wp:inline distT="0" distB="0" distL="0" distR="0">
            <wp:extent cx="0" cy="0"/>
            <wp:effectExtent l="0" t="0" r="0" b="0"/>
            <wp:docPr id="54" name="Pic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4.emf"/>
                    <pic:cNvPicPr/>
                  </pic:nvPicPr>
                  <pic:blipFill>
                    <a:blip r:embed="prId53" cstate="print"/>
                    <a:stretch>
                      <a:fillRect/>
                    </a:stretch>
                  </pic:blipFill>
                  <pic:spPr>
                    <a:xfrm>
                      <a:off x="0" y="0"/>
                      <a:ext cx="0" cy="0"/>
                    </a:xfrm>
                    <a:prstGeom prst="rect">
                      <a:avLst/>
                    </a:prstGeom>
                  </pic:spPr>
                </pic:pic>
              </a:graphicData>
            </a:graphic>
          </wp:inline>
        </w:drawing>
      </w:r>
    </w:p>
    <w:p>
      <w:pPr>
        <w:jc w:val="center"/>
        <w:ind w:left="1335" w:right="1335"/>
        <w:spacing w:before="90"/>
      </w:pPr>
      <w:r>
        <w:rPr>
          <w:b/>
          <w:sz w:val="19"/>
        </w:rPr>
        <w:t>PROCESSO ADMINISTRATIVO N.° 54/2024</w:t>
      </w:r>
    </w:p>
    <w:p>
      <w:pPr>
        <w:jc w:val="center"/>
        <w:ind w:left="1335" w:right="1335"/>
        <w:spacing w:before="90"/>
      </w:pPr>
      <w:r>
        <w:rPr>
          <w:b/>
          <w:sz w:val="19"/>
        </w:rPr>
        <w:t>PREGÃO ELETRÔNICO N. 31/2024.</w:t>
      </w:r>
    </w:p>
    <w:p>
      <w:r>
        <w:drawing>
          <wp:inline distT="0" distB="0" distL="0" distR="0">
            <wp:extent cx="0" cy="0"/>
            <wp:effectExtent l="0" t="0" r="0" b="0"/>
            <wp:docPr id="55" name="Pic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5.emf"/>
                    <pic:cNvPicPr/>
                  </pic:nvPicPr>
                  <pic:blipFill>
                    <a:blip r:embed="prId54" cstate="print"/>
                    <a:stretch>
                      <a:fillRect/>
                    </a:stretch>
                  </pic:blipFill>
                  <pic:spPr>
                    <a:xfrm>
                      <a:off x="0" y="0"/>
                      <a:ext cx="0" cy="0"/>
                    </a:xfrm>
                    <a:prstGeom prst="rect">
                      <a:avLst/>
                    </a:prstGeom>
                  </pic:spPr>
                </pic:pic>
              </a:graphicData>
            </a:graphic>
          </wp:inline>
        </w:drawing>
      </w:r>
    </w:p>
    <w:p>
      <w:pPr>
        <w:jc w:val="both"/>
        <w:ind w:right="210"/>
        <w:spacing w:before="90" w:lineRule="auto" w:line="276"/>
        <w:numPr>
          <w:ilvl w:val="1"/>
          <w:numId w:val="12"/>
        </w:numPr>
      </w:pPr>
      <w:r/>
      <w:r>
        <w:rPr>
          <w:b/>
          <w:sz w:val="19"/>
        </w:rPr>
        <w:t xml:space="preserve">OBJETO: CREDENCIAMENTO DE EMPRESAS PARA PRESTAÇÃO DE SERVIÇOS DE RESERVA, EMISSÃO, MARCAÇÃO REMARCAÇÃO, ENDOSSO E FORNECIMENTO DE PASSAGENS RODOVIÁRIAS, DESTINADOS AOS SERVIDORES QUANDO EM VIAGENS PARA REALIZAÇÃO DE CAPACITAÇÃO OU A SERVIÇO DO MUNICÍPIO, BEM COMO PARA ATENDIMENTO DE EVENTUAIS PASSAGEIROS ATENDIDOS PELA SECRETARIA DE ASSISTÊNCIA SOCIAL COM NECESSIDADE DE LOCOMOÇÃO PARA OUTROS MUNICÍPIOS E PARA ATENDIMENTO DE PACIENTES TFD – TRATAMENTO FORA DE DOMICÍLIO DA SECRETARIA DE SAÚDE., </w:t>
      </w:r>
      <w:r>
        <w:rPr>
          <w:rFonts w:ascii="Arial MT" w:hAnsi="Arial MT" w:cs="Arial MT" w:eastAsia="Arial MT"/>
          <w:sz w:val="19"/>
        </w:rPr>
        <w:t>conforme segue:</w:t>
      </w:r>
    </w:p>
    <w:p>
      <w:pPr>
        <w:spacing w:before="15"/>
      </w:pPr>
      <w:r>
        <w:t/>
      </w:r>
    </w:p>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1005"/>
        <w:gridCol w:w="3180"/>
        <w:gridCol w:w="1005"/>
        <w:gridCol w:w="1260"/>
        <w:gridCol w:w="1275"/>
        <w:gridCol w:w="1905"/>
      </w:tblGrid>
      <w:tr>
        <w:tc>
          <w:tcPr>
            <w:gridSpan w:val="6"/>
            <w:shd w:val="clear" w:color="auto" w:fill="FFFFFF"/>
          </w:tcPr>
          <w:p>
            <w:r>
              <w:rPr>
                <w:sz w:val="16"/>
              </w:rPr>
              <w:t>Lote: 1 - Lote 001</w:t>
            </w:r>
          </w:p>
        </w:tc>
      </w:tr>
      <w:tr>
        <w:tc>
          <w:tcPr>
            <w:tcW w:w="400" w:type="pct"/>
            <w:shd w:val="clear" w:color="auto" w:fill="C0C0C0"/>
          </w:tcPr>
          <w:p>
            <w:r>
              <w:rPr>
                <w:sz w:val="16"/>
              </w:rPr>
              <w:t>Item</w:t>
            </w:r>
          </w:p>
        </w:tc>
        <w:tc>
          <w:tcPr>
            <w:tcW w:w="1250" w:type="pct"/>
            <w:shd w:val="clear" w:color="auto" w:fill="C0C0C0"/>
          </w:tcPr>
          <w:p>
            <w:r>
              <w:rPr>
                <w:sz w:val="16"/>
              </w:rPr>
              <w:t>Nome do produto/serviço</w:t>
            </w:r>
          </w:p>
        </w:tc>
        <w:tc>
          <w:tcPr>
            <w:tcW w:w="400" w:type="pct"/>
            <w:shd w:val="clear" w:color="auto" w:fill="C0C0C0"/>
          </w:tcPr>
          <w:p>
            <w:r>
              <w:rPr>
                <w:sz w:val="16"/>
              </w:rPr>
              <w:t>Quantidade</w:t>
            </w:r>
          </w:p>
        </w:tc>
        <w:tc>
          <w:tcPr>
            <w:tcW w:w="500" w:type="pct"/>
            <w:shd w:val="clear" w:color="auto" w:fill="C0C0C0"/>
          </w:tcPr>
          <w:p>
            <w:r>
              <w:rPr>
                <w:sz w:val="16"/>
              </w:rPr>
              <w:t>Unidade</w:t>
            </w:r>
          </w:p>
        </w:tc>
        <w:tc>
          <w:tcPr>
            <w:tcW w:w="500" w:type="pct"/>
            <w:shd w:val="clear" w:color="auto" w:fill="C0C0C0"/>
          </w:tcPr>
          <w:p>
            <w:r>
              <w:rPr>
                <w:sz w:val="16"/>
              </w:rPr>
              <w:t>Preço máximo</w:t>
            </w:r>
          </w:p>
        </w:tc>
        <w:tc>
          <w:tcPr>
            <w:tcW w:w="750" w:type="pct"/>
            <w:shd w:val="clear" w:color="auto" w:fill="C0C0C0"/>
          </w:tcPr>
          <w:p>
            <w:r>
              <w:rPr>
                <w:sz w:val="16"/>
              </w:rPr>
              <w:t>Preço máximo total</w:t>
            </w:r>
          </w:p>
        </w:tc>
      </w:tr>
      <w:tr>
        <w:tc>
          <w:tcPr>
            <w:shd w:val="clear" w:color="auto" w:fill="FFFFFF"/>
          </w:tcPr>
          <w:p>
            <w:r>
              <w:rPr>
                <w:sz w:val="16"/>
              </w:rPr>
              <w:t>1</w:t>
            </w:r>
          </w:p>
        </w:tc>
        <w:tc>
          <w:tcPr>
            <w:shd w:val="clear" w:color="auto" w:fill="FFFFFF"/>
          </w:tcPr>
          <w:p>
            <w:r>
              <w:rPr>
                <w:sz w:val="16"/>
              </w:rPr>
              <w:t xml:space="preserve">PASSAGENS DE ÔNIBUS - CIANORTE X LONDRINA (CONVENCIONAL)   </w:t>
            </w:r>
          </w:p>
        </w:tc>
        <w:tc>
          <w:tcPr>
            <w:shd w:val="clear" w:color="auto" w:fill="FFFFFF"/>
          </w:tcPr>
          <w:p>
            <w:r>
              <w:rPr>
                <w:sz w:val="16"/>
              </w:rPr>
              <w:t>36,00</w:t>
            </w:r>
          </w:p>
        </w:tc>
        <w:tc>
          <w:tcPr>
            <w:shd w:val="clear" w:color="auto" w:fill="FFFFFF"/>
          </w:tcPr>
          <w:p>
            <w:r>
              <w:rPr>
                <w:sz w:val="16"/>
              </w:rPr>
              <w:t>UNI</w:t>
            </w:r>
          </w:p>
        </w:tc>
        <w:tc>
          <w:tcPr>
            <w:shd w:val="clear" w:color="auto" w:fill="FFFFFF"/>
          </w:tcPr>
          <w:p>
            <w:r>
              <w:rPr>
                <w:sz w:val="16"/>
              </w:rPr>
              <w:t>87,54</w:t>
            </w:r>
          </w:p>
        </w:tc>
        <w:tc>
          <w:tcPr>
            <w:shd w:val="clear" w:color="auto" w:fill="FFFFFF"/>
          </w:tcPr>
          <w:p>
            <w:r>
              <w:rPr>
                <w:sz w:val="16"/>
              </w:rPr>
              <w:t>3.151,44</w:t>
            </w:r>
          </w:p>
        </w:tc>
      </w:tr>
      <w:tr>
        <w:tc>
          <w:tcPr>
            <w:shd w:val="clear" w:color="auto" w:fill="FFFFFF"/>
          </w:tcPr>
          <w:p>
            <w:r>
              <w:rPr>
                <w:sz w:val="16"/>
              </w:rPr>
              <w:t>2</w:t>
            </w:r>
          </w:p>
        </w:tc>
        <w:tc>
          <w:tcPr>
            <w:shd w:val="clear" w:color="auto" w:fill="FFFFFF"/>
          </w:tcPr>
          <w:p>
            <w:r>
              <w:rPr>
                <w:sz w:val="16"/>
              </w:rPr>
              <w:t xml:space="preserve">PASSAGENS DE ÔNIBUS - LONDRINA X CIANORTE (CONVENCIONAL)   </w:t>
            </w:r>
          </w:p>
        </w:tc>
        <w:tc>
          <w:tcPr>
            <w:shd w:val="clear" w:color="auto" w:fill="FFFFFF"/>
          </w:tcPr>
          <w:p>
            <w:r>
              <w:rPr>
                <w:sz w:val="16"/>
              </w:rPr>
              <w:t>36,00</w:t>
            </w:r>
          </w:p>
        </w:tc>
        <w:tc>
          <w:tcPr>
            <w:shd w:val="clear" w:color="auto" w:fill="FFFFFF"/>
          </w:tcPr>
          <w:p>
            <w:r>
              <w:rPr>
                <w:sz w:val="16"/>
              </w:rPr>
              <w:t>UNI</w:t>
            </w:r>
          </w:p>
        </w:tc>
        <w:tc>
          <w:tcPr>
            <w:shd w:val="clear" w:color="auto" w:fill="FFFFFF"/>
          </w:tcPr>
          <w:p>
            <w:r>
              <w:rPr>
                <w:sz w:val="16"/>
              </w:rPr>
              <w:t>87,64</w:t>
            </w:r>
          </w:p>
        </w:tc>
        <w:tc>
          <w:tcPr>
            <w:shd w:val="clear" w:color="auto" w:fill="FFFFFF"/>
          </w:tcPr>
          <w:p>
            <w:r>
              <w:rPr>
                <w:sz w:val="16"/>
              </w:rPr>
              <w:t>3.155,04</w:t>
            </w:r>
          </w:p>
        </w:tc>
      </w:tr>
      <w:tr>
        <w:tc>
          <w:tcPr>
            <w:shd w:val="clear" w:color="auto" w:fill="FFFFFF"/>
          </w:tcPr>
          <w:p>
            <w:r>
              <w:rPr>
                <w:sz w:val="16"/>
              </w:rPr>
              <w:t>3</w:t>
            </w:r>
          </w:p>
        </w:tc>
        <w:tc>
          <w:tcPr>
            <w:shd w:val="clear" w:color="auto" w:fill="FFFFFF"/>
          </w:tcPr>
          <w:p>
            <w:r>
              <w:rPr>
                <w:sz w:val="16"/>
              </w:rPr>
              <w:t xml:space="preserve">PASSAGENS DE ÔNIBUS - CIANORTE X CURITIBA (CONVENCIONAL)   </w:t>
            </w:r>
          </w:p>
        </w:tc>
        <w:tc>
          <w:tcPr>
            <w:shd w:val="clear" w:color="auto" w:fill="FFFFFF"/>
          </w:tcPr>
          <w:p>
            <w:r>
              <w:rPr>
                <w:sz w:val="16"/>
              </w:rPr>
              <w:t>36,00</w:t>
            </w:r>
          </w:p>
        </w:tc>
        <w:tc>
          <w:tcPr>
            <w:shd w:val="clear" w:color="auto" w:fill="FFFFFF"/>
          </w:tcPr>
          <w:p>
            <w:r>
              <w:rPr>
                <w:sz w:val="16"/>
              </w:rPr>
              <w:t>UNI</w:t>
            </w:r>
          </w:p>
        </w:tc>
        <w:tc>
          <w:tcPr>
            <w:shd w:val="clear" w:color="auto" w:fill="FFFFFF"/>
          </w:tcPr>
          <w:p>
            <w:r>
              <w:rPr>
                <w:sz w:val="16"/>
              </w:rPr>
              <w:t>204,24</w:t>
            </w:r>
          </w:p>
        </w:tc>
        <w:tc>
          <w:tcPr>
            <w:shd w:val="clear" w:color="auto" w:fill="FFFFFF"/>
          </w:tcPr>
          <w:p>
            <w:r>
              <w:rPr>
                <w:sz w:val="16"/>
              </w:rPr>
              <w:t>7.352,64</w:t>
            </w:r>
          </w:p>
        </w:tc>
      </w:tr>
      <w:tr>
        <w:tc>
          <w:tcPr>
            <w:shd w:val="clear" w:color="auto" w:fill="FFFFFF"/>
          </w:tcPr>
          <w:p>
            <w:r>
              <w:rPr>
                <w:sz w:val="16"/>
              </w:rPr>
              <w:t>4</w:t>
            </w:r>
          </w:p>
        </w:tc>
        <w:tc>
          <w:tcPr>
            <w:shd w:val="clear" w:color="auto" w:fill="FFFFFF"/>
          </w:tcPr>
          <w:p>
            <w:r>
              <w:rPr>
                <w:sz w:val="16"/>
              </w:rPr>
              <w:t xml:space="preserve">PASSAGENS DE ÔNIBUS - CURITIBA X CIANORTE (CONVENCIONAL)   </w:t>
            </w:r>
          </w:p>
        </w:tc>
        <w:tc>
          <w:tcPr>
            <w:shd w:val="clear" w:color="auto" w:fill="FFFFFF"/>
          </w:tcPr>
          <w:p>
            <w:r>
              <w:rPr>
                <w:sz w:val="16"/>
              </w:rPr>
              <w:t>36,00</w:t>
            </w:r>
          </w:p>
        </w:tc>
        <w:tc>
          <w:tcPr>
            <w:shd w:val="clear" w:color="auto" w:fill="FFFFFF"/>
          </w:tcPr>
          <w:p>
            <w:r>
              <w:rPr>
                <w:sz w:val="16"/>
              </w:rPr>
              <w:t>UNI</w:t>
            </w:r>
          </w:p>
        </w:tc>
        <w:tc>
          <w:tcPr>
            <w:shd w:val="clear" w:color="auto" w:fill="FFFFFF"/>
          </w:tcPr>
          <w:p>
            <w:r>
              <w:rPr>
                <w:sz w:val="16"/>
              </w:rPr>
              <w:t>204,85</w:t>
            </w:r>
          </w:p>
        </w:tc>
        <w:tc>
          <w:tcPr>
            <w:shd w:val="clear" w:color="auto" w:fill="FFFFFF"/>
          </w:tcPr>
          <w:p>
            <w:r>
              <w:rPr>
                <w:sz w:val="16"/>
              </w:rPr>
              <w:t>7.374,60</w:t>
            </w:r>
          </w:p>
        </w:tc>
      </w:tr>
      <w:tr>
        <w:tc>
          <w:tcPr>
            <w:shd w:val="clear" w:color="auto" w:fill="FFFFFF"/>
          </w:tcPr>
          <w:p>
            <w:r>
              <w:rPr>
                <w:sz w:val="16"/>
              </w:rPr>
              <w:t>5</w:t>
            </w:r>
          </w:p>
        </w:tc>
        <w:tc>
          <w:tcPr>
            <w:shd w:val="clear" w:color="auto" w:fill="FFFFFF"/>
          </w:tcPr>
          <w:p>
            <w:r>
              <w:rPr>
                <w:sz w:val="16"/>
              </w:rPr>
              <w:t xml:space="preserve">PASSAGENS DE ÔNIBUS - CIANORTE X SÃO PAULO (CONVENCIONAL)   </w:t>
            </w:r>
          </w:p>
        </w:tc>
        <w:tc>
          <w:tcPr>
            <w:shd w:val="clear" w:color="auto" w:fill="FFFFFF"/>
          </w:tcPr>
          <w:p>
            <w:r>
              <w:rPr>
                <w:sz w:val="16"/>
              </w:rPr>
              <w:t>36,00</w:t>
            </w:r>
          </w:p>
        </w:tc>
        <w:tc>
          <w:tcPr>
            <w:shd w:val="clear" w:color="auto" w:fill="FFFFFF"/>
          </w:tcPr>
          <w:p>
            <w:r>
              <w:rPr>
                <w:sz w:val="16"/>
              </w:rPr>
              <w:t>UNI</w:t>
            </w:r>
          </w:p>
        </w:tc>
        <w:tc>
          <w:tcPr>
            <w:shd w:val="clear" w:color="auto" w:fill="FFFFFF"/>
          </w:tcPr>
          <w:p>
            <w:r>
              <w:rPr>
                <w:sz w:val="16"/>
              </w:rPr>
              <w:t>210,00</w:t>
            </w:r>
          </w:p>
        </w:tc>
        <w:tc>
          <w:tcPr>
            <w:shd w:val="clear" w:color="auto" w:fill="FFFFFF"/>
          </w:tcPr>
          <w:p>
            <w:r>
              <w:rPr>
                <w:sz w:val="16"/>
              </w:rPr>
              <w:t>7.560,00</w:t>
            </w:r>
          </w:p>
        </w:tc>
      </w:tr>
      <w:tr>
        <w:tc>
          <w:tcPr>
            <w:shd w:val="clear" w:color="auto" w:fill="FFFFFF"/>
          </w:tcPr>
          <w:p>
            <w:r>
              <w:rPr>
                <w:sz w:val="16"/>
              </w:rPr>
              <w:t>6</w:t>
            </w:r>
          </w:p>
        </w:tc>
        <w:tc>
          <w:tcPr>
            <w:shd w:val="clear" w:color="auto" w:fill="FFFFFF"/>
          </w:tcPr>
          <w:p>
            <w:r>
              <w:rPr>
                <w:sz w:val="16"/>
              </w:rPr>
              <w:t xml:space="preserve">PASSAGENS DE ÔNIBUS - SÃO PAULO X CIANORTE (CONVENCIONAL)   </w:t>
            </w:r>
          </w:p>
        </w:tc>
        <w:tc>
          <w:tcPr>
            <w:shd w:val="clear" w:color="auto" w:fill="FFFFFF"/>
          </w:tcPr>
          <w:p>
            <w:r>
              <w:rPr>
                <w:sz w:val="16"/>
              </w:rPr>
              <w:t>36,00</w:t>
            </w:r>
          </w:p>
        </w:tc>
        <w:tc>
          <w:tcPr>
            <w:shd w:val="clear" w:color="auto" w:fill="FFFFFF"/>
          </w:tcPr>
          <w:p>
            <w:r>
              <w:rPr>
                <w:sz w:val="16"/>
              </w:rPr>
              <w:t>UNI</w:t>
            </w:r>
          </w:p>
        </w:tc>
        <w:tc>
          <w:tcPr>
            <w:shd w:val="clear" w:color="auto" w:fill="FFFFFF"/>
          </w:tcPr>
          <w:p>
            <w:r>
              <w:rPr>
                <w:sz w:val="16"/>
              </w:rPr>
              <w:t>209,96</w:t>
            </w:r>
          </w:p>
        </w:tc>
        <w:tc>
          <w:tcPr>
            <w:shd w:val="clear" w:color="auto" w:fill="FFFFFF"/>
          </w:tcPr>
          <w:p>
            <w:r>
              <w:rPr>
                <w:sz w:val="16"/>
              </w:rPr>
              <w:t>7.558,56</w:t>
            </w:r>
          </w:p>
        </w:tc>
      </w:tr>
      <w:tr>
        <w:tc>
          <w:tcPr>
            <w:shd w:val="clear" w:color="auto" w:fill="FFFFFF"/>
          </w:tcPr>
          <w:p>
            <w:r>
              <w:rPr>
                <w:sz w:val="16"/>
              </w:rPr>
              <w:t>7</w:t>
            </w:r>
          </w:p>
        </w:tc>
        <w:tc>
          <w:tcPr>
            <w:shd w:val="clear" w:color="auto" w:fill="FFFFFF"/>
          </w:tcPr>
          <w:p>
            <w:r>
              <w:rPr>
                <w:sz w:val="16"/>
              </w:rPr>
              <w:t xml:space="preserve">PASSAGENS DE ÔNIBUS: CIANORTE X CURITIBA (CABINE/CAMA)   </w:t>
            </w:r>
          </w:p>
        </w:tc>
        <w:tc>
          <w:tcPr>
            <w:shd w:val="clear" w:color="auto" w:fill="FFFFFF"/>
          </w:tcPr>
          <w:p>
            <w:r>
              <w:rPr>
                <w:sz w:val="16"/>
              </w:rPr>
              <w:t>5,00</w:t>
            </w:r>
          </w:p>
        </w:tc>
        <w:tc>
          <w:tcPr>
            <w:shd w:val="clear" w:color="auto" w:fill="FFFFFF"/>
          </w:tcPr>
          <w:p>
            <w:r>
              <w:rPr>
                <w:sz w:val="16"/>
              </w:rPr>
              <w:t>UNI</w:t>
            </w:r>
          </w:p>
        </w:tc>
        <w:tc>
          <w:tcPr>
            <w:shd w:val="clear" w:color="auto" w:fill="FFFFFF"/>
          </w:tcPr>
          <w:p>
            <w:r>
              <w:rPr>
                <w:sz w:val="16"/>
              </w:rPr>
              <w:t>400,46</w:t>
            </w:r>
          </w:p>
        </w:tc>
        <w:tc>
          <w:tcPr>
            <w:shd w:val="clear" w:color="auto" w:fill="FFFFFF"/>
          </w:tcPr>
          <w:p>
            <w:r>
              <w:rPr>
                <w:sz w:val="16"/>
              </w:rPr>
              <w:t>2.002,30</w:t>
            </w:r>
          </w:p>
        </w:tc>
      </w:tr>
      <w:tr>
        <w:tc>
          <w:tcPr>
            <w:shd w:val="clear" w:color="auto" w:fill="FFFFFF"/>
          </w:tcPr>
          <w:p>
            <w:r>
              <w:rPr>
                <w:sz w:val="16"/>
              </w:rPr>
              <w:t>8</w:t>
            </w:r>
          </w:p>
        </w:tc>
        <w:tc>
          <w:tcPr>
            <w:shd w:val="clear" w:color="auto" w:fill="FFFFFF"/>
          </w:tcPr>
          <w:p>
            <w:r>
              <w:rPr>
                <w:sz w:val="16"/>
              </w:rPr>
              <w:t xml:space="preserve">PASSAGENS DE ÔNIBUS - CURITIBA X CIANORTE (CABINE/CAMA)   </w:t>
            </w:r>
          </w:p>
        </w:tc>
        <w:tc>
          <w:tcPr>
            <w:shd w:val="clear" w:color="auto" w:fill="FFFFFF"/>
          </w:tcPr>
          <w:p>
            <w:r>
              <w:rPr>
                <w:sz w:val="16"/>
              </w:rPr>
              <w:t>5,00</w:t>
            </w:r>
          </w:p>
        </w:tc>
        <w:tc>
          <w:tcPr>
            <w:shd w:val="clear" w:color="auto" w:fill="FFFFFF"/>
          </w:tcPr>
          <w:p>
            <w:r>
              <w:rPr>
                <w:sz w:val="16"/>
              </w:rPr>
              <w:t>UNI</w:t>
            </w:r>
          </w:p>
        </w:tc>
        <w:tc>
          <w:tcPr>
            <w:shd w:val="clear" w:color="auto" w:fill="FFFFFF"/>
          </w:tcPr>
          <w:p>
            <w:r>
              <w:rPr>
                <w:sz w:val="16"/>
              </w:rPr>
              <w:t>401,07</w:t>
            </w:r>
          </w:p>
        </w:tc>
        <w:tc>
          <w:tcPr>
            <w:shd w:val="clear" w:color="auto" w:fill="FFFFFF"/>
          </w:tcPr>
          <w:p>
            <w:r>
              <w:rPr>
                <w:sz w:val="16"/>
              </w:rPr>
              <w:t>2.005,35</w:t>
            </w:r>
          </w:p>
        </w:tc>
      </w:tr>
      <w:tr>
        <w:tc>
          <w:tcPr>
            <w:shd w:val="clear" w:color="auto" w:fill="FFFFFF"/>
          </w:tcPr>
          <w:p>
            <w:r>
              <w:rPr>
                <w:sz w:val="16"/>
              </w:rPr>
              <w:t>9</w:t>
            </w:r>
          </w:p>
        </w:tc>
        <w:tc>
          <w:tcPr>
            <w:shd w:val="clear" w:color="auto" w:fill="FFFFFF"/>
          </w:tcPr>
          <w:p>
            <w:r>
              <w:rPr>
                <w:sz w:val="16"/>
              </w:rPr>
              <w:t xml:space="preserve">PASSAGENS DE ÔNIBUS - CIANORTE X SÃO PAULO (CABINE/CAMA)   </w:t>
            </w:r>
          </w:p>
        </w:tc>
        <w:tc>
          <w:tcPr>
            <w:shd w:val="clear" w:color="auto" w:fill="FFFFFF"/>
          </w:tcPr>
          <w:p>
            <w:r>
              <w:rPr>
                <w:sz w:val="16"/>
              </w:rPr>
              <w:t>5,00</w:t>
            </w:r>
          </w:p>
        </w:tc>
        <w:tc>
          <w:tcPr>
            <w:shd w:val="clear" w:color="auto" w:fill="FFFFFF"/>
          </w:tcPr>
          <w:p>
            <w:r>
              <w:rPr>
                <w:sz w:val="16"/>
              </w:rPr>
              <w:t>UNI</w:t>
            </w:r>
          </w:p>
        </w:tc>
        <w:tc>
          <w:tcPr>
            <w:shd w:val="clear" w:color="auto" w:fill="FFFFFF"/>
          </w:tcPr>
          <w:p>
            <w:r>
              <w:rPr>
                <w:sz w:val="16"/>
              </w:rPr>
              <w:t>335,96</w:t>
            </w:r>
          </w:p>
        </w:tc>
        <w:tc>
          <w:tcPr>
            <w:shd w:val="clear" w:color="auto" w:fill="FFFFFF"/>
          </w:tcPr>
          <w:p>
            <w:r>
              <w:rPr>
                <w:sz w:val="16"/>
              </w:rPr>
              <w:t>1.679,80</w:t>
            </w:r>
          </w:p>
        </w:tc>
      </w:tr>
      <w:tr>
        <w:tc>
          <w:tcPr>
            <w:shd w:val="clear" w:color="auto" w:fill="FFFFFF"/>
          </w:tcPr>
          <w:p>
            <w:r>
              <w:rPr>
                <w:sz w:val="16"/>
              </w:rPr>
              <w:t>10</w:t>
            </w:r>
          </w:p>
        </w:tc>
        <w:tc>
          <w:tcPr>
            <w:shd w:val="clear" w:color="auto" w:fill="FFFFFF"/>
          </w:tcPr>
          <w:p>
            <w:r>
              <w:rPr>
                <w:sz w:val="16"/>
              </w:rPr>
              <w:t xml:space="preserve">PASSAGENS DE ÔNIBUS - SÃO PAULO X CIANORTE (CABINE/CAMA)   </w:t>
            </w:r>
          </w:p>
        </w:tc>
        <w:tc>
          <w:tcPr>
            <w:shd w:val="clear" w:color="auto" w:fill="FFFFFF"/>
          </w:tcPr>
          <w:p>
            <w:r>
              <w:rPr>
                <w:sz w:val="16"/>
              </w:rPr>
              <w:t>5,00</w:t>
            </w:r>
          </w:p>
        </w:tc>
        <w:tc>
          <w:tcPr>
            <w:shd w:val="clear" w:color="auto" w:fill="FFFFFF"/>
          </w:tcPr>
          <w:p>
            <w:r>
              <w:rPr>
                <w:sz w:val="16"/>
              </w:rPr>
              <w:t>UNI</w:t>
            </w:r>
          </w:p>
        </w:tc>
        <w:tc>
          <w:tcPr>
            <w:shd w:val="clear" w:color="auto" w:fill="FFFFFF"/>
          </w:tcPr>
          <w:p>
            <w:r>
              <w:rPr>
                <w:sz w:val="16"/>
              </w:rPr>
              <w:t>335,96</w:t>
            </w:r>
          </w:p>
        </w:tc>
        <w:tc>
          <w:tcPr>
            <w:shd w:val="clear" w:color="auto" w:fill="FFFFFF"/>
          </w:tcPr>
          <w:p>
            <w:r>
              <w:rPr>
                <w:sz w:val="16"/>
              </w:rPr>
              <w:t>1.679,80</w:t>
            </w:r>
          </w:p>
        </w:tc>
      </w:tr>
      <w:tr>
        <w:tc>
          <w:tcPr>
            <w:gridSpan w:val="5"/>
            <w:shd w:val="clear" w:color="auto" w:fill="FFFFFF"/>
          </w:tcPr>
          <w:p>
            <w:r>
              <w:rPr>
                <w:sz w:val="16"/>
              </w:rPr>
              <w:t/>
            </w:r>
          </w:p>
          <w:p>
            <w:r>
              <w:rPr>
                <w:sz w:val="16"/>
              </w:rPr>
              <w:t>TOTAL</w:t>
            </w:r>
          </w:p>
        </w:tc>
        <w:tc>
          <w:tcPr>
            <w:shd w:val="clear" w:color="auto" w:fill="FFFFFF"/>
          </w:tcPr>
          <w:p>
            <w:r>
              <w:rPr>
                <w:sz w:val="16"/>
              </w:rPr>
              <w:t/>
            </w:r>
          </w:p>
          <w:p>
            <w:r>
              <w:rPr>
                <w:sz w:val="16"/>
              </w:rPr>
              <w:t>43.519,53</w:t>
            </w:r>
          </w:p>
        </w:tc>
      </w:tr>
    </w:tbl>
    <w:p>
      <w:pPr>
        <w:spacing w:before="15"/>
      </w:pPr>
      <w:r>
        <w:t/>
      </w:r>
    </w:p>
    <w:p>
      <w:pPr>
        <w:spacing w:before="90"/>
        <w:numPr>
          <w:ilvl w:val="1"/>
          <w:numId w:val="12"/>
        </w:numPr>
      </w:pPr>
      <w:r/>
      <w:r>
        <w:rPr>
          <w:rFonts w:ascii="Arial MT" w:hAnsi="Arial MT" w:cs="Arial MT" w:eastAsia="Arial MT"/>
          <w:sz w:val="19"/>
        </w:rPr>
        <w:t>O objeto desta contratação não se enquadra como sendo de bem de luxo, conforme Decreto nº 10.818, de 2021.</w:t>
      </w:r>
    </w:p>
    <w:p>
      <w:pPr>
        <w:ind w:right="210"/>
        <w:spacing w:before="30" w:lineRule="auto" w:line="276"/>
        <w:numPr>
          <w:ilvl w:val="1"/>
          <w:numId w:val="12"/>
        </w:numPr>
      </w:pPr>
      <w:r/>
      <w:r>
        <w:rPr>
          <w:rFonts w:ascii="Arial MT" w:hAnsi="Arial MT" w:cs="Arial MT" w:eastAsia="Arial MT"/>
          <w:sz w:val="19"/>
        </w:rPr>
        <w:t xml:space="preserve">O prazo de vigência da contratação será de </w:t>
      </w:r>
      <w:r>
        <w:rPr>
          <w:b/>
          <w:sz w:val="19"/>
        </w:rPr>
        <w:t>até 12 (doze) meses</w:t>
      </w:r>
      <w:r>
        <w:rPr>
          <w:rFonts w:ascii="Arial MT" w:hAnsi="Arial MT" w:cs="Arial MT" w:eastAsia="Arial MT"/>
          <w:sz w:val="19"/>
        </w:rPr>
        <w:t>, contados da data indicada no instrumento contratual, na forma do artigo 105, da Lei n° 14.133/2021.</w:t>
      </w:r>
    </w:p>
    <w:p>
      <w:pPr>
        <w:jc w:val="both"/>
        <w:ind w:right="210"/>
        <w:spacing w:lineRule="auto" w:line="276"/>
        <w:numPr>
          <w:ilvl w:val="1"/>
          <w:numId w:val="12"/>
        </w:numPr>
      </w:pPr>
      <w:r/>
      <w:r>
        <w:rPr>
          <w:rFonts w:ascii="Arial MT" w:hAnsi="Arial MT" w:cs="Arial MT" w:eastAsia="Arial MT"/>
          <w:sz w:val="19"/>
        </w:rPr>
        <w:t xml:space="preserve">O custo estimado total da contratação é de </w:t>
      </w:r>
      <w:r>
        <w:rPr>
          <w:b/>
          <w:sz w:val="19"/>
        </w:rPr>
        <w:t xml:space="preserve">R$ 43.519,53 </w:t>
      </w:r>
      <w:r>
        <w:rPr>
          <w:rFonts w:ascii="Arial MT" w:hAnsi="Arial MT" w:cs="Arial MT" w:eastAsia="Arial MT"/>
          <w:b/>
          <w:sz w:val="19"/>
        </w:rPr>
        <w:t>(Quarenta e Três Mil, Quinhentos e Dezenove Reais e Cinqüenta e Três Centavos)</w:t>
      </w:r>
      <w:r>
        <w:rPr>
          <w:rFonts w:ascii="Arial MT" w:hAnsi="Arial MT" w:cs="Arial MT" w:eastAsia="Arial MT"/>
          <w:sz w:val="19"/>
        </w:rPr>
        <w:t>, conforme custos unitários apostos na tabela acima.</w:t>
      </w:r>
    </w:p>
    <w:p>
      <w:pPr>
        <w:jc w:val="both"/>
        <w:ind w:right="210"/>
        <w:spacing w:lineRule="auto" w:line="276"/>
        <w:numPr>
          <w:ilvl w:val="1"/>
          <w:numId w:val="12"/>
        </w:numPr>
      </w:pPr>
      <w:r/>
      <w:r>
        <w:rPr>
          <w:b/>
          <w:sz w:val="18"/>
        </w:rPr>
        <w:t xml:space="preserve"> As passagens deverão ser entregues imediatamente no guichê da transportadora mediante apresentação da Autorização de Compra emitido pelo Departamento de Compras do Município, as passagens serão adquiridas conforme necessidade da Administração Pública.</w:t>
      </w:r>
    </w:p>
    <w:p>
      <w:pPr>
        <w:jc w:val="both"/>
        <w:ind w:right="210"/>
        <w:spacing w:lineRule="auto" w:line="276"/>
        <w:numPr>
          <w:ilvl w:val="1"/>
          <w:numId w:val="12"/>
        </w:numPr>
      </w:pPr>
      <w:r/>
      <w:r>
        <w:rPr>
          <w:b/>
          <w:sz w:val="18"/>
        </w:rPr>
        <w:t xml:space="preserve"> É vedado à empresa vencedora entregar passagens sem emissão de ordem de compra expedida pelo departamento de compras e licitações, sob pena de não reconhecimento das mesmas;</w:t>
      </w:r>
    </w:p>
    <w:p>
      <w:pPr>
        <w:jc w:val="both"/>
        <w:ind w:right="210"/>
        <w:spacing w:lineRule="auto" w:line="276"/>
        <w:numPr>
          <w:ilvl w:val="1"/>
          <w:numId w:val="12"/>
        </w:numPr>
      </w:pPr>
      <w:r/>
      <w:r>
        <w:rPr>
          <w:b/>
          <w:sz w:val="18"/>
        </w:rPr>
        <w:t xml:space="preserve"> Em hipótese alguma a contratada poderá recusar a entrega do bilhete de passagem para o portador da autorização de compra;</w:t>
      </w:r>
    </w:p>
    <w:p>
      <w:pPr>
        <w:jc w:val="both"/>
        <w:ind w:right="210"/>
        <w:spacing w:lineRule="auto" w:line="276"/>
        <w:numPr>
          <w:ilvl w:val="1"/>
          <w:numId w:val="12"/>
        </w:numPr>
      </w:pPr>
      <w:r/>
      <w:r>
        <w:rPr>
          <w:b/>
          <w:sz w:val="18"/>
        </w:rPr>
        <w:t xml:space="preserve"> A empresa vencedora será única e exclusiva responsável pelo atendimento das legislações: fiscais, tributários, previdenciários, trabalhistas, segurança e medicina do trabalho, ambientais, equipamentos de proteção individual e seguros em geral;</w:t>
      </w:r>
    </w:p>
    <w:p>
      <w:pPr>
        <w:jc w:val="both"/>
        <w:ind w:right="210"/>
        <w:spacing w:lineRule="auto" w:line="276"/>
        <w:numPr>
          <w:ilvl w:val="1"/>
          <w:numId w:val="12"/>
        </w:numPr>
      </w:pPr>
      <w:r/>
      <w:r>
        <w:rPr>
          <w:b/>
          <w:sz w:val="18"/>
        </w:rPr>
        <w:t xml:space="preserve"> A empresa vencedora responderá civil e criminalmente por quaisquer danos materiais ou pessoais ocasionados, à administração e/ou terceiros, por seus empregados credenciados, nos locais de trabalho;</w:t>
      </w:r>
    </w:p>
    <w:p>
      <w:pPr>
        <w:jc w:val="both"/>
        <w:ind w:right="210"/>
        <w:spacing w:lineRule="auto" w:line="276"/>
        <w:numPr>
          <w:ilvl w:val="1"/>
          <w:numId w:val="12"/>
        </w:numPr>
      </w:pPr>
      <w:r/>
      <w:r>
        <w:rPr>
          <w:b/>
          <w:sz w:val="18"/>
        </w:rPr>
        <w:t xml:space="preserve"> É vedada a empresa vencedora transferir ao outrem, no todo ou em parte, o objeto deste Contrato, sem prévia e expressa anuência da Administração;</w:t>
      </w:r>
    </w:p>
    <w:p>
      <w:pPr>
        <w:jc w:val="both"/>
        <w:ind w:right="210"/>
        <w:spacing w:lineRule="auto" w:line="276"/>
        <w:numPr>
          <w:ilvl w:val="1"/>
          <w:numId w:val="12"/>
        </w:numPr>
      </w:pPr>
      <w:r/>
      <w:r>
        <w:rPr>
          <w:b/>
          <w:sz w:val="18"/>
        </w:rPr>
        <w:t xml:space="preserve"> A licitante vencedora, sujeitar-se-á a mais ampla e irrestrita fiscalização por parte da PREFEITURA MUNICIPAL DE SÃO TOMÉ, encarregada de acompanhar a execução dos serviços prestando esclarecimento solicitados, atendendo as reclamações formuladas.</w:t>
      </w:r>
    </w:p>
    <w:p>
      <w:pPr>
        <w:jc w:val="both"/>
        <w:ind w:right="210"/>
        <w:spacing w:lineRule="auto" w:line="276"/>
        <w:numPr>
          <w:ilvl w:val="1"/>
          <w:numId w:val="12"/>
        </w:numPr>
      </w:pPr>
      <w:r/>
      <w:r>
        <w:rPr>
          <w:b/>
          <w:sz w:val="18"/>
        </w:rPr>
        <w:t xml:space="preserve"> Substituir e/ou corrigir, no prazo máximo de 24(vinte e quatro) horas, a emissão de passagens não aceitos pelo CONTRATANTE em razão da ocorrência de erros.</w:t>
      </w:r>
    </w:p>
    <w:p>
      <w:pPr>
        <w:jc w:val="both"/>
        <w:ind w:left="225" w:right="210"/>
        <w:spacing w:lineRule="auto" w:line="276"/>
      </w:pPr>
      <w:r>
        <w:rPr>
          <w:b/>
          <w:sz w:val="18"/>
        </w:rPr>
        <w:t/>
      </w:r>
    </w:p>
    <w:p>
      <w:pPr>
        <w:ind w:left="225"/>
        <w:spacing w:before="90" w:lineRule="auto" w:line="264"/>
      </w:pPr>
      <w:r>
        <w:drawing>
          <wp:inline distT="0" distB="0" distL="0" distR="0">
            <wp:extent cx="6791325" cy="361950"/>
            <wp:effectExtent l="0" t="0" r="0" b="0"/>
            <wp:docPr id="56" name="Pic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6.emf"/>
                    <pic:cNvPicPr/>
                  </pic:nvPicPr>
                  <pic:blipFill>
                    <a:blip r:embed="prId55" cstate="print"/>
                    <a:stretch>
                      <a:fillRect/>
                    </a:stretch>
                  </pic:blipFill>
                  <pic:spPr>
                    <a:xfrm>
                      <a:off x="0" y="0"/>
                      <a:ext cx="6791325" cy="361950"/>
                    </a:xfrm>
                    <a:prstGeom prst="rect">
                      <a:avLst/>
                    </a:prstGeom>
                  </pic:spPr>
                </pic:pic>
              </a:graphicData>
            </a:graphic>
          </wp:inline>
        </w:drawing>
      </w:r>
    </w:p>
    <w:p>
      <w:pPr>
        <w:ind w:left="225"/>
        <w:spacing w:before="90" w:lineRule="auto" w:line="264"/>
      </w:pPr>
      <w:r>
        <w:t/>
      </w:r>
    </w:p>
    <w:tbl>
      <w:tblPr>
        <w:tblW w:w="4500" w:type="pct"/>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225" w:type="dxa"/>
        <w:shd w:val="clear" w:color="auto" w:fill="FFFFFF"/>
      </w:tblPr>
      <w:tblGrid>
        <w:gridCol w:w="9630"/>
      </w:tblGrid>
      <w:tr>
        <w:tc>
          <w:tcPr>
            <w:shd w:val="clear" w:color="auto" w:fill="FFFFFF"/>
          </w:tcPr>
          <w:p>
            <w:r>
              <w:t>Justificativa solicitação de material/serviço</w:t>
            </w:r>
          </w:p>
        </w:tc>
      </w:tr>
      <w:tr>
        <w:tc>
          <w:tcPr>
            <w:shd w:val="clear" w:color="auto" w:fill="C0C0C0"/>
          </w:tcPr>
          <w:p>
            <w:r>
              <w:t>Justificativa</w:t>
            </w:r>
          </w:p>
        </w:tc>
      </w:tr>
      <w:tr>
        <w:tc>
          <w:tcPr>
            <w:shd w:val="clear" w:color="auto" w:fill="FFFFFF"/>
          </w:tcPr>
          <w:p>
            <w:r>
              <w:t xml:space="preserve"> A prestação dos serviços mencionados, visa a aquisição de passagens rodoviárias (ônibus), a serem destinadas aos servidores quando em viagens a serviços ou de interesse da Prefeitura Municipal de Sao Tomé, bem como destinadas a pessoas que não possuem condições financeiras e necessitam de apoio do Município para a concessão de passagens que busquem o retorno ao Município de origem dos indivíduos, com devidas orientações e encaminhamentos sociais necessários.</w:t>
            </w:r>
          </w:p>
          <w:p>
            <w:r>
              <w:t>A Secretaria de Assistência Social necessita enviar frequentemente funcionários que participam de capacitações ou para distribuição aos usuários do CRAS e/ou CREAS (pessoas em situação de rua, indígenas, mulheres vítimas de violência, adolescentes apreendidos ou crianças/adolescentes/idosos com direito violado ou em acompanhamento).</w:t>
            </w:r>
          </w:p>
          <w:p>
            <w:r>
              <w:t>A Secretaria de Saúde justifica-se a necessidade do referido serviço para realização do transporte aos pacientes-TFD – Tratamento Fora de Domicílio e acompanhantes que realizam tratamento de Saúde na, encaminhados pelos SUS- Sistema único do Município. Este serviço é complementar ao transporte realizado por veículo próprio desta secretaria.</w:t>
            </w:r>
          </w:p>
          <w:p>
            <w:r>
              <w:t/>
            </w:r>
          </w:p>
        </w:tc>
      </w:tr>
    </w:tbl>
    <w:p>
      <w:pPr>
        <w:ind w:left="225"/>
        <w:spacing w:before="90" w:lineRule="auto" w:line="264"/>
      </w:pPr>
      <w:r>
        <w:t/>
      </w:r>
    </w:p>
    <w:p>
      <w:pPr>
        <w:spacing w:before="15"/>
      </w:pPr>
      <w:r>
        <w:drawing>
          <wp:inline distT="0" distB="0" distL="0" distR="0">
            <wp:extent cx="6924675" cy="209550"/>
            <wp:effectExtent l="0" t="0" r="0" b="0"/>
            <wp:docPr id="57" name="Pic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7.emf"/>
                    <pic:cNvPicPr/>
                  </pic:nvPicPr>
                  <pic:blipFill>
                    <a:blip r:embed="prId56" cstate="print"/>
                    <a:stretch>
                      <a:fillRect/>
                    </a:stretch>
                  </pic:blipFill>
                  <pic:spPr>
                    <a:xfrm>
                      <a:off x="0" y="0"/>
                      <a:ext cx="6924675" cy="209550"/>
                    </a:xfrm>
                    <a:prstGeom prst="rect">
                      <a:avLst/>
                    </a:prstGeom>
                  </pic:spPr>
                </pic:pic>
              </a:graphicData>
            </a:graphic>
          </wp:inline>
        </w:drawing>
      </w:r>
    </w:p>
    <w:p>
      <w:pPr>
        <w:spacing w:before="15"/>
      </w:pPr>
      <w:r>
        <w:drawing>
          <wp:inline distT="0" distB="0" distL="0" distR="0">
            <wp:extent cx="0" cy="0"/>
            <wp:effectExtent l="0" t="0" r="0" b="0"/>
            <wp:docPr id="58" name="Pic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8.emf"/>
                    <pic:cNvPicPr/>
                  </pic:nvPicPr>
                  <pic:blipFill>
                    <a:blip r:embed="prId57" cstate="print"/>
                    <a:stretch>
                      <a:fillRect/>
                    </a:stretch>
                  </pic:blipFill>
                  <pic:spPr>
                    <a:xfrm>
                      <a:off x="0" y="0"/>
                      <a:ext cx="0" cy="0"/>
                    </a:xfrm>
                    <a:prstGeom prst="rect">
                      <a:avLst/>
                    </a:prstGeom>
                  </pic:spPr>
                </pic:pic>
              </a:graphicData>
            </a:graphic>
          </wp:inline>
        </w:drawing>
      </w:r>
    </w:p>
    <w:p>
      <w:pPr>
        <w:spacing w:before="15"/>
      </w:pPr>
      <w:r>
        <w:t/>
      </w:r>
    </w:p>
    <w:p>
      <w:pPr>
        <w:spacing w:before="90"/>
        <w:numPr>
          <w:ilvl w:val="1"/>
          <w:numId w:val="41"/>
        </w:numPr>
      </w:pPr>
      <w:r/>
      <w:r>
        <w:rPr>
          <w:rFonts w:ascii="Arial MT" w:hAnsi="Arial MT" w:cs="Arial MT" w:eastAsia="Arial MT"/>
          <w:sz w:val="19"/>
        </w:rPr>
        <w:t>A contratação deverá observar os seguintes requisitos:</w:t>
      </w:r>
    </w:p>
    <w:p>
      <w:pPr>
        <w:spacing w:before="150"/>
        <w:numPr>
          <w:ilvl w:val="2"/>
          <w:numId w:val="41"/>
        </w:numPr>
      </w:pPr>
      <w:r/>
      <w:r>
        <w:rPr>
          <w:rFonts w:ascii="Arial MT" w:hAnsi="Arial MT" w:cs="Arial MT" w:eastAsia="Arial MT"/>
          <w:sz w:val="19"/>
        </w:rPr>
        <w:t xml:space="preserve">O critério de julgamento a ser utilizado no presente certame será o </w:t>
      </w:r>
      <w:r>
        <w:rPr>
          <w:b/>
          <w:sz w:val="19"/>
        </w:rPr>
        <w:t>menor preço por item;</w:t>
      </w:r>
    </w:p>
    <w:p>
      <w:pPr>
        <w:spacing w:before="150"/>
        <w:numPr>
          <w:ilvl w:val="2"/>
          <w:numId w:val="41"/>
        </w:numPr>
      </w:pPr>
      <w:r/>
      <w:r>
        <w:rPr>
          <w:rFonts w:ascii="Arial MT" w:hAnsi="Arial MT" w:cs="Arial MT" w:eastAsia="Arial MT"/>
          <w:sz w:val="19"/>
        </w:rPr>
        <w:t>Não serão aplicadas a indicação e/ou a vedação de marcas;</w:t>
      </w:r>
    </w:p>
    <w:p>
      <w:pPr>
        <w:spacing w:before="150"/>
        <w:numPr>
          <w:ilvl w:val="2"/>
          <w:numId w:val="41"/>
        </w:numPr>
      </w:pPr>
      <w:r/>
      <w:r>
        <w:rPr>
          <w:rFonts w:ascii="Arial MT" w:hAnsi="Arial MT" w:cs="Arial MT" w:eastAsia="Arial MT"/>
          <w:sz w:val="19"/>
        </w:rPr>
        <w:t>Não será admitida a subcontratação do objeto contratual;</w:t>
      </w:r>
    </w:p>
    <w:p>
      <w:pPr>
        <w:spacing w:before="150"/>
        <w:numPr>
          <w:ilvl w:val="2"/>
          <w:numId w:val="41"/>
        </w:numPr>
      </w:pPr>
      <w:r/>
      <w:r>
        <w:rPr>
          <w:rFonts w:ascii="Arial MT" w:hAnsi="Arial MT" w:cs="Arial MT" w:eastAsia="Arial MT"/>
          <w:sz w:val="19"/>
        </w:rPr>
        <w:t>Não haverá exigência da garantia da contratação dos arts. 96 e seguintes da Lei nº 14.133/21.</w:t>
      </w:r>
    </w:p>
    <w:p>
      <w:pPr>
        <w:ind w:left="975"/>
        <w:spacing w:before="150"/>
      </w:pPr>
      <w:r>
        <w:t/>
      </w:r>
    </w:p>
    <w:p>
      <w:pPr>
        <w:spacing w:before="15"/>
      </w:pPr>
      <w:r>
        <w:drawing>
          <wp:inline distT="0" distB="0" distL="0" distR="0">
            <wp:extent cx="0" cy="0"/>
            <wp:effectExtent l="0" t="0" r="0" b="0"/>
            <wp:docPr id="59" name="Pic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9.emf"/>
                    <pic:cNvPicPr/>
                  </pic:nvPicPr>
                  <pic:blipFill>
                    <a:blip r:embed="prId58" cstate="print"/>
                    <a:stretch>
                      <a:fillRect/>
                    </a:stretch>
                  </pic:blipFill>
                  <pic:spPr>
                    <a:xfrm>
                      <a:off x="0" y="0"/>
                      <a:ext cx="0" cy="0"/>
                    </a:xfrm>
                    <a:prstGeom prst="rect">
                      <a:avLst/>
                    </a:prstGeom>
                  </pic:spPr>
                </pic:pic>
              </a:graphicData>
            </a:graphic>
          </wp:inline>
        </w:drawing>
      </w:r>
    </w:p>
    <w:p>
      <w:pPr>
        <w:spacing w:before="15"/>
      </w:pPr>
      <w:r>
        <w:drawing>
          <wp:inline distT="0" distB="0" distL="0" distR="0">
            <wp:extent cx="6858000" cy="361950"/>
            <wp:effectExtent l="0" t="0" r="0" b="0"/>
            <wp:docPr id="60" name="Pic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0.emf"/>
                    <pic:cNvPicPr/>
                  </pic:nvPicPr>
                  <pic:blipFill>
                    <a:blip r:embed="prId59" cstate="print"/>
                    <a:stretch>
                      <a:fillRect/>
                    </a:stretch>
                  </pic:blipFill>
                  <pic:spPr>
                    <a:xfrm>
                      <a:off x="0" y="0"/>
                      <a:ext cx="6858000" cy="361950"/>
                    </a:xfrm>
                    <a:prstGeom prst="rect">
                      <a:avLst/>
                    </a:prstGeom>
                  </pic:spPr>
                </pic:pic>
              </a:graphicData>
            </a:graphic>
          </wp:inline>
        </w:drawing>
      </w:r>
    </w:p>
    <w:p>
      <w:pPr>
        <w:spacing w:before="15"/>
      </w:pPr>
      <w:r>
        <w:t/>
      </w:r>
    </w:p>
    <w:p>
      <w:pPr>
        <w:jc w:val="both"/>
        <w:ind w:right="210"/>
        <w:spacing w:before="90" w:lineRule="auto" w:line="276"/>
        <w:numPr>
          <w:ilvl w:val="1"/>
          <w:numId w:val="6"/>
        </w:numPr>
      </w:pPr>
      <w:r/>
      <w:r>
        <w:rPr>
          <w:rFonts w:ascii="Arial MT" w:hAnsi="Arial MT" w:cs="Arial MT" w:eastAsia="Arial MT"/>
          <w:sz w:val="19"/>
        </w:rPr>
        <w:t>Os materiais deverão ser entregues nos locais informados na Nota de Empenho ou Ordem de Serviço emitidas, acompanhada preferencialmente pelo Fiscal do Contrato ou por outro servidor designado para esse fim.</w:t>
      </w:r>
    </w:p>
    <w:p>
      <w:pPr>
        <w:jc w:val="both"/>
        <w:ind w:right="210"/>
        <w:spacing w:lineRule="auto" w:line="276"/>
        <w:numPr>
          <w:ilvl w:val="1"/>
          <w:numId w:val="6"/>
        </w:numPr>
      </w:pPr>
      <w:r/>
      <w:r>
        <w:rPr>
          <w:sz w:val="18"/>
        </w:rPr>
        <w:t xml:space="preserve"> </w:t>
      </w:r>
      <w:r>
        <w:rPr>
          <w:sz w:val="18"/>
        </w:rPr>
        <w:t>As passagens deverão ser entregues imediatamente no guichê da transportadora mediante apresentação da Autorização de Compra emitido pelo Departamento de Compras do Município, as passagens serão adquiridas conforme necessidade da Administração Pública.</w:t>
      </w:r>
    </w:p>
    <w:p>
      <w:pPr>
        <w:jc w:val="both"/>
        <w:ind w:right="210"/>
        <w:spacing w:before="120" w:lineRule="auto" w:line="276"/>
        <w:numPr>
          <w:ilvl w:val="1"/>
          <w:numId w:val="6"/>
        </w:numPr>
      </w:pPr>
      <w:r/>
      <w:r>
        <w:rPr>
          <w:rFonts w:ascii="Arial MT" w:hAnsi="Arial MT" w:cs="Arial MT" w:eastAsia="Arial MT"/>
          <w:sz w:val="19"/>
        </w:rPr>
        <w:t>Caso não seja possível a entrega na data assinalada, a empresa deverá comunicar as razões respectivas com pelo menos 24 (vinte e quatro) horas de antecedência para que qualquer pleito de prorrogação de prazo seja analisado, ressalvadas situações de caso fortuito e força maior.</w:t>
      </w:r>
    </w:p>
    <w:p>
      <w:pPr>
        <w:jc w:val="both"/>
        <w:ind w:right="210"/>
        <w:spacing w:before="105" w:lineRule="auto" w:line="276"/>
        <w:numPr>
          <w:ilvl w:val="1"/>
          <w:numId w:val="6"/>
        </w:numPr>
      </w:pPr>
      <w:r/>
      <w:r>
        <w:rPr>
          <w:rFonts w:ascii="Arial MT" w:hAnsi="Arial MT" w:cs="Arial MT" w:eastAsia="Arial MT"/>
          <w:sz w:val="19"/>
        </w:rPr>
        <w:t>O prazo de garantia contratual dos bens, complementar à garantia legal, será de, no mínimo, 12 (doze) meses, contados a partir do primeiro dia útil subsequente à data do recebimento definitivo do objeto.</w:t>
      </w:r>
    </w:p>
    <w:p>
      <w:pPr>
        <w:jc w:val="both"/>
        <w:ind w:right="210"/>
        <w:spacing w:before="120" w:lineRule="auto" w:line="276"/>
        <w:tabs>
          <w:tab w:val="left" w:pos="570"/>
        </w:tabs>
        <w:numPr>
          <w:ilvl w:val="1"/>
          <w:numId w:val="6"/>
        </w:numPr>
      </w:pPr>
      <w:r/>
      <w:r>
        <w:rPr>
          <w:rFonts w:ascii="Arial MT" w:hAnsi="Arial MT" w:cs="Arial MT" w:eastAsia="Arial MT"/>
          <w:sz w:val="19"/>
        </w:rPr>
        <w:t>Caso o prazo da garantia oferecida pelo fabricante seja inferior ao estabelecido nesta cláusula, o fornecedor deverá complementar a garantia do bem ofertado pelo período restante.</w:t>
      </w:r>
    </w:p>
    <w:p>
      <w:pPr>
        <w:spacing w:before="15"/>
      </w:pPr>
      <w:r>
        <w:t/>
      </w:r>
    </w:p>
    <w:p>
      <w:pPr>
        <w:jc w:val="both"/>
        <w:ind w:right="210"/>
        <w:spacing w:lineRule="auto" w:line="264"/>
        <w:numPr>
          <w:ilvl w:val="1"/>
          <w:numId w:val="6"/>
        </w:numPr>
      </w:pPr>
      <w:r/>
      <w:r>
        <w:rPr>
          <w:rFonts w:ascii="Arial MT" w:hAnsi="Arial MT" w:cs="Arial MT" w:eastAsia="Arial MT"/>
          <w:sz w:val="19"/>
        </w:rPr>
        <w:t>A garantia será prestada com vistas a manter os equipamentos fornecidos em perfeitas condições de uso, sem qualquer ônus ou custo adicional para o Contratante.</w:t>
      </w:r>
    </w:p>
    <w:p>
      <w:pPr>
        <w:jc w:val="both"/>
        <w:ind w:right="210"/>
        <w:spacing w:before="120" w:lineRule="auto" w:line="276"/>
        <w:numPr>
          <w:ilvl w:val="1"/>
          <w:numId w:val="6"/>
        </w:numPr>
      </w:pPr>
      <w:r/>
      <w:r>
        <w:rPr>
          <w:rFonts w:ascii="Arial MT" w:hAnsi="Arial MT" w:cs="Arial MT" w:eastAsia="Arial MT"/>
          <w:sz w:val="19"/>
        </w:rPr>
        <w:t>A garantia abrange a realização da manutenção corretiva dos bens pelo próprio Contratado, ou, se for o caso, por meio de assistência técnica autorizada, de acordo com as normas técnicas específicas.</w:t>
      </w:r>
    </w:p>
    <w:p>
      <w:pPr>
        <w:jc w:val="both"/>
        <w:ind w:right="210"/>
        <w:spacing w:before="120" w:lineRule="auto" w:line="276"/>
        <w:tabs>
          <w:tab w:val="left" w:pos="675"/>
        </w:tabs>
        <w:numPr>
          <w:ilvl w:val="1"/>
          <w:numId w:val="6"/>
        </w:numPr>
      </w:pPr>
      <w:r/>
      <w:r>
        <w:rPr>
          <w:rFonts w:ascii="Arial MT" w:hAnsi="Arial MT" w:cs="Arial MT" w:eastAsia="Arial MT"/>
          <w:sz w:val="19"/>
        </w:rPr>
        <w:t>Entende-se por manutenção corretiva aquela destinada a corrigir os defeitos apresentados pelos bens, compreendendo a substituição de peças, a realização de ajustes, reparos e correções necessárias.</w:t>
      </w:r>
    </w:p>
    <w:p>
      <w:pPr>
        <w:jc w:val="both"/>
        <w:ind w:right="210"/>
        <w:spacing w:before="120" w:lineRule="auto" w:line="276"/>
        <w:tabs>
          <w:tab w:val="left" w:pos="570"/>
        </w:tabs>
        <w:numPr>
          <w:ilvl w:val="1"/>
          <w:numId w:val="6"/>
        </w:numPr>
      </w:pPr>
      <w:r/>
      <w:r>
        <w:rPr>
          <w:rFonts w:ascii="Arial MT" w:hAnsi="Arial MT" w:cs="Arial MT" w:eastAsia="Arial MT"/>
          <w:sz w:val="19"/>
        </w:rPr>
        <w:t>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pPr>
        <w:jc w:val="both"/>
        <w:ind w:right="210"/>
        <w:spacing w:before="120" w:lineRule="auto" w:line="276"/>
        <w:tabs>
          <w:tab w:val="left" w:pos="675"/>
        </w:tabs>
        <w:numPr>
          <w:ilvl w:val="1"/>
          <w:numId w:val="6"/>
        </w:numPr>
      </w:pPr>
      <w:r/>
      <w:r>
        <w:rPr>
          <w:rFonts w:ascii="Arial MT" w:hAnsi="Arial MT" w:cs="Arial MT" w:eastAsia="Arial MT"/>
          <w:sz w:val="19"/>
        </w:rPr>
        <w:t xml:space="preserve"> Uma vez notificado, o Contratado realizará a reparação ou substituição dos bens que apresentarem vício ou defeito no prazo de até 24 (vinte e quatro) horas, contados a partir da data de retirada do equipamento das dependências da Administração pelo Contratado ou pela assistência técnica autorizada.</w:t>
      </w:r>
    </w:p>
    <w:p>
      <w:pPr>
        <w:jc w:val="both"/>
        <w:ind w:right="210"/>
        <w:spacing w:before="105" w:lineRule="auto" w:line="276"/>
        <w:tabs>
          <w:tab w:val="left" w:pos="750"/>
        </w:tabs>
        <w:numPr>
          <w:ilvl w:val="1"/>
          <w:numId w:val="6"/>
        </w:numPr>
      </w:pPr>
      <w:r/>
      <w:r>
        <w:rPr>
          <w:rFonts w:ascii="Arial MT" w:hAnsi="Arial MT" w:cs="Arial MT" w:eastAsia="Arial MT"/>
          <w:sz w:val="19"/>
        </w:rPr>
        <w:t xml:space="preserve"> Prazo indicado no subitem anterior, durante seu transcurso, poderá ser prorrogado uma única vez, por igual período, mediante solicitação escrita e justificada do Contratado, aceita pelo Contratante.</w:t>
      </w:r>
    </w:p>
    <w:p>
      <w:pPr>
        <w:jc w:val="both"/>
        <w:ind w:right="210"/>
        <w:spacing w:before="120" w:lineRule="auto" w:line="276"/>
        <w:tabs>
          <w:tab w:val="left" w:pos="660"/>
        </w:tabs>
        <w:numPr>
          <w:ilvl w:val="1"/>
          <w:numId w:val="6"/>
        </w:numPr>
      </w:pPr>
      <w:r/>
      <w:r>
        <w:rPr>
          <w:rFonts w:ascii="Arial MT" w:hAnsi="Arial MT" w:cs="Arial MT" w:eastAsia="Arial MT"/>
          <w:sz w:val="19"/>
        </w:rPr>
        <w:t xml:space="preserve"> Na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w:t>
      </w:r>
    </w:p>
    <w:p>
      <w:pPr>
        <w:jc w:val="both"/>
        <w:ind w:right="210"/>
        <w:spacing w:before="120" w:lineRule="auto" w:line="276"/>
        <w:tabs>
          <w:tab w:val="left" w:pos="660"/>
        </w:tabs>
        <w:numPr>
          <w:ilvl w:val="1"/>
          <w:numId w:val="6"/>
        </w:numPr>
      </w:pPr>
      <w:r/>
      <w:r>
        <w:rPr>
          <w:rFonts w:ascii="Arial MT" w:hAnsi="Arial MT" w:cs="Arial MT" w:eastAsia="Arial MT"/>
          <w:sz w:val="19"/>
        </w:rPr>
        <w:t xml:space="preserve"> Decorrido o prazo para reparos e substituições sem atendimento da solicitação, fica o Contratante autorizado a contratar empresa diversa para executar os reparos, ajustes ou a substituição do bem ou de seus componentes, bem como a exigir do Contratado o reembolso pelos custos respectivos, sem que tal fato acarrete a perda da garantia dos equipamentos.</w:t>
      </w:r>
    </w:p>
    <w:p>
      <w:pPr>
        <w:jc w:val="both"/>
        <w:ind w:right="210"/>
        <w:spacing w:before="120" w:lineRule="auto" w:line="276"/>
        <w:tabs>
          <w:tab w:val="left" w:pos="705"/>
        </w:tabs>
        <w:numPr>
          <w:ilvl w:val="1"/>
          <w:numId w:val="6"/>
        </w:numPr>
      </w:pPr>
      <w:r/>
      <w:r>
        <w:rPr>
          <w:rFonts w:ascii="Arial MT" w:hAnsi="Arial MT" w:cs="Arial MT" w:eastAsia="Arial MT"/>
          <w:sz w:val="19"/>
        </w:rPr>
        <w:t xml:space="preserve"> O custo referente ao transporte dos equipamentos cobertos pela garantia será de responsabilidade do Contratado.</w:t>
      </w:r>
    </w:p>
    <w:p>
      <w:pPr>
        <w:jc w:val="both"/>
        <w:ind w:right="210"/>
        <w:spacing w:before="120" w:lineRule="auto" w:line="276"/>
        <w:tabs>
          <w:tab w:val="left" w:pos="645"/>
        </w:tabs>
        <w:numPr>
          <w:ilvl w:val="1"/>
          <w:numId w:val="6"/>
        </w:numPr>
      </w:pPr>
      <w:r/>
      <w:r>
        <w:rPr>
          <w:rFonts w:ascii="Arial MT" w:hAnsi="Arial MT" w:cs="Arial MT" w:eastAsia="Arial MT"/>
          <w:sz w:val="19"/>
        </w:rPr>
        <w:t xml:space="preserve"> A garantia legal ou contratual do objeto tem prazo de vigência próprio e desvinculado daquele fixado no contrato, permitindo eventual aplicação de penalidades em caso de descumprimento de alguma de suas condições, mesmo depois de expirada a vigência contratual.</w:t>
      </w:r>
    </w:p>
    <w:p>
      <w:pPr>
        <w:jc w:val="both"/>
        <w:ind w:right="210"/>
        <w:spacing w:before="120" w:lineRule="auto" w:line="276"/>
        <w:tabs>
          <w:tab w:val="left" w:pos="645"/>
        </w:tabs>
        <w:numPr>
          <w:ilvl w:val="1"/>
          <w:numId w:val="6"/>
        </w:numPr>
      </w:pPr>
      <w:r/>
      <w:r>
        <w:rPr>
          <w:rFonts w:ascii="Arial MT" w:hAnsi="Arial MT" w:cs="Arial MT" w:eastAsia="Arial MT"/>
          <w:sz w:val="19"/>
        </w:rPr>
        <w:t xml:space="preserve"> 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pPr>
        <w:jc w:val="both"/>
        <w:ind w:right="210"/>
        <w:spacing w:before="120" w:lineRule="auto" w:line="276"/>
        <w:tabs>
          <w:tab w:val="left" w:pos="675"/>
        </w:tabs>
        <w:numPr>
          <w:ilvl w:val="1"/>
          <w:numId w:val="6"/>
        </w:numPr>
      </w:pPr>
      <w:r/>
      <w:r>
        <w:rPr>
          <w:rFonts w:ascii="Arial MT" w:hAnsi="Arial MT" w:cs="Arial MT" w:eastAsia="Arial MT"/>
          <w:sz w:val="19"/>
        </w:rPr>
        <w:t xml:space="preserve"> Os bens poderão ser rejeitados, no todo ou em parte, inclusive antes do recebimento provisório, quando em desacordo com as especificações constantes no Termo de Referência e na proposta, devendo ser substituídos no prazo de 24 (vinte e quatro) horas, a contar da notificação da contratada, às suas custas, sem prejuízo da aplicação das penalidades.</w:t>
      </w:r>
    </w:p>
    <w:p>
      <w:pPr>
        <w:jc w:val="both"/>
        <w:ind w:right="210"/>
        <w:spacing w:before="120" w:lineRule="auto" w:line="264"/>
        <w:tabs>
          <w:tab w:val="left" w:pos="645"/>
        </w:tabs>
        <w:numPr>
          <w:ilvl w:val="1"/>
          <w:numId w:val="6"/>
        </w:numPr>
      </w:pPr>
      <w:r/>
      <w:r>
        <w:rPr>
          <w:rFonts w:ascii="Arial MT" w:hAnsi="Arial MT" w:cs="Arial MT" w:eastAsia="Arial MT"/>
          <w:sz w:val="19"/>
        </w:rPr>
        <w:t xml:space="preserve"> Para as contratações decorrentes de despesas cujos valores não ultrapassem o limite de que trata o inciso II do art. 75 da Lei nº 14.133, de 2021, o prazo máximo para o recebimento definitivo será de até 10 (dez) dias úteis.</w:t>
      </w:r>
    </w:p>
    <w:p>
      <w:pPr>
        <w:jc w:val="both"/>
        <w:ind w:right="210"/>
        <w:spacing w:before="120" w:lineRule="auto" w:line="276"/>
        <w:tabs>
          <w:tab w:val="left" w:pos="675"/>
        </w:tabs>
        <w:numPr>
          <w:ilvl w:val="1"/>
          <w:numId w:val="6"/>
        </w:numPr>
      </w:pPr>
      <w:r/>
      <w:r>
        <w:rPr>
          <w:rFonts w:ascii="Arial MT" w:hAnsi="Arial MT" w:cs="Arial MT" w:eastAsia="Arial MT"/>
          <w:sz w:val="19"/>
        </w:rPr>
        <w:t xml:space="preserve"> O prazo para recebimento definitivo poderá ser excepcionalmente prorrogado, de forma justificada, por igual período, quando houver necessidade de diligências para a aferição do atendimento das exigências contratuais.</w:t>
      </w:r>
    </w:p>
    <w:p>
      <w:pPr>
        <w:jc w:val="both"/>
        <w:ind w:right="210"/>
        <w:spacing w:before="120" w:lineRule="auto" w:line="276"/>
        <w:tabs>
          <w:tab w:val="left" w:pos="675"/>
        </w:tabs>
        <w:numPr>
          <w:ilvl w:val="1"/>
          <w:numId w:val="6"/>
        </w:numPr>
      </w:pPr>
      <w:r/>
      <w:r>
        <w:rPr>
          <w:rFonts w:ascii="Arial MT" w:hAnsi="Arial MT" w:cs="Arial MT" w:eastAsia="Arial MT"/>
          <w:sz w:val="19"/>
        </w:rPr>
        <w:t xml:space="preserve"> O recebimento provisório ou definitivo não excluirá a responsabilidade civil pela solidez e pela segurança do serviço nem a responsabilidade ético-profissional pela perfeita execução do contrato.</w:t>
      </w:r>
    </w:p>
    <w:p>
      <w:pPr>
        <w:spacing w:before="15"/>
      </w:pPr>
      <w:r>
        <w:drawing>
          <wp:inline distT="0" distB="0" distL="0" distR="0">
            <wp:extent cx="0" cy="0"/>
            <wp:effectExtent l="0" t="0" r="0" b="0"/>
            <wp:docPr id="61" name="Pic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1.emf"/>
                    <pic:cNvPicPr/>
                  </pic:nvPicPr>
                  <pic:blipFill>
                    <a:blip r:embed="prId60" cstate="print"/>
                    <a:stretch>
                      <a:fillRect/>
                    </a:stretch>
                  </pic:blipFill>
                  <pic:spPr>
                    <a:xfrm>
                      <a:off x="0" y="0"/>
                      <a:ext cx="0" cy="0"/>
                    </a:xfrm>
                    <a:prstGeom prst="rect">
                      <a:avLst/>
                    </a:prstGeom>
                  </pic:spPr>
                </pic:pic>
              </a:graphicData>
            </a:graphic>
          </wp:inline>
        </w:drawing>
      </w:r>
    </w:p>
    <w:p>
      <w:r>
        <w:t/>
      </w:r>
    </w:p>
    <w:p>
      <w:r>
        <w:drawing>
          <wp:inline distT="0" distB="0" distL="0" distR="0">
            <wp:extent cx="6858000" cy="200025"/>
            <wp:effectExtent l="0" t="0" r="0" b="0"/>
            <wp:docPr id="62" name="Pic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2.emf"/>
                    <pic:cNvPicPr/>
                  </pic:nvPicPr>
                  <pic:blipFill>
                    <a:blip r:embed="prId61" cstate="print"/>
                    <a:stretch>
                      <a:fillRect/>
                    </a:stretch>
                  </pic:blipFill>
                  <pic:spPr>
                    <a:xfrm>
                      <a:off x="0" y="0"/>
                      <a:ext cx="6858000" cy="200025"/>
                    </a:xfrm>
                    <a:prstGeom prst="rect">
                      <a:avLst/>
                    </a:prstGeom>
                  </pic:spPr>
                </pic:pic>
              </a:graphicData>
            </a:graphic>
          </wp:inline>
        </w:drawing>
      </w:r>
    </w:p>
    <w:p>
      <w:pPr>
        <w:spacing w:before="15"/>
      </w:pPr>
      <w:r>
        <w:t/>
      </w:r>
    </w:p>
    <w:p>
      <w:pPr>
        <w:jc w:val="both"/>
        <w:ind w:right="210"/>
        <w:spacing w:lineRule="auto" w:line="276"/>
        <w:numPr>
          <w:ilvl w:val="1"/>
          <w:numId w:val="31"/>
        </w:numPr>
      </w:pPr>
      <w:r/>
      <w:r>
        <w:rPr>
          <w:rFonts w:ascii="Arial MT" w:hAnsi="Arial MT" w:cs="Arial MT" w:eastAsia="Arial MT"/>
          <w:sz w:val="19"/>
        </w:rPr>
        <w:t>O contrato deverá ser executado fielmente pelas partes, de acordo com as cláusulas avençadas e as normas da Lei Federal nº 14.133/2021, e cada parte responderá pelas consequências de sua inexecução total ou parcial.</w:t>
      </w:r>
    </w:p>
    <w:p>
      <w:pPr>
        <w:jc w:val="both"/>
        <w:ind w:right="210"/>
        <w:spacing w:before="120" w:lineRule="auto" w:line="276"/>
        <w:numPr>
          <w:ilvl w:val="1"/>
          <w:numId w:val="31"/>
        </w:numPr>
      </w:pPr>
      <w:r/>
      <w:r>
        <w:rPr>
          <w:rFonts w:ascii="Arial MT" w:hAnsi="Arial MT" w:cs="Arial MT" w:eastAsia="Arial MT"/>
          <w:sz w:val="19"/>
        </w:rPr>
        <w:t>Em caso de impedimento, ordem de paralisação ou suspensão do contrato, o cronograma de execução será prorrogado automaticamente pelo tempo correspondente, anotadas tais circunstâncias mediante simples apostila.</w:t>
      </w:r>
    </w:p>
    <w:p>
      <w:pPr>
        <w:jc w:val="both"/>
        <w:ind w:right="210"/>
        <w:spacing w:before="120" w:lineRule="auto" w:line="276"/>
        <w:numPr>
          <w:ilvl w:val="1"/>
          <w:numId w:val="31"/>
        </w:numPr>
      </w:pPr>
      <w:r/>
      <w:r>
        <w:rPr>
          <w:rFonts w:ascii="Arial MT" w:hAnsi="Arial MT" w:cs="Arial MT" w:eastAsia="Arial MT"/>
          <w:sz w:val="19"/>
        </w:rPr>
        <w:t>As comunicações entre o órgão ou entidade e a Contratada devem ser realizadas por escrito sempre que o ato exigir tal formalidade, admitindo-se o uso de mensagem eletrônica para esse fim.</w:t>
      </w:r>
    </w:p>
    <w:p>
      <w:pPr>
        <w:jc w:val="both"/>
        <w:ind w:right="210"/>
        <w:spacing w:before="120" w:lineRule="auto" w:line="276"/>
        <w:numPr>
          <w:ilvl w:val="1"/>
          <w:numId w:val="31"/>
        </w:numPr>
      </w:pPr>
      <w:r/>
      <w:r>
        <w:rPr>
          <w:rFonts w:ascii="Arial MT" w:hAnsi="Arial MT" w:cs="Arial MT" w:eastAsia="Arial MT"/>
          <w:sz w:val="19"/>
        </w:rPr>
        <w:t>O órgão ou entidade poderá convocar representante da empresa para adoção de providências que devam ser cumpridas de imediato.</w:t>
      </w:r>
    </w:p>
    <w:p>
      <w:pPr>
        <w:jc w:val="both"/>
        <w:ind w:right="210"/>
        <w:spacing w:before="120" w:lineRule="auto" w:line="276"/>
        <w:numPr>
          <w:ilvl w:val="1"/>
          <w:numId w:val="31"/>
        </w:numPr>
      </w:pPr>
      <w:r/>
      <w:r>
        <w:drawing>
          <wp:inline distT="0" distB="0" distL="0" distR="0">
            <wp:extent cx="0" cy="0"/>
            <wp:effectExtent l="0" t="0" r="0" b="0"/>
            <wp:docPr id="63" name="Pic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3.emf"/>
                    <pic:cNvPicPr/>
                  </pic:nvPicPr>
                  <pic:blipFill>
                    <a:blip r:embed="prId62" cstate="print"/>
                    <a:stretch>
                      <a:fillRect/>
                    </a:stretch>
                  </pic:blipFill>
                  <pic:spPr>
                    <a:xfrm>
                      <a:off x="0" y="0"/>
                      <a:ext cx="0" cy="0"/>
                    </a:xfrm>
                    <a:prstGeom prst="rect">
                      <a:avLst/>
                    </a:prstGeom>
                  </pic:spPr>
                </pic:pic>
              </a:graphicData>
            </a:graphic>
          </wp:inline>
        </w:drawing>
      </w:r>
      <w:r>
        <w:rPr>
          <w:rFonts w:ascii="Arial MT" w:hAnsi="Arial MT" w:cs="Arial MT" w:eastAsia="Arial MT"/>
          <w:sz w:val="19"/>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pPr>
        <w:jc w:val="both"/>
        <w:ind w:right="210"/>
        <w:spacing w:before="120" w:lineRule="auto" w:line="264"/>
        <w:numPr>
          <w:ilvl w:val="1"/>
          <w:numId w:val="31"/>
        </w:numPr>
      </w:pPr>
      <w:r/>
      <w:r>
        <w:rPr>
          <w:rFonts w:ascii="Arial MT" w:hAnsi="Arial MT" w:cs="Arial MT" w:eastAsia="Arial MT"/>
          <w:sz w:val="19"/>
        </w:rPr>
        <w:t>A execução do contrato deverá ser acompanhada e fiscalizada pelo(s) fiscal(is) do contrato, ou pelos respectivos substitutos.</w:t>
      </w:r>
    </w:p>
    <w:p>
      <w:pPr>
        <w:jc w:val="both"/>
        <w:ind w:right="210"/>
        <w:spacing w:before="120" w:lineRule="auto" w:line="264"/>
        <w:numPr>
          <w:ilvl w:val="1"/>
          <w:numId w:val="31"/>
        </w:numPr>
      </w:pPr>
      <w:r/>
      <w:r>
        <w:rPr>
          <w:rFonts w:ascii="Arial MT" w:hAnsi="Arial MT" w:cs="Arial MT" w:eastAsia="Arial MT"/>
          <w:sz w:val="19"/>
        </w:rPr>
        <w:t>O fiscal acompanhará a execução do contrato, para que sejam cumpridas todas as condições estabelecidas, de modo a assegurar os melhores resultados para a Administração.</w:t>
      </w:r>
    </w:p>
    <w:p>
      <w:pPr>
        <w:jc w:val="both"/>
        <w:ind w:right="210"/>
        <w:spacing w:before="120" w:lineRule="auto" w:line="276"/>
        <w:numPr>
          <w:ilvl w:val="1"/>
          <w:numId w:val="31"/>
        </w:numPr>
      </w:pPr>
      <w:r/>
      <w:r>
        <w:rPr>
          <w:rFonts w:ascii="Arial MT" w:hAnsi="Arial MT" w:cs="Arial MT" w:eastAsia="Arial MT"/>
          <w:sz w:val="19"/>
        </w:rPr>
        <w:t>O fiscal anotará no histórico de gerenciamento do contrato todas as ocorrências relacionadas à execução, com a descrição do que for necessário para a regularização das faltas ou dos defeitos observados.</w:t>
      </w:r>
    </w:p>
    <w:p>
      <w:pPr>
        <w:jc w:val="both"/>
        <w:ind w:right="210"/>
        <w:spacing w:before="120" w:lineRule="auto" w:line="276"/>
        <w:numPr>
          <w:ilvl w:val="1"/>
          <w:numId w:val="31"/>
        </w:numPr>
      </w:pPr>
      <w:r/>
      <w:r>
        <w:rPr>
          <w:rFonts w:ascii="Arial MT" w:hAnsi="Arial MT" w:cs="Arial MT" w:eastAsia="Arial MT"/>
          <w:sz w:val="19"/>
        </w:rPr>
        <w:t>Identificada qualquer inexatidão ou irregularidade, o fiscal emitirá notificações para a correção da execução do contrato, determinando prazo para a correção.</w:t>
      </w:r>
    </w:p>
    <w:p>
      <w:pPr>
        <w:jc w:val="both"/>
        <w:ind w:right="210"/>
        <w:spacing w:before="120" w:lineRule="auto" w:line="276"/>
        <w:numPr>
          <w:ilvl w:val="1"/>
          <w:numId w:val="31"/>
        </w:numPr>
      </w:pPr>
      <w:r/>
      <w:r>
        <w:rPr>
          <w:rFonts w:ascii="Arial MT" w:hAnsi="Arial MT" w:cs="Arial MT" w:eastAsia="Arial MT"/>
          <w:sz w:val="19"/>
        </w:rPr>
        <w:t>O fiscal informará ao gestor do contato, em tempo hábil, a situação que demandar decisão ou adoção de medidas que ultrapassem sua competência, para que adote as medidas necessárias e saneadoras, se for o caso.</w:t>
      </w:r>
    </w:p>
    <w:p>
      <w:pPr>
        <w:jc w:val="both"/>
        <w:ind w:right="210"/>
        <w:spacing w:before="120" w:lineRule="auto" w:line="276"/>
        <w:numPr>
          <w:ilvl w:val="1"/>
          <w:numId w:val="31"/>
        </w:numPr>
      </w:pPr>
      <w:r/>
      <w:r>
        <w:rPr>
          <w:rFonts w:ascii="Arial MT" w:hAnsi="Arial MT" w:cs="Arial MT" w:eastAsia="Arial MT"/>
          <w:sz w:val="19"/>
        </w:rPr>
        <w:t>No caso de ocorrências que possam inviabilizar a execução do contrato nas datas aprazadas, o fiscal comunicará o fato imediatamente ao gestor.</w:t>
      </w:r>
    </w:p>
    <w:p>
      <w:pPr>
        <w:jc w:val="both"/>
        <w:ind w:right="210"/>
        <w:spacing w:before="120" w:lineRule="auto" w:line="264"/>
        <w:numPr>
          <w:ilvl w:val="1"/>
          <w:numId w:val="31"/>
        </w:numPr>
      </w:pPr>
      <w:r/>
      <w:r>
        <w:rPr>
          <w:rFonts w:ascii="Arial MT" w:hAnsi="Arial MT" w:cs="Arial MT" w:eastAsia="Arial MT"/>
          <w:sz w:val="19"/>
        </w:rPr>
        <w:t>O fiscal deverá comunicar ao gestor, em tempo hábil, o término do contrato sob sua responsabilidade, com vistas à renovação tempestiva ou à prorrogação contratual.</w:t>
      </w:r>
    </w:p>
    <w:p>
      <w:pPr>
        <w:jc w:val="both"/>
        <w:ind w:right="210"/>
        <w:spacing w:before="120" w:lineRule="auto" w:line="276"/>
        <w:numPr>
          <w:ilvl w:val="1"/>
          <w:numId w:val="31"/>
        </w:numPr>
      </w:pPr>
      <w:r/>
      <w:r>
        <w:rPr>
          <w:rFonts w:ascii="Arial MT" w:hAnsi="Arial MT" w:cs="Arial MT" w:eastAsia="Arial MT"/>
          <w:sz w:val="19"/>
        </w:rPr>
        <w:t>O fiscal verificará a manutenção das condições de habilitação da Contratada, acompanhará o empenho, o pagamento, as garantias, as glosas e a formalização de apostilamento e termos aditivos, solicitando quaisquer documentos comprobatórios pertinentes, caso necessário.</w:t>
      </w:r>
    </w:p>
    <w:p>
      <w:pPr>
        <w:jc w:val="both"/>
        <w:ind w:right="210"/>
        <w:spacing w:before="120" w:lineRule="auto" w:line="276"/>
        <w:numPr>
          <w:ilvl w:val="1"/>
          <w:numId w:val="31"/>
        </w:numPr>
      </w:pPr>
      <w:r/>
      <w:r>
        <w:rPr>
          <w:rFonts w:ascii="Arial MT" w:hAnsi="Arial MT" w:cs="Arial MT" w:eastAsia="Arial MT"/>
          <w:sz w:val="19"/>
        </w:rPr>
        <w:t>Caso ocorram descumprimento das obrigações contratuais, o fiscal atuará tempestivamente na solução do problema, reportando ao gestor do contrato para que tome as providências cabíveis, quando ultrapassar a sua competência.</w:t>
      </w:r>
    </w:p>
    <w:p>
      <w:pPr>
        <w:jc w:val="both"/>
        <w:ind w:right="210"/>
        <w:spacing w:before="120" w:lineRule="auto" w:line="276"/>
        <w:numPr>
          <w:ilvl w:val="1"/>
          <w:numId w:val="31"/>
        </w:numPr>
      </w:pPr>
      <w:r/>
      <w:r>
        <w:rPr>
          <w:rFonts w:ascii="Arial MT" w:hAnsi="Arial MT" w:cs="Arial MT" w:eastAsia="Arial MT"/>
          <w:sz w:val="19"/>
        </w:rPr>
        <w:t>O gestor coordenará a atualização do processo de acompanhamento e fiscalização do contrato, contendo todos os registros formais da execução no histórico de gerenciamento, a exemplo da ordem de serviço, do registro de ocorrências, das alterações e das prorrogações contratuais, elaborando relatório com vistas à verificação da necessidade de adequações para o atendimento da finalidade da administração.</w:t>
      </w:r>
    </w:p>
    <w:p>
      <w:pPr>
        <w:jc w:val="both"/>
        <w:ind w:right="210"/>
        <w:spacing w:before="120" w:lineRule="auto" w:line="276"/>
        <w:numPr>
          <w:ilvl w:val="1"/>
          <w:numId w:val="31"/>
        </w:numPr>
      </w:pPr>
      <w:r/>
      <w:r>
        <w:rPr>
          <w:rFonts w:ascii="Arial MT" w:hAnsi="Arial MT" w:cs="Arial MT" w:eastAsia="Arial MT"/>
          <w:sz w:val="19"/>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pPr>
        <w:jc w:val="both"/>
        <w:ind w:right="210"/>
        <w:spacing w:before="120" w:lineRule="auto" w:line="276"/>
        <w:numPr>
          <w:ilvl w:val="1"/>
          <w:numId w:val="31"/>
        </w:numPr>
      </w:pPr>
      <w:r/>
      <w:r>
        <w:rPr>
          <w:rFonts w:ascii="Arial MT" w:hAnsi="Arial MT" w:cs="Arial MT" w:eastAsia="Arial MT"/>
          <w:sz w:val="19"/>
        </w:rPr>
        <w:t>O gestor do contrato acompanhará os registros realizados pelos fiscais, de todas as ocorrências relacionadas à execução e as medidas adotadas, informando à autoridade superior, se for o caso, aquelas que ultrapassarem a sua competência.</w:t>
      </w:r>
    </w:p>
    <w:p>
      <w:pPr>
        <w:spacing w:before="15"/>
      </w:pPr>
      <w:r>
        <w:t/>
      </w:r>
    </w:p>
    <w:p>
      <w:pPr>
        <w:jc w:val="both"/>
        <w:ind w:right="210"/>
        <w:spacing w:lineRule="auto" w:line="276"/>
        <w:numPr>
          <w:ilvl w:val="1"/>
          <w:numId w:val="31"/>
        </w:numPr>
      </w:pPr>
      <w:r/>
      <w:r>
        <w:rPr>
          <w:rFonts w:ascii="Arial MT" w:hAnsi="Arial MT" w:cs="Arial MT" w:eastAsia="Arial MT"/>
          <w:sz w:val="19"/>
        </w:rPr>
        <w:t>O gestor do contrato emitirá documento comprobatório da avaliação realizada pelos fiscais, quanto ao cumprimento de obrigações assumidas pela Contratada, com menção ao seu desempenho na execução contratual, baseado nos indicadores objetivamente definidos e aferidos, e a eventuais penalidades aplicadas.</w:t>
      </w:r>
    </w:p>
    <w:p>
      <w:pPr>
        <w:jc w:val="both"/>
        <w:ind w:right="210"/>
        <w:spacing w:before="120" w:lineRule="auto" w:line="276"/>
        <w:numPr>
          <w:ilvl w:val="1"/>
          <w:numId w:val="31"/>
        </w:numPr>
      </w:pPr>
      <w:r/>
      <w:r>
        <w:rPr>
          <w:rFonts w:ascii="Arial MT" w:hAnsi="Arial MT" w:cs="Arial MT" w:eastAsia="Arial MT"/>
          <w:sz w:val="19"/>
        </w:rPr>
        <w:t>O gestor do contrato tomará providências para a formalização de processo administrativo de responsabilização para fins de aplicação de sanções, a ser conduzido pela comissão de que trata o art. 158 da Lei Federal n.º 14.133/2021, ou pelo agente ou pelo setor com competência para tal, conforme o caso.</w:t>
      </w:r>
    </w:p>
    <w:p>
      <w:pPr>
        <w:jc w:val="both"/>
        <w:ind w:right="210"/>
        <w:spacing w:before="120" w:lineRule="auto" w:line="276"/>
        <w:numPr>
          <w:ilvl w:val="1"/>
          <w:numId w:val="31"/>
        </w:numPr>
      </w:pPr>
      <w:r/>
      <w:r>
        <w:rPr>
          <w:rFonts w:ascii="Arial MT" w:hAnsi="Arial MT" w:cs="Arial MT" w:eastAsia="Arial MT"/>
          <w:sz w:val="19"/>
        </w:rPr>
        <w:t>O gestor do contrato deverá elaborar relatório final com informações sobre a consecução dos objetivos que tenham justificado a contratação e eventuais condutas a serem adotadas para o aprimoramento das atividades da Administração.</w:t>
      </w:r>
    </w:p>
    <w:p>
      <w:pPr>
        <w:spacing w:before="15"/>
      </w:pPr>
      <w:r>
        <w:drawing>
          <wp:inline distT="0" distB="0" distL="0" distR="0">
            <wp:extent cx="0" cy="0"/>
            <wp:effectExtent l="0" t="0" r="0" b="0"/>
            <wp:docPr id="64" name="Pic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4.emf"/>
                    <pic:cNvPicPr/>
                  </pic:nvPicPr>
                  <pic:blipFill>
                    <a:blip r:embed="prId63" cstate="print"/>
                    <a:stretch>
                      <a:fillRect/>
                    </a:stretch>
                  </pic:blipFill>
                  <pic:spPr>
                    <a:xfrm>
                      <a:off x="0" y="0"/>
                      <a:ext cx="0" cy="0"/>
                    </a:xfrm>
                    <a:prstGeom prst="rect">
                      <a:avLst/>
                    </a:prstGeom>
                  </pic:spPr>
                </pic:pic>
              </a:graphicData>
            </a:graphic>
          </wp:inline>
        </w:drawing>
      </w:r>
    </w:p>
    <w:p>
      <w:pPr>
        <w:spacing w:before="15"/>
      </w:pPr>
      <w:r>
        <w:t/>
      </w:r>
    </w:p>
    <w:p>
      <w:pPr>
        <w:spacing w:before="15"/>
      </w:pPr>
      <w:r>
        <w:drawing>
          <wp:inline distT="0" distB="0" distL="0" distR="0">
            <wp:extent cx="6838950" cy="209550"/>
            <wp:effectExtent l="0" t="0" r="0" b="0"/>
            <wp:docPr id="65" name="Pic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5.emf"/>
                    <pic:cNvPicPr/>
                  </pic:nvPicPr>
                  <pic:blipFill>
                    <a:blip r:embed="prId64" cstate="print"/>
                    <a:stretch>
                      <a:fillRect/>
                    </a:stretch>
                  </pic:blipFill>
                  <pic:spPr>
                    <a:xfrm>
                      <a:off x="0" y="0"/>
                      <a:ext cx="6838950" cy="209550"/>
                    </a:xfrm>
                    <a:prstGeom prst="rect">
                      <a:avLst/>
                    </a:prstGeom>
                  </pic:spPr>
                </pic:pic>
              </a:graphicData>
            </a:graphic>
          </wp:inline>
        </w:drawing>
      </w:r>
    </w:p>
    <w:p>
      <w:pPr>
        <w:jc w:val="both"/>
        <w:ind w:right="210"/>
        <w:spacing w:before="90" w:lineRule="auto" w:line="276"/>
        <w:numPr>
          <w:ilvl w:val="1"/>
          <w:numId w:val="3"/>
        </w:numPr>
      </w:pPr>
      <w:r/>
      <w:r>
        <w:rPr>
          <w:rFonts w:ascii="Arial MT" w:hAnsi="Arial MT" w:cs="Arial MT" w:eastAsia="Arial MT"/>
          <w:sz w:val="19"/>
        </w:rPr>
        <w:t>O pagamento será realizado por meio de ordem bancária, para crédito em banco, agência e conta-corrente, indicados pela Contratada.</w:t>
      </w:r>
    </w:p>
    <w:p>
      <w:pPr>
        <w:jc w:val="both"/>
        <w:spacing w:before="120"/>
        <w:tabs>
          <w:tab w:val="left" w:pos="930"/>
        </w:tabs>
        <w:numPr>
          <w:ilvl w:val="1"/>
          <w:numId w:val="3"/>
        </w:numPr>
      </w:pPr>
      <w:r/>
      <w:r>
        <w:rPr>
          <w:rFonts w:ascii="Arial MT" w:hAnsi="Arial MT" w:cs="Arial MT" w:eastAsia="Arial MT"/>
          <w:sz w:val="19"/>
        </w:rPr>
        <w:t>Será considerada data do pagamento o dia em que constar como emitida a ordem bancária para pagamento.</w:t>
      </w:r>
    </w:p>
    <w:p>
      <w:pPr>
        <w:jc w:val="both"/>
        <w:ind w:right="210"/>
        <w:spacing w:before="150" w:lineRule="auto" w:line="276"/>
        <w:tabs>
          <w:tab w:val="left" w:pos="930"/>
        </w:tabs>
        <w:numPr>
          <w:ilvl w:val="1"/>
          <w:numId w:val="3"/>
        </w:numPr>
      </w:pPr>
      <w:r/>
      <w:r>
        <w:rPr>
          <w:rFonts w:ascii="Arial MT" w:hAnsi="Arial MT" w:cs="Arial MT" w:eastAsia="Arial MT"/>
          <w:sz w:val="19"/>
        </w:rPr>
        <w:t>Recebida a Nota Fiscal ou documento de cobrança equivalente, correrá o prazo de 15</w:t>
      </w:r>
      <w:r>
        <w:rPr>
          <w:b/>
          <w:sz w:val="19"/>
        </w:rPr>
        <w:t xml:space="preserve"> (quinze) dias úteis </w:t>
      </w:r>
      <w:r>
        <w:rPr>
          <w:rFonts w:ascii="Arial MT" w:hAnsi="Arial MT" w:cs="Arial MT" w:eastAsia="Arial MT"/>
          <w:sz w:val="19"/>
        </w:rPr>
        <w:t>para fins de liquidação, na forma desta seção, prorrogáveis por igual período.</w:t>
      </w:r>
    </w:p>
    <w:p>
      <w:pPr>
        <w:jc w:val="both"/>
        <w:ind w:right="210"/>
        <w:spacing w:before="120" w:lineRule="auto" w:line="276"/>
        <w:tabs>
          <w:tab w:val="left" w:pos="1050"/>
        </w:tabs>
        <w:numPr>
          <w:ilvl w:val="2"/>
          <w:numId w:val="3"/>
        </w:numPr>
      </w:pPr>
      <w:r/>
      <w:r>
        <w:drawing>
          <wp:inline distT="0" distB="0" distL="0" distR="0">
            <wp:extent cx="0" cy="0"/>
            <wp:effectExtent l="0" t="0" r="0" b="0"/>
            <wp:docPr id="66" name="Pic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6.emf"/>
                    <pic:cNvPicPr/>
                  </pic:nvPicPr>
                  <pic:blipFill>
                    <a:blip r:embed="prId65" cstate="print"/>
                    <a:stretch>
                      <a:fillRect/>
                    </a:stretch>
                  </pic:blipFill>
                  <pic:spPr>
                    <a:xfrm>
                      <a:off x="0" y="0"/>
                      <a:ext cx="0" cy="0"/>
                    </a:xfrm>
                    <a:prstGeom prst="rect">
                      <a:avLst/>
                    </a:prstGeom>
                  </pic:spPr>
                </pic:pic>
              </a:graphicData>
            </a:graphic>
          </wp:inline>
        </w:drawing>
      </w:r>
      <w:r>
        <w:rPr>
          <w:rFonts w:ascii="Arial MT" w:hAnsi="Arial MT" w:cs="Arial MT" w:eastAsia="Arial MT"/>
          <w:sz w:val="19"/>
        </w:rPr>
        <w:t>O prazo de que trata o subitem anterior será reduzido à metade, mantendo-se a possibilidade de prorrogação, no caso de contratações decorrentes de despesas cujos valores não ultrapassem o limite de que trata o inciso II, do art. 75, da Lei nº 14.133/2021.</w:t>
      </w:r>
    </w:p>
    <w:p>
      <w:pPr>
        <w:jc w:val="both"/>
        <w:ind w:right="210"/>
        <w:spacing w:before="120" w:lineRule="auto" w:line="276"/>
        <w:numPr>
          <w:ilvl w:val="2"/>
          <w:numId w:val="3"/>
        </w:numPr>
      </w:pPr>
      <w:r/>
      <w:r>
        <w:rPr>
          <w:rFonts w:ascii="Arial MT" w:hAnsi="Arial MT" w:cs="Arial MT" w:eastAsia="Arial MT"/>
          <w:sz w:val="19"/>
        </w:rPr>
        <w:t xml:space="preserve">A nota fiscal ou instrumento de cobrança equivalente deverá ser obrigatoriamente acompanhado da comprovação da regularidade fiscal, mediante consulta aos sítios eletrônicos oficiais ou à documentação mencionada no </w:t>
      </w:r>
      <w:r>
        <w:rPr>
          <w:rFonts w:ascii="Arial MT" w:hAnsi="Arial MT" w:cs="Arial MT" w:eastAsia="Arial MT"/>
          <w:u w:val="single"/>
          <w:sz w:val="19"/>
        </w:rPr>
        <w:t>art. 68, da Lei Federal n.º 14.133/2021</w:t>
      </w:r>
      <w:r>
        <w:rPr>
          <w:rFonts w:ascii="Arial MT" w:hAnsi="Arial MT" w:cs="Arial MT" w:eastAsia="Arial MT"/>
          <w:sz w:val="19"/>
        </w:rPr>
        <w:t>.</w:t>
      </w:r>
    </w:p>
    <w:p>
      <w:pPr>
        <w:jc w:val="both"/>
        <w:ind w:right="210"/>
        <w:spacing w:before="120" w:lineRule="auto" w:line="276"/>
        <w:tabs>
          <w:tab w:val="left" w:pos="540"/>
        </w:tabs>
        <w:numPr>
          <w:ilvl w:val="1"/>
          <w:numId w:val="3"/>
        </w:numPr>
      </w:pPr>
      <w:r/>
      <w:r>
        <w:rPr>
          <w:rFonts w:ascii="Arial MT" w:hAnsi="Arial MT" w:cs="Arial MT" w:eastAsia="Arial MT"/>
          <w:sz w:val="19"/>
        </w:rPr>
        <w:t>Para fins de liquidação, o setor competente deverá verificar se a nota fiscal ou instrumento de cobrança equivalente apresentado expressa os elementos necessários e essenciais do documento, tais como:</w:t>
      </w:r>
    </w:p>
    <w:p>
      <w:pPr>
        <w:jc w:val="both"/>
        <w:spacing w:before="120"/>
        <w:numPr>
          <w:ilvl w:val="0"/>
          <w:numId w:val="36"/>
        </w:numPr>
      </w:pPr>
      <w:r/>
      <w:r>
        <w:rPr>
          <w:rFonts w:ascii="Arial MT" w:hAnsi="Arial MT" w:cs="Arial MT" w:eastAsia="Arial MT"/>
          <w:sz w:val="19"/>
        </w:rPr>
        <w:t>O prazo de validade;</w:t>
      </w:r>
    </w:p>
    <w:p>
      <w:pPr>
        <w:jc w:val="both"/>
        <w:spacing w:before="150"/>
        <w:tabs>
          <w:tab w:val="left" w:pos="1020"/>
        </w:tabs>
        <w:numPr>
          <w:ilvl w:val="0"/>
          <w:numId w:val="36"/>
        </w:numPr>
      </w:pPr>
      <w:r/>
      <w:r>
        <w:rPr>
          <w:rFonts w:ascii="Arial MT" w:hAnsi="Arial MT" w:cs="Arial MT" w:eastAsia="Arial MT"/>
          <w:sz w:val="19"/>
        </w:rPr>
        <w:t>A data da emissão;</w:t>
      </w:r>
    </w:p>
    <w:p>
      <w:pPr>
        <w:spacing w:before="150"/>
        <w:numPr>
          <w:ilvl w:val="0"/>
          <w:numId w:val="36"/>
        </w:numPr>
      </w:pPr>
      <w:r/>
      <w:r>
        <w:rPr>
          <w:rFonts w:ascii="Arial MT" w:hAnsi="Arial MT" w:cs="Arial MT" w:eastAsia="Arial MT"/>
          <w:sz w:val="19"/>
        </w:rPr>
        <w:t>Os dados do contrato e do órgão contratante;</w:t>
      </w:r>
    </w:p>
    <w:p>
      <w:pPr>
        <w:spacing w:before="150"/>
        <w:tabs>
          <w:tab w:val="left" w:pos="1020"/>
        </w:tabs>
        <w:numPr>
          <w:ilvl w:val="0"/>
          <w:numId w:val="36"/>
        </w:numPr>
      </w:pPr>
      <w:r/>
      <w:r>
        <w:rPr>
          <w:rFonts w:ascii="Arial MT" w:hAnsi="Arial MT" w:cs="Arial MT" w:eastAsia="Arial MT"/>
          <w:sz w:val="19"/>
        </w:rPr>
        <w:t>O período respectivo de execução do contrato;</w:t>
      </w:r>
    </w:p>
    <w:p>
      <w:pPr>
        <w:spacing w:before="150"/>
        <w:numPr>
          <w:ilvl w:val="0"/>
          <w:numId w:val="36"/>
        </w:numPr>
      </w:pPr>
      <w:r/>
      <w:r>
        <w:rPr>
          <w:rFonts w:ascii="Arial MT" w:hAnsi="Arial MT" w:cs="Arial MT" w:eastAsia="Arial MT"/>
          <w:sz w:val="19"/>
        </w:rPr>
        <w:t>O valor a pagar; e</w:t>
      </w:r>
    </w:p>
    <w:p>
      <w:pPr>
        <w:spacing w:before="150"/>
        <w:numPr>
          <w:ilvl w:val="0"/>
          <w:numId w:val="36"/>
        </w:numPr>
      </w:pPr>
      <w:r/>
      <w:r>
        <w:rPr>
          <w:rFonts w:ascii="Arial MT" w:hAnsi="Arial MT" w:cs="Arial MT" w:eastAsia="Arial MT"/>
          <w:sz w:val="19"/>
        </w:rPr>
        <w:t>Eventual destaque do valor de retenções tributárias cabíveis.</w:t>
      </w:r>
    </w:p>
    <w:p>
      <w:pPr>
        <w:jc w:val="both"/>
        <w:ind w:right="210"/>
        <w:spacing w:before="150" w:lineRule="auto" w:line="276"/>
        <w:numPr>
          <w:ilvl w:val="2"/>
          <w:numId w:val="3"/>
        </w:numPr>
      </w:pPr>
      <w:r/>
      <w:r>
        <w:rPr>
          <w:rFonts w:ascii="Arial MT" w:hAnsi="Arial MT" w:cs="Arial MT" w:eastAsia="Arial MT"/>
          <w:sz w:val="19"/>
        </w:rPr>
        <w:t>Havendo erro na apresentação da nota fiscal ou instrumento de cobrança equivalente, ou circunstância que impeça a liquidação da despesa, esta ficará sobrestada até que a Contratada providencie as medidas saneadoras, reiniciando-se o prazo após a comprovação da regularização da situação, sem ônus ao contratante.</w:t>
      </w:r>
    </w:p>
    <w:p>
      <w:pPr>
        <w:jc w:val="both"/>
        <w:ind w:right="210"/>
        <w:spacing w:before="105" w:lineRule="auto" w:line="276"/>
        <w:numPr>
          <w:ilvl w:val="1"/>
          <w:numId w:val="3"/>
        </w:numPr>
      </w:pPr>
      <w:r/>
      <w:r>
        <w:rPr>
          <w:rFonts w:ascii="Arial MT" w:hAnsi="Arial MT" w:cs="Arial MT" w:eastAsia="Arial MT"/>
          <w:u w:val="single"/>
          <w:sz w:val="19"/>
        </w:rPr>
        <w:t xml:space="preserve">A </w:t>
      </w:r>
      <w:r>
        <w:rPr>
          <w:rFonts w:ascii="Arial MT" w:hAnsi="Arial MT" w:cs="Arial MT" w:eastAsia="Arial MT"/>
          <w:sz w:val="19"/>
        </w:rPr>
        <w:t>Administração deverá verificar a manutenção das condições de habilitação exigidas no edital de pregão eletrônico e identificar possível razão que impeça a participação em licitação/contratação pública, no âmbito do órgão ou entidade, que implique proibição de contratar com o Poder Público, bem como ocorrências impeditivas indiretas.</w:t>
      </w:r>
    </w:p>
    <w:p>
      <w:pPr>
        <w:jc w:val="both"/>
        <w:ind w:right="210"/>
        <w:spacing w:before="120" w:lineRule="auto" w:line="276"/>
        <w:numPr>
          <w:ilvl w:val="2"/>
          <w:numId w:val="3"/>
        </w:numPr>
      </w:pPr>
      <w:r/>
      <w:r>
        <w:rPr>
          <w:rFonts w:ascii="Arial MT" w:hAnsi="Arial MT" w:cs="Arial MT" w:eastAsia="Arial MT"/>
          <w:sz w:val="19"/>
        </w:rPr>
        <w:t xml:space="preserve">Constatando-se uma situação de irregularidade da Contratada, será providenciada sua notificação, por escrito, para que, no prazo de </w:t>
      </w:r>
      <w:r>
        <w:rPr>
          <w:b/>
          <w:sz w:val="19"/>
        </w:rPr>
        <w:t>5 (cinco) dias úteis</w:t>
      </w:r>
      <w:r>
        <w:rPr>
          <w:rFonts w:ascii="Arial MT" w:hAnsi="Arial MT" w:cs="Arial MT" w:eastAsia="Arial MT"/>
          <w:sz w:val="19"/>
        </w:rPr>
        <w:t>, regularize sua situação ou, no mesmo prazo, apresente sua defesa. O prazo poderá ser prorrogado uma vez, por igual período, a critério do contratante.</w:t>
      </w:r>
    </w:p>
    <w:p>
      <w:pPr>
        <w:jc w:val="both"/>
        <w:ind w:right="210"/>
        <w:spacing w:before="120" w:lineRule="auto" w:line="276"/>
        <w:numPr>
          <w:ilvl w:val="2"/>
          <w:numId w:val="3"/>
        </w:numPr>
      </w:pPr>
      <w:r/>
      <w:r>
        <w:rPr>
          <w:rFonts w:ascii="Arial MT" w:hAnsi="Arial MT" w:cs="Arial MT" w:eastAsia="Arial MT"/>
          <w:sz w:val="19"/>
        </w:rPr>
        <w:t>Não havendo regularização ou sendo a defesa considerada improcedente, o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pPr>
        <w:spacing w:before="15"/>
      </w:pPr>
      <w:r>
        <w:t/>
      </w:r>
    </w:p>
    <w:p>
      <w:pPr>
        <w:jc w:val="both"/>
        <w:ind w:right="210"/>
        <w:spacing w:lineRule="auto" w:line="264"/>
        <w:numPr>
          <w:ilvl w:val="2"/>
          <w:numId w:val="3"/>
        </w:numPr>
      </w:pPr>
      <w:r/>
      <w:r>
        <w:rPr>
          <w:rFonts w:ascii="Arial MT" w:hAnsi="Arial MT" w:cs="Arial MT" w:eastAsia="Arial MT"/>
          <w:sz w:val="19"/>
        </w:rPr>
        <w:t>Persistindo a irregularidade, o contratante deverá adotar as medidas necessárias à rescisão contratual nos autos do processo administrativo correspondente, assegurada à Contratada a ampla defesa.</w:t>
      </w:r>
    </w:p>
    <w:p>
      <w:pPr>
        <w:jc w:val="both"/>
        <w:ind w:right="210"/>
        <w:spacing w:before="120" w:lineRule="auto" w:line="276"/>
        <w:numPr>
          <w:ilvl w:val="2"/>
          <w:numId w:val="3"/>
        </w:numPr>
      </w:pPr>
      <w:r/>
      <w:r>
        <w:rPr>
          <w:rFonts w:ascii="Arial MT" w:hAnsi="Arial MT" w:cs="Arial MT" w:eastAsia="Arial MT"/>
          <w:sz w:val="19"/>
        </w:rPr>
        <w:t>Havendo a efetiva execução do objeto, os pagamentos serão realizados normalmente, até que se decida pela rescisão do contrato, caso a Contratada não regularize sua situação.</w:t>
      </w:r>
    </w:p>
    <w:p>
      <w:pPr>
        <w:jc w:val="both"/>
        <w:ind w:right="210"/>
        <w:spacing w:before="120" w:lineRule="auto" w:line="276"/>
        <w:tabs>
          <w:tab w:val="left" w:pos="930"/>
        </w:tabs>
        <w:numPr>
          <w:ilvl w:val="1"/>
          <w:numId w:val="3"/>
        </w:numPr>
      </w:pPr>
      <w:r/>
      <w:r>
        <w:rPr>
          <w:rFonts w:ascii="Arial MT" w:hAnsi="Arial MT" w:cs="Arial MT" w:eastAsia="Arial MT"/>
          <w:sz w:val="19"/>
        </w:rPr>
        <w:t>Quando do pagamento, será efetuada a retenção tributária prevista na legislação aplicável; independentemente do percentual de tributo inserido na planilha, quando houver, serão retidos na fonte, quando da realização do pagamento, os percentuais estabelecidos na legislação vigente</w:t>
      </w:r>
    </w:p>
    <w:p>
      <w:pPr>
        <w:jc w:val="both"/>
        <w:ind w:right="210"/>
        <w:spacing w:before="120" w:lineRule="auto" w:line="276"/>
        <w:tabs>
          <w:tab w:val="left" w:pos="930"/>
        </w:tabs>
        <w:numPr>
          <w:ilvl w:val="1"/>
          <w:numId w:val="3"/>
        </w:numPr>
      </w:pPr>
      <w:r/>
      <w:r>
        <w:rPr>
          <w:rFonts w:ascii="Arial MT" w:hAnsi="Arial MT" w:cs="Arial MT" w:eastAsia="Arial MT"/>
          <w:sz w:val="19"/>
        </w:rPr>
        <w:t xml:space="preserve">A Contratada regularmente optante pelo Simples Nacional, nos termos da </w:t>
      </w:r>
      <w:r>
        <w:rPr>
          <w:rFonts w:ascii="Arial MT" w:hAnsi="Arial MT" w:cs="Arial MT" w:eastAsia="Arial MT"/>
          <w:u w:val="single"/>
          <w:sz w:val="19"/>
        </w:rPr>
        <w:t>Lei Complementar n.º 123/2006</w:t>
      </w:r>
      <w:r>
        <w:rPr>
          <w:rFonts w:ascii="Arial MT" w:hAnsi="Arial MT" w:cs="Arial MT" w:eastAsia="Arial MT"/>
          <w:sz w:val="19"/>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pPr>
        <w:jc w:val="both"/>
        <w:spacing w:before="120"/>
        <w:numPr>
          <w:ilvl w:val="1"/>
          <w:numId w:val="3"/>
        </w:numPr>
      </w:pPr>
      <w:r/>
      <w:r>
        <w:rPr>
          <w:rFonts w:ascii="Arial MT" w:hAnsi="Arial MT" w:cs="Arial MT" w:eastAsia="Arial MT"/>
          <w:sz w:val="19"/>
        </w:rPr>
        <w:t xml:space="preserve">O pagamento será efetuado no prazo de até </w:t>
      </w:r>
      <w:r>
        <w:rPr>
          <w:b/>
          <w:sz w:val="19"/>
        </w:rPr>
        <w:t>30 (trinta) dias, após entrega.</w:t>
      </w:r>
    </w:p>
    <w:p>
      <w:pPr>
        <w:jc w:val="both"/>
        <w:ind w:right="210"/>
        <w:spacing w:before="150" w:lineRule="auto" w:line="276"/>
        <w:numPr>
          <w:ilvl w:val="2"/>
          <w:numId w:val="3"/>
        </w:numPr>
      </w:pPr>
      <w:r/>
      <w:r>
        <w:rPr>
          <w:rFonts w:ascii="Arial MT" w:hAnsi="Arial MT" w:cs="Arial MT" w:eastAsia="Arial MT"/>
          <w:sz w:val="19"/>
        </w:rPr>
        <w:t>No caso de atraso pelo Contratante, os valores devidos à Contratada serão atualizados monetariamente entre o termo final do prazo de pagamento até a data de sua efetiva realização, mediante aplicação do índice de correção monetária.</w:t>
      </w:r>
    </w:p>
    <w:p>
      <w:pPr>
        <w:spacing w:before="15"/>
      </w:pPr>
      <w:r>
        <w:drawing>
          <wp:inline distT="0" distB="0" distL="0" distR="0">
            <wp:extent cx="0" cy="0"/>
            <wp:effectExtent l="0" t="0" r="0" b="0"/>
            <wp:docPr id="67" name="Pic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7.emf"/>
                    <pic:cNvPicPr/>
                  </pic:nvPicPr>
                  <pic:blipFill>
                    <a:blip r:embed="prId66" cstate="print"/>
                    <a:stretch>
                      <a:fillRect/>
                    </a:stretch>
                  </pic:blipFill>
                  <pic:spPr>
                    <a:xfrm>
                      <a:off x="0" y="0"/>
                      <a:ext cx="0" cy="0"/>
                    </a:xfrm>
                    <a:prstGeom prst="rect">
                      <a:avLst/>
                    </a:prstGeom>
                  </pic:spPr>
                </pic:pic>
              </a:graphicData>
            </a:graphic>
          </wp:inline>
        </w:drawing>
      </w:r>
    </w:p>
    <w:p>
      <w:pPr>
        <w:spacing w:before="15"/>
      </w:pPr>
      <w:r>
        <w:t/>
      </w:r>
    </w:p>
    <w:p>
      <w:pPr>
        <w:spacing w:before="90"/>
        <w:numPr>
          <w:ilvl w:val="1"/>
          <w:numId w:val="46"/>
        </w:numPr>
      </w:pPr>
      <w:r/>
      <w:r>
        <w:rPr>
          <w:rFonts w:ascii="Arial MT" w:hAnsi="Arial MT" w:cs="Arial MT" w:eastAsia="Arial MT"/>
          <w:sz w:val="19"/>
        </w:rPr>
        <w:t>As despesas decorrentes da presente contratação correrão à conta das seguintes Dotações Orçamentárias:</w:t>
      </w:r>
    </w:p>
    <w:p>
      <w:pPr>
        <w:ind w:left="480"/>
        <w:spacing w:before="90"/>
      </w:pPr>
      <w:r>
        <w:t/>
      </w:r>
    </w:p>
    <w:tbl>
      <w:tblPr>
        <w:tblW w:w="4500" w:type="pct"/>
        <w:jc w:val="center"/>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165" w:type="dxa"/>
        <w:shd w:val="clear" w:color="auto" w:fill="FFFFFF"/>
      </w:tblPr>
      <w:tblGrid>
        <w:gridCol w:w="975"/>
        <w:gridCol w:w="975"/>
        <w:gridCol w:w="3270"/>
        <w:gridCol w:w="975"/>
        <w:gridCol w:w="1755"/>
        <w:gridCol w:w="1740"/>
      </w:tblGrid>
      <w:tr>
        <w:tc>
          <w:tcPr>
            <w:gridSpan w:val="6"/>
            <w:shd w:val="clear" w:color="auto" w:fill="FFFFFF"/>
          </w:tcPr>
          <w:p>
            <w:r>
              <w:rPr>
                <w:sz w:val="16"/>
              </w:rPr>
              <w:t>Dotações</w:t>
            </w:r>
          </w:p>
        </w:tc>
      </w:tr>
      <w:tr>
        <w:tc>
          <w:tcPr>
            <w:tcW w:w="500" w:type="pct"/>
            <w:shd w:val="clear" w:color="auto" w:fill="C0C0C0"/>
          </w:tcPr>
          <w:p>
            <w:r>
              <w:rPr>
                <w:sz w:val="16"/>
              </w:rPr>
              <w:t>Exercício da despesa</w:t>
            </w:r>
          </w:p>
        </w:tc>
        <w:tc>
          <w:tcPr>
            <w:tcW w:w="500" w:type="pct"/>
            <w:shd w:val="clear" w:color="auto" w:fill="C0C0C0"/>
          </w:tcPr>
          <w:p>
            <w:r>
              <w:rPr>
                <w:sz w:val="16"/>
              </w:rPr>
              <w:t>Conta da despesa</w:t>
            </w:r>
          </w:p>
        </w:tc>
        <w:tc>
          <w:tcPr>
            <w:tcW w:w="1700" w:type="pct"/>
            <w:shd w:val="clear" w:color="auto" w:fill="C0C0C0"/>
          </w:tcPr>
          <w:p>
            <w:r>
              <w:rPr>
                <w:sz w:val="16"/>
              </w:rPr>
              <w:t>Funcional programática</w:t>
            </w:r>
          </w:p>
        </w:tc>
        <w:tc>
          <w:tcPr>
            <w:tcW w:w="500" w:type="pct"/>
            <w:shd w:val="clear" w:color="auto" w:fill="C0C0C0"/>
          </w:tcPr>
          <w:p>
            <w:r>
              <w:rPr>
                <w:sz w:val="16"/>
              </w:rPr>
              <w:t>Fonte de recurso</w:t>
            </w:r>
          </w:p>
        </w:tc>
        <w:tc>
          <w:tcPr>
            <w:tcW w:w="900" w:type="pct"/>
            <w:shd w:val="clear" w:color="auto" w:fill="C0C0C0"/>
          </w:tcPr>
          <w:p>
            <w:r>
              <w:rPr>
                <w:sz w:val="16"/>
              </w:rPr>
              <w:t>Natureza da despesa</w:t>
            </w:r>
          </w:p>
        </w:tc>
        <w:tc>
          <w:tcPr>
            <w:tcW w:w="900" w:type="pct"/>
            <w:shd w:val="clear" w:color="auto" w:fill="C0C0C0"/>
          </w:tcPr>
          <w:p>
            <w:r>
              <w:rPr>
                <w:sz w:val="16"/>
              </w:rPr>
              <w:t>Grupo da fonte</w:t>
            </w:r>
          </w:p>
        </w:tc>
      </w:tr>
      <w:tr>
        <w:tc>
          <w:tcPr>
            <w:shd w:val="clear" w:color="auto" w:fill="FFFFFF"/>
          </w:tcPr>
          <w:p>
            <w:r>
              <w:rPr>
                <w:sz w:val="16"/>
              </w:rPr>
              <w:t>2024</w:t>
            </w:r>
          </w:p>
        </w:tc>
        <w:tc>
          <w:tcPr>
            <w:shd w:val="clear" w:color="auto" w:fill="FFFFFF"/>
          </w:tcPr>
          <w:p>
            <w:r>
              <w:rPr>
                <w:sz w:val="16"/>
              </w:rPr>
              <w:t>1590</w:t>
            </w:r>
          </w:p>
        </w:tc>
        <w:tc>
          <w:tcPr>
            <w:shd w:val="clear" w:color="auto" w:fill="FFFFFF"/>
          </w:tcPr>
          <w:p>
            <w:r>
              <w:rPr>
                <w:sz w:val="16"/>
              </w:rPr>
              <w:t>07.002.08.244.0005.2044</w:t>
            </w:r>
          </w:p>
        </w:tc>
        <w:tc>
          <w:tcPr>
            <w:shd w:val="clear" w:color="auto" w:fill="FFFFFF"/>
          </w:tcPr>
          <w:p>
            <w:r>
              <w:rPr>
                <w:sz w:val="16"/>
              </w:rPr>
              <w:t>0</w:t>
            </w:r>
          </w:p>
        </w:tc>
        <w:tc>
          <w:tcPr>
            <w:shd w:val="clear" w:color="auto" w:fill="FFFFFF"/>
          </w:tcPr>
          <w:p>
            <w:r>
              <w:rPr>
                <w:sz w:val="16"/>
              </w:rPr>
              <w:t>3.3.90.32.00.00</w:t>
            </w:r>
          </w:p>
        </w:tc>
        <w:tc>
          <w:tcPr>
            <w:shd w:val="clear" w:color="auto" w:fill="FFFFFF"/>
          </w:tcPr>
          <w:p>
            <w:r>
              <w:rPr>
                <w:sz w:val="16"/>
              </w:rPr>
              <w:t>Do Exercício</w:t>
            </w:r>
          </w:p>
        </w:tc>
      </w:tr>
      <w:tr>
        <w:tc>
          <w:tcPr>
            <w:shd w:val="clear" w:color="auto" w:fill="FFFFFF"/>
          </w:tcPr>
          <w:p>
            <w:r>
              <w:rPr>
                <w:sz w:val="16"/>
              </w:rPr>
              <w:t>2024</w:t>
            </w:r>
          </w:p>
        </w:tc>
        <w:tc>
          <w:tcPr>
            <w:shd w:val="clear" w:color="auto" w:fill="FFFFFF"/>
          </w:tcPr>
          <w:p>
            <w:r>
              <w:rPr>
                <w:sz w:val="16"/>
              </w:rPr>
              <w:t>1940</w:t>
            </w:r>
          </w:p>
        </w:tc>
        <w:tc>
          <w:tcPr>
            <w:shd w:val="clear" w:color="auto" w:fill="FFFFFF"/>
          </w:tcPr>
          <w:p>
            <w:r>
              <w:rPr>
                <w:sz w:val="16"/>
              </w:rPr>
              <w:t>07.003.08.244.0006.2050</w:t>
            </w:r>
          </w:p>
        </w:tc>
        <w:tc>
          <w:tcPr>
            <w:shd w:val="clear" w:color="auto" w:fill="FFFFFF"/>
          </w:tcPr>
          <w:p>
            <w:r>
              <w:rPr>
                <w:sz w:val="16"/>
              </w:rPr>
              <w:t>0</w:t>
            </w:r>
          </w:p>
        </w:tc>
        <w:tc>
          <w:tcPr>
            <w:shd w:val="clear" w:color="auto" w:fill="FFFFFF"/>
          </w:tcPr>
          <w:p>
            <w:r>
              <w:rPr>
                <w:sz w:val="16"/>
              </w:rPr>
              <w:t>3.3.90.32.00.00</w:t>
            </w:r>
          </w:p>
        </w:tc>
        <w:tc>
          <w:tcPr>
            <w:shd w:val="clear" w:color="auto" w:fill="FFFFFF"/>
          </w:tcPr>
          <w:p>
            <w:r>
              <w:rPr>
                <w:sz w:val="16"/>
              </w:rPr>
              <w:t>Do Exercício</w:t>
            </w:r>
          </w:p>
        </w:tc>
      </w:tr>
      <w:tr>
        <w:tc>
          <w:tcPr>
            <w:shd w:val="clear" w:color="auto" w:fill="FFFFFF"/>
          </w:tcPr>
          <w:p>
            <w:r>
              <w:rPr>
                <w:sz w:val="16"/>
              </w:rPr>
              <w:t>2024</w:t>
            </w:r>
          </w:p>
        </w:tc>
        <w:tc>
          <w:tcPr>
            <w:shd w:val="clear" w:color="auto" w:fill="FFFFFF"/>
          </w:tcPr>
          <w:p>
            <w:r>
              <w:rPr>
                <w:sz w:val="16"/>
              </w:rPr>
              <w:t>1950</w:t>
            </w:r>
          </w:p>
        </w:tc>
        <w:tc>
          <w:tcPr>
            <w:shd w:val="clear" w:color="auto" w:fill="FFFFFF"/>
          </w:tcPr>
          <w:p>
            <w:r>
              <w:rPr>
                <w:sz w:val="16"/>
              </w:rPr>
              <w:t>07.003.08.244.0006.2050</w:t>
            </w:r>
          </w:p>
        </w:tc>
        <w:tc>
          <w:tcPr>
            <w:shd w:val="clear" w:color="auto" w:fill="FFFFFF"/>
          </w:tcPr>
          <w:p>
            <w:r>
              <w:rPr>
                <w:sz w:val="16"/>
              </w:rPr>
              <w:t>0</w:t>
            </w:r>
          </w:p>
        </w:tc>
        <w:tc>
          <w:tcPr>
            <w:shd w:val="clear" w:color="auto" w:fill="FFFFFF"/>
          </w:tcPr>
          <w:p>
            <w:r>
              <w:rPr>
                <w:sz w:val="16"/>
              </w:rPr>
              <w:t>3.3.90.33.00.00</w:t>
            </w:r>
          </w:p>
        </w:tc>
        <w:tc>
          <w:tcPr>
            <w:shd w:val="clear" w:color="auto" w:fill="FFFFFF"/>
          </w:tcPr>
          <w:p>
            <w:r>
              <w:rPr>
                <w:sz w:val="16"/>
              </w:rPr>
              <w:t>Do Exercício</w:t>
            </w:r>
          </w:p>
        </w:tc>
      </w:tr>
    </w:tbl>
    <w:p>
      <w:pPr>
        <w:jc w:val="center"/>
        <w:outlineLvl w:val="1"/>
        <w:ind w:left="165"/>
        <w:spacing w:before="30"/>
      </w:pPr>
      <w:r>
        <w:rPr>
          <w:b/>
          <w:sz w:val="19"/>
        </w:rPr>
        <w:t/>
      </w:r>
    </w:p>
    <w:p>
      <w:pPr>
        <w:widowControl/>
      </w:pPr>
      <w:r>
        <w:t/>
      </w:r>
    </w:p>
    <w:p>
      <w:pPr>
        <w:widowControl/>
      </w:pPr>
      <w:r>
        <w:drawing>
          <wp:inline distT="0" distB="0" distL="0" distR="0">
            <wp:extent cx="6858000" cy="200025"/>
            <wp:effectExtent l="0" t="0" r="0" b="0"/>
            <wp:docPr id="68" name="Pic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8.emf"/>
                    <pic:cNvPicPr/>
                  </pic:nvPicPr>
                  <pic:blipFill>
                    <a:blip r:embed="prId67" cstate="print"/>
                    <a:stretch>
                      <a:fillRect/>
                    </a:stretch>
                  </pic:blipFill>
                  <pic:spPr>
                    <a:xfrm>
                      <a:off x="0" y="0"/>
                      <a:ext cx="6858000" cy="200025"/>
                    </a:xfrm>
                    <a:prstGeom prst="rect">
                      <a:avLst/>
                    </a:prstGeom>
                  </pic:spPr>
                </pic:pic>
              </a:graphicData>
            </a:graphic>
          </wp:inline>
        </w:drawing>
      </w:r>
    </w:p>
    <w:p>
      <w:pPr>
        <w:jc w:val="both"/>
        <w:outlineLvl w:val="1"/>
        <w:ind w:left="165"/>
      </w:pPr>
      <w:r>
        <w:t/>
      </w:r>
    </w:p>
    <w:p>
      <w:pPr>
        <w:jc w:val="both"/>
        <w:outlineLvl w:val="1"/>
        <w:ind w:left="165"/>
      </w:pPr>
      <w:r>
        <w:rPr>
          <w:b/>
          <w:sz w:val="18"/>
        </w:rPr>
        <w:t>8.1 Habilitação Jurídica:</w:t>
      </w:r>
    </w:p>
    <w:p>
      <w:pPr>
        <w:jc w:val="both"/>
        <w:spacing w:before="150"/>
        <w:numPr>
          <w:ilvl w:val="2"/>
          <w:numId w:val="50"/>
        </w:numPr>
      </w:pPr>
      <w:r/>
      <w:r>
        <w:rPr>
          <w:sz w:val="18"/>
        </w:rPr>
        <w:t xml:space="preserve">Para </w:t>
      </w:r>
      <w:r>
        <w:rPr>
          <w:b/>
          <w:sz w:val="18"/>
        </w:rPr>
        <w:t>Empresário Individual</w:t>
      </w:r>
      <w:r>
        <w:rPr>
          <w:sz w:val="18"/>
        </w:rPr>
        <w:t>: Registro Comercial, a cargo da Junta Comercial da respectiva sede;</w:t>
      </w:r>
    </w:p>
    <w:p>
      <w:pPr>
        <w:jc w:val="both"/>
        <w:ind w:right="210"/>
        <w:spacing w:before="150" w:lineRule="auto" w:line="276"/>
        <w:tabs>
          <w:tab w:val="left" w:pos="1035"/>
        </w:tabs>
        <w:numPr>
          <w:ilvl w:val="2"/>
          <w:numId w:val="50"/>
        </w:numPr>
      </w:pPr>
      <w:r/>
      <w:r>
        <w:rPr>
          <w:sz w:val="18"/>
        </w:rPr>
        <w:t xml:space="preserve">Para </w:t>
      </w:r>
      <w:r>
        <w:rPr>
          <w:b/>
          <w:sz w:val="18"/>
        </w:rPr>
        <w:t>Microempreendedor Individual – MEI</w:t>
      </w:r>
      <w:r>
        <w:rPr>
          <w:sz w:val="18"/>
        </w:rPr>
        <w:t>: Certificado da Condição de Microempreendedor Individual – CCMEI, cuja aceitação ficará condicionada à verificação da autenticidade no sítio www.portaldoempreendedor.gov.br;</w:t>
      </w:r>
    </w:p>
    <w:p>
      <w:pPr>
        <w:jc w:val="both"/>
        <w:ind w:right="210"/>
        <w:spacing w:before="105" w:lineRule="auto" w:line="276"/>
        <w:tabs>
          <w:tab w:val="left" w:pos="1020"/>
        </w:tabs>
        <w:numPr>
          <w:ilvl w:val="2"/>
          <w:numId w:val="50"/>
        </w:numPr>
      </w:pPr>
      <w:r/>
      <w:r>
        <w:rPr>
          <w:sz w:val="18"/>
        </w:rPr>
        <w:t xml:space="preserve">Para </w:t>
      </w:r>
      <w:r>
        <w:rPr>
          <w:b/>
          <w:sz w:val="18"/>
        </w:rPr>
        <w:t>Sociedade Cooperativa</w:t>
      </w:r>
      <w:r>
        <w:rPr>
          <w:sz w:val="18"/>
        </w:rPr>
        <w:t>: Ata de fundação e Estatuto social em vigor, com a ata da assembleia que o aprovou, devidamente arquivado na Junta Comercial ou inscrito no Registro Civil das Pessoas Jurídicas da respectiva sede, bem como o registro de que trata o art. 107 da Lei nº 5.764, de 1971;</w:t>
      </w:r>
    </w:p>
    <w:p>
      <w:pPr>
        <w:jc w:val="both"/>
        <w:spacing w:before="120"/>
        <w:tabs>
          <w:tab w:val="left" w:pos="1020"/>
        </w:tabs>
        <w:numPr>
          <w:ilvl w:val="2"/>
          <w:numId w:val="50"/>
        </w:numPr>
      </w:pPr>
      <w:r/>
      <w:r>
        <w:rPr>
          <w:sz w:val="18"/>
        </w:rPr>
        <w:t xml:space="preserve">Para </w:t>
      </w:r>
      <w:r>
        <w:rPr>
          <w:b/>
          <w:sz w:val="18"/>
        </w:rPr>
        <w:t>Sociedades Civis</w:t>
      </w:r>
      <w:r>
        <w:rPr>
          <w:sz w:val="18"/>
        </w:rPr>
        <w:t>: Ato Constitutivo, acompanhado de prova de diretoria em exercício;</w:t>
      </w:r>
    </w:p>
    <w:p>
      <w:pPr>
        <w:jc w:val="both"/>
        <w:ind w:right="210"/>
        <w:spacing w:before="150" w:lineRule="auto" w:line="276"/>
        <w:tabs>
          <w:tab w:val="left" w:pos="1065"/>
        </w:tabs>
        <w:numPr>
          <w:ilvl w:val="2"/>
          <w:numId w:val="50"/>
        </w:numPr>
      </w:pPr>
      <w:r/>
      <w:r>
        <w:rPr>
          <w:sz w:val="18"/>
        </w:rPr>
        <w:t xml:space="preserve">Para </w:t>
      </w:r>
      <w:r>
        <w:rPr>
          <w:b/>
          <w:sz w:val="18"/>
        </w:rPr>
        <w:t>Sociedades Comerciais</w:t>
      </w:r>
      <w:r>
        <w:rPr>
          <w:sz w:val="18"/>
        </w:rPr>
        <w:t>: Ato Constitutivo, Estatuto ou Contrato Social em vigor, devidamente registrado na Junta Comercial (cujo ramo de atividade seja compatível com o objeto licitado);</w:t>
      </w:r>
    </w:p>
    <w:p>
      <w:pPr>
        <w:jc w:val="both"/>
        <w:ind w:right="210"/>
        <w:spacing w:before="120" w:lineRule="auto" w:line="276"/>
        <w:numPr>
          <w:ilvl w:val="2"/>
          <w:numId w:val="50"/>
        </w:numPr>
      </w:pPr>
      <w:r/>
      <w:r>
        <w:rPr>
          <w:sz w:val="18"/>
        </w:rPr>
        <w:t xml:space="preserve">Para </w:t>
      </w:r>
      <w:r>
        <w:rPr>
          <w:b/>
          <w:sz w:val="18"/>
        </w:rPr>
        <w:t>Sociedades por Ações</w:t>
      </w:r>
      <w:r>
        <w:rPr>
          <w:sz w:val="18"/>
        </w:rPr>
        <w:t>: Ato Constitutivo, Estatuto ou Contrato Social em vigor, acompanhado de documentos de eleição de seus administradores;</w:t>
      </w:r>
    </w:p>
    <w:p>
      <w:pPr>
        <w:jc w:val="both"/>
        <w:ind w:left="495" w:right="210"/>
        <w:spacing w:before="120" w:lineRule="auto" w:line="276"/>
      </w:pPr>
      <w:r>
        <w:rPr>
          <w:sz w:val="18"/>
        </w:rPr>
        <w:t>8.1.1 Nas hipóteses das alíneas “e” e “f”, caso seja apresentado o Contrato Social, este deverá estar acompanhado de todas as alterações ou da respectiva consolidação;</w:t>
      </w:r>
    </w:p>
    <w:p>
      <w:pPr>
        <w:jc w:val="both"/>
        <w:ind w:left="495" w:right="210"/>
        <w:spacing w:before="120" w:lineRule="auto" w:line="276"/>
      </w:pPr>
      <w:r>
        <w:rPr>
          <w:sz w:val="18"/>
        </w:rPr>
        <w:t>8.1.2 Os documentos de habilitação referidos neste subitem deverão explicitar o objeto social, que deverá ser compatível com o objeto desta contratação, segundo a tabela de classificação do CNAE, a sede do licitante e os responsáveis por sua administração que tenham poderes para assinar os documentos pelo participante.</w:t>
      </w:r>
    </w:p>
    <w:p>
      <w:pPr>
        <w:jc w:val="both"/>
        <w:outlineLvl w:val="1"/>
        <w:ind w:left="165"/>
        <w:spacing w:before="120"/>
      </w:pPr>
      <w:r>
        <w:rPr>
          <w:b/>
          <w:sz w:val="18"/>
        </w:rPr>
        <w:t>8.3 Regularidade Fiscal, Social e Trabalhista:</w:t>
      </w:r>
    </w:p>
    <w:p>
      <w:pPr>
        <w:jc w:val="both"/>
        <w:outlineLvl w:val="1"/>
        <w:ind w:left="1050" w:right="90" w:hanging="30"/>
        <w:spacing w:before="120"/>
      </w:pPr>
      <w:r>
        <w:rPr>
          <w:sz w:val="18"/>
        </w:rPr>
        <w:tab/>
      </w:r>
      <w:r>
        <w:rPr>
          <w:sz w:val="18"/>
        </w:rPr>
        <w:t xml:space="preserve">8.3.1 Prova de inscrição no </w:t>
      </w:r>
      <w:r>
        <w:rPr>
          <w:b/>
          <w:sz w:val="18"/>
        </w:rPr>
        <w:t xml:space="preserve">Cadastro Nacional de Pessoa Jurídica </w:t>
      </w:r>
      <w:r>
        <w:rPr>
          <w:sz w:val="18"/>
        </w:rPr>
        <w:t>(CNPJ);</w:t>
      </w:r>
    </w:p>
    <w:p>
      <w:pPr>
        <w:jc w:val="both"/>
        <w:outlineLvl w:val="1"/>
        <w:ind w:left="1050" w:right="90" w:hanging="30"/>
        <w:spacing w:before="120"/>
      </w:pPr>
      <w:r>
        <w:rPr>
          <w:sz w:val="18"/>
        </w:rPr>
        <w:tab/>
      </w:r>
      <w:r>
        <w:rPr>
          <w:sz w:val="18"/>
        </w:rPr>
        <w:t xml:space="preserve">8.3.2 Prova de regularidade fiscal perante a </w:t>
      </w:r>
      <w:r>
        <w:rPr>
          <w:b/>
          <w:sz w:val="18"/>
        </w:rPr>
        <w:t>Fazenda Nacional</w:t>
      </w:r>
      <w:r>
        <w:rPr>
          <w:sz w:val="18"/>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 CERTIDÃO CONJUNTA DE REGULARIDADE DE DÉBITOS RELATIVOS AOS TRIBUTOS FEDERAIS;</w:t>
      </w:r>
    </w:p>
    <w:p>
      <w:pPr>
        <w:jc w:val="both"/>
        <w:outlineLvl w:val="1"/>
        <w:ind w:left="1050" w:right="90" w:hanging="30"/>
        <w:spacing w:before="120"/>
      </w:pPr>
      <w:r>
        <w:rPr>
          <w:sz w:val="18"/>
        </w:rPr>
        <w:tab/>
      </w:r>
      <w:r>
        <w:rPr>
          <w:sz w:val="18"/>
        </w:rPr>
        <w:t xml:space="preserve">8.3.3 Prova de regularidade fiscal perante a </w:t>
      </w:r>
      <w:r>
        <w:rPr>
          <w:b/>
          <w:sz w:val="18"/>
        </w:rPr>
        <w:t>Fazenda Estadual</w:t>
      </w:r>
      <w:r>
        <w:rPr>
          <w:sz w:val="18"/>
        </w:rPr>
        <w:t>, mediante a apresentação de Certidão Negativa de Débitos ou Certidão Positiva com efeito de Negativa, expedida pelo Estado do domicílio ou sede do participante  - CERTIDÃO DE REGULARIDADE DE DÉBITOS COM A FAZENDA ESTADUAL;</w:t>
      </w:r>
    </w:p>
    <w:p>
      <w:pPr>
        <w:jc w:val="both"/>
        <w:ind w:left="1050" w:right="90" w:hanging="30"/>
        <w:spacing w:before="15"/>
      </w:pPr>
      <w:r>
        <w:rPr>
          <w:sz w:val="18"/>
        </w:rPr>
        <w:t/>
      </w:r>
    </w:p>
    <w:p>
      <w:pPr>
        <w:jc w:val="both"/>
        <w:ind w:left="1050" w:right="90" w:hanging="30"/>
        <w:spacing w:before="15"/>
      </w:pPr>
      <w:r>
        <w:rPr>
          <w:sz w:val="18"/>
        </w:rPr>
        <w:t xml:space="preserve">8.3.4 Prova de regularidade fiscal perante a </w:t>
      </w:r>
      <w:r>
        <w:rPr>
          <w:b/>
          <w:sz w:val="18"/>
        </w:rPr>
        <w:t>Fazenda Municipal</w:t>
      </w:r>
      <w:r>
        <w:rPr>
          <w:sz w:val="18"/>
        </w:rPr>
        <w:t>, mediante a apresentação de Certidão Negativa de Débitos ou Certidão Positiva com efeito de negativa, expedida pelo Município do domicílio ou sede do participante – CERTIDÃO DE REGULARIDADE DE DÉBITOS COM A FAZENDA MUNICIPAL;</w:t>
      </w:r>
    </w:p>
    <w:p>
      <w:pPr>
        <w:jc w:val="both"/>
        <w:ind w:left="1050" w:right="90" w:hanging="30"/>
        <w:spacing w:before="15"/>
      </w:pPr>
      <w:r>
        <w:rPr>
          <w:sz w:val="18"/>
        </w:rPr>
        <w:t/>
      </w:r>
    </w:p>
    <w:p>
      <w:pPr>
        <w:jc w:val="both"/>
        <w:ind w:left="1050" w:right="90" w:hanging="30"/>
        <w:spacing w:before="15"/>
      </w:pPr>
      <w:r>
        <w:rPr>
          <w:sz w:val="18"/>
        </w:rPr>
        <w:t xml:space="preserve">8.3.5 Prova de regularidade fiscal perante o </w:t>
      </w:r>
      <w:r>
        <w:rPr>
          <w:b/>
          <w:sz w:val="18"/>
        </w:rPr>
        <w:t>Fundo de Garantia por Tempo de Serviço – FGTS</w:t>
      </w:r>
      <w:r>
        <w:rPr>
          <w:sz w:val="18"/>
        </w:rPr>
        <w:t>, mediante a apresentação de Certificado de Regularidade de Situação do FGTS – CRF, emitido pela Caixa Econômica Federal - CEF – CERTIDÃO DE REGULARIDADE DE DÉBITOS PARA COM O FUNDO DE GARANTIA POR TEMPO DE SERVIÇO – FGTS;</w:t>
      </w:r>
    </w:p>
    <w:p>
      <w:pPr>
        <w:ind w:left="1050" w:right="90" w:hanging="30"/>
        <w:spacing w:before="15"/>
      </w:pPr>
      <w:r>
        <w:rPr>
          <w:sz w:val="18"/>
        </w:rPr>
        <w:t/>
      </w:r>
    </w:p>
    <w:p>
      <w:pPr>
        <w:jc w:val="both"/>
        <w:ind w:left="1050" w:right="90" w:hanging="30"/>
        <w:spacing w:before="15"/>
      </w:pPr>
      <w:r>
        <w:rPr>
          <w:sz w:val="18"/>
        </w:rPr>
        <w:t xml:space="preserve">8.3.6 Prova de inexistência de débitos inadimplidos perante a </w:t>
      </w:r>
      <w:r>
        <w:rPr>
          <w:b/>
          <w:sz w:val="18"/>
        </w:rPr>
        <w:t>Justiça do Trabalho</w:t>
      </w:r>
      <w:r>
        <w:rPr>
          <w:sz w:val="18"/>
        </w:rPr>
        <w:t>, mediante a apresentação de Certidão Negativa de Débitos Trabalhistas ou Certidão Positiva com efeito de Negativa, expedida pelos portais da Justiça do Trabalho (Tribunal Superior do Trabalho, Conselho Superior da Justiça do Trabalho e dos Tribunais Regionais do Trabalho), nos termos do Título VII-A da Consolidação das Leis do Trabalho, aprovada pelo Decreto- Lei nº 5.452, de 1º de maio de 1943 – CERTIDÃO DE REGULARIDADE DE DÉBITOS TRABALHISTAS;</w:t>
      </w:r>
    </w:p>
    <w:p>
      <w:pPr>
        <w:outlineLvl w:val="1"/>
        <w:ind w:left="1050" w:right="90" w:hanging="30"/>
        <w:spacing w:before="120"/>
      </w:pPr>
      <w:r>
        <w:rPr>
          <w:b/>
          <w:sz w:val="18"/>
        </w:rPr>
        <w:t>8.4 Qualificação Econômico-Financeira:</w:t>
      </w:r>
    </w:p>
    <w:p>
      <w:pPr>
        <w:jc w:val="both"/>
        <w:ind w:left="1050" w:right="90" w:hanging="30"/>
        <w:spacing w:before="150" w:lineRule="auto" w:line="276"/>
      </w:pPr>
      <w:r>
        <w:rPr>
          <w:b/>
          <w:sz w:val="18"/>
        </w:rPr>
        <w:t xml:space="preserve">8.4.1 Certidão Negativa de Falência </w:t>
      </w:r>
      <w:r>
        <w:rPr>
          <w:sz w:val="18"/>
        </w:rPr>
        <w:t>expedida pelo Cartório/Ofício Distribuidor da sede da pessoa jurídica a menos de 90 (noventa) dias da data de recebimento dos envelopes, prevista no preâmbulo deste Edital, caso não haja menção quanto ao prazo de validade.</w:t>
      </w:r>
    </w:p>
    <w:p>
      <w:pPr>
        <w:outlineLvl w:val="1"/>
        <w:ind w:left="1050" w:right="90" w:hanging="30"/>
        <w:spacing w:before="120"/>
      </w:pPr>
      <w:r>
        <w:rPr>
          <w:b/>
          <w:sz w:val="18"/>
        </w:rPr>
        <w:t>8.5 Outras comprovações:</w:t>
      </w:r>
    </w:p>
    <w:p>
      <w:pPr>
        <w:jc w:val="both"/>
        <w:ind w:left="1050" w:right="90" w:hanging="30"/>
        <w:spacing w:before="150" w:lineRule="auto" w:line="276"/>
      </w:pPr>
      <w:r>
        <w:rPr>
          <w:sz w:val="18"/>
        </w:rPr>
        <w:t xml:space="preserve">8.6.1 Para comprovação de enquadramento de empresa ME ou EPP, beneficiárias da Lei Complementar nº 123/2006 e suas alterações, a empresa deverá apresentar declaração firmada por seu representante legal, por contador ou certidão simplificada, expedida pela Junta Comercial, com prazo de validade de até </w:t>
      </w:r>
      <w:r>
        <w:rPr>
          <w:b/>
          <w:sz w:val="18"/>
        </w:rPr>
        <w:t xml:space="preserve">90 (noventa) dias </w:t>
      </w:r>
      <w:r>
        <w:rPr>
          <w:sz w:val="18"/>
        </w:rPr>
        <w:t>a contar da data de emissão.</w:t>
      </w:r>
    </w:p>
    <w:p>
      <w:pPr>
        <w:jc w:val="both"/>
        <w:ind w:left="1050" w:right="90" w:hanging="30"/>
        <w:spacing w:before="150" w:lineRule="auto" w:line="276"/>
      </w:pPr>
      <w:r>
        <w:rPr>
          <w:sz w:val="18"/>
        </w:rPr>
        <w:t>8.6.2 Declaração de Responsabilidade Unificada, contendo os seguintes dizeres:</w:t>
      </w:r>
    </w:p>
    <w:p>
      <w:pPr>
        <w:ind w:left="1050" w:right="90" w:hanging="30"/>
        <w:spacing w:before="90"/>
      </w:pPr>
      <w:r>
        <w:rPr>
          <w:sz w:val="18"/>
        </w:rPr>
        <w:t>Prezado (as) Senhores (as):</w:t>
      </w:r>
    </w:p>
    <w:p>
      <w:pPr>
        <w:jc w:val="both"/>
        <w:ind w:left="1050" w:right="90" w:hanging="30"/>
      </w:pPr>
      <w:r>
        <w:rPr>
          <w:sz w:val="18"/>
        </w:rPr>
        <w:t>Pelo presente instrumento, a empresa ........................., inscrita no CNPJ sob o nº ......................, com sede na</w:t>
      </w:r>
      <w:r>
        <w:rPr>
          <w:sz w:val="18"/>
        </w:rPr>
        <w:tab/>
      </w:r>
      <w:r>
        <w:rPr>
          <w:sz w:val="18"/>
        </w:rPr>
        <w:t>, por meio de seu representante legal infra-assinado, que:</w:t>
      </w:r>
    </w:p>
    <w:p>
      <w:pPr>
        <w:ind w:left="1050" w:right="90" w:hanging="30"/>
        <w:spacing w:before="15"/>
      </w:pPr>
      <w:r>
        <w:rPr>
          <w:sz w:val="18"/>
        </w:rPr>
        <w:t/>
      </w:r>
    </w:p>
    <w:p>
      <w:pPr>
        <w:jc w:val="both"/>
        <w:ind w:left="1050" w:right="90" w:hanging="30"/>
        <w:spacing w:lineRule="auto" w:line="276"/>
      </w:pPr>
      <w:r>
        <w:rPr>
          <w:sz w:val="18"/>
        </w:rPr>
        <w:t>( ) Declara, sob as penas do artigo 299, do Código Penal, que se enquadra na situação de microempresa (ME), empresa de pequeno porte (EPP), microempreendedor individual (MEI) ou cooperativa, nos termos da Lei Complementar nº 123/06, alterada pela Lei Complementar nº 147/14, bem assim que inexistem fatos supervenientes que conduzam ao seu desenquadramento desta situação.</w:t>
      </w:r>
    </w:p>
    <w:p>
      <w:pPr>
        <w:ind w:left="1050" w:right="90" w:hanging="30"/>
        <w:spacing w:before="15"/>
      </w:pPr>
      <w:r>
        <w:rPr>
          <w:b/>
          <w:u w:val="single"/>
          <w:sz w:val="18"/>
        </w:rPr>
        <w:t>*Marcar este item caso se enquadre na situação de microempresa, empresa de pequeno porte ou cooperativa.</w:t>
      </w:r>
    </w:p>
    <w:p>
      <w:pPr>
        <w:jc w:val="both"/>
        <w:ind w:left="1050" w:right="90" w:hanging="30"/>
        <w:spacing w:before="90" w:lineRule="auto" w:line="264"/>
      </w:pPr>
      <w:r>
        <w:rPr>
          <w:sz w:val="18"/>
        </w:rPr>
        <w:t>Declaramos, para os devidos fins, que até a presente data inexistem fatos supervenientes impeditivos para habilitação no presente Pregão Eletrônico, estando ciente da obrigatoriedade de declarar ocorrências posteriores;</w:t>
      </w:r>
    </w:p>
    <w:p>
      <w:pPr>
        <w:jc w:val="both"/>
        <w:ind w:left="1050" w:right="90" w:hanging="30"/>
        <w:spacing w:before="15" w:lineRule="auto" w:line="264"/>
      </w:pPr>
      <w:r>
        <w:rPr>
          <w:sz w:val="18"/>
        </w:rPr>
        <w:t>Declaramos, para os devidos fins, que a empresa não foi declarada inidônea por nenhum órgão público de qualquer esfera de governo, estando apta a contratar com o poder público;</w:t>
      </w:r>
    </w:p>
    <w:p>
      <w:pPr>
        <w:jc w:val="both"/>
        <w:ind w:left="1050" w:right="90" w:hanging="30"/>
      </w:pPr>
      <w:r>
        <w:rPr>
          <w:sz w:val="18"/>
        </w:rPr>
        <w:t>Declaramos estar cientes e concordamos com as condições contidas no Edital e seus anexos;</w:t>
      </w:r>
    </w:p>
    <w:p>
      <w:pPr>
        <w:jc w:val="both"/>
        <w:ind w:left="1050" w:right="90" w:hanging="30"/>
        <w:spacing w:before="15" w:lineRule="auto" w:line="276"/>
      </w:pPr>
      <w:r>
        <w:rPr>
          <w:sz w:val="18"/>
        </w:rPr>
        <w:t>Assumimos a responsabilidade pelas transações que forem efetuadas no sistema, assumindo como firmes e verdadeiras;</w:t>
      </w:r>
    </w:p>
    <w:p>
      <w:pPr>
        <w:jc w:val="both"/>
        <w:ind w:left="1050" w:right="90" w:hanging="30"/>
        <w:spacing w:lineRule="auto" w:line="276"/>
      </w:pPr>
      <w:r>
        <w:rPr>
          <w:sz w:val="18"/>
        </w:rPr>
        <w:t>Declaramos que cumprimos as exigências de reserva de cargos para pessoa com deficiência e para reabilitado da Previdência Social, de que trata o art. 93, da Lei nº 8.213/91;</w:t>
      </w:r>
    </w:p>
    <w:p>
      <w:pPr>
        <w:jc w:val="both"/>
        <w:ind w:left="1050" w:right="90" w:hanging="30"/>
        <w:spacing w:lineRule="auto" w:line="276"/>
      </w:pPr>
      <w:r>
        <w:rPr>
          <w:sz w:val="18"/>
        </w:rPr>
        <w:t>Declaramos, para os fins do disposto no inciso XXXIII, do art. 7º, da Constituição Federal, que não empregamos menores de 18 (dezoito) anos em trabalho noturno, perigoso ou insalubre e nem menores de 16 (dezesseis) anos, em qualquer trabalho, salvo na condição de aprendiz, a partir dos 14 (quatorze) anos de idade, em cumprimento ao que determina o inciso VI, do art. 68, da Lei 14.133/2021;</w:t>
      </w:r>
    </w:p>
    <w:p>
      <w:pPr>
        <w:jc w:val="both"/>
        <w:ind w:left="1050" w:right="90" w:hanging="30"/>
        <w:spacing w:lineRule="auto" w:line="276"/>
      </w:pPr>
      <w:r>
        <w:rPr>
          <w:sz w:val="18"/>
        </w:rPr>
        <w:t>Declaramos, para os devidos fins de direito, na qualidade de Proponente dos Processos Licitatórios/de Contratação Direta,    instaurados    por    este    Município,    que    o    (a)    responsável     legal    da    empresa     é    o    (a) Sr.(a)      .............................................................,      portador(a)      da       Cédula      de       Identidade      RG       sob nº ..............................................…, incrito (a) no CPF sob nº ........................................................, cuja função/cargo é</w:t>
      </w:r>
      <w:r>
        <w:rPr>
          <w:sz w:val="18"/>
        </w:rPr>
        <w:tab/>
      </w:r>
      <w:r>
        <w:rPr>
          <w:sz w:val="18"/>
        </w:rPr>
        <w:t>(sócio administrador/procurador/diretor/etc), responsável pela assinatura do contrato;</w:t>
      </w:r>
    </w:p>
    <w:p>
      <w:pPr>
        <w:jc w:val="both"/>
        <w:ind w:left="1050" w:right="90" w:hanging="30"/>
        <w:spacing w:lineRule="auto" w:line="264"/>
      </w:pPr>
      <w:r>
        <w:rPr>
          <w:sz w:val="18"/>
        </w:rPr>
        <w:t>Declaramos que não possui, em nossa cadeia produtiva, empregados executando trabalho degradante ou forçado, observado o disposto nos incisos III e IV do art. 1° e no inciso III, do art. 5° da Constituição Federal.</w:t>
      </w:r>
    </w:p>
    <w:p>
      <w:pPr>
        <w:jc w:val="both"/>
        <w:ind w:left="1050" w:right="90" w:hanging="30"/>
        <w:spacing w:lineRule="auto" w:line="276"/>
      </w:pPr>
      <w:r>
        <w:rPr>
          <w:sz w:val="18"/>
        </w:rPr>
        <w:t>Declaramos, para os devidos fins, que em caso de qualquer comunicação futura referente e este processo licitatório, bem como em caso de eventual contratação, concordamos que o Contrato seja encaminhado para o seguinte endereço:</w:t>
      </w:r>
    </w:p>
    <w:p>
      <w:pPr>
        <w:jc w:val="both"/>
        <w:ind w:left="1050" w:right="90" w:hanging="30"/>
      </w:pPr>
      <w:r>
        <w:rPr>
          <w:sz w:val="18"/>
        </w:rPr>
        <w:t>E-mail:</w:t>
      </w:r>
    </w:p>
    <w:p>
      <w:pPr>
        <w:jc w:val="both"/>
        <w:ind w:left="1050" w:right="90" w:hanging="30"/>
      </w:pPr>
      <w:r>
        <w:rPr>
          <w:sz w:val="18"/>
        </w:rPr>
        <w:t>Telefone: ( )</w:t>
      </w:r>
    </w:p>
    <w:p>
      <w:pPr>
        <w:jc w:val="both"/>
        <w:ind w:left="1050" w:right="90" w:hanging="30"/>
        <w:spacing w:lineRule="auto" w:line="276"/>
      </w:pPr>
      <w:r>
        <w:rPr>
          <w:sz w:val="18"/>
        </w:rPr>
        <w:t>Caso altere o citado e-mail ou telefone, comprometemo-nos a protocolizar pedido de alteração junto ao Sistema de Protocolo deste Município, sob pena de sermos considerados como intimados pelos meios anteriormente fornecidos.</w:t>
      </w:r>
    </w:p>
    <w:p>
      <w:pPr>
        <w:jc w:val="both"/>
        <w:ind w:left="1050" w:right="90" w:hanging="30"/>
        <w:spacing w:before="15" w:lineRule="auto" w:line="276"/>
      </w:pPr>
      <w:r>
        <w:rPr>
          <w:sz w:val="18"/>
        </w:rPr>
        <w:t>Nomeamos e constituímos o   (a)   senhor   (a).........................................,   portador   (a)   do   CPF/MF   sob n.º</w:t>
      </w:r>
      <w:r>
        <w:rPr>
          <w:sz w:val="18"/>
        </w:rPr>
        <w:tab/>
      </w:r>
      <w:r>
        <w:rPr>
          <w:sz w:val="18"/>
        </w:rPr>
        <w:t xml:space="preserve">, para ser o (a) responsável para acompanhar a execução do contrato, referente ao </w:t>
      </w:r>
      <w:r>
        <w:rPr>
          <w:b/>
          <w:sz w:val="18"/>
        </w:rPr>
        <w:t xml:space="preserve">PREGÃO ELETRÔNICO N. 31/2024 </w:t>
      </w:r>
      <w:r>
        <w:rPr>
          <w:sz w:val="18"/>
        </w:rPr>
        <w:t>e todos os atos necessários ao cumprimento das obrigações contidas no instrumento convocatório, seus Anexos e no Contrato.</w:t>
      </w:r>
    </w:p>
    <w:p>
      <w:pPr>
        <w:jc w:val="both"/>
        <w:ind w:left="1050" w:right="90" w:hanging="30"/>
        <w:spacing w:before="15" w:lineRule="auto" w:line="276"/>
      </w:pPr>
      <w:r>
        <w:rPr>
          <w:sz w:val="18"/>
        </w:rPr>
        <w:t/>
      </w:r>
    </w:p>
    <w:p>
      <w:pPr>
        <w:jc w:val="center"/>
        <w:outlineLvl w:val="1"/>
        <w:ind w:left="165"/>
        <w:spacing w:before="30"/>
      </w:pPr>
      <w:r>
        <w:rPr>
          <w:b/>
          <w:sz w:val="19"/>
        </w:rPr>
        <w:t/>
      </w:r>
    </w:p>
    <w:p>
      <w:r>
        <w:br w:type="page"/>
      </w:r>
    </w:p>
    <w:p>
      <w:r>
        <w:t/>
      </w:r>
    </w:p>
    <w:p>
      <w:r>
        <w:t/>
      </w:r>
    </w:p>
    <w:p>
      <w:pPr>
        <w:jc w:val="center"/>
        <w:ind w:left="1335" w:right="1335"/>
        <w:spacing w:before="90"/>
      </w:pPr>
      <w:r>
        <w:rPr>
          <w:b/>
          <w:u w:val="single"/>
          <w:sz w:val="19"/>
        </w:rPr>
        <w:t>DECLARAÇÃO</w:t>
      </w:r>
    </w:p>
    <w:p>
      <w:r>
        <w:t/>
      </w:r>
    </w:p>
    <w:p>
      <w:pPr>
        <w:jc w:val="center"/>
        <w:ind w:left="1335" w:right="1335"/>
        <w:spacing w:before="90"/>
      </w:pPr>
      <w:r>
        <w:rPr>
          <w:b/>
          <w:u w:val="single"/>
          <w:sz w:val="19"/>
        </w:rPr>
        <w:t>(Apresentar junto a proposta de preços)</w:t>
      </w:r>
    </w:p>
    <w:p>
      <w:r>
        <w:t/>
      </w:r>
    </w:p>
    <w:p>
      <w:pPr>
        <w:spacing w:before="15"/>
      </w:pPr>
      <w:r>
        <w:t/>
      </w:r>
    </w:p>
    <w:p>
      <w:pPr>
        <w:ind w:left="165"/>
        <w:spacing w:lineRule="auto" w:line="276"/>
      </w:pPr>
      <w:r>
        <w:rPr>
          <w:b/>
          <w:sz w:val="19"/>
        </w:rPr>
        <w:t>DECLARO QUE ESTOU CIENTE E DE ACORDO COM TODAS AS CLÁUSULAS E CONDIÇÕES CONTIDAS NO EDITAL DE PREGÃO ELETRÔNICO E EM SEUS ANEXOS.</w:t>
      </w:r>
    </w:p>
    <w:p>
      <w:pPr>
        <w:spacing w:before="15"/>
      </w:pPr>
      <w:r>
        <w:t/>
      </w:r>
    </w:p>
    <w:p>
      <w:pPr>
        <w:jc w:val="both"/>
        <w:tabs>
          <w:tab w:val="left" w:pos="390"/>
        </w:tabs>
        <w:numPr>
          <w:ilvl w:val="0"/>
          <w:numId w:val="1"/>
        </w:numPr>
      </w:pPr>
      <w:r/>
      <w:r>
        <w:rPr>
          <w:rFonts w:ascii="Arial MT" w:hAnsi="Arial MT" w:cs="Arial MT" w:eastAsia="Arial MT"/>
          <w:sz w:val="19"/>
        </w:rPr>
        <w:t>Prazo de validade da proposta de 60 (sessenta dias), a contar da data de abertura do certame.</w:t>
      </w:r>
    </w:p>
    <w:p>
      <w:pPr>
        <w:spacing w:before="15"/>
      </w:pPr>
      <w:r>
        <w:t/>
      </w:r>
    </w:p>
    <w:p>
      <w:pPr>
        <w:jc w:val="both"/>
        <w:ind w:right="210"/>
        <w:spacing w:lineRule="auto" w:line="264"/>
        <w:tabs>
          <w:tab w:val="left" w:pos="405"/>
        </w:tabs>
        <w:numPr>
          <w:ilvl w:val="0"/>
          <w:numId w:val="1"/>
        </w:numPr>
      </w:pPr>
      <w:r/>
      <w:r>
        <w:rPr>
          <w:rFonts w:ascii="Arial MT" w:hAnsi="Arial MT" w:cs="Arial MT" w:eastAsia="Arial MT"/>
          <w:sz w:val="19"/>
        </w:rPr>
        <w:t>Garantimos que os produtos serão substituídos, sem ônus para a entidade de contratação, caso não estejam de acordo às especificações e padrões exigidos.</w:t>
      </w:r>
    </w:p>
    <w:p>
      <w:pPr>
        <w:spacing w:before="15"/>
      </w:pPr>
      <w:r>
        <w:t/>
      </w:r>
    </w:p>
    <w:p>
      <w:pPr>
        <w:jc w:val="both"/>
        <w:ind w:right="210"/>
        <w:spacing w:before="15" w:lineRule="auto" w:line="276"/>
        <w:tabs>
          <w:tab w:val="left" w:pos="405"/>
        </w:tabs>
        <w:numPr>
          <w:ilvl w:val="0"/>
          <w:numId w:val="1"/>
        </w:numPr>
      </w:pPr>
      <w:r/>
      <w:r>
        <w:rPr>
          <w:rFonts w:ascii="Arial MT" w:hAnsi="Arial MT" w:cs="Arial MT" w:eastAsia="Arial MT"/>
          <w:sz w:val="19"/>
        </w:rPr>
        <w:t>Declaramos que nos preços contidos na proposta que vierem a ser ofertados por meio de lances, estão incluídos todos os custos diretos e indiretos, impostos, lucro empresarial, tributos incidentes, seguro, frete e outros necessários ao cumprimento integral do objeto deste edital e seus anexos.</w:t>
      </w:r>
    </w:p>
    <w:p>
      <w:pPr>
        <w:spacing w:before="15"/>
      </w:pPr>
      <w:r>
        <w:t/>
      </w:r>
    </w:p>
    <w:p>
      <w:pPr>
        <w:jc w:val="both"/>
        <w:ind w:right="3000"/>
        <w:spacing w:lineRule="auto" w:line="492"/>
        <w:tabs>
          <w:tab w:val="left" w:pos="390"/>
          <w:tab w:val="left" w:pos="2490"/>
        </w:tabs>
        <w:numPr>
          <w:ilvl w:val="0"/>
          <w:numId w:val="1"/>
        </w:numPr>
      </w:pPr>
      <w:r/>
      <w:r>
        <w:rPr>
          <w:rFonts w:ascii="Arial MT" w:hAnsi="Arial MT" w:cs="Arial MT" w:eastAsia="Arial MT"/>
          <w:sz w:val="19"/>
        </w:rPr>
        <w:t>Informar os seguintes Dados Bancários, a fim de agilizar os possíveis pagamentos: Banco:</w:t>
      </w: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p>
    <w:p>
      <w:pPr>
        <w:ind w:left="165"/>
        <w:spacing w:lineRule="exact" w:line="210"/>
        <w:tabs>
          <w:tab w:val="left" w:pos="2535"/>
        </w:tabs>
      </w:pPr>
      <w:r>
        <w:rPr>
          <w:rFonts w:ascii="Arial MT" w:hAnsi="Arial MT" w:cs="Arial MT" w:eastAsia="Arial MT"/>
          <w:sz w:val="19"/>
        </w:rPr>
        <w:t>Agência:_</w:t>
      </w: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p>
    <w:p>
      <w:r>
        <w:t/>
      </w:r>
    </w:p>
    <w:p>
      <w:pPr>
        <w:ind w:left="165"/>
        <w:spacing w:before="90"/>
        <w:tabs>
          <w:tab w:val="left" w:pos="2520"/>
        </w:tabs>
      </w:pPr>
      <w:r>
        <w:rPr>
          <w:rFonts w:ascii="Arial MT" w:hAnsi="Arial MT" w:cs="Arial MT" w:eastAsia="Arial MT"/>
          <w:sz w:val="19"/>
        </w:rPr>
        <w:t>Conta Corrente:</w:t>
      </w: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p>
    <w:p>
      <w:pPr>
        <w:spacing w:before="15"/>
      </w:pPr>
      <w:r>
        <w:t/>
      </w:r>
    </w:p>
    <w:p>
      <w:pPr>
        <w:jc w:val="center"/>
        <w:ind w:left="1395" w:right="1335"/>
        <w:spacing w:before="90"/>
      </w:pPr>
      <w:r>
        <w:rPr>
          <w:rFonts w:ascii="Arial MT" w:hAnsi="Arial MT" w:cs="Arial MT" w:eastAsia="Arial MT"/>
          <w:u w:val="single"/>
          <w:sz w:val="19"/>
        </w:rPr>
        <w:t>Caso seja a empresa vencedora os pagamentos, vão ser depositados, na conta informada.</w:t>
      </w:r>
    </w:p>
    <w:p>
      <w:pPr>
        <w:spacing w:before="15"/>
      </w:pPr>
      <w:r>
        <w:t/>
      </w:r>
    </w:p>
    <w:p>
      <w:pPr>
        <w:jc w:val="center"/>
        <w:ind w:left="1335" w:right="1335"/>
        <w:spacing w:before="90"/>
      </w:pPr>
      <w:r>
        <w:rPr>
          <w:rFonts w:ascii="Arial MT" w:hAnsi="Arial MT" w:cs="Arial MT" w:eastAsia="Arial MT"/>
          <w:sz w:val="19"/>
        </w:rPr>
        <w:t>(colocar data e assinatura do representante legal)</w:t>
      </w:r>
    </w:p>
    <w:p>
      <w:pPr>
        <w:spacing w:before="15"/>
      </w:pPr>
      <w:r>
        <w:t/>
      </w:r>
    </w:p>
    <w:p>
      <w:pPr>
        <w:ind w:left="165"/>
        <w:spacing w:before="15" w:lineRule="auto" w:line="276"/>
      </w:pPr>
      <w:r>
        <w:rPr>
          <w:b/>
          <w:u w:val="single"/>
          <w:sz w:val="19"/>
        </w:rPr>
        <w:t>Obs.: A Proposta Comercial deverá conter razão social do licitante, CNPJ, endereço completo, telefone e e-</w:t>
      </w:r>
      <w:r>
        <w:rPr>
          <w:b/>
          <w:sz w:val="19"/>
        </w:rPr>
        <w:t xml:space="preserve"> </w:t>
      </w:r>
      <w:r>
        <w:rPr>
          <w:b/>
          <w:u w:val="single"/>
          <w:sz w:val="19"/>
        </w:rPr>
        <w:t>mail válido do próprio participante.</w:t>
      </w:r>
    </w:p>
    <w:p>
      <w:pPr>
        <w:spacing w:lineRule="auto" w:line="276"/>
      </w:pPr>
      <w:r>
        <w:t/>
      </w:r>
    </w:p>
    <w:p>
      <w:r>
        <w:br w:type="page"/>
      </w:r>
    </w:p>
    <w:p>
      <w:r>
        <w:t/>
      </w:r>
    </w:p>
    <w:p>
      <w:r>
        <w:t/>
      </w:r>
    </w:p>
    <w:p>
      <w:pPr>
        <w:ind w:left="3450" w:right="3150" w:hanging="270"/>
        <w:spacing w:before="15" w:lineRule="auto" w:line="492"/>
      </w:pPr>
      <w:r>
        <w:rPr>
          <w:b/>
          <w:sz w:val="19"/>
        </w:rPr>
        <w:t xml:space="preserve">ANEXO II – MODELO DE CREDENCIAMENTO </w:t>
      </w:r>
    </w:p>
    <w:p>
      <w:pPr>
        <w:jc w:val="center"/>
        <w:ind w:left="1335" w:right="1335"/>
        <w:spacing w:before="90"/>
      </w:pPr>
      <w:r>
        <w:rPr>
          <w:b/>
          <w:sz w:val="19"/>
        </w:rPr>
        <w:t>PROCESSO ADMINISTRATIVO N.° 54/2024</w:t>
      </w:r>
    </w:p>
    <w:p>
      <w:pPr>
        <w:jc w:val="center"/>
        <w:ind w:left="1335" w:right="1335"/>
        <w:spacing w:before="90"/>
      </w:pPr>
      <w:r>
        <w:rPr>
          <w:b/>
          <w:sz w:val="19"/>
        </w:rPr>
        <w:t>PREGÃO ELETRÔNICO N. 31/2024.</w:t>
      </w:r>
    </w:p>
    <w:p>
      <w:r>
        <w:t/>
      </w:r>
    </w:p>
    <w:p>
      <w:pPr>
        <w:spacing w:before="15"/>
      </w:pPr>
      <w:r>
        <w:t/>
      </w:r>
    </w:p>
    <w:p>
      <w:pPr>
        <w:jc w:val="both"/>
        <w:ind w:left="225"/>
        <w:spacing w:before="90"/>
        <w:tabs>
          <w:tab w:val="left" w:pos="8145"/>
        </w:tabs>
      </w:pPr>
      <w:r>
        <w:rPr>
          <w:rFonts w:ascii="Arial MT" w:hAnsi="Arial MT" w:cs="Arial MT" w:eastAsia="Arial MT"/>
          <w:sz w:val="19"/>
        </w:rPr>
        <w:t>Por         este         instrumento,         a         empresa</w:t>
      </w:r>
      <w:r>
        <w:rPr>
          <w:rFonts w:ascii="Times New Roman" w:hAnsi="Times New Roman" w:cs="Times New Roman" w:eastAsia="Times New Roman"/>
          <w:u w:val="single"/>
          <w:sz w:val="19"/>
        </w:rPr>
        <w:tab/>
      </w:r>
      <w:r>
        <w:rPr>
          <w:rFonts w:ascii="Arial MT" w:hAnsi="Arial MT" w:cs="Arial MT" w:eastAsia="Arial MT"/>
          <w:sz w:val="19"/>
        </w:rPr>
        <w:t xml:space="preserve">_,        sediada  em </w:t>
      </w: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r>
        <w:rPr>
          <w:rFonts w:ascii="Arial MT" w:hAnsi="Arial MT" w:cs="Arial MT" w:eastAsia="Arial MT"/>
          <w:sz w:val="19"/>
        </w:rPr>
        <w:t>, inscrita no CNPJ sob o n°</w:t>
      </w:r>
      <w:r>
        <w:rPr>
          <w:rFonts w:ascii="Times New Roman" w:hAnsi="Times New Roman" w:cs="Times New Roman" w:eastAsia="Times New Roman"/>
          <w:u w:val="single"/>
          <w:sz w:val="19"/>
        </w:rPr>
        <w:tab/>
      </w:r>
      <w:r>
        <w:rPr>
          <w:rFonts w:ascii="Arial MT" w:hAnsi="Arial MT" w:cs="Arial MT" w:eastAsia="Arial MT"/>
          <w:sz w:val="19"/>
        </w:rPr>
        <w:t xml:space="preserve">, outorga poderes a </w:t>
      </w: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r>
        <w:rPr>
          <w:rFonts w:ascii="Arial MT" w:hAnsi="Arial MT" w:cs="Arial MT" w:eastAsia="Arial MT"/>
          <w:sz w:val="19"/>
        </w:rPr>
        <w:t>, portador do documento de identidade n°</w:t>
      </w:r>
      <w:r>
        <w:rPr>
          <w:rFonts w:ascii="Times New Roman" w:hAnsi="Times New Roman" w:cs="Times New Roman" w:eastAsia="Times New Roman"/>
          <w:u w:val="single"/>
          <w:sz w:val="19"/>
        </w:rPr>
        <w:tab/>
      </w:r>
      <w:r>
        <w:rPr>
          <w:rFonts w:ascii="Arial MT" w:hAnsi="Arial MT" w:cs="Arial MT" w:eastAsia="Arial MT"/>
          <w:sz w:val="19"/>
        </w:rPr>
        <w:t>_, inscrito no CPF/MF sob o n°</w:t>
      </w:r>
    </w:p>
    <w:p>
      <w:pPr>
        <w:jc w:val="both"/>
        <w:ind w:left="225" w:right="210"/>
        <w:spacing w:before="30" w:lineRule="auto" w:line="276"/>
        <w:tabs>
          <w:tab w:val="left" w:pos="3075"/>
        </w:tabs>
      </w:pP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r>
        <w:rPr>
          <w:rFonts w:ascii="Arial MT" w:hAnsi="Arial MT" w:cs="Arial MT" w:eastAsia="Arial MT"/>
          <w:sz w:val="19"/>
        </w:rPr>
        <w:t>, para representá-la no Pregão Eletrônico nº</w:t>
      </w:r>
      <w:r>
        <w:rPr>
          <w:rFonts w:ascii="Arial MT" w:hAnsi="Arial MT" w:cs="Arial MT" w:eastAsia="Arial MT"/>
          <w:u w:val="single"/>
          <w:sz w:val="19"/>
        </w:rPr>
        <w:t xml:space="preserve"> </w:t>
      </w:r>
      <w:r>
        <w:rPr>
          <w:rFonts w:ascii="Arial MT" w:hAnsi="Arial MT" w:cs="Arial MT" w:eastAsia="Arial MT"/>
          <w:sz w:val="19"/>
        </w:rPr>
        <w:t>_/2024 do Município de São Tomé, podendo o mandatário praticar todos os atos relativos ao certame, notadamente: formular ofertas; assinar os documentos da licitação; negociar preços; interpor recursos ou renunciar ao direito de propô-los.</w:t>
      </w:r>
    </w:p>
    <w:p>
      <w:r>
        <w:t/>
      </w:r>
    </w:p>
    <w:p>
      <w:r>
        <w:t/>
      </w:r>
    </w:p>
    <w:p>
      <w:r>
        <w:t/>
      </w:r>
    </w:p>
    <w:p>
      <w:r>
        <w:t/>
      </w:r>
    </w:p>
    <w:p>
      <w:pPr>
        <w:spacing w:before="15"/>
      </w:pPr>
      <w:r>
        <w:drawing>
          <wp:inline distT="0" distB="0" distL="0" distR="0">
            <wp:extent cx="0" cy="0"/>
            <wp:effectExtent l="0" t="0" r="0" b="0"/>
            <wp:docPr id="69" name="Pic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9.emf"/>
                    <pic:cNvPicPr/>
                  </pic:nvPicPr>
                  <pic:blipFill>
                    <a:blip r:embed="prId68" cstate="print"/>
                    <a:stretch>
                      <a:fillRect/>
                    </a:stretch>
                  </pic:blipFill>
                  <pic:spPr>
                    <a:xfrm>
                      <a:off x="0" y="0"/>
                      <a:ext cx="0" cy="0"/>
                    </a:xfrm>
                    <a:prstGeom prst="rect">
                      <a:avLst/>
                    </a:prstGeom>
                  </pic:spPr>
                </pic:pic>
              </a:graphicData>
            </a:graphic>
          </wp:inline>
        </w:drawing>
      </w:r>
    </w:p>
    <w:p>
      <w:pPr>
        <w:spacing w:before="15"/>
      </w:pPr>
      <w:r>
        <w:t/>
      </w:r>
    </w:p>
    <w:p>
      <w:pPr>
        <w:jc w:val="center"/>
        <w:ind w:left="1290" w:right="1335"/>
        <w:spacing w:before="90"/>
      </w:pPr>
      <w:r>
        <w:rPr>
          <w:rFonts w:ascii="Arial MT" w:hAnsi="Arial MT" w:cs="Arial MT" w:eastAsia="Arial MT"/>
          <w:sz w:val="19"/>
        </w:rPr>
        <w:t>(assinatura, nome e CPF do mandante)</w:t>
      </w:r>
    </w:p>
    <w:p>
      <w:pPr>
        <w:jc w:val="center"/>
      </w:pPr>
      <w:r>
        <w:t/>
      </w:r>
    </w:p>
    <w:p>
      <w:r>
        <w:br w:type="page"/>
      </w:r>
    </w:p>
    <w:p>
      <w:r>
        <w:t/>
      </w:r>
    </w:p>
    <w:p>
      <w:r>
        <w:t/>
      </w:r>
    </w:p>
    <w:p>
      <w:pPr>
        <w:spacing w:before="15"/>
      </w:pPr>
      <w:r>
        <w:t/>
      </w:r>
    </w:p>
    <w:p>
      <w:pPr>
        <w:outlineLvl w:val="1"/>
        <w:ind w:left="3450" w:right="2175" w:hanging="1245"/>
        <w:spacing w:before="15" w:lineRule="auto" w:line="492"/>
      </w:pPr>
      <w:r>
        <w:rPr>
          <w:b/>
          <w:sz w:val="19"/>
        </w:rPr>
        <w:t xml:space="preserve">ANEXO III – DECLARAÇÃO DE RESPONSABILIDADES UNIFICADA </w:t>
      </w:r>
    </w:p>
    <w:p>
      <w:pPr>
        <w:jc w:val="center"/>
        <w:ind w:left="1335" w:right="1335"/>
        <w:spacing w:before="90"/>
      </w:pPr>
      <w:r>
        <w:rPr>
          <w:b/>
          <w:sz w:val="19"/>
        </w:rPr>
        <w:t>PROCESSO ADMINISTRATIVO N.° 54/2024</w:t>
      </w:r>
    </w:p>
    <w:p>
      <w:pPr>
        <w:jc w:val="center"/>
        <w:ind w:left="1335" w:right="1335"/>
        <w:spacing w:before="90"/>
      </w:pPr>
      <w:r>
        <w:rPr>
          <w:b/>
          <w:sz w:val="19"/>
        </w:rPr>
        <w:t>PREGÃO ELETRÔNICO N. 31/2024.</w:t>
      </w:r>
    </w:p>
    <w:p>
      <w:pPr>
        <w:ind w:left="225"/>
        <w:spacing w:before="90"/>
      </w:pPr>
      <w:r>
        <w:t/>
      </w:r>
    </w:p>
    <w:p>
      <w:pPr>
        <w:ind w:left="225"/>
        <w:spacing w:before="90"/>
      </w:pPr>
      <w:r>
        <w:rPr>
          <w:rFonts w:ascii="Arial MT" w:hAnsi="Arial MT" w:cs="Arial MT" w:eastAsia="Arial MT"/>
          <w:sz w:val="19"/>
        </w:rPr>
        <w:t>Prezado (as) Senhores (as):</w:t>
      </w:r>
    </w:p>
    <w:p>
      <w:r>
        <w:t/>
      </w:r>
    </w:p>
    <w:p>
      <w:pPr>
        <w:spacing w:before="15"/>
      </w:pPr>
      <w:r>
        <w:t/>
      </w:r>
    </w:p>
    <w:p>
      <w:pPr>
        <w:jc w:val="both"/>
        <w:ind w:left="225" w:right="150"/>
      </w:pPr>
      <w:r>
        <w:rPr>
          <w:rFonts w:ascii="Arial MT" w:hAnsi="Arial MT" w:cs="Arial MT" w:eastAsia="Arial MT"/>
          <w:sz w:val="19"/>
        </w:rPr>
        <w:t>Pelo presente instrumento, a empresa ........................., inscrita no CNPJ sob o nº ......................, com sede na</w:t>
      </w:r>
      <w:r>
        <w:rPr>
          <w:rFonts w:ascii="Times New Roman" w:hAnsi="Times New Roman" w:cs="Times New Roman" w:eastAsia="Times New Roman"/>
          <w:sz w:val="19"/>
        </w:rPr>
        <w:tab/>
      </w:r>
      <w:r>
        <w:rPr>
          <w:rFonts w:ascii="Arial MT" w:hAnsi="Arial MT" w:cs="Arial MT" w:eastAsia="Arial MT"/>
          <w:sz w:val="19"/>
        </w:rPr>
        <w:t>, por meio de seu representante legal infra-assinado, que:</w:t>
      </w:r>
    </w:p>
    <w:p>
      <w:r>
        <w:t/>
      </w:r>
    </w:p>
    <w:p>
      <w:pPr>
        <w:spacing w:before="15"/>
      </w:pPr>
      <w:r>
        <w:t/>
      </w:r>
    </w:p>
    <w:p>
      <w:pPr>
        <w:jc w:val="both"/>
        <w:ind w:left="225" w:right="195"/>
        <w:spacing w:lineRule="auto" w:line="276"/>
      </w:pPr>
      <w:r>
        <w:rPr>
          <w:rFonts w:ascii="Arial MT" w:hAnsi="Arial MT" w:cs="Arial MT" w:eastAsia="Arial MT"/>
          <w:b/>
          <w:sz w:val="19"/>
        </w:rPr>
        <w:t>(  )</w:t>
      </w:r>
      <w:r>
        <w:rPr>
          <w:rFonts w:ascii="Arial MT" w:hAnsi="Arial MT" w:cs="Arial MT" w:eastAsia="Arial MT"/>
          <w:sz w:val="19"/>
        </w:rPr>
        <w:t xml:space="preserve"> Declara, sob as penas do artigo 299, do Código Penal, que se enquadra na situação de microempresa (ME), empresa de pequeno porte (EPP), microempreendedor individual (MEI) ou cooperativa, nos termos da Lei Complementar nº 123/06, alterada pela Lei Complementar nº 147/14, bem assim que inexistem fatos supervenientes que conduzam ao seu desenquadramento desta situação.</w:t>
      </w:r>
    </w:p>
    <w:p>
      <w:pPr>
        <w:spacing w:before="15"/>
      </w:pPr>
      <w:r>
        <w:t/>
      </w:r>
    </w:p>
    <w:p>
      <w:pPr>
        <w:ind w:left="225"/>
        <w:spacing w:before="15"/>
      </w:pPr>
      <w:r>
        <w:rPr>
          <w:b/>
          <w:u w:val="single"/>
          <w:sz w:val="19"/>
        </w:rPr>
        <w:t>*Marcar este item caso se enquadre na situação de microempresa, empresa de pequeno porte ou cooperativa.</w:t>
      </w:r>
    </w:p>
    <w:p>
      <w:pPr>
        <w:spacing w:before="15"/>
      </w:pPr>
      <w:r>
        <w:t/>
      </w:r>
    </w:p>
    <w:p>
      <w:pPr>
        <w:jc w:val="both"/>
        <w:ind w:right="210"/>
        <w:spacing w:before="90" w:lineRule="auto" w:line="264"/>
        <w:numPr>
          <w:ilvl w:val="1"/>
          <w:numId w:val="1"/>
        </w:numPr>
      </w:pPr>
      <w:r/>
      <w:r>
        <w:rPr>
          <w:rFonts w:ascii="Arial MT" w:hAnsi="Arial MT" w:cs="Arial MT" w:eastAsia="Arial MT"/>
          <w:sz w:val="19"/>
        </w:rPr>
        <w:t>Declaramos, para os devidos fins, que até a presente data inexistem fatos supervenientes impeditivos para habilitação no presente Pregão Eletrônico, estando ciente da obrigatoriedade de declarar ocorrências posteriores;</w:t>
      </w:r>
    </w:p>
    <w:p>
      <w:pPr>
        <w:spacing w:before="15"/>
      </w:pPr>
      <w:r>
        <w:t/>
      </w:r>
    </w:p>
    <w:p>
      <w:pPr>
        <w:jc w:val="both"/>
        <w:ind w:right="210"/>
        <w:spacing w:before="15" w:lineRule="auto" w:line="264"/>
        <w:numPr>
          <w:ilvl w:val="1"/>
          <w:numId w:val="1"/>
        </w:numPr>
      </w:pPr>
      <w:r/>
      <w:r>
        <w:rPr>
          <w:rFonts w:ascii="Arial MT" w:hAnsi="Arial MT" w:cs="Arial MT" w:eastAsia="Arial MT"/>
          <w:sz w:val="19"/>
        </w:rPr>
        <w:t>Declaramos, para os devidos fins, que a empresa não foi declarada inidônea por nenhum órgão público de qualquer esfera de governo, estando apta a contratar com o poder público;</w:t>
      </w:r>
    </w:p>
    <w:p>
      <w:pPr>
        <w:spacing w:before="15"/>
      </w:pPr>
      <w:r>
        <w:t/>
      </w:r>
    </w:p>
    <w:p>
      <w:pPr>
        <w:jc w:val="both"/>
        <w:numPr>
          <w:ilvl w:val="1"/>
          <w:numId w:val="1"/>
        </w:numPr>
      </w:pPr>
      <w:r/>
      <w:r>
        <w:rPr>
          <w:rFonts w:ascii="Arial MT" w:hAnsi="Arial MT" w:cs="Arial MT" w:eastAsia="Arial MT"/>
          <w:sz w:val="19"/>
        </w:rPr>
        <w:t>Declaramos estar cientes e concordamos com as condições contidas no Edital e seus anexos;</w:t>
      </w:r>
    </w:p>
    <w:p>
      <w:pPr>
        <w:spacing w:before="15"/>
      </w:pPr>
      <w:r>
        <w:t/>
      </w:r>
    </w:p>
    <w:p>
      <w:pPr>
        <w:jc w:val="both"/>
        <w:ind w:right="210"/>
        <w:spacing w:before="15" w:lineRule="auto" w:line="276"/>
        <w:numPr>
          <w:ilvl w:val="1"/>
          <w:numId w:val="1"/>
        </w:numPr>
      </w:pPr>
      <w:r/>
      <w:r>
        <w:rPr>
          <w:rFonts w:ascii="Arial MT" w:hAnsi="Arial MT" w:cs="Arial MT" w:eastAsia="Arial MT"/>
          <w:sz w:val="19"/>
        </w:rPr>
        <w:t>Assumimos a responsabilidade pelas transações que forem efetuadas no sistema, assumindo como firmes e verdadeiras;</w:t>
      </w:r>
    </w:p>
    <w:p>
      <w:pPr>
        <w:spacing w:before="15"/>
      </w:pPr>
      <w:r>
        <w:t/>
      </w:r>
    </w:p>
    <w:p>
      <w:pPr>
        <w:jc w:val="both"/>
        <w:ind w:right="210"/>
        <w:spacing w:lineRule="auto" w:line="276"/>
        <w:numPr>
          <w:ilvl w:val="1"/>
          <w:numId w:val="1"/>
        </w:numPr>
      </w:pPr>
      <w:r/>
      <w:r>
        <w:rPr>
          <w:rFonts w:ascii="Arial MT" w:hAnsi="Arial MT" w:cs="Arial MT" w:eastAsia="Arial MT"/>
          <w:sz w:val="19"/>
        </w:rPr>
        <w:t>Declaramos que cumprimos as exigências de reserva de cargos para pessoa com deficiência e para reabilitado da Previdência Social, de que trata o art. 93, da Lei nº 8.213/91;</w:t>
      </w:r>
    </w:p>
    <w:p>
      <w:r>
        <w:t/>
      </w:r>
    </w:p>
    <w:p>
      <w:pPr>
        <w:jc w:val="both"/>
        <w:ind w:right="210"/>
        <w:spacing w:lineRule="auto" w:line="276"/>
        <w:numPr>
          <w:ilvl w:val="1"/>
          <w:numId w:val="1"/>
        </w:numPr>
      </w:pPr>
      <w:r/>
      <w:r>
        <w:rPr>
          <w:rFonts w:ascii="Arial MT" w:hAnsi="Arial MT" w:cs="Arial MT" w:eastAsia="Arial MT"/>
          <w:sz w:val="19"/>
        </w:rPr>
        <w:t>Declaramos, para os fins do disposto no inciso XXXIII, do art. 7º, da Constituição Federal, que não empregamos menores de 18 (dezoito) anos em trabalho noturno, perigoso ou insalubre e nem menores de 16 (dezesseis) anos, em qualquer trabalho, salvo na condição de aprendiz, a partir dos 14 (quatorze) anos de idade, em cumprimento ao que determina o inciso VI, do art. 68, da Lei 14.133/2021;</w:t>
      </w:r>
    </w:p>
    <w:p>
      <w:pPr>
        <w:spacing w:before="15"/>
      </w:pPr>
      <w:r>
        <w:t/>
      </w:r>
    </w:p>
    <w:p>
      <w:pPr>
        <w:jc w:val="both"/>
        <w:ind w:right="210"/>
        <w:spacing w:lineRule="auto" w:line="276"/>
        <w:tabs>
          <w:tab w:val="left" w:pos="2985" w:leader="dot"/>
        </w:tabs>
        <w:numPr>
          <w:ilvl w:val="1"/>
          <w:numId w:val="1"/>
        </w:numPr>
      </w:pPr>
      <w:r/>
      <w:r>
        <w:rPr>
          <w:rFonts w:ascii="Arial MT" w:hAnsi="Arial MT" w:cs="Arial MT" w:eastAsia="Arial MT"/>
          <w:sz w:val="19"/>
        </w:rPr>
        <w:t>Declaramos, para os devidos fins de direito, na qualidade de Proponente dos Processos Licitatórios/de Contratação Direta,    instaurados    por    este    Município,    que    o    (a)    responsável     legal    da    empresa     é    o    (a) Sr.(a)      .............................................................,      portador(a)      da       Cédula      de       Identidade      RG       sob nº ..............................................…, incrito (a) no CPF sob nº ........................................................, cuja função/cargo é</w:t>
      </w:r>
      <w:r>
        <w:rPr>
          <w:rFonts w:ascii="Times New Roman" w:hAnsi="Times New Roman" w:cs="Times New Roman" w:eastAsia="Times New Roman"/>
          <w:sz w:val="19"/>
        </w:rPr>
        <w:tab/>
      </w:r>
      <w:r>
        <w:rPr>
          <w:rFonts w:ascii="Arial MT" w:hAnsi="Arial MT" w:cs="Arial MT" w:eastAsia="Arial MT"/>
          <w:sz w:val="19"/>
        </w:rPr>
        <w:t>(sócio administrador/procurador/diretor/etc), responsável pela assinatura do contrato;</w:t>
      </w:r>
    </w:p>
    <w:p>
      <w:pPr>
        <w:spacing w:before="15"/>
      </w:pPr>
      <w:r>
        <w:t/>
      </w:r>
    </w:p>
    <w:p>
      <w:pPr>
        <w:jc w:val="both"/>
        <w:ind w:right="210"/>
        <w:spacing w:lineRule="auto" w:line="264"/>
        <w:numPr>
          <w:ilvl w:val="1"/>
          <w:numId w:val="1"/>
        </w:numPr>
      </w:pPr>
      <w:r/>
      <w:r>
        <w:rPr>
          <w:rFonts w:ascii="Arial MT" w:hAnsi="Arial MT" w:cs="Arial MT" w:eastAsia="Arial MT"/>
          <w:sz w:val="19"/>
        </w:rPr>
        <w:t>Declaramos que não possui, em nossa cadeia produtiva, empregados executando trabalho degradante ou forçado, observado o disposto nos incisos III e IV do art. 1° e no inciso III, do art. 5° da Constituição Federal.</w:t>
      </w:r>
    </w:p>
    <w:p>
      <w:pPr>
        <w:jc w:val="both"/>
        <w:spacing w:before="15"/>
      </w:pPr>
      <w:r>
        <w:t/>
      </w:r>
    </w:p>
    <w:p>
      <w:pPr>
        <w:jc w:val="both"/>
        <w:ind w:right="210"/>
        <w:spacing w:lineRule="auto" w:line="276"/>
        <w:numPr>
          <w:ilvl w:val="1"/>
          <w:numId w:val="1"/>
        </w:numPr>
      </w:pPr>
      <w:r/>
      <w:r>
        <w:rPr>
          <w:rFonts w:ascii="Arial MT" w:hAnsi="Arial MT" w:cs="Arial MT" w:eastAsia="Arial MT"/>
          <w:sz w:val="19"/>
        </w:rPr>
        <w:t>Declaramos, para os devidos fins, que em caso de qualquer comunicação futura referente e este processo licitatório, bem como em caso de eventual contratação, concordamos que o Contrato seja encaminhado para o seguinte endereço:</w:t>
      </w:r>
    </w:p>
    <w:p>
      <w:pPr>
        <w:jc w:val="both"/>
        <w:spacing w:before="15"/>
      </w:pPr>
      <w:r>
        <w:t/>
      </w:r>
    </w:p>
    <w:p>
      <w:pPr>
        <w:jc w:val="both"/>
        <w:ind w:left="165"/>
      </w:pPr>
      <w:r>
        <w:rPr>
          <w:rFonts w:ascii="Arial MT" w:hAnsi="Arial MT" w:cs="Arial MT" w:eastAsia="Arial MT"/>
          <w:sz w:val="19"/>
        </w:rPr>
        <w:t>E-mail:</w:t>
      </w:r>
    </w:p>
    <w:p>
      <w:pPr>
        <w:jc w:val="both"/>
        <w:spacing w:before="15"/>
      </w:pPr>
      <w:r>
        <w:t/>
      </w:r>
    </w:p>
    <w:p>
      <w:pPr>
        <w:jc w:val="both"/>
        <w:ind w:left="165"/>
      </w:pPr>
      <w:r>
        <w:rPr>
          <w:rFonts w:ascii="Arial MT" w:hAnsi="Arial MT" w:cs="Arial MT" w:eastAsia="Arial MT"/>
          <w:sz w:val="19"/>
        </w:rPr>
        <w:t>Telefone: ( )</w:t>
      </w:r>
    </w:p>
    <w:p>
      <w:pPr>
        <w:jc w:val="both"/>
        <w:spacing w:before="15"/>
      </w:pPr>
      <w:r>
        <w:t/>
      </w:r>
    </w:p>
    <w:p>
      <w:pPr>
        <w:jc w:val="both"/>
        <w:ind w:right="210"/>
        <w:spacing w:lineRule="auto" w:line="276"/>
        <w:numPr>
          <w:ilvl w:val="1"/>
          <w:numId w:val="1"/>
        </w:numPr>
      </w:pPr>
      <w:r/>
      <w:r>
        <w:rPr>
          <w:rFonts w:ascii="Arial MT" w:hAnsi="Arial MT" w:cs="Arial MT" w:eastAsia="Arial MT"/>
          <w:sz w:val="19"/>
        </w:rPr>
        <w:t>Caso altere o citado e-mail ou telefone, comprometemo-nos a protocolizar pedido de alteração junto ao Sistema de Protocolo deste Município, sob pena de sermos considerados como intimados pelos meios anteriormente fornecidos.</w:t>
      </w:r>
    </w:p>
    <w:p>
      <w:pPr>
        <w:jc w:val="both"/>
        <w:spacing w:before="15"/>
      </w:pPr>
      <w:r>
        <w:t/>
      </w:r>
    </w:p>
    <w:p>
      <w:pPr>
        <w:jc w:val="both"/>
        <w:ind w:right="210"/>
        <w:spacing w:before="15" w:lineRule="auto" w:line="276"/>
        <w:tabs>
          <w:tab w:val="left" w:pos="495"/>
          <w:tab w:val="left" w:pos="2250" w:leader="dot"/>
        </w:tabs>
        <w:numPr>
          <w:ilvl w:val="1"/>
          <w:numId w:val="1"/>
        </w:numPr>
      </w:pPr>
      <w:r/>
      <w:r>
        <w:rPr>
          <w:rFonts w:ascii="Arial MT" w:hAnsi="Arial MT" w:cs="Arial MT" w:eastAsia="Arial MT"/>
          <w:sz w:val="19"/>
        </w:rPr>
        <w:t>Nomeamos e constituímos o   (a)   senhor   (a).........................................,   portador   (a)   do   CPF/MF   sob n.º</w:t>
      </w:r>
      <w:r>
        <w:rPr>
          <w:rFonts w:ascii="Times New Roman" w:hAnsi="Times New Roman" w:cs="Times New Roman" w:eastAsia="Times New Roman"/>
          <w:sz w:val="19"/>
        </w:rPr>
        <w:tab/>
      </w:r>
      <w:r>
        <w:rPr>
          <w:rFonts w:ascii="Arial MT" w:hAnsi="Arial MT" w:cs="Arial MT" w:eastAsia="Arial MT"/>
          <w:sz w:val="19"/>
        </w:rPr>
        <w:t xml:space="preserve">, para ser o (a) responsável para acompanhar a execução do contrato, referente ao </w:t>
      </w:r>
      <w:r>
        <w:rPr>
          <w:b/>
          <w:sz w:val="19"/>
        </w:rPr>
        <w:t xml:space="preserve">PREGÃO ELETRÔNICO N. 31/2024 </w:t>
      </w:r>
      <w:r>
        <w:rPr>
          <w:rFonts w:ascii="Arial MT" w:hAnsi="Arial MT" w:cs="Arial MT" w:eastAsia="Arial MT"/>
          <w:sz w:val="19"/>
        </w:rPr>
        <w:t>e todos os atos necessários ao cumprimento das obrigações contidas no instrumento convocatório, seus Anexos e no Contrato.</w:t>
      </w:r>
    </w:p>
    <w:p>
      <w:r>
        <w:t/>
      </w:r>
    </w:p>
    <w:p>
      <w:pPr>
        <w:ind w:left="5715"/>
        <w:tabs>
          <w:tab w:val="left" w:pos="6975"/>
          <w:tab w:val="left" w:pos="7770"/>
          <w:tab w:val="left" w:pos="9450"/>
        </w:tabs>
      </w:pP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r>
        <w:rPr>
          <w:rFonts w:ascii="Arial MT" w:hAnsi="Arial MT" w:cs="Arial MT" w:eastAsia="Arial MT"/>
          <w:sz w:val="19"/>
        </w:rPr>
        <w:t>,</w:t>
      </w:r>
      <w:r>
        <w:rPr>
          <w:rFonts w:ascii="Times New Roman" w:hAnsi="Times New Roman" w:cs="Times New Roman" w:eastAsia="Times New Roman"/>
          <w:u w:val="single"/>
          <w:sz w:val="19"/>
        </w:rPr>
        <w:tab/>
      </w:r>
      <w:r>
        <w:rPr>
          <w:rFonts w:ascii="Arial MT" w:hAnsi="Arial MT" w:cs="Arial MT" w:eastAsia="Arial MT"/>
          <w:sz w:val="19"/>
        </w:rPr>
        <w:t>de</w:t>
      </w:r>
      <w:r>
        <w:rPr>
          <w:rFonts w:ascii="Times New Roman" w:hAnsi="Times New Roman" w:cs="Times New Roman" w:eastAsia="Times New Roman"/>
          <w:u w:val="single"/>
          <w:sz w:val="19"/>
        </w:rPr>
        <w:tab/>
      </w:r>
      <w:r>
        <w:rPr>
          <w:rFonts w:ascii="Arial MT" w:hAnsi="Arial MT" w:cs="Arial MT" w:eastAsia="Arial MT"/>
          <w:sz w:val="19"/>
        </w:rPr>
        <w:t>de 2024.</w:t>
      </w:r>
    </w:p>
    <w:p>
      <w:r>
        <w:t/>
      </w:r>
    </w:p>
    <w:p>
      <w:pPr>
        <w:spacing w:before="15"/>
      </w:pPr>
      <w:r>
        <w:t/>
      </w:r>
    </w:p>
    <w:p>
      <w:pPr>
        <w:jc w:val="center"/>
        <w:ind w:left="30"/>
        <w:tabs>
          <w:tab w:val="left" w:pos="4275"/>
          <w:tab w:val="left" w:pos="6285"/>
        </w:tabs>
      </w:pP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r>
        <w:rPr>
          <w:rFonts w:ascii="Arial MT" w:hAnsi="Arial MT" w:cs="Arial MT" w:eastAsia="Arial MT"/>
          <w:sz w:val="19"/>
        </w:rPr>
        <w:t>_</w:t>
      </w:r>
      <w:r>
        <w:rPr>
          <w:rFonts w:ascii="Times New Roman" w:hAnsi="Times New Roman" w:cs="Times New Roman" w:eastAsia="Times New Roman"/>
          <w:u w:val="single"/>
          <w:sz w:val="19"/>
        </w:rPr>
        <w:tab/>
      </w:r>
      <w:r>
        <w:rPr>
          <w:rFonts w:ascii="Arial MT" w:hAnsi="Arial MT" w:cs="Arial MT" w:eastAsia="Arial MT"/>
          <w:sz w:val="19"/>
        </w:rPr>
        <w:t>_</w:t>
      </w:r>
    </w:p>
    <w:p>
      <w:pPr>
        <w:spacing w:before="15"/>
      </w:pPr>
      <w:r>
        <w:t/>
      </w:r>
    </w:p>
    <w:p>
      <w:pPr>
        <w:jc w:val="center"/>
        <w:ind w:left="2325" w:right="2310"/>
        <w:spacing w:lineRule="auto" w:line="492"/>
      </w:pPr>
      <w:r>
        <w:rPr>
          <w:i/>
          <w:sz w:val="19"/>
        </w:rPr>
        <w:t>(nome e CPF, completo do representante da empresa e assinatura). (nome e CNPJ, completo da empresa e assinatura).</w:t>
      </w:r>
    </w:p>
    <w:p>
      <w:r>
        <w:br w:type="page"/>
      </w:r>
    </w:p>
    <w:p>
      <w:r>
        <w:t/>
      </w:r>
    </w:p>
    <w:p>
      <w:pPr>
        <w:jc w:val="center"/>
        <w:spacing w:lineRule="auto" w:line="492"/>
      </w:pPr>
      <w:r>
        <w:t/>
      </w:r>
    </w:p>
    <w:p>
      <w:pPr>
        <w:jc w:val="center"/>
        <w:outlineLvl w:val="1"/>
        <w:ind w:left="1290" w:right="1335"/>
      </w:pPr>
      <w:r>
        <w:rPr>
          <w:b/>
          <w:sz w:val="19"/>
        </w:rPr>
        <w:t>MINUTA DE CONTRATO Nº ***/2024</w:t>
      </w:r>
    </w:p>
    <w:p>
      <w:r>
        <w:t/>
      </w:r>
    </w:p>
    <w:p>
      <w:pPr>
        <w:spacing w:before="15"/>
      </w:pPr>
      <w:r>
        <w:t/>
      </w:r>
    </w:p>
    <w:p>
      <w:pPr>
        <w:jc w:val="both"/>
        <w:ind w:left="165" w:right="195" w:firstLine="1140"/>
        <w:spacing w:lineRule="auto" w:line="276"/>
        <w:tabs>
          <w:tab w:val="left" w:pos="3585"/>
          <w:tab w:val="left" w:pos="6660"/>
          <w:tab w:val="left" w:pos="8910"/>
          <w:tab w:val="left" w:pos="10155"/>
        </w:tabs>
      </w:pPr>
      <w:r>
        <w:rPr>
          <w:rFonts w:ascii="Arial MT" w:hAnsi="Arial MT" w:cs="Arial MT" w:eastAsia="Arial MT"/>
          <w:sz w:val="19"/>
        </w:rPr>
        <w:t xml:space="preserve">Pelo presente instrumento de contrato que entre si celebram de um lado o </w:t>
      </w:r>
      <w:r>
        <w:rPr>
          <w:b/>
          <w:sz w:val="19"/>
        </w:rPr>
        <w:t>MUNICÍPIO DE SÃO TOMÉ</w:t>
      </w:r>
      <w:r>
        <w:rPr>
          <w:rFonts w:ascii="Arial MT" w:hAnsi="Arial MT" w:cs="Arial MT" w:eastAsia="Arial MT"/>
          <w:sz w:val="19"/>
        </w:rPr>
        <w:t>, pessoa jurídica de direito público interno, inscrita no CNPJ sob nº 75.381.178/0001-29, com sede administrativa na Rua Praça Professor Pedro Fecchio, 248, Centro, em São Tomé, Estado do Paraná, neste ato representado pelo Prefeito Municipal, o Sr.</w:t>
      </w:r>
      <w:r>
        <w:rPr>
          <w:b/>
          <w:sz w:val="19"/>
        </w:rPr>
        <w:t>OCELIO FERREIRA LEITE</w:t>
      </w:r>
      <w:r>
        <w:rPr>
          <w:rFonts w:ascii="Arial MT" w:hAnsi="Arial MT" w:cs="Arial MT" w:eastAsia="Arial MT"/>
          <w:sz w:val="19"/>
        </w:rPr>
        <w:t xml:space="preserve">, brasileiro, casado, inscrito no CPF sob nº xxxxxxx, portador da Cédula de Identidade nº xxxxxx SSP/PR., residente e domiciliado nesta cidade de São Tomé, Paraná, doravante denominado </w:t>
      </w:r>
      <w:r>
        <w:rPr>
          <w:b/>
          <w:sz w:val="19"/>
        </w:rPr>
        <w:t>CONTRATANTE</w:t>
      </w:r>
      <w:r>
        <w:rPr>
          <w:rFonts w:ascii="Arial MT" w:hAnsi="Arial MT" w:cs="Arial MT" w:eastAsia="Arial MT"/>
          <w:sz w:val="19"/>
        </w:rPr>
        <w:t>, e, de outro lado a empresa</w:t>
      </w:r>
      <w:r>
        <w:rPr>
          <w:rFonts w:ascii="Times New Roman" w:hAnsi="Times New Roman" w:cs="Times New Roman" w:eastAsia="Times New Roman"/>
          <w:u w:val="single"/>
          <w:sz w:val="19"/>
        </w:rPr>
        <w:tab/>
      </w:r>
      <w:r>
        <w:rPr>
          <w:rFonts w:ascii="Times New Roman" w:hAnsi="Times New Roman" w:cs="Times New Roman" w:eastAsia="Times New Roman"/>
          <w:u w:val="single"/>
          <w:sz w:val="19"/>
        </w:rPr>
        <w:tab/>
      </w:r>
      <w:r>
        <w:rPr>
          <w:rFonts w:ascii="Arial MT" w:hAnsi="Arial MT" w:cs="Arial MT" w:eastAsia="Arial MT"/>
          <w:sz w:val="19"/>
        </w:rPr>
        <w:t>, inscrita no CNPJ nº</w:t>
      </w:r>
      <w:r>
        <w:rPr>
          <w:rFonts w:ascii="Times New Roman" w:hAnsi="Times New Roman" w:cs="Times New Roman" w:eastAsia="Times New Roman"/>
          <w:u w:val="single"/>
          <w:sz w:val="19"/>
        </w:rPr>
        <w:tab/>
      </w:r>
      <w:r>
        <w:rPr>
          <w:rFonts w:ascii="Arial MT" w:hAnsi="Arial MT" w:cs="Arial MT" w:eastAsia="Arial MT"/>
          <w:sz w:val="19"/>
        </w:rPr>
        <w:t>_, com sede à</w:t>
      </w:r>
      <w:r>
        <w:rPr>
          <w:rFonts w:ascii="Times New Roman" w:hAnsi="Times New Roman" w:cs="Times New Roman" w:eastAsia="Times New Roman"/>
          <w:u w:val="single"/>
          <w:sz w:val="19"/>
        </w:rPr>
        <w:tab/>
      </w:r>
      <w:r>
        <w:rPr>
          <w:rFonts w:ascii="Arial MT" w:hAnsi="Arial MT" w:cs="Arial MT" w:eastAsia="Arial MT"/>
          <w:sz w:val="19"/>
        </w:rPr>
        <w:t>_, nº</w:t>
      </w:r>
      <w:r>
        <w:rPr>
          <w:rFonts w:ascii="Arial MT" w:hAnsi="Arial MT" w:cs="Arial MT" w:eastAsia="Arial MT"/>
          <w:u w:val="single"/>
          <w:sz w:val="19"/>
        </w:rPr>
        <w:t xml:space="preserve">          </w:t>
      </w:r>
      <w:r>
        <w:rPr>
          <w:rFonts w:ascii="Arial MT" w:hAnsi="Arial MT" w:cs="Arial MT" w:eastAsia="Arial MT"/>
          <w:sz w:val="19"/>
        </w:rPr>
        <w:t>, CEP:</w:t>
      </w:r>
      <w:r>
        <w:rPr>
          <w:rFonts w:ascii="Times New Roman" w:hAnsi="Times New Roman" w:cs="Times New Roman" w:eastAsia="Times New Roman"/>
          <w:u w:val="single"/>
          <w:sz w:val="19"/>
        </w:rPr>
        <w:tab/>
      </w:r>
      <w:r>
        <w:rPr>
          <w:rFonts w:ascii="Arial MT" w:hAnsi="Arial MT" w:cs="Arial MT" w:eastAsia="Arial MT"/>
          <w:sz w:val="19"/>
        </w:rPr>
        <w:t xml:space="preserve">, na cidade de </w:t>
      </w: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r>
        <w:rPr>
          <w:rFonts w:ascii="Arial MT" w:hAnsi="Arial MT" w:cs="Arial MT" w:eastAsia="Arial MT"/>
          <w:sz w:val="19"/>
        </w:rPr>
        <w:t>, Estado do</w:t>
      </w:r>
      <w:r>
        <w:rPr>
          <w:rFonts w:ascii="Times New Roman" w:hAnsi="Times New Roman" w:cs="Times New Roman" w:eastAsia="Times New Roman"/>
          <w:u w:val="single"/>
          <w:sz w:val="19"/>
        </w:rPr>
        <w:tab/>
      </w:r>
      <w:r>
        <w:rPr>
          <w:rFonts w:ascii="Times New Roman" w:hAnsi="Times New Roman" w:cs="Times New Roman" w:eastAsia="Times New Roman"/>
          <w:u w:val="single"/>
          <w:sz w:val="19"/>
        </w:rPr>
        <w:tab/>
      </w:r>
      <w:r>
        <w:rPr>
          <w:rFonts w:ascii="Arial MT" w:hAnsi="Arial MT" w:cs="Arial MT" w:eastAsia="Arial MT"/>
          <w:sz w:val="19"/>
        </w:rPr>
        <w:t xml:space="preserve">, doravante denominada </w:t>
      </w:r>
      <w:r>
        <w:rPr>
          <w:b/>
          <w:sz w:val="19"/>
        </w:rPr>
        <w:t>CONTRATADA</w:t>
      </w:r>
      <w:r>
        <w:rPr>
          <w:rFonts w:ascii="Arial MT" w:hAnsi="Arial MT" w:cs="Arial MT" w:eastAsia="Arial MT"/>
          <w:sz w:val="19"/>
        </w:rPr>
        <w:t>, neste ato representada por seu sócio administrador o Sr.</w:t>
      </w:r>
      <w:r>
        <w:rPr>
          <w:rFonts w:ascii="Times New Roman" w:hAnsi="Times New Roman" w:cs="Times New Roman" w:eastAsia="Times New Roman"/>
          <w:u w:val="single"/>
          <w:sz w:val="19"/>
        </w:rPr>
        <w:tab/>
      </w:r>
      <w:r>
        <w:rPr>
          <w:rFonts w:ascii="Times New Roman" w:hAnsi="Times New Roman" w:cs="Times New Roman" w:eastAsia="Times New Roman"/>
          <w:u w:val="single"/>
          <w:sz w:val="19"/>
        </w:rPr>
        <w:tab/>
      </w:r>
      <w:r>
        <w:rPr>
          <w:rFonts w:ascii="Times New Roman" w:hAnsi="Times New Roman" w:cs="Times New Roman" w:eastAsia="Times New Roman"/>
          <w:u w:val="single"/>
          <w:sz w:val="19"/>
        </w:rPr>
        <w:tab/>
      </w:r>
      <w:r>
        <w:rPr>
          <w:rFonts w:ascii="Arial MT" w:hAnsi="Arial MT" w:cs="Arial MT" w:eastAsia="Arial MT"/>
          <w:sz w:val="19"/>
        </w:rPr>
        <w:t>_, portador da Cédula de Identidade, RG nº</w:t>
      </w:r>
      <w:r>
        <w:rPr>
          <w:rFonts w:ascii="Times New Roman" w:hAnsi="Times New Roman" w:cs="Times New Roman" w:eastAsia="Times New Roman"/>
          <w:u w:val="single"/>
          <w:sz w:val="19"/>
        </w:rPr>
        <w:tab/>
      </w:r>
      <w:r>
        <w:rPr>
          <w:rFonts w:ascii="Arial MT" w:hAnsi="Arial MT" w:cs="Arial MT" w:eastAsia="Arial MT"/>
          <w:sz w:val="19"/>
        </w:rPr>
        <w:t>SSP/PR, e inscrito no CPF sob nº</w:t>
      </w:r>
      <w:r>
        <w:rPr>
          <w:rFonts w:ascii="Times New Roman" w:hAnsi="Times New Roman" w:cs="Times New Roman" w:eastAsia="Times New Roman"/>
          <w:u w:val="single"/>
          <w:sz w:val="19"/>
        </w:rPr>
        <w:tab/>
      </w:r>
      <w:r>
        <w:rPr>
          <w:rFonts w:ascii="Arial MT" w:hAnsi="Arial MT" w:cs="Arial MT" w:eastAsia="Arial MT"/>
          <w:sz w:val="19"/>
        </w:rPr>
        <w:t>, residente e domiciliado na cidade de xxxxxxxx, Estado do Paraná, resolvem na melhor forma de direito, o presente contrato pelas cláusulas e condições seguintes:</w:t>
      </w:r>
    </w:p>
    <w:p>
      <w:pPr>
        <w:spacing w:before="15"/>
      </w:pPr>
      <w:r>
        <w:t/>
      </w:r>
    </w:p>
    <w:p>
      <w:pPr>
        <w:jc w:val="both"/>
        <w:ind w:left="165" w:right="210"/>
        <w:spacing w:before="15" w:lineRule="auto" w:line="276"/>
        <w:tabs>
          <w:tab w:val="left" w:pos="5775"/>
          <w:tab w:val="left" w:pos="9975"/>
        </w:tabs>
      </w:pPr>
      <w:r>
        <w:rPr>
          <w:b/>
          <w:sz w:val="19"/>
        </w:rPr>
        <w:t>CLÁUSULA PRIMEIRA – DA FUNDAMENTAÇÃO</w:t>
      </w:r>
      <w:r>
        <w:rPr>
          <w:rFonts w:ascii="Arial MT" w:hAnsi="Arial MT" w:cs="Arial MT" w:eastAsia="Arial MT"/>
          <w:sz w:val="19"/>
        </w:rPr>
        <w:t>: O presente instrumento é celebrado com fundamento no Pregão Eletrônico n°</w:t>
      </w:r>
      <w:r>
        <w:rPr>
          <w:rFonts w:ascii="Arial MT" w:hAnsi="Arial MT" w:cs="Arial MT" w:eastAsia="Arial MT"/>
          <w:u w:val="single"/>
          <w:sz w:val="19"/>
        </w:rPr>
        <w:t xml:space="preserve">           </w:t>
      </w:r>
      <w:r>
        <w:rPr>
          <w:rFonts w:ascii="Arial MT" w:hAnsi="Arial MT" w:cs="Arial MT" w:eastAsia="Arial MT"/>
          <w:sz w:val="19"/>
        </w:rPr>
        <w:t xml:space="preserve">/2024, homologado em </w:t>
      </w:r>
      <w:r>
        <w:rPr>
          <w:rFonts w:ascii="Arial MT" w:hAnsi="Arial MT" w:cs="Arial MT" w:eastAsia="Arial MT"/>
          <w:u w:val="single"/>
          <w:sz w:val="19"/>
        </w:rPr>
        <w:t xml:space="preserve">     </w:t>
      </w:r>
      <w:r>
        <w:rPr>
          <w:rFonts w:ascii="Arial MT" w:hAnsi="Arial MT" w:cs="Arial MT" w:eastAsia="Arial MT"/>
          <w:sz w:val="19"/>
        </w:rPr>
        <w:t>de</w:t>
      </w:r>
      <w:r>
        <w:rPr>
          <w:rFonts w:ascii="Times New Roman" w:hAnsi="Times New Roman" w:cs="Times New Roman" w:eastAsia="Times New Roman"/>
          <w:u w:val="single"/>
          <w:sz w:val="19"/>
        </w:rPr>
        <w:tab/>
      </w:r>
      <w:r>
        <w:rPr>
          <w:rFonts w:ascii="Arial MT" w:hAnsi="Arial MT" w:cs="Arial MT" w:eastAsia="Arial MT"/>
          <w:sz w:val="19"/>
        </w:rPr>
        <w:t>de 2024, que integram o presente Termo, e nos fundamentos e disposições da Lei Federal nº 14.133, de 1º de abril de 2021, da Instrução Normativa SEGES/ME nº 73/2022, das Leis Complementares nº 123/06, 147/2014 e 155/2016 e demais legislações aplicáveis.</w:t>
      </w:r>
    </w:p>
    <w:p>
      <w:pPr>
        <w:spacing w:before="15"/>
      </w:pPr>
      <w:r>
        <w:t/>
      </w:r>
    </w:p>
    <w:p>
      <w:pPr>
        <w:jc w:val="both"/>
        <w:outlineLvl w:val="1"/>
        <w:ind w:left="225" w:right="210"/>
        <w:spacing w:lineRule="auto" w:line="276"/>
      </w:pPr>
      <w:r>
        <w:rPr>
          <w:b/>
          <w:sz w:val="19"/>
        </w:rPr>
        <w:t>CLÁUSULA SEGUNDA – DO OBJETO</w:t>
      </w:r>
      <w:r>
        <w:rPr>
          <w:rFonts w:ascii="Arial MT" w:hAnsi="Arial MT" w:cs="Arial MT" w:eastAsia="Arial MT"/>
          <w:sz w:val="19"/>
        </w:rPr>
        <w:t xml:space="preserve">: </w:t>
      </w:r>
      <w:r>
        <w:rPr>
          <w:b/>
          <w:sz w:val="19"/>
        </w:rPr>
        <w:t xml:space="preserve">CREDENCIAMENTO DE EMPRESAS PARA PRESTAÇÃO DE SERVIÇOS DE RESERVA, EMISSÃO, MARCAÇÃO REMARCAÇÃO, ENDOSSO E FORNECIMENTO DE PASSAGENS RODOVIÁRIAS, DESTINADOS AOS SERVIDORES QUANDO EM VIAGENS PARA REALIZAÇÃO DE CAPACITAÇÃO OU A SERVIÇO DO MUNICÍPIO, BEM COMO PARA ATENDIMENTO DE EVENTUAIS PASSAGEIROS ATENDIDOS PELA SECRETARIA DE ASSISTÊNCIA SOCIAL COM NECESSIDADE DE LOCOMOÇÃO PARA OUTROS MUNICÍPIOS E PARA ATENDIMENTO DE PACIENTES TFD – TRATAMENTO FORA DE DOMICÍLIO DA SECRETARIA DE SAÚDE., </w:t>
      </w:r>
      <w:r>
        <w:rPr>
          <w:rFonts w:ascii="Arial MT" w:hAnsi="Arial MT" w:cs="Arial MT" w:eastAsia="Arial MT"/>
          <w:sz w:val="19"/>
        </w:rPr>
        <w:t>conforme segue:</w:t>
      </w:r>
    </w:p>
    <w:p>
      <w:pPr>
        <w:spacing w:before="15"/>
      </w:pPr>
      <w:r>
        <w:t/>
      </w:r>
    </w:p>
    <w:p>
      <w:pPr>
        <w:jc w:val="center"/>
        <w:ind w:left="120"/>
      </w:pPr>
      <w:r>
        <w:rPr>
          <w:b/>
          <w:sz w:val="19"/>
        </w:rPr>
        <w:t>XXXXXXXXXXXXX</w:t>
      </w:r>
    </w:p>
    <w:p>
      <w:pPr>
        <w:spacing w:before="15"/>
      </w:pPr>
      <w:r>
        <w:t/>
      </w:r>
    </w:p>
    <w:p>
      <w:pPr>
        <w:ind w:left="165"/>
      </w:pPr>
      <w:r>
        <w:rPr>
          <w:b/>
          <w:sz w:val="19"/>
        </w:rPr>
        <w:t xml:space="preserve">Parágrafo Único: </w:t>
      </w:r>
      <w:r>
        <w:rPr>
          <w:rFonts w:ascii="Arial MT" w:hAnsi="Arial MT" w:cs="Arial MT" w:eastAsia="Arial MT"/>
          <w:sz w:val="19"/>
        </w:rPr>
        <w:t>Vinculam esta contratação, independente de transcrição:</w:t>
      </w:r>
    </w:p>
    <w:p>
      <w:pPr>
        <w:spacing w:before="30"/>
        <w:numPr>
          <w:ilvl w:val="0"/>
          <w:numId w:val="26"/>
        </w:numPr>
      </w:pPr>
      <w:r/>
      <w:r>
        <w:rPr>
          <w:rFonts w:ascii="Arial MT" w:hAnsi="Arial MT" w:cs="Arial MT" w:eastAsia="Arial MT"/>
          <w:sz w:val="19"/>
        </w:rPr>
        <w:t>– O Termo de Referência;</w:t>
      </w:r>
    </w:p>
    <w:p>
      <w:pPr>
        <w:spacing w:before="30"/>
        <w:tabs>
          <w:tab w:val="left" w:pos="315"/>
        </w:tabs>
        <w:numPr>
          <w:ilvl w:val="0"/>
          <w:numId w:val="26"/>
        </w:numPr>
      </w:pPr>
      <w:r/>
      <w:r>
        <w:rPr>
          <w:rFonts w:ascii="Arial MT" w:hAnsi="Arial MT" w:cs="Arial MT" w:eastAsia="Arial MT"/>
          <w:sz w:val="19"/>
        </w:rPr>
        <w:t>– A Proposta da Contratada;</w:t>
      </w:r>
    </w:p>
    <w:p>
      <w:pPr>
        <w:spacing w:before="30"/>
        <w:tabs>
          <w:tab w:val="left" w:pos="375"/>
          <w:tab w:val="left" w:pos="6735"/>
        </w:tabs>
        <w:numPr>
          <w:ilvl w:val="0"/>
          <w:numId w:val="26"/>
        </w:numPr>
      </w:pPr>
      <w:r/>
      <w:r>
        <w:rPr>
          <w:rFonts w:ascii="Arial MT" w:hAnsi="Arial MT" w:cs="Arial MT" w:eastAsia="Arial MT"/>
          <w:sz w:val="19"/>
        </w:rPr>
        <w:t>– Eventuais anexos e documentos presentes no Processo Licitatório nº</w:t>
      </w:r>
      <w:r>
        <w:rPr>
          <w:rFonts w:ascii="Times New Roman" w:hAnsi="Times New Roman" w:cs="Times New Roman" w:eastAsia="Times New Roman"/>
          <w:u w:val="single"/>
          <w:sz w:val="19"/>
        </w:rPr>
        <w:tab/>
      </w:r>
      <w:r>
        <w:rPr>
          <w:rFonts w:ascii="Arial MT" w:hAnsi="Arial MT" w:cs="Arial MT" w:eastAsia="Arial MT"/>
          <w:sz w:val="19"/>
        </w:rPr>
        <w:t>_/2024.</w:t>
      </w:r>
    </w:p>
    <w:p>
      <w:pPr>
        <w:spacing w:before="15"/>
      </w:pPr>
      <w:r>
        <w:t/>
      </w:r>
    </w:p>
    <w:p>
      <w:pPr>
        <w:jc w:val="both"/>
        <w:ind w:left="165" w:right="210"/>
        <w:spacing w:before="15" w:lineRule="auto" w:line="276"/>
        <w:tabs>
          <w:tab w:val="left" w:pos="3840"/>
          <w:tab w:val="left" w:pos="6780"/>
          <w:tab w:val="left" w:pos="9375"/>
        </w:tabs>
      </w:pPr>
      <w:r>
        <w:rPr>
          <w:b/>
          <w:sz w:val="19"/>
        </w:rPr>
        <w:t xml:space="preserve">CLÁUSULA TERCEIRA – DA INDICAÇÃO DE GESTOR (ES) E FISCAL (IS): </w:t>
      </w:r>
      <w:r>
        <w:rPr>
          <w:rFonts w:ascii="Arial MT" w:hAnsi="Arial MT" w:cs="Arial MT" w:eastAsia="Arial MT"/>
          <w:sz w:val="19"/>
        </w:rPr>
        <w:t xml:space="preserve">De acordo com os requisitos exigidos no artigo 2º, da Instrução Normativa nº 03, de 22 de junho de 2009, da Divisão de Controle Interno da Prefeitura Municipal de São Tomé-Pr, indica-se como </w:t>
      </w:r>
      <w:r>
        <w:rPr>
          <w:b/>
          <w:sz w:val="19"/>
        </w:rPr>
        <w:t xml:space="preserve">GESTOR DE CONTRATO: </w:t>
      </w:r>
      <w:r>
        <w:rPr>
          <w:rFonts w:ascii="Arial MT" w:hAnsi="Arial MT" w:cs="Arial MT" w:eastAsia="Arial MT"/>
          <w:sz w:val="19"/>
        </w:rPr>
        <w:t>o Sr.</w:t>
      </w:r>
      <w:r>
        <w:rPr>
          <w:rFonts w:ascii="Times New Roman" w:hAnsi="Times New Roman" w:cs="Times New Roman" w:eastAsia="Times New Roman"/>
          <w:u w:val="single"/>
          <w:sz w:val="19"/>
        </w:rPr>
        <w:tab/>
      </w:r>
      <w:r>
        <w:rPr>
          <w:rFonts w:ascii="Times New Roman" w:hAnsi="Times New Roman" w:cs="Times New Roman" w:eastAsia="Times New Roman"/>
          <w:u w:val="single"/>
          <w:sz w:val="19"/>
        </w:rPr>
        <w:tab/>
      </w:r>
      <w:r>
        <w:rPr>
          <w:rFonts w:ascii="Arial MT" w:hAnsi="Arial MT" w:cs="Arial MT" w:eastAsia="Arial MT"/>
          <w:sz w:val="19"/>
        </w:rPr>
        <w:t>, portador da cédula de identidade, RG nº</w:t>
      </w:r>
      <w:r>
        <w:rPr>
          <w:rFonts w:ascii="Times New Roman" w:hAnsi="Times New Roman" w:cs="Times New Roman" w:eastAsia="Times New Roman"/>
          <w:u w:val="single"/>
          <w:sz w:val="19"/>
        </w:rPr>
        <w:tab/>
      </w:r>
      <w:r>
        <w:rPr>
          <w:rFonts w:ascii="Arial MT" w:hAnsi="Arial MT" w:cs="Arial MT" w:eastAsia="Arial MT"/>
          <w:sz w:val="19"/>
        </w:rPr>
        <w:t>, inscrito no CPF sob n°</w:t>
      </w:r>
      <w:r>
        <w:rPr>
          <w:rFonts w:ascii="Times New Roman" w:hAnsi="Times New Roman" w:cs="Times New Roman" w:eastAsia="Times New Roman"/>
          <w:u w:val="single"/>
          <w:sz w:val="19"/>
        </w:rPr>
        <w:tab/>
      </w:r>
      <w:r>
        <w:rPr>
          <w:rFonts w:ascii="Arial MT" w:hAnsi="Arial MT" w:cs="Arial MT" w:eastAsia="Arial MT"/>
          <w:sz w:val="19"/>
        </w:rPr>
        <w:t xml:space="preserve">_; como </w:t>
      </w:r>
      <w:r>
        <w:rPr>
          <w:b/>
          <w:sz w:val="19"/>
        </w:rPr>
        <w:t xml:space="preserve">FISCAL DE CONTRATO: </w:t>
      </w:r>
      <w:r>
        <w:rPr>
          <w:rFonts w:ascii="Arial MT" w:hAnsi="Arial MT" w:cs="Arial MT" w:eastAsia="Arial MT"/>
          <w:sz w:val="19"/>
        </w:rPr>
        <w:t xml:space="preserve">o Sr. </w:t>
      </w: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r>
        <w:rPr>
          <w:rFonts w:ascii="Arial MT" w:hAnsi="Arial MT" w:cs="Arial MT" w:eastAsia="Arial MT"/>
          <w:sz w:val="19"/>
        </w:rPr>
        <w:t>, portador da cédula de identidade, RG nº</w:t>
      </w:r>
      <w:r>
        <w:rPr>
          <w:rFonts w:ascii="Times New Roman" w:hAnsi="Times New Roman" w:cs="Times New Roman" w:eastAsia="Times New Roman"/>
          <w:u w:val="single"/>
          <w:sz w:val="19"/>
        </w:rPr>
        <w:tab/>
      </w:r>
      <w:r>
        <w:rPr>
          <w:rFonts w:ascii="Arial MT" w:hAnsi="Arial MT" w:cs="Arial MT" w:eastAsia="Arial MT"/>
          <w:sz w:val="19"/>
        </w:rPr>
        <w:t>, inscrito no CPF sob n°</w:t>
      </w:r>
      <w:r>
        <w:rPr>
          <w:rFonts w:ascii="Times New Roman" w:hAnsi="Times New Roman" w:cs="Times New Roman" w:eastAsia="Times New Roman"/>
          <w:u w:val="single"/>
          <w:sz w:val="19"/>
        </w:rPr>
        <w:tab/>
      </w:r>
      <w:r>
        <w:rPr>
          <w:rFonts w:ascii="Arial MT" w:hAnsi="Arial MT" w:cs="Arial MT" w:eastAsia="Arial MT"/>
          <w:sz w:val="19"/>
        </w:rPr>
        <w:t>_.</w:t>
      </w:r>
    </w:p>
    <w:p>
      <w:pPr>
        <w:spacing w:before="15"/>
      </w:pPr>
      <w:r>
        <w:t/>
      </w:r>
    </w:p>
    <w:p>
      <w:pPr>
        <w:jc w:val="both"/>
        <w:ind w:left="165" w:right="210"/>
        <w:spacing w:lineRule="auto" w:line="276"/>
        <w:tabs>
          <w:tab w:val="left" w:pos="4260"/>
          <w:tab w:val="left" w:pos="8070"/>
        </w:tabs>
      </w:pPr>
      <w:r>
        <w:rPr>
          <w:b/>
          <w:sz w:val="19"/>
        </w:rPr>
        <w:t xml:space="preserve">CLÁUSULA QUARTA – DA VIGÊNCIA E DA PRORROGAÇÃO: </w:t>
      </w:r>
      <w:r>
        <w:rPr>
          <w:rFonts w:ascii="Arial MT" w:hAnsi="Arial MT" w:cs="Arial MT" w:eastAsia="Arial MT"/>
          <w:sz w:val="19"/>
        </w:rPr>
        <w:t xml:space="preserve">O prazo de vigência da contratação será de </w:t>
      </w:r>
      <w:r>
        <w:rPr>
          <w:b/>
          <w:sz w:val="19"/>
        </w:rPr>
        <w:t>12 (doze) meses</w:t>
      </w:r>
      <w:r>
        <w:rPr>
          <w:rFonts w:ascii="Arial MT" w:hAnsi="Arial MT" w:cs="Arial MT" w:eastAsia="Arial MT"/>
          <w:sz w:val="19"/>
        </w:rPr>
        <w:t>, tendo início em</w:t>
      </w:r>
      <w:r>
        <w:rPr>
          <w:rFonts w:ascii="Arial MT" w:hAnsi="Arial MT" w:cs="Arial MT" w:eastAsia="Arial MT"/>
          <w:u w:val="single"/>
          <w:sz w:val="19"/>
        </w:rPr>
        <w:t xml:space="preserve">       </w:t>
      </w:r>
      <w:r>
        <w:rPr>
          <w:rFonts w:ascii="Arial MT" w:hAnsi="Arial MT" w:cs="Arial MT" w:eastAsia="Arial MT"/>
          <w:sz w:val="19"/>
        </w:rPr>
        <w:t xml:space="preserve"> </w:t>
      </w:r>
      <w:r>
        <w:rPr>
          <w:b/>
          <w:sz w:val="19"/>
        </w:rPr>
        <w:t>de</w:t>
      </w:r>
      <w:r>
        <w:rPr>
          <w:rFonts w:ascii="Times New Roman" w:hAnsi="Times New Roman" w:cs="Times New Roman" w:eastAsia="Times New Roman"/>
          <w:b/>
          <w:u w:val="single"/>
          <w:sz w:val="19"/>
        </w:rPr>
        <w:tab/>
      </w:r>
      <w:r>
        <w:rPr>
          <w:b/>
          <w:sz w:val="19"/>
        </w:rPr>
        <w:t>de 2024 e com término em</w:t>
      </w:r>
      <w:r>
        <w:rPr>
          <w:b/>
          <w:u w:val="single"/>
          <w:sz w:val="19"/>
        </w:rPr>
        <w:t xml:space="preserve">       </w:t>
      </w:r>
      <w:r>
        <w:rPr>
          <w:b/>
          <w:sz w:val="19"/>
        </w:rPr>
        <w:t xml:space="preserve"> de</w:t>
      </w:r>
      <w:r>
        <w:rPr>
          <w:rFonts w:ascii="Times New Roman" w:hAnsi="Times New Roman" w:cs="Times New Roman" w:eastAsia="Times New Roman"/>
          <w:b/>
          <w:u w:val="single"/>
          <w:sz w:val="19"/>
        </w:rPr>
        <w:tab/>
      </w:r>
      <w:r>
        <w:rPr>
          <w:b/>
          <w:sz w:val="19"/>
        </w:rPr>
        <w:t>de 2024</w:t>
      </w:r>
      <w:r>
        <w:rPr>
          <w:rFonts w:ascii="Arial MT" w:hAnsi="Arial MT" w:cs="Arial MT" w:eastAsia="Arial MT"/>
          <w:sz w:val="19"/>
        </w:rPr>
        <w:t>, sendo contudo prorrogável por igual período, por conveniência e oportunidade da Administração, na forma dos artigos 105 e 111, da Lei Federal nº 14.133/2021.</w:t>
      </w:r>
    </w:p>
    <w:p>
      <w:pPr>
        <w:spacing w:before="15"/>
      </w:pPr>
      <w:r>
        <w:t/>
      </w:r>
    </w:p>
    <w:p>
      <w:pPr>
        <w:jc w:val="both"/>
        <w:ind w:left="165" w:right="210"/>
        <w:spacing w:lineRule="auto" w:line="276"/>
      </w:pPr>
      <w:r>
        <w:rPr>
          <w:b/>
          <w:sz w:val="19"/>
        </w:rPr>
        <w:t xml:space="preserve">Parágrafo Primeiro: </w:t>
      </w:r>
      <w:r>
        <w:rPr>
          <w:rFonts w:ascii="Arial MT" w:hAnsi="Arial MT" w:cs="Arial MT" w:eastAsia="Arial MT"/>
          <w:sz w:val="19"/>
        </w:rPr>
        <w:t>A prorrogação de que trata esta cláusula é condicionada ao ateste, pela autoridade competente, de que as condições e os preços permanecem vantajosos para a Administração Pública, permitida a negociação com a Contratada.</w:t>
      </w:r>
    </w:p>
    <w:p>
      <w:pPr>
        <w:jc w:val="both"/>
        <w:ind w:left="165" w:right="210"/>
        <w:spacing w:lineRule="auto" w:line="276"/>
      </w:pPr>
      <w:r>
        <w:rPr>
          <w:rFonts w:ascii="Arial MT" w:hAnsi="Arial MT" w:cs="Arial MT" w:eastAsia="Arial MT"/>
          <w:sz w:val="19"/>
        </w:rPr>
        <w:t>I – Em caso de prorrogação, deverá ser analisado se a Contratada mantém todas as condições de habilitação e qualificação exigidas na contratação, de acordo com o Artigo 92, inciso XVI, da Lei Federal nº 14.133/2021;</w:t>
      </w:r>
    </w:p>
    <w:p>
      <w:pPr>
        <w:jc w:val="both"/>
        <w:ind w:left="165" w:right="210"/>
        <w:spacing w:lineRule="auto" w:line="276"/>
      </w:pPr>
      <w:r>
        <w:rPr>
          <w:b/>
          <w:sz w:val="19"/>
        </w:rPr>
        <w:t xml:space="preserve">Parágrafo Segundo: </w:t>
      </w:r>
      <w:r>
        <w:rPr>
          <w:rFonts w:ascii="Arial MT" w:hAnsi="Arial MT" w:cs="Arial MT" w:eastAsia="Arial MT"/>
          <w:sz w:val="19"/>
        </w:rPr>
        <w:t>A Administração terá a opção de extinguir o contrato, sem ônus, quando não dispuser de créditos orçamentários para sua continuidade ou quando entender que o contrato não mais lhe oferece vantagem, conforme inciso II, da cláusula vigésima, do presente contrato.</w:t>
      </w:r>
    </w:p>
    <w:p>
      <w:pPr>
        <w:spacing w:before="15"/>
      </w:pPr>
      <w:r>
        <w:t/>
      </w:r>
    </w:p>
    <w:p>
      <w:pPr>
        <w:jc w:val="both"/>
        <w:outlineLvl w:val="1"/>
        <w:ind w:left="165"/>
      </w:pPr>
      <w:r>
        <w:rPr>
          <w:b/>
          <w:sz w:val="19"/>
        </w:rPr>
        <w:t>CLÁUSULA QUINTA – DO PREÇO</w:t>
      </w:r>
    </w:p>
    <w:p>
      <w:pPr>
        <w:spacing w:before="15"/>
      </w:pPr>
      <w:r>
        <w:t/>
      </w:r>
    </w:p>
    <w:p>
      <w:pPr>
        <w:jc w:val="both"/>
        <w:numPr>
          <w:ilvl w:val="0"/>
          <w:numId w:val="35"/>
        </w:numPr>
      </w:pPr>
      <w:r/>
      <w:r>
        <w:rPr>
          <w:rFonts w:ascii="Arial MT" w:hAnsi="Arial MT" w:cs="Arial MT" w:eastAsia="Arial MT"/>
          <w:sz w:val="19"/>
        </w:rPr>
        <w:t>– O valor total da presente contratação é de R$ xxxxxxx (valor por extenso);</w:t>
      </w:r>
    </w:p>
    <w:p>
      <w:pPr>
        <w:jc w:val="both"/>
        <w:ind w:right="210"/>
        <w:spacing w:before="30" w:lineRule="auto" w:line="276"/>
        <w:tabs>
          <w:tab w:val="left" w:pos="360"/>
        </w:tabs>
        <w:numPr>
          <w:ilvl w:val="0"/>
          <w:numId w:val="35"/>
        </w:numPr>
      </w:pPr>
      <w:r/>
      <w:r>
        <w:rPr>
          <w:rFonts w:ascii="Arial MT" w:hAnsi="Arial MT" w:cs="Arial MT" w:eastAsia="Arial MT"/>
          <w:sz w:val="19"/>
        </w:rPr>
        <w:t>–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pPr>
        <w:jc w:val="both"/>
        <w:ind w:right="210"/>
        <w:spacing w:lineRule="auto" w:line="276"/>
        <w:tabs>
          <w:tab w:val="left" w:pos="405"/>
        </w:tabs>
        <w:numPr>
          <w:ilvl w:val="0"/>
          <w:numId w:val="35"/>
        </w:numPr>
      </w:pPr>
      <w:r/>
      <w:r>
        <w:rPr>
          <w:rFonts w:ascii="Arial MT" w:hAnsi="Arial MT" w:cs="Arial MT" w:eastAsia="Arial MT"/>
          <w:sz w:val="19"/>
        </w:rPr>
        <w:t>– O valor acima é meramente estimativo, de forma que os pagamentos devidos à Contratada dependerão dos quantitativos efetivamente fornecidos;</w:t>
      </w:r>
    </w:p>
    <w:p>
      <w:pPr>
        <w:jc w:val="both"/>
        <w:ind w:left="165" w:right="210"/>
        <w:spacing w:before="15" w:lineRule="auto" w:line="276"/>
      </w:pPr>
      <w:r>
        <w:rPr>
          <w:b/>
          <w:sz w:val="19"/>
        </w:rPr>
        <w:t xml:space="preserve">Parágrafo Primeiro: </w:t>
      </w:r>
      <w:r>
        <w:rPr>
          <w:rFonts w:ascii="Arial MT" w:hAnsi="Arial MT" w:cs="Arial MT" w:eastAsia="Arial MT"/>
          <w:sz w:val="19"/>
        </w:rPr>
        <w:t>Dos valores que a se refere esta cláusula, será abatido o montante devido a título de ISSQN, nos termos da Legislação Municipal em vigor.</w:t>
      </w:r>
    </w:p>
    <w:p>
      <w:pPr>
        <w:jc w:val="both"/>
        <w:ind w:left="165" w:right="210"/>
        <w:spacing w:lineRule="auto" w:line="276"/>
      </w:pPr>
      <w:r>
        <w:rPr>
          <w:b/>
          <w:sz w:val="19"/>
        </w:rPr>
        <w:t xml:space="preserve">Parágrafo Segundo: </w:t>
      </w:r>
      <w:r>
        <w:rPr>
          <w:rFonts w:ascii="Arial MT" w:hAnsi="Arial MT" w:cs="Arial MT" w:eastAsia="Arial MT"/>
          <w:sz w:val="19"/>
        </w:rPr>
        <w:t>Caso o objeto deste contrato se enquadre na Legislação em vigor, o Município fará a retenção de 11% (onze por cento) de INSS sobre a mão de obra utilizada, nos termos da IN-SRP 03/2005, devendo, para apuração da base de cálculo, deduzir os valores relativos à utilização de equipamentos e materiais previstos neste contrato.</w:t>
      </w:r>
    </w:p>
    <w:p>
      <w:pPr>
        <w:spacing w:before="15"/>
      </w:pPr>
      <w:r>
        <w:t/>
      </w:r>
    </w:p>
    <w:p>
      <w:pPr>
        <w:jc w:val="both"/>
        <w:ind w:left="165" w:right="210"/>
        <w:spacing w:before="15" w:lineRule="auto" w:line="276"/>
      </w:pPr>
      <w:r>
        <w:rPr>
          <w:b/>
          <w:sz w:val="19"/>
        </w:rPr>
        <w:t>CLÁUSULA SEXTA – DA FORMA DE PAGAMENTO</w:t>
      </w:r>
      <w:r>
        <w:rPr>
          <w:rFonts w:ascii="Arial MT" w:hAnsi="Arial MT" w:cs="Arial MT" w:eastAsia="Arial MT"/>
          <w:sz w:val="19"/>
        </w:rPr>
        <w:t>: O pagamento será realizado por meio de ordem bancária para crédito em banco, agência e conta-corrente, a serem indicados pela Contratada.</w:t>
      </w:r>
    </w:p>
    <w:p>
      <w:pPr>
        <w:spacing w:before="15"/>
      </w:pPr>
      <w:r>
        <w:t/>
      </w:r>
    </w:p>
    <w:p>
      <w:pPr>
        <w:jc w:val="both"/>
        <w:outlineLvl w:val="1"/>
        <w:ind w:left="165"/>
      </w:pPr>
      <w:r>
        <w:rPr>
          <w:b/>
          <w:sz w:val="19"/>
        </w:rPr>
        <w:t>CLÁUSULA SÉTIMA – DO PRAZO E DAS CONDIÇÕES DE PAGAMENTO</w:t>
      </w:r>
    </w:p>
    <w:p>
      <w:pPr>
        <w:spacing w:before="15"/>
      </w:pPr>
      <w:r>
        <w:t/>
      </w:r>
    </w:p>
    <w:p>
      <w:pPr>
        <w:jc w:val="both"/>
        <w:ind w:right="210"/>
        <w:spacing w:lineRule="auto" w:line="276"/>
        <w:numPr>
          <w:ilvl w:val="0"/>
          <w:numId w:val="20"/>
        </w:numPr>
      </w:pPr>
      <w:r/>
      <w:r>
        <w:rPr>
          <w:rFonts w:ascii="Arial MT" w:hAnsi="Arial MT" w:cs="Arial MT" w:eastAsia="Arial MT"/>
          <w:sz w:val="19"/>
        </w:rPr>
        <w:t xml:space="preserve">– O pagamento será efetuado </w:t>
      </w:r>
      <w:r>
        <w:rPr>
          <w:b/>
          <w:sz w:val="19"/>
        </w:rPr>
        <w:t xml:space="preserve">em até 30 (trinta) dias, após entrega, </w:t>
      </w:r>
      <w:r>
        <w:rPr>
          <w:rFonts w:ascii="Arial MT" w:hAnsi="Arial MT" w:cs="Arial MT" w:eastAsia="Arial MT"/>
          <w:sz w:val="19"/>
        </w:rPr>
        <w:t>com o recebimento da nota fiscal/fatura na Prefeitura Municipal;</w:t>
      </w:r>
    </w:p>
    <w:p>
      <w:pPr>
        <w:jc w:val="both"/>
        <w:tabs>
          <w:tab w:val="left" w:pos="315"/>
        </w:tabs>
        <w:numPr>
          <w:ilvl w:val="0"/>
          <w:numId w:val="20"/>
        </w:numPr>
      </w:pPr>
      <w:r/>
      <w:r>
        <w:rPr>
          <w:rFonts w:ascii="Arial MT" w:hAnsi="Arial MT" w:cs="Arial MT" w:eastAsia="Arial MT"/>
          <w:sz w:val="19"/>
        </w:rPr>
        <w:t>– Na emissão das notas fiscais para fins de pagamento a Contratada deverá observar:</w:t>
      </w:r>
    </w:p>
    <w:p>
      <w:pPr>
        <w:jc w:val="both"/>
        <w:ind w:left="165" w:right="210"/>
        <w:spacing w:before="30" w:lineRule="auto" w:line="276"/>
      </w:pPr>
      <w:r>
        <w:rPr>
          <w:rFonts w:ascii="Arial MT" w:hAnsi="Arial MT" w:cs="Arial MT" w:eastAsia="Arial MT"/>
          <w:sz w:val="19"/>
        </w:rPr>
        <w:t>a) As regras de retenção do Imposto de Rendas dispostas na Instrução Normativa RFB nº 1.234, de 11 de janeiro de 2012, Instrução Normativa RFB nº 2.145, de 26 de junho de 2023, e alterações posteriores, sob pena de não aceitação por parte da Contratante.</w:t>
      </w:r>
    </w:p>
    <w:p>
      <w:pPr>
        <w:jc w:val="both"/>
        <w:ind w:right="210"/>
        <w:spacing w:lineRule="auto" w:line="276"/>
        <w:tabs>
          <w:tab w:val="left" w:pos="405"/>
        </w:tabs>
        <w:numPr>
          <w:ilvl w:val="0"/>
          <w:numId w:val="20"/>
        </w:numPr>
      </w:pPr>
      <w:r/>
      <w:r>
        <w:rPr>
          <w:rFonts w:ascii="Arial MT" w:hAnsi="Arial MT" w:cs="Arial MT" w:eastAsia="Arial MT"/>
          <w:sz w:val="19"/>
        </w:rPr>
        <w:t>– Considera-se ocorrido o recebimento da nota fiscal/fatura, quando o órgão contratante atestar a execução do objeto do contrato, por meio de Termo de Recebimento ou Recibo;</w:t>
      </w:r>
    </w:p>
    <w:p>
      <w:pPr>
        <w:jc w:val="both"/>
        <w:ind w:right="210"/>
        <w:spacing w:lineRule="auto" w:line="276"/>
        <w:tabs>
          <w:tab w:val="left" w:pos="420"/>
        </w:tabs>
        <w:numPr>
          <w:ilvl w:val="0"/>
          <w:numId w:val="20"/>
        </w:numPr>
      </w:pPr>
      <w:r/>
      <w:r>
        <w:rPr>
          <w:rFonts w:ascii="Arial MT" w:hAnsi="Arial MT" w:cs="Arial MT" w:eastAsia="Arial MT"/>
          <w:sz w:val="19"/>
        </w:rPr>
        <w:t>– Havendo erro na apresentação da nota fiscal/fatura, ou circunstância que impeça a liquidação da despesa, o pagamento ficará sobrestado até que a Contratada providencie as medidas saneadoras. Nesta hipótese, o prazo para pagamento iniciar-se-á após a comprovação da regularização da situação, não acarretando qualquer ônus para o Contratante;</w:t>
      </w:r>
    </w:p>
    <w:p>
      <w:pPr>
        <w:jc w:val="both"/>
        <w:ind w:right="210"/>
        <w:spacing w:lineRule="auto" w:line="276"/>
        <w:tabs>
          <w:tab w:val="left" w:pos="360"/>
        </w:tabs>
        <w:numPr>
          <w:ilvl w:val="0"/>
          <w:numId w:val="20"/>
        </w:numPr>
      </w:pPr>
      <w:r/>
      <w:r>
        <w:rPr>
          <w:rFonts w:ascii="Arial MT" w:hAnsi="Arial MT" w:cs="Arial MT" w:eastAsia="Arial MT"/>
          <w:sz w:val="19"/>
        </w:rPr>
        <w:t>– No caso de atraso pelo Contratante, os valores devidos à Contratada serão atualizados monetariamente entre o termo final do prazo de pagamento, até a data de sua efetiva realização, mediante aplicação do índice oficial INPC/IBGE para atualização monetária, nos termos do art. 92, inciso V, da Lei Federal nº 14.133/2021;</w:t>
      </w:r>
    </w:p>
    <w:p>
      <w:pPr>
        <w:jc w:val="both"/>
        <w:ind w:left="165" w:right="210"/>
        <w:spacing w:lineRule="auto" w:line="276"/>
      </w:pPr>
      <w:r>
        <w:rPr>
          <w:b/>
          <w:sz w:val="19"/>
        </w:rPr>
        <w:t>Parágrafo Primeiro</w:t>
      </w:r>
      <w:r>
        <w:rPr>
          <w:rFonts w:ascii="Arial MT" w:hAnsi="Arial MT" w:cs="Arial MT" w:eastAsia="Arial MT"/>
          <w:sz w:val="19"/>
        </w:rPr>
        <w:t>: A Contratada deve manter durante toda a execução do contrato todas as condições de habilitação e qualificação exigidas na licitação/contratação de acordo com o Artigo 92, inciso XVI da Lei Federal nº 14.133/2021.</w:t>
      </w:r>
    </w:p>
    <w:p>
      <w:pPr>
        <w:jc w:val="both"/>
        <w:ind w:left="165" w:right="210"/>
        <w:spacing w:lineRule="auto" w:line="276"/>
      </w:pPr>
      <w:r>
        <w:rPr>
          <w:b/>
          <w:sz w:val="19"/>
        </w:rPr>
        <w:t xml:space="preserve">Parágrafo Segundo: </w:t>
      </w:r>
      <w:r>
        <w:rPr>
          <w:rFonts w:ascii="Arial MT" w:hAnsi="Arial MT" w:cs="Arial MT" w:eastAsia="Arial MT"/>
          <w:sz w:val="19"/>
        </w:rPr>
        <w:t>O pagamento a que se refere esta cláusula, fica condicionado à apresentação da nota fiscal/fatura, que deverá, obrigatoriamente, vir acompanhada da comprovação de regularidade fiscal da Contratada, verificada por meio dos documentos elencados no art. 68, da Lei Federal nº 14.133/2021.</w:t>
      </w:r>
    </w:p>
    <w:p>
      <w:pPr>
        <w:jc w:val="both"/>
        <w:ind w:left="165" w:right="210"/>
        <w:spacing w:lineRule="auto" w:line="264"/>
      </w:pPr>
      <w:r>
        <w:rPr>
          <w:b/>
          <w:sz w:val="19"/>
        </w:rPr>
        <w:t xml:space="preserve">Parágrafo Terceiro: </w:t>
      </w:r>
      <w:r>
        <w:rPr>
          <w:rFonts w:ascii="Arial MT" w:hAnsi="Arial MT" w:cs="Arial MT" w:eastAsia="Arial MT"/>
          <w:sz w:val="19"/>
        </w:rPr>
        <w:t>Caso se faça necessária reapresentação de qualquer fatura por culpa da Contratada, o prazo para pagamento reiniciar-se-á a contar da data da respectiva representação.</w:t>
      </w:r>
    </w:p>
    <w:p>
      <w:pPr>
        <w:jc w:val="both"/>
        <w:ind w:left="165" w:right="210"/>
        <w:spacing w:before="15" w:lineRule="auto" w:line="276"/>
      </w:pPr>
      <w:r>
        <w:rPr>
          <w:b/>
          <w:sz w:val="19"/>
        </w:rPr>
        <w:t xml:space="preserve">Parágrafo Quarto: </w:t>
      </w:r>
      <w:r>
        <w:rPr>
          <w:rFonts w:ascii="Arial MT" w:hAnsi="Arial MT" w:cs="Arial MT" w:eastAsia="Arial MT"/>
          <w:sz w:val="19"/>
        </w:rPr>
        <w:t xml:space="preserve">Constatando-se quaisquer irregularidades por parte da Contratada, será providenciada sua notificação por escrito, para que, no prazo de </w:t>
      </w:r>
      <w:r>
        <w:rPr>
          <w:b/>
          <w:sz w:val="19"/>
        </w:rPr>
        <w:t>05 (cinco) dias úteis</w:t>
      </w:r>
      <w:r>
        <w:rPr>
          <w:rFonts w:ascii="Arial MT" w:hAnsi="Arial MT" w:cs="Arial MT" w:eastAsia="Arial MT"/>
          <w:sz w:val="19"/>
        </w:rPr>
        <w:t>, regularize sua situação ou, no mesmo prazo, apresente sua defesa. O prazo poderá ser prorrogado uma vez, por igual período, a critério do contratante.</w:t>
      </w:r>
    </w:p>
    <w:p>
      <w:pPr>
        <w:jc w:val="both"/>
        <w:ind w:left="165" w:right="210"/>
        <w:spacing w:lineRule="auto" w:line="276"/>
      </w:pPr>
      <w:r>
        <w:rPr>
          <w:b/>
          <w:sz w:val="19"/>
        </w:rPr>
        <w:t xml:space="preserve">Parágrafo Quinto: </w:t>
      </w:r>
      <w:r>
        <w:rPr>
          <w:rFonts w:ascii="Arial MT" w:hAnsi="Arial MT" w:cs="Arial MT" w:eastAsia="Arial MT"/>
          <w:sz w:val="19"/>
        </w:rPr>
        <w:t>Não havendo regularização ou sendo a defesa considerada improcedente, o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pPr>
        <w:jc w:val="both"/>
        <w:ind w:left="165" w:right="210"/>
        <w:spacing w:before="15" w:lineRule="auto" w:line="264"/>
      </w:pPr>
      <w:r>
        <w:rPr>
          <w:b/>
          <w:sz w:val="19"/>
        </w:rPr>
        <w:t xml:space="preserve">Parágrafo Sexto: </w:t>
      </w:r>
      <w:r>
        <w:rPr>
          <w:rFonts w:ascii="Arial MT" w:hAnsi="Arial MT" w:cs="Arial MT" w:eastAsia="Arial MT"/>
          <w:sz w:val="19"/>
        </w:rPr>
        <w:t>Persistindo a irregularidade, o contratante deverá adotar as medidas necessárias à rescisão contratual nos autos do processo administrativo correspondente, assegurada à Contratada a ampla defesa.</w:t>
      </w:r>
    </w:p>
    <w:p>
      <w:pPr>
        <w:jc w:val="both"/>
        <w:ind w:left="165" w:right="210"/>
        <w:spacing w:before="15" w:lineRule="auto" w:line="276"/>
      </w:pPr>
      <w:r>
        <w:rPr>
          <w:b/>
          <w:sz w:val="19"/>
        </w:rPr>
        <w:t xml:space="preserve">Parágrafo Sétimo: </w:t>
      </w:r>
      <w:r>
        <w:rPr>
          <w:rFonts w:ascii="Arial MT" w:hAnsi="Arial MT" w:cs="Arial MT" w:eastAsia="Arial MT"/>
          <w:sz w:val="19"/>
        </w:rPr>
        <w:t>Havendo a efetiva execução do objeto, o pagamento será realizado normalmente, até que se decida pela rescisão do contrato, caso a Contratada não regularize sua situação.</w:t>
      </w:r>
    </w:p>
    <w:p>
      <w:pPr>
        <w:jc w:val="both"/>
        <w:ind w:left="165"/>
        <w:spacing w:before="15"/>
        <w:tabs>
          <w:tab w:val="left" w:pos="9675"/>
        </w:tabs>
      </w:pPr>
      <w:r>
        <w:rPr>
          <w:b/>
          <w:sz w:val="19"/>
        </w:rPr>
        <w:t xml:space="preserve">Parágrafo Oitava: </w:t>
      </w:r>
      <w:r>
        <w:rPr>
          <w:rFonts w:ascii="Arial MT" w:hAnsi="Arial MT" w:cs="Arial MT" w:eastAsia="Arial MT"/>
          <w:sz w:val="19"/>
        </w:rPr>
        <w:t>As notas fiscais deverão ser encaminhadas à</w:t>
      </w:r>
      <w:r>
        <w:rPr>
          <w:rFonts w:ascii="Times New Roman" w:hAnsi="Times New Roman" w:cs="Times New Roman" w:eastAsia="Times New Roman"/>
          <w:u w:val="single"/>
          <w:sz w:val="19"/>
        </w:rPr>
        <w:tab/>
      </w:r>
      <w:r>
        <w:rPr>
          <w:rFonts w:ascii="Arial MT" w:hAnsi="Arial MT" w:cs="Arial MT" w:eastAsia="Arial MT"/>
          <w:sz w:val="19"/>
        </w:rPr>
        <w:t>.</w:t>
      </w:r>
    </w:p>
    <w:p>
      <w:pPr>
        <w:spacing w:before="15"/>
      </w:pPr>
      <w:r>
        <w:t/>
      </w:r>
    </w:p>
    <w:p>
      <w:pPr>
        <w:jc w:val="both"/>
        <w:outlineLvl w:val="1"/>
        <w:ind w:left="165"/>
      </w:pPr>
      <w:r>
        <w:rPr>
          <w:b/>
          <w:sz w:val="19"/>
        </w:rPr>
        <w:t xml:space="preserve">CLÁUSULA OITAVA – DA EMISSÃO DE NOTA FISCAL/FATURA/RECIBO: A CONTRATADA, </w:t>
      </w:r>
      <w:r>
        <w:rPr>
          <w:rFonts w:ascii="Arial MT" w:hAnsi="Arial MT" w:cs="Arial MT" w:eastAsia="Arial MT"/>
          <w:sz w:val="19"/>
        </w:rPr>
        <w:t>quando da emissão de notas fiscais/faturas/recibo, deverá fazer constar o Processo Licitatório nº</w:t>
      </w:r>
      <w:r>
        <w:rPr>
          <w:rFonts w:ascii="Arial MT" w:hAnsi="Arial MT" w:cs="Arial MT" w:eastAsia="Arial MT"/>
          <w:u w:val="single"/>
          <w:sz w:val="19"/>
        </w:rPr>
        <w:t xml:space="preserve"> </w:t>
      </w:r>
      <w:r>
        <w:rPr>
          <w:rFonts w:ascii="Arial MT" w:hAnsi="Arial MT" w:cs="Arial MT" w:eastAsia="Arial MT"/>
          <w:sz w:val="19"/>
        </w:rPr>
        <w:t>/2024 e o Contrato  nº 000/2024.</w:t>
      </w:r>
    </w:p>
    <w:p>
      <w:pPr>
        <w:jc w:val="both"/>
        <w:ind w:left="165" w:right="210"/>
        <w:spacing w:before="15" w:lineRule="auto" w:line="264"/>
      </w:pPr>
      <w:r>
        <w:rPr>
          <w:b/>
          <w:sz w:val="19"/>
        </w:rPr>
        <w:t xml:space="preserve">Parágrafo Único: </w:t>
      </w:r>
      <w:r>
        <w:rPr>
          <w:rFonts w:ascii="Arial MT" w:hAnsi="Arial MT" w:cs="Arial MT" w:eastAsia="Arial MT"/>
          <w:sz w:val="19"/>
        </w:rPr>
        <w:t xml:space="preserve">As notas fiscais/faturas ou os recibos deverão ser emitidos em nome do </w:t>
      </w:r>
      <w:r>
        <w:rPr>
          <w:b/>
          <w:sz w:val="19"/>
        </w:rPr>
        <w:t xml:space="preserve">MUNICÍPIO DE SÃO TOMÉ, inscrito no CNPJ nº 75.381.178/0001-29, </w:t>
      </w:r>
      <w:r>
        <w:rPr>
          <w:rFonts w:ascii="Arial MT" w:hAnsi="Arial MT" w:cs="Arial MT" w:eastAsia="Arial MT"/>
          <w:sz w:val="19"/>
        </w:rPr>
        <w:t>com as informações contidas na Nota de Empenho.</w:t>
      </w:r>
    </w:p>
    <w:p>
      <w:pPr>
        <w:spacing w:before="15"/>
      </w:pPr>
      <w:r>
        <w:t/>
      </w:r>
    </w:p>
    <w:p>
      <w:pPr>
        <w:outlineLvl w:val="1"/>
        <w:ind w:left="165"/>
      </w:pPr>
      <w:r>
        <w:rPr>
          <w:b/>
          <w:sz w:val="19"/>
        </w:rPr>
        <w:t>CLÁUSULA NONA – DO REAJUSTE</w:t>
      </w:r>
    </w:p>
    <w:p>
      <w:pPr>
        <w:jc w:val="both"/>
        <w:ind w:right="210"/>
        <w:spacing w:before="15" w:lineRule="auto" w:line="276"/>
        <w:numPr>
          <w:ilvl w:val="0"/>
          <w:numId w:val="18"/>
        </w:numPr>
      </w:pPr>
      <w:r/>
      <w:r>
        <w:rPr>
          <w:rFonts w:ascii="Arial MT" w:hAnsi="Arial MT" w:cs="Arial MT" w:eastAsia="Arial MT"/>
          <w:sz w:val="19"/>
        </w:rPr>
        <w:t>– Os preços inicialmente contratados são fixos e irreajustáveis no prazo de 01 (um) ano, contado da data do orçamento estimado, em</w:t>
      </w:r>
      <w:r>
        <w:rPr>
          <w:rFonts w:ascii="Arial MT" w:hAnsi="Arial MT" w:cs="Arial MT" w:eastAsia="Arial MT"/>
          <w:u w:val="single"/>
          <w:sz w:val="19"/>
        </w:rPr>
        <w:t xml:space="preserve"> </w:t>
      </w:r>
      <w:r>
        <w:rPr>
          <w:b/>
          <w:sz w:val="19"/>
        </w:rPr>
        <w:t>de</w:t>
      </w:r>
      <w:r>
        <w:rPr>
          <w:b/>
          <w:u w:val="single"/>
          <w:sz w:val="19"/>
        </w:rPr>
        <w:t xml:space="preserve"> </w:t>
      </w:r>
      <w:r>
        <w:rPr>
          <w:b/>
          <w:sz w:val="19"/>
        </w:rPr>
        <w:t>de 2024</w:t>
      </w:r>
      <w:r>
        <w:rPr>
          <w:rFonts w:ascii="Arial MT" w:hAnsi="Arial MT" w:cs="Arial MT" w:eastAsia="Arial MT"/>
          <w:sz w:val="19"/>
        </w:rPr>
        <w:t>;</w:t>
      </w:r>
    </w:p>
    <w:p>
      <w:pPr>
        <w:jc w:val="both"/>
        <w:ind w:right="210"/>
        <w:spacing w:before="15" w:lineRule="auto" w:line="276"/>
        <w:tabs>
          <w:tab w:val="left" w:pos="330"/>
        </w:tabs>
        <w:numPr>
          <w:ilvl w:val="0"/>
          <w:numId w:val="18"/>
        </w:numPr>
      </w:pPr>
      <w:r/>
      <w:r>
        <w:rPr>
          <w:rFonts w:ascii="Arial MT" w:hAnsi="Arial MT" w:cs="Arial MT" w:eastAsia="Arial MT"/>
          <w:sz w:val="19"/>
        </w:rPr>
        <w:t xml:space="preserve">– Após o interregno de 01 (um) ano da data do orçamento estimado e mediante solicitação da Contratada, os preços iniciais serão reajustados, mediante a aplicação, pelo Contratante, do índice </w:t>
      </w:r>
      <w:r>
        <w:rPr>
          <w:b/>
          <w:sz w:val="19"/>
        </w:rPr>
        <w:t xml:space="preserve">IPCA/IBGE </w:t>
      </w:r>
      <w:r>
        <w:rPr>
          <w:rFonts w:ascii="Arial MT" w:hAnsi="Arial MT" w:cs="Arial MT" w:eastAsia="Arial MT"/>
          <w:sz w:val="19"/>
        </w:rPr>
        <w:t>do período, e em sua falta, aplicar-se-á o índice fixado pelo Governo Federal, no período do reajuste, legalmente permitido à época, exclusivamente para as obrigações iniciadas e concluídas após a ocorrência da anualidade, nos termos do §7º, do art. 25, da Lei nº 14.133/2021;</w:t>
      </w:r>
    </w:p>
    <w:p>
      <w:pPr>
        <w:jc w:val="both"/>
        <w:ind w:right="210"/>
        <w:spacing w:lineRule="auto" w:line="276"/>
        <w:tabs>
          <w:tab w:val="left" w:pos="390"/>
        </w:tabs>
        <w:numPr>
          <w:ilvl w:val="0"/>
          <w:numId w:val="18"/>
        </w:numPr>
      </w:pPr>
      <w:r/>
      <w:r>
        <w:rPr>
          <w:rFonts w:ascii="Arial MT" w:hAnsi="Arial MT" w:cs="Arial MT" w:eastAsia="Arial MT"/>
          <w:sz w:val="19"/>
        </w:rPr>
        <w:t>– Nos reajustes subsequentes ao primeiro, o interregno mínimo de 01 (um) ano será contado a partir dos efeitos financeiros do último reajuste;</w:t>
      </w:r>
    </w:p>
    <w:p>
      <w:pPr>
        <w:jc w:val="both"/>
        <w:ind w:right="210"/>
        <w:spacing w:lineRule="auto" w:line="276"/>
        <w:tabs>
          <w:tab w:val="left" w:pos="450"/>
        </w:tabs>
        <w:numPr>
          <w:ilvl w:val="0"/>
          <w:numId w:val="18"/>
        </w:numPr>
      </w:pPr>
      <w:r/>
      <w:r>
        <w:rPr>
          <w:rFonts w:ascii="Arial MT" w:hAnsi="Arial MT" w:cs="Arial MT" w:eastAsia="Arial MT"/>
          <w:sz w:val="19"/>
        </w:rPr>
        <w:t>– No caso de atraso ou não divulgação do índice de reajustamento, o Contratante pagará à Contratada a importância calculada pela última variação conhecida, liquidando a diferença correspondente tão logo seja divulgado o índice definitivo;</w:t>
      </w:r>
    </w:p>
    <w:p>
      <w:pPr>
        <w:jc w:val="both"/>
        <w:spacing w:lineRule="exact" w:line="210"/>
        <w:tabs>
          <w:tab w:val="left" w:pos="345"/>
        </w:tabs>
        <w:numPr>
          <w:ilvl w:val="0"/>
          <w:numId w:val="18"/>
        </w:numPr>
      </w:pPr>
      <w:r/>
      <w:r>
        <w:rPr>
          <w:rFonts w:ascii="Arial MT" w:hAnsi="Arial MT" w:cs="Arial MT" w:eastAsia="Arial MT"/>
          <w:sz w:val="19"/>
        </w:rPr>
        <w:t>– Nas aferições finais, o índice utilizado para reajuste será, obrigatoriamente, o definitivo;</w:t>
      </w:r>
    </w:p>
    <w:p>
      <w:pPr>
        <w:jc w:val="both"/>
        <w:ind w:right="210"/>
        <w:spacing w:before="30" w:lineRule="auto" w:line="276"/>
        <w:tabs>
          <w:tab w:val="left" w:pos="420"/>
        </w:tabs>
        <w:numPr>
          <w:ilvl w:val="0"/>
          <w:numId w:val="18"/>
        </w:numPr>
      </w:pPr>
      <w:r/>
      <w:r>
        <w:rPr>
          <w:rFonts w:ascii="Arial MT" w:hAnsi="Arial MT" w:cs="Arial MT" w:eastAsia="Arial MT"/>
          <w:sz w:val="19"/>
        </w:rPr>
        <w:t>– Caso o índice estabelecido para reajustamento venha a ser extinto ou de qualquer forma não possa mais ser utilizado, será adotado, em substituição, o que vier a ser determinado pela legislação então em vigor, conforme disposto no inciso II desta cláusula;</w:t>
      </w:r>
    </w:p>
    <w:p>
      <w:pPr>
        <w:jc w:val="both"/>
        <w:ind w:right="210"/>
        <w:spacing w:lineRule="auto" w:line="276"/>
        <w:tabs>
          <w:tab w:val="left" w:pos="510"/>
        </w:tabs>
        <w:numPr>
          <w:ilvl w:val="0"/>
          <w:numId w:val="18"/>
        </w:numPr>
      </w:pPr>
      <w:r/>
      <w:r>
        <w:rPr>
          <w:rFonts w:ascii="Arial MT" w:hAnsi="Arial MT" w:cs="Arial MT" w:eastAsia="Arial MT"/>
          <w:sz w:val="19"/>
        </w:rPr>
        <w:t>– Na ausência de previsão legal quanto ao índice substituto, as partes elegerão novo índice oficial, para reajustamento do preço do valor remanescente, por meio de termo aditivo;</w:t>
      </w:r>
    </w:p>
    <w:p>
      <w:pPr>
        <w:jc w:val="both"/>
        <w:spacing w:before="15"/>
        <w:tabs>
          <w:tab w:val="left" w:pos="495"/>
        </w:tabs>
        <w:numPr>
          <w:ilvl w:val="0"/>
          <w:numId w:val="18"/>
        </w:numPr>
      </w:pPr>
      <w:r/>
      <w:r>
        <w:rPr>
          <w:rFonts w:ascii="Arial MT" w:hAnsi="Arial MT" w:cs="Arial MT" w:eastAsia="Arial MT"/>
          <w:sz w:val="19"/>
        </w:rPr>
        <w:t>– O reajuste será realizado por meio de termo aditivo.</w:t>
      </w:r>
    </w:p>
    <w:p>
      <w:pPr>
        <w:spacing w:before="15"/>
      </w:pPr>
      <w:r>
        <w:t/>
      </w:r>
    </w:p>
    <w:p>
      <w:pPr>
        <w:jc w:val="both"/>
        <w:ind w:left="165" w:right="195"/>
        <w:spacing w:lineRule="auto" w:line="276"/>
      </w:pPr>
      <w:r>
        <w:rPr>
          <w:b/>
          <w:sz w:val="19"/>
        </w:rPr>
        <w:t xml:space="preserve">CLÁUSULA DÉCIMA – DA DOTAÇÃO ORÇAMENTÁRIA: </w:t>
      </w:r>
      <w:r>
        <w:rPr>
          <w:rFonts w:ascii="Arial MT" w:hAnsi="Arial MT" w:cs="Arial MT" w:eastAsia="Arial MT"/>
          <w:sz w:val="19"/>
        </w:rPr>
        <w:t>As despesas com o presente contrato correrão por conta das seguintes dotações orçamentárias:</w:t>
      </w:r>
    </w:p>
    <w:tbl>
      <w:tblPr>
        <w:tblW w:w="4500" w:type="pct"/>
        <w:jc w:val="center"/>
        <w:tblLayout w:type="fixed"/>
        <w:tblBorders>
          <w:left w:val="single" w:sz="6" w:color="000000"/>
          <w:top w:val="single" w:sz="6" w:color="000000"/>
          <w:right w:val="single" w:sz="6" w:color="000000"/>
          <w:bottom w:val="single" w:sz="6" w:color="000000"/>
          <w:insideH w:val="single" w:sz="6" w:color="000000"/>
          <w:insideV w:val="single" w:sz="6" w:color="000000"/>
        </w:tblBorders>
        <w:tblCellMar>
          <w:top w:w="15" w:type="dxa"/>
          <w:left w:w="15" w:type="dxa"/>
          <w:bottom w:w="15" w:type="dxa"/>
          <w:right w:w="15" w:type="dxa"/>
        </w:tblCellMar>
        <w:tblInd w:w="165" w:type="dxa"/>
        <w:shd w:val="clear" w:color="auto" w:fill="FFFFFF"/>
      </w:tblPr>
      <w:tblGrid>
        <w:gridCol w:w="975"/>
        <w:gridCol w:w="975"/>
        <w:gridCol w:w="3270"/>
        <w:gridCol w:w="975"/>
        <w:gridCol w:w="1755"/>
        <w:gridCol w:w="1740"/>
      </w:tblGrid>
      <w:tr>
        <w:tc>
          <w:tcPr>
            <w:gridSpan w:val="6"/>
            <w:shd w:val="clear" w:color="auto" w:fill="FFFFFF"/>
          </w:tcPr>
          <w:p>
            <w:r>
              <w:rPr>
                <w:sz w:val="16"/>
              </w:rPr>
              <w:t>Dotações</w:t>
            </w:r>
          </w:p>
        </w:tc>
      </w:tr>
      <w:tr>
        <w:tc>
          <w:tcPr>
            <w:tcW w:w="500" w:type="pct"/>
            <w:shd w:val="clear" w:color="auto" w:fill="C0C0C0"/>
          </w:tcPr>
          <w:p>
            <w:r>
              <w:rPr>
                <w:sz w:val="16"/>
              </w:rPr>
              <w:t>Exercício da despesa</w:t>
            </w:r>
          </w:p>
        </w:tc>
        <w:tc>
          <w:tcPr>
            <w:tcW w:w="500" w:type="pct"/>
            <w:shd w:val="clear" w:color="auto" w:fill="C0C0C0"/>
          </w:tcPr>
          <w:p>
            <w:r>
              <w:rPr>
                <w:sz w:val="16"/>
              </w:rPr>
              <w:t>Conta da despesa</w:t>
            </w:r>
          </w:p>
        </w:tc>
        <w:tc>
          <w:tcPr>
            <w:tcW w:w="1700" w:type="pct"/>
            <w:shd w:val="clear" w:color="auto" w:fill="C0C0C0"/>
          </w:tcPr>
          <w:p>
            <w:r>
              <w:rPr>
                <w:sz w:val="16"/>
              </w:rPr>
              <w:t>Funcional programática</w:t>
            </w:r>
          </w:p>
        </w:tc>
        <w:tc>
          <w:tcPr>
            <w:tcW w:w="500" w:type="pct"/>
            <w:shd w:val="clear" w:color="auto" w:fill="C0C0C0"/>
          </w:tcPr>
          <w:p>
            <w:r>
              <w:rPr>
                <w:sz w:val="16"/>
              </w:rPr>
              <w:t>Fonte de recurso</w:t>
            </w:r>
          </w:p>
        </w:tc>
        <w:tc>
          <w:tcPr>
            <w:tcW w:w="900" w:type="pct"/>
            <w:shd w:val="clear" w:color="auto" w:fill="C0C0C0"/>
          </w:tcPr>
          <w:p>
            <w:r>
              <w:rPr>
                <w:sz w:val="16"/>
              </w:rPr>
              <w:t>Natureza da despesa</w:t>
            </w:r>
          </w:p>
        </w:tc>
        <w:tc>
          <w:tcPr>
            <w:tcW w:w="900" w:type="pct"/>
            <w:shd w:val="clear" w:color="auto" w:fill="C0C0C0"/>
          </w:tcPr>
          <w:p>
            <w:r>
              <w:rPr>
                <w:sz w:val="16"/>
              </w:rPr>
              <w:t>Grupo da fonte</w:t>
            </w:r>
          </w:p>
        </w:tc>
      </w:tr>
      <w:tr>
        <w:tc>
          <w:tcPr>
            <w:shd w:val="clear" w:color="auto" w:fill="FFFFFF"/>
          </w:tcPr>
          <w:p>
            <w:r>
              <w:rPr>
                <w:sz w:val="16"/>
              </w:rPr>
              <w:t>2024</w:t>
            </w:r>
          </w:p>
        </w:tc>
        <w:tc>
          <w:tcPr>
            <w:shd w:val="clear" w:color="auto" w:fill="FFFFFF"/>
          </w:tcPr>
          <w:p>
            <w:r>
              <w:rPr>
                <w:sz w:val="16"/>
              </w:rPr>
              <w:t>1590</w:t>
            </w:r>
          </w:p>
        </w:tc>
        <w:tc>
          <w:tcPr>
            <w:shd w:val="clear" w:color="auto" w:fill="FFFFFF"/>
          </w:tcPr>
          <w:p>
            <w:r>
              <w:rPr>
                <w:sz w:val="16"/>
              </w:rPr>
              <w:t>07.002.08.244.0005.2044</w:t>
            </w:r>
          </w:p>
        </w:tc>
        <w:tc>
          <w:tcPr>
            <w:shd w:val="clear" w:color="auto" w:fill="FFFFFF"/>
          </w:tcPr>
          <w:p>
            <w:r>
              <w:rPr>
                <w:sz w:val="16"/>
              </w:rPr>
              <w:t>0</w:t>
            </w:r>
          </w:p>
        </w:tc>
        <w:tc>
          <w:tcPr>
            <w:shd w:val="clear" w:color="auto" w:fill="FFFFFF"/>
          </w:tcPr>
          <w:p>
            <w:r>
              <w:rPr>
                <w:sz w:val="16"/>
              </w:rPr>
              <w:t>3.3.90.32.00.00</w:t>
            </w:r>
          </w:p>
        </w:tc>
        <w:tc>
          <w:tcPr>
            <w:shd w:val="clear" w:color="auto" w:fill="FFFFFF"/>
          </w:tcPr>
          <w:p>
            <w:r>
              <w:rPr>
                <w:sz w:val="16"/>
              </w:rPr>
              <w:t>Do Exercício</w:t>
            </w:r>
          </w:p>
        </w:tc>
      </w:tr>
      <w:tr>
        <w:tc>
          <w:tcPr>
            <w:shd w:val="clear" w:color="auto" w:fill="FFFFFF"/>
          </w:tcPr>
          <w:p>
            <w:r>
              <w:rPr>
                <w:sz w:val="16"/>
              </w:rPr>
              <w:t>2024</w:t>
            </w:r>
          </w:p>
        </w:tc>
        <w:tc>
          <w:tcPr>
            <w:shd w:val="clear" w:color="auto" w:fill="FFFFFF"/>
          </w:tcPr>
          <w:p>
            <w:r>
              <w:rPr>
                <w:sz w:val="16"/>
              </w:rPr>
              <w:t>1940</w:t>
            </w:r>
          </w:p>
        </w:tc>
        <w:tc>
          <w:tcPr>
            <w:shd w:val="clear" w:color="auto" w:fill="FFFFFF"/>
          </w:tcPr>
          <w:p>
            <w:r>
              <w:rPr>
                <w:sz w:val="16"/>
              </w:rPr>
              <w:t>07.003.08.244.0006.2050</w:t>
            </w:r>
          </w:p>
        </w:tc>
        <w:tc>
          <w:tcPr>
            <w:shd w:val="clear" w:color="auto" w:fill="FFFFFF"/>
          </w:tcPr>
          <w:p>
            <w:r>
              <w:rPr>
                <w:sz w:val="16"/>
              </w:rPr>
              <w:t>0</w:t>
            </w:r>
          </w:p>
        </w:tc>
        <w:tc>
          <w:tcPr>
            <w:shd w:val="clear" w:color="auto" w:fill="FFFFFF"/>
          </w:tcPr>
          <w:p>
            <w:r>
              <w:rPr>
                <w:sz w:val="16"/>
              </w:rPr>
              <w:t>3.3.90.32.00.00</w:t>
            </w:r>
          </w:p>
        </w:tc>
        <w:tc>
          <w:tcPr>
            <w:shd w:val="clear" w:color="auto" w:fill="FFFFFF"/>
          </w:tcPr>
          <w:p>
            <w:r>
              <w:rPr>
                <w:sz w:val="16"/>
              </w:rPr>
              <w:t>Do Exercício</w:t>
            </w:r>
          </w:p>
        </w:tc>
      </w:tr>
      <w:tr>
        <w:tc>
          <w:tcPr>
            <w:shd w:val="clear" w:color="auto" w:fill="FFFFFF"/>
          </w:tcPr>
          <w:p>
            <w:r>
              <w:rPr>
                <w:sz w:val="16"/>
              </w:rPr>
              <w:t>2024</w:t>
            </w:r>
          </w:p>
        </w:tc>
        <w:tc>
          <w:tcPr>
            <w:shd w:val="clear" w:color="auto" w:fill="FFFFFF"/>
          </w:tcPr>
          <w:p>
            <w:r>
              <w:rPr>
                <w:sz w:val="16"/>
              </w:rPr>
              <w:t>1950</w:t>
            </w:r>
          </w:p>
        </w:tc>
        <w:tc>
          <w:tcPr>
            <w:shd w:val="clear" w:color="auto" w:fill="FFFFFF"/>
          </w:tcPr>
          <w:p>
            <w:r>
              <w:rPr>
                <w:sz w:val="16"/>
              </w:rPr>
              <w:t>07.003.08.244.0006.2050</w:t>
            </w:r>
          </w:p>
        </w:tc>
        <w:tc>
          <w:tcPr>
            <w:shd w:val="clear" w:color="auto" w:fill="FFFFFF"/>
          </w:tcPr>
          <w:p>
            <w:r>
              <w:rPr>
                <w:sz w:val="16"/>
              </w:rPr>
              <w:t>0</w:t>
            </w:r>
          </w:p>
        </w:tc>
        <w:tc>
          <w:tcPr>
            <w:shd w:val="clear" w:color="auto" w:fill="FFFFFF"/>
          </w:tcPr>
          <w:p>
            <w:r>
              <w:rPr>
                <w:sz w:val="16"/>
              </w:rPr>
              <w:t>3.3.90.33.00.00</w:t>
            </w:r>
          </w:p>
        </w:tc>
        <w:tc>
          <w:tcPr>
            <w:shd w:val="clear" w:color="auto" w:fill="FFFFFF"/>
          </w:tcPr>
          <w:p>
            <w:r>
              <w:rPr>
                <w:sz w:val="16"/>
              </w:rPr>
              <w:t>Do Exercício</w:t>
            </w:r>
          </w:p>
        </w:tc>
      </w:tr>
    </w:tbl>
    <w:p>
      <w:pPr>
        <w:spacing w:before="15"/>
      </w:pPr>
      <w:r>
        <w:t/>
      </w:r>
    </w:p>
    <w:p>
      <w:pPr>
        <w:jc w:val="both"/>
        <w:ind w:left="165"/>
      </w:pPr>
      <w:r>
        <w:rPr>
          <w:b/>
          <w:sz w:val="19"/>
        </w:rPr>
        <w:t xml:space="preserve">CLÁUSULA DÉCIMA PRIMEIRA – DOS MODELOS DE EXECUÇÃO E DE GESTÃO CONTRATUAIS: </w:t>
      </w:r>
      <w:r>
        <w:rPr>
          <w:rFonts w:ascii="Arial MT" w:hAnsi="Arial MT" w:cs="Arial MT" w:eastAsia="Arial MT"/>
          <w:sz w:val="19"/>
        </w:rPr>
        <w:t>O regime de execução contratual, os modelos de gestão, de fiscalização e de execução, assim como os prazos e condições de conclusão, entrega, observação e recebimento do objeto, constam no Termo de Referência, anexo ao Edital Pregão Eletrônico nº</w:t>
      </w:r>
      <w:r>
        <w:rPr>
          <w:rFonts w:ascii="Arial MT" w:hAnsi="Arial MT" w:cs="Arial MT" w:eastAsia="Arial MT"/>
          <w:u w:val="single"/>
          <w:sz w:val="19"/>
        </w:rPr>
        <w:t xml:space="preserve"> 31</w:t>
      </w:r>
      <w:r>
        <w:rPr>
          <w:rFonts w:ascii="Arial MT" w:hAnsi="Arial MT" w:cs="Arial MT" w:eastAsia="Arial MT"/>
          <w:sz w:val="19"/>
        </w:rPr>
        <w:t>/2024.</w:t>
      </w:r>
    </w:p>
    <w:p>
      <w:pPr>
        <w:jc w:val="both"/>
        <w:spacing w:lineRule="auto" w:line="276"/>
      </w:pPr>
      <w:r>
        <w:t/>
      </w:r>
    </w:p>
    <w:p>
      <w:pPr>
        <w:jc w:val="both"/>
        <w:ind w:left="165" w:right="210"/>
        <w:spacing w:lineRule="auto" w:line="264"/>
      </w:pPr>
      <w:r>
        <w:rPr>
          <w:b/>
          <w:sz w:val="19"/>
        </w:rPr>
        <w:t xml:space="preserve">CLÁUSULA DÉCIMA SEGUNDA – DA SUBCONTRATAÇÃO: </w:t>
      </w:r>
      <w:r>
        <w:rPr>
          <w:rFonts w:ascii="Arial MT" w:hAnsi="Arial MT" w:cs="Arial MT" w:eastAsia="Arial MT"/>
          <w:sz w:val="19"/>
        </w:rPr>
        <w:t>Não será admitida a subcontratação do objeto contratual.</w:t>
      </w:r>
    </w:p>
    <w:p>
      <w:r>
        <w:t/>
      </w:r>
    </w:p>
    <w:p>
      <w:pPr>
        <w:jc w:val="both"/>
        <w:ind w:left="165" w:right="210"/>
        <w:spacing w:lineRule="auto" w:line="276"/>
      </w:pPr>
      <w:r>
        <w:rPr>
          <w:b/>
          <w:sz w:val="19"/>
        </w:rPr>
        <w:t xml:space="preserve">CLÁUSULA DÉCIMA TERCEIRA – DA GARANTIA DE EXECUÇÃO: </w:t>
      </w:r>
      <w:r>
        <w:rPr>
          <w:rFonts w:ascii="Arial MT" w:hAnsi="Arial MT" w:cs="Arial MT" w:eastAsia="Arial MT"/>
          <w:sz w:val="19"/>
        </w:rPr>
        <w:t>Não haverá exigência de garantia contratual de execução.</w:t>
      </w:r>
    </w:p>
    <w:p>
      <w:r>
        <w:t/>
      </w:r>
    </w:p>
    <w:p>
      <w:pPr>
        <w:jc w:val="both"/>
        <w:outlineLvl w:val="1"/>
        <w:ind w:left="165"/>
      </w:pPr>
      <w:r>
        <w:rPr>
          <w:b/>
          <w:sz w:val="19"/>
        </w:rPr>
        <w:t>CLÁUSULA DÉCIMA QUARTA – DAS CONDIÇÕES DE RECEBIMENTO DO OBJETO</w:t>
      </w:r>
    </w:p>
    <w:p>
      <w:pPr>
        <w:jc w:val="both"/>
        <w:ind w:right="210"/>
        <w:spacing w:before="30" w:lineRule="auto" w:line="276"/>
        <w:numPr>
          <w:ilvl w:val="0"/>
          <w:numId w:val="30"/>
        </w:numPr>
      </w:pPr>
      <w:r/>
      <w:r>
        <w:rPr>
          <w:b/>
          <w:sz w:val="19"/>
        </w:rPr>
        <w:t xml:space="preserve">- </w:t>
      </w:r>
      <w:r>
        <w:rPr>
          <w:rFonts w:ascii="Arial MT" w:hAnsi="Arial MT" w:cs="Arial MT" w:eastAsia="Arial MT"/>
          <w:sz w:val="19"/>
        </w:rPr>
        <w:t>Os materiais deverão ser entregues nos locais informados na Nota de Empenho ou Ordem de Serviço emitidas, acompanhada preferencialmente pelo Fiscal do Contrato ou por outro servidor designado para esse fim.</w:t>
      </w:r>
    </w:p>
    <w:p>
      <w:pPr>
        <w:jc w:val="both"/>
        <w:ind w:right="210"/>
        <w:spacing w:before="15" w:lineRule="auto" w:line="276"/>
        <w:tabs>
          <w:tab w:val="left" w:pos="390"/>
        </w:tabs>
        <w:numPr>
          <w:ilvl w:val="0"/>
          <w:numId w:val="30"/>
        </w:numPr>
      </w:pPr>
      <w:r/>
      <w:r>
        <w:rPr>
          <w:b/>
          <w:sz w:val="18"/>
        </w:rPr>
        <w:t xml:space="preserve">- </w:t>
      </w:r>
      <w:r>
        <w:rPr>
          <w:b/>
          <w:sz w:val="18"/>
        </w:rPr>
        <w:t>As passagens deverão ser entregues imediatamente no guichê da transportadora mediante apresentação da Autorização de Compra emitido pelo Departamento de Compras do Município, as passagens serão adquiridas conforme necessidade da Administração Pública.</w:t>
      </w:r>
    </w:p>
    <w:p>
      <w:pPr>
        <w:jc w:val="both"/>
        <w:ind w:right="195"/>
        <w:spacing w:before="120" w:lineRule="auto" w:line="276"/>
        <w:tabs>
          <w:tab w:val="left" w:pos="450"/>
        </w:tabs>
        <w:numPr>
          <w:ilvl w:val="0"/>
          <w:numId w:val="30"/>
        </w:numPr>
      </w:pPr>
      <w:r/>
      <w:r>
        <w:rPr>
          <w:b/>
          <w:sz w:val="19"/>
        </w:rPr>
        <w:t xml:space="preserve">- </w:t>
      </w:r>
      <w:r>
        <w:rPr>
          <w:rFonts w:ascii="Arial MT" w:hAnsi="Arial MT" w:cs="Arial MT" w:eastAsia="Arial MT"/>
          <w:sz w:val="19"/>
        </w:rPr>
        <w:t>Caso não seja possível a entrega na data assinalada, a empresa deverá comunicar as razões respectivas com pelo menos 5 (cinco) dias de antecedência para que qualquer pleito de prorrogação de prazo seja analisado, ressalvadas situações de caso fortuito e força maior.</w:t>
      </w:r>
    </w:p>
    <w:p>
      <w:pPr>
        <w:jc w:val="both"/>
        <w:ind w:right="210"/>
        <w:spacing w:before="120" w:lineRule="auto" w:line="264"/>
        <w:tabs>
          <w:tab w:val="left" w:pos="465"/>
        </w:tabs>
        <w:numPr>
          <w:ilvl w:val="0"/>
          <w:numId w:val="30"/>
        </w:numPr>
      </w:pPr>
      <w:r/>
      <w:r>
        <w:rPr>
          <w:b/>
          <w:sz w:val="19"/>
        </w:rPr>
        <w:t xml:space="preserve">- </w:t>
      </w:r>
      <w:r>
        <w:rPr>
          <w:rFonts w:ascii="Arial MT" w:hAnsi="Arial MT" w:cs="Arial MT" w:eastAsia="Arial MT"/>
          <w:sz w:val="19"/>
        </w:rPr>
        <w:t>O prazo de garantia contratual dos bens, complementar à garantia legal, será de, no mínimo, 12 (doze) meses, contados a partir do primeiro dia útil subsequente à data do recebimento definitivo do objeto.</w:t>
      </w:r>
    </w:p>
    <w:p>
      <w:pPr>
        <w:jc w:val="both"/>
        <w:ind w:right="210"/>
        <w:spacing w:before="120" w:lineRule="auto" w:line="276"/>
        <w:tabs>
          <w:tab w:val="left" w:pos="420"/>
        </w:tabs>
        <w:numPr>
          <w:ilvl w:val="0"/>
          <w:numId w:val="30"/>
        </w:numPr>
      </w:pPr>
      <w:r/>
      <w:r>
        <w:rPr>
          <w:b/>
          <w:sz w:val="19"/>
        </w:rPr>
        <w:t xml:space="preserve">- </w:t>
      </w:r>
      <w:r>
        <w:rPr>
          <w:rFonts w:ascii="Arial MT" w:hAnsi="Arial MT" w:cs="Arial MT" w:eastAsia="Arial MT"/>
          <w:sz w:val="19"/>
        </w:rPr>
        <w:t>Caso o prazo da garantia oferecida pelo fabricante seja inferior ao estabelecido nesta cláusula, o fornecedor deverá complementar a garantia do bem ofertado pelo período restante.</w:t>
      </w:r>
    </w:p>
    <w:p>
      <w:pPr>
        <w:jc w:val="both"/>
        <w:ind w:right="210"/>
        <w:spacing w:before="120" w:lineRule="auto" w:line="276"/>
        <w:tabs>
          <w:tab w:val="left" w:pos="465"/>
        </w:tabs>
        <w:numPr>
          <w:ilvl w:val="0"/>
          <w:numId w:val="30"/>
        </w:numPr>
      </w:pPr>
      <w:r/>
      <w:r>
        <w:rPr>
          <w:b/>
          <w:sz w:val="19"/>
        </w:rPr>
        <w:t xml:space="preserve">- </w:t>
      </w:r>
      <w:r>
        <w:rPr>
          <w:rFonts w:ascii="Arial MT" w:hAnsi="Arial MT" w:cs="Arial MT" w:eastAsia="Arial MT"/>
          <w:sz w:val="19"/>
        </w:rPr>
        <w:t>A garantia será prestada com vistas a manter os equipamentos fornecidos em perfeitas condições de uso, sem qualquer ônus ou custo adicional para o Contratante.</w:t>
      </w:r>
    </w:p>
    <w:p>
      <w:pPr>
        <w:jc w:val="both"/>
        <w:ind w:right="210"/>
        <w:spacing w:before="120" w:lineRule="auto" w:line="276"/>
        <w:tabs>
          <w:tab w:val="left" w:pos="525"/>
        </w:tabs>
        <w:numPr>
          <w:ilvl w:val="0"/>
          <w:numId w:val="30"/>
        </w:numPr>
      </w:pPr>
      <w:r/>
      <w:r>
        <w:rPr>
          <w:b/>
          <w:sz w:val="19"/>
        </w:rPr>
        <w:t xml:space="preserve">- </w:t>
      </w:r>
      <w:r>
        <w:rPr>
          <w:rFonts w:ascii="Arial MT" w:hAnsi="Arial MT" w:cs="Arial MT" w:eastAsia="Arial MT"/>
          <w:sz w:val="19"/>
        </w:rPr>
        <w:t>A garantia abrange a realização da manutenção corretiva dos bens pelo próprio Contratado, ou, se for o caso, por meio de assistência técnica autorizada, de acordo com as normas técnicas específicas.</w:t>
      </w:r>
    </w:p>
    <w:p>
      <w:pPr>
        <w:jc w:val="both"/>
        <w:ind w:right="195"/>
        <w:spacing w:before="120" w:lineRule="auto" w:line="276"/>
        <w:tabs>
          <w:tab w:val="left" w:pos="675"/>
        </w:tabs>
        <w:numPr>
          <w:ilvl w:val="0"/>
          <w:numId w:val="30"/>
        </w:numPr>
      </w:pPr>
      <w:r/>
      <w:r>
        <w:rPr>
          <w:b/>
          <w:sz w:val="19"/>
        </w:rPr>
        <w:t xml:space="preserve">- </w:t>
      </w:r>
      <w:r>
        <w:rPr>
          <w:rFonts w:ascii="Arial MT" w:hAnsi="Arial MT" w:cs="Arial MT" w:eastAsia="Arial MT"/>
          <w:sz w:val="19"/>
        </w:rPr>
        <w:t>Entende-se por manutenção corretiva aquela destinada a corrigir os defeitos apresentados pelos bens, compreendendo a substituição de peças, a realização de ajustes, reparos e correções necessárias.</w:t>
      </w:r>
    </w:p>
    <w:p>
      <w:pPr>
        <w:jc w:val="both"/>
        <w:ind w:right="210"/>
        <w:spacing w:before="120" w:lineRule="auto" w:line="276"/>
        <w:tabs>
          <w:tab w:val="left" w:pos="480"/>
        </w:tabs>
        <w:numPr>
          <w:ilvl w:val="0"/>
          <w:numId w:val="30"/>
        </w:numPr>
      </w:pPr>
      <w:r/>
      <w:r>
        <w:rPr>
          <w:b/>
          <w:sz w:val="19"/>
        </w:rPr>
        <w:t xml:space="preserve">- </w:t>
      </w:r>
      <w:r>
        <w:rPr>
          <w:rFonts w:ascii="Arial MT" w:hAnsi="Arial MT" w:cs="Arial MT" w:eastAsia="Arial MT"/>
          <w:sz w:val="19"/>
        </w:rPr>
        <w:t>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pPr>
        <w:jc w:val="both"/>
        <w:ind w:right="210"/>
        <w:spacing w:before="120" w:lineRule="auto" w:line="276"/>
        <w:tabs>
          <w:tab w:val="left" w:pos="435"/>
        </w:tabs>
        <w:numPr>
          <w:ilvl w:val="0"/>
          <w:numId w:val="30"/>
        </w:numPr>
      </w:pPr>
      <w:r/>
      <w:r>
        <w:rPr>
          <w:b/>
          <w:sz w:val="19"/>
        </w:rPr>
        <w:t xml:space="preserve">- </w:t>
      </w:r>
      <w:r>
        <w:rPr>
          <w:rFonts w:ascii="Arial MT" w:hAnsi="Arial MT" w:cs="Arial MT" w:eastAsia="Arial MT"/>
          <w:sz w:val="19"/>
        </w:rPr>
        <w:t>Uma vez notificado, o Contratado realizará a reparação ou substituição dos bens que apresentarem vício ou defeito no prazo de até 24 (vinte e quatro) horas, contados a partir da data de retirada do equipamento das dependências da Administração pelo Contratado ou pela assistência técnica autorizada.</w:t>
      </w:r>
    </w:p>
    <w:p>
      <w:pPr>
        <w:jc w:val="both"/>
        <w:ind w:right="210"/>
        <w:spacing w:before="120" w:lineRule="auto" w:line="276"/>
        <w:tabs>
          <w:tab w:val="left" w:pos="480"/>
        </w:tabs>
        <w:numPr>
          <w:ilvl w:val="0"/>
          <w:numId w:val="30"/>
        </w:numPr>
      </w:pPr>
      <w:r/>
      <w:r>
        <w:rPr>
          <w:b/>
          <w:sz w:val="19"/>
        </w:rPr>
        <w:t xml:space="preserve">- </w:t>
      </w:r>
      <w:r>
        <w:rPr>
          <w:rFonts w:ascii="Arial MT" w:hAnsi="Arial MT" w:cs="Arial MT" w:eastAsia="Arial MT"/>
          <w:sz w:val="19"/>
        </w:rPr>
        <w:t>Prazo indicado no subitem anterior, durante seu transcurso, poderá ser prorrogado uma única vez, por igual período, mediante solicitação escrita e justificada do Contratado, aceita pelo Contratante.</w:t>
      </w:r>
    </w:p>
    <w:p>
      <w:pPr>
        <w:jc w:val="both"/>
        <w:ind w:right="210"/>
        <w:spacing w:before="120" w:lineRule="auto" w:line="276"/>
        <w:tabs>
          <w:tab w:val="left" w:pos="525"/>
        </w:tabs>
        <w:numPr>
          <w:ilvl w:val="0"/>
          <w:numId w:val="30"/>
        </w:numPr>
      </w:pPr>
      <w:r/>
      <w:r>
        <w:rPr>
          <w:b/>
          <w:sz w:val="19"/>
        </w:rPr>
        <w:t xml:space="preserve">- </w:t>
      </w:r>
      <w:r>
        <w:rPr>
          <w:rFonts w:ascii="Arial MT" w:hAnsi="Arial MT" w:cs="Arial MT" w:eastAsia="Arial MT"/>
          <w:sz w:val="19"/>
        </w:rPr>
        <w:t>Na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w:t>
      </w:r>
    </w:p>
    <w:p>
      <w:pPr>
        <w:jc w:val="both"/>
        <w:ind w:right="210"/>
        <w:spacing w:before="120" w:lineRule="auto" w:line="276"/>
        <w:tabs>
          <w:tab w:val="left" w:pos="570"/>
        </w:tabs>
        <w:numPr>
          <w:ilvl w:val="0"/>
          <w:numId w:val="30"/>
        </w:numPr>
      </w:pPr>
      <w:r/>
      <w:r>
        <w:rPr>
          <w:b/>
          <w:sz w:val="19"/>
        </w:rPr>
        <w:t xml:space="preserve">- </w:t>
      </w:r>
      <w:r>
        <w:rPr>
          <w:rFonts w:ascii="Arial MT" w:hAnsi="Arial MT" w:cs="Arial MT" w:eastAsia="Arial MT"/>
          <w:sz w:val="19"/>
        </w:rPr>
        <w:t>Decorrido o prazo para reparos e substituições sem atendimento da solicitação, fica o Contratante autorizado a contratar empresa diversa para executar os reparos, ajustes ou a substituição do bem ou de seus componentes, bem como a exigir do Contratado o reembolso pelos custos respectivos, sem que tal fato acarrete a perda da garantia dos equipamentos.</w:t>
      </w:r>
    </w:p>
    <w:p>
      <w:pPr>
        <w:jc w:val="both"/>
        <w:ind w:right="210"/>
        <w:spacing w:before="120" w:lineRule="auto" w:line="264"/>
        <w:tabs>
          <w:tab w:val="left" w:pos="630"/>
        </w:tabs>
        <w:numPr>
          <w:ilvl w:val="0"/>
          <w:numId w:val="30"/>
        </w:numPr>
      </w:pPr>
      <w:r/>
      <w:r>
        <w:rPr>
          <w:b/>
          <w:sz w:val="19"/>
        </w:rPr>
        <w:t xml:space="preserve">- </w:t>
      </w:r>
      <w:r>
        <w:rPr>
          <w:rFonts w:ascii="Arial MT" w:hAnsi="Arial MT" w:cs="Arial MT" w:eastAsia="Arial MT"/>
          <w:sz w:val="19"/>
        </w:rPr>
        <w:t>O custo referente ao transporte dos equipamentos cobertos pela garantia será de responsabilidade do Contratado.</w:t>
      </w:r>
    </w:p>
    <w:p>
      <w:pPr>
        <w:jc w:val="both"/>
        <w:ind w:right="210"/>
        <w:spacing w:before="120" w:lineRule="auto" w:line="276"/>
        <w:tabs>
          <w:tab w:val="left" w:pos="570"/>
        </w:tabs>
        <w:numPr>
          <w:ilvl w:val="0"/>
          <w:numId w:val="30"/>
        </w:numPr>
      </w:pPr>
      <w:r/>
      <w:r>
        <w:rPr>
          <w:b/>
          <w:sz w:val="19"/>
        </w:rPr>
        <w:t xml:space="preserve">- </w:t>
      </w:r>
      <w:r>
        <w:rPr>
          <w:rFonts w:ascii="Arial MT" w:hAnsi="Arial MT" w:cs="Arial MT" w:eastAsia="Arial MT"/>
          <w:sz w:val="19"/>
        </w:rPr>
        <w:t>A garantia legal ou contratual do objeto tem prazo de vigência próprio e desvinculado daquele fixado no contrato, permitindo eventual aplicação de penalidades em caso de descumprimento de alguma de suas condições, mesmo depois de expirada a vigência contratual.</w:t>
      </w:r>
    </w:p>
    <w:p>
      <w:pPr>
        <w:jc w:val="both"/>
        <w:ind w:right="210"/>
        <w:spacing w:lineRule="auto" w:line="276"/>
        <w:tabs>
          <w:tab w:val="left" w:pos="585"/>
        </w:tabs>
        <w:numPr>
          <w:ilvl w:val="0"/>
          <w:numId w:val="30"/>
        </w:numPr>
      </w:pPr>
      <w:r/>
      <w:r>
        <w:rPr>
          <w:b/>
          <w:sz w:val="19"/>
        </w:rPr>
        <w:t xml:space="preserve">-   </w:t>
      </w:r>
      <w:r>
        <w:rPr>
          <w:rFonts w:ascii="Arial MT" w:hAnsi="Arial MT" w:cs="Arial MT" w:eastAsia="Arial MT"/>
          <w:sz w:val="19"/>
        </w:rPr>
        <w:t>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pPr>
        <w:jc w:val="both"/>
        <w:ind w:right="210"/>
        <w:spacing w:before="120" w:lineRule="auto" w:line="276"/>
        <w:tabs>
          <w:tab w:val="left" w:pos="645"/>
        </w:tabs>
        <w:numPr>
          <w:ilvl w:val="0"/>
          <w:numId w:val="30"/>
        </w:numPr>
      </w:pPr>
      <w:r/>
      <w:r>
        <w:rPr>
          <w:b/>
          <w:sz w:val="19"/>
        </w:rPr>
        <w:t xml:space="preserve">- </w:t>
      </w:r>
      <w:r>
        <w:rPr>
          <w:rFonts w:ascii="Arial MT" w:hAnsi="Arial MT" w:cs="Arial MT" w:eastAsia="Arial MT"/>
          <w:sz w:val="19"/>
        </w:rPr>
        <w:t>Os bens poderão ser rejeitados, no todo ou em parte, inclusive antes do recebimento provisório, quando em desacordo com as especificações constantes no Termo de Referência e na proposta, devendo ser substituídos no prazo de 24 (vinte e quatro) horas, a contar da notificação da contratada, às suas custas, sem prejuízo da aplicação das penalidades.</w:t>
      </w:r>
    </w:p>
    <w:p>
      <w:pPr>
        <w:jc w:val="both"/>
        <w:ind w:right="210"/>
        <w:spacing w:before="105" w:lineRule="auto" w:line="276"/>
        <w:tabs>
          <w:tab w:val="left" w:pos="585"/>
        </w:tabs>
        <w:numPr>
          <w:ilvl w:val="0"/>
          <w:numId w:val="30"/>
        </w:numPr>
      </w:pPr>
      <w:r/>
      <w:r>
        <w:rPr>
          <w:b/>
          <w:sz w:val="19"/>
        </w:rPr>
        <w:t xml:space="preserve">- 9 </w:t>
      </w:r>
      <w:r>
        <w:rPr>
          <w:rFonts w:ascii="Arial MT" w:hAnsi="Arial MT" w:cs="Arial MT" w:eastAsia="Arial MT"/>
          <w:sz w:val="19"/>
        </w:rPr>
        <w:t>Para as contratações decorrentes de despesas cujos valores não ultrapassem o limite de que trata o inciso II do art. 75 da Lei nº 14.133, de 2021, o prazo máximo para o recebimento definitivo será de até 10 (dez) dias úteis.</w:t>
      </w:r>
    </w:p>
    <w:p>
      <w:pPr>
        <w:jc w:val="both"/>
        <w:ind w:right="210"/>
        <w:spacing w:before="120" w:lineRule="auto" w:line="264"/>
        <w:tabs>
          <w:tab w:val="left" w:pos="555"/>
        </w:tabs>
        <w:numPr>
          <w:ilvl w:val="0"/>
          <w:numId w:val="30"/>
        </w:numPr>
      </w:pPr>
      <w:r/>
      <w:r>
        <w:rPr>
          <w:b/>
          <w:sz w:val="19"/>
        </w:rPr>
        <w:t xml:space="preserve">- </w:t>
      </w:r>
      <w:r>
        <w:rPr>
          <w:rFonts w:ascii="Arial MT" w:hAnsi="Arial MT" w:cs="Arial MT" w:eastAsia="Arial MT"/>
          <w:sz w:val="19"/>
        </w:rPr>
        <w:t>O prazo para recebimento definitivo poderá ser excepcionalmente prorrogado, de forma justificada, por igual período, quando houver necessidade de diligências para a aferição do atendimento das exigências contratuais.</w:t>
      </w:r>
    </w:p>
    <w:p>
      <w:pPr>
        <w:jc w:val="both"/>
        <w:ind w:right="210"/>
        <w:spacing w:before="120" w:lineRule="auto" w:line="276"/>
        <w:tabs>
          <w:tab w:val="left" w:pos="600"/>
        </w:tabs>
        <w:numPr>
          <w:ilvl w:val="0"/>
          <w:numId w:val="30"/>
        </w:numPr>
      </w:pPr>
      <w:r/>
      <w:r>
        <w:rPr>
          <w:b/>
          <w:sz w:val="19"/>
        </w:rPr>
        <w:t xml:space="preserve">- </w:t>
      </w:r>
      <w:r>
        <w:rPr>
          <w:rFonts w:ascii="Arial MT" w:hAnsi="Arial MT" w:cs="Arial MT" w:eastAsia="Arial MT"/>
          <w:sz w:val="19"/>
        </w:rPr>
        <w:t>O recebimento provisório ou definitivo não excluirá a responsabilidade civil pela solidez e pela segurança do serviço nem a responsabilidade ético-profissional pela perfeita execução do contrato.</w:t>
      </w:r>
    </w:p>
    <w:p>
      <w:pPr>
        <w:spacing w:before="15"/>
      </w:pPr>
      <w:r>
        <w:t/>
      </w:r>
    </w:p>
    <w:p>
      <w:pPr>
        <w:outlineLvl w:val="1"/>
        <w:ind w:left="165"/>
      </w:pPr>
      <w:r>
        <w:rPr>
          <w:b/>
          <w:sz w:val="19"/>
        </w:rPr>
        <w:t>CLÁUSULA DÉCIMA QUINTA – DO CONTROLE E DA FISCALIZAÇÃO DA EXECUÇÃO</w:t>
      </w:r>
    </w:p>
    <w:p>
      <w:pPr>
        <w:spacing w:before="15"/>
      </w:pPr>
      <w:r>
        <w:t/>
      </w:r>
    </w:p>
    <w:p>
      <w:pPr>
        <w:jc w:val="both"/>
        <w:ind w:right="210"/>
        <w:spacing w:lineRule="auto" w:line="276"/>
        <w:numPr>
          <w:ilvl w:val="0"/>
          <w:numId w:val="44"/>
        </w:numPr>
      </w:pPr>
      <w:r/>
      <w:r>
        <w:rPr>
          <w:rFonts w:ascii="Arial MT" w:hAnsi="Arial MT" w:cs="Arial MT" w:eastAsia="Arial MT"/>
          <w:sz w:val="19"/>
        </w:rPr>
        <w:t>– O acompanhamento e a fiscalização da execução do contrato, consistem na verificação da conformidade da entrega realizada, de forma a assegurar o perfeito cumprimento do ajuste, devendo ser exercidos por um ou mais representantes do Contratante, especialmente designados, na forma dos artigos 117 e incisos da Lei Federal nº 14.133/2021;</w:t>
      </w:r>
    </w:p>
    <w:p>
      <w:pPr>
        <w:jc w:val="both"/>
        <w:ind w:right="210"/>
        <w:spacing w:before="15" w:lineRule="auto" w:line="264"/>
        <w:tabs>
          <w:tab w:val="left" w:pos="330"/>
        </w:tabs>
        <w:numPr>
          <w:ilvl w:val="0"/>
          <w:numId w:val="44"/>
        </w:numPr>
      </w:pPr>
      <w:r/>
      <w:r>
        <w:rPr>
          <w:rFonts w:ascii="Arial MT" w:hAnsi="Arial MT" w:cs="Arial MT" w:eastAsia="Arial MT"/>
          <w:sz w:val="19"/>
        </w:rPr>
        <w:t>– A verificação da adequação do fornecimento deverá ser realizada com base nos critérios previstos no Termo de Referência;</w:t>
      </w:r>
    </w:p>
    <w:p>
      <w:pPr>
        <w:jc w:val="both"/>
        <w:ind w:right="210"/>
        <w:spacing w:before="15" w:lineRule="auto" w:line="276"/>
        <w:tabs>
          <w:tab w:val="left" w:pos="405"/>
        </w:tabs>
        <w:numPr>
          <w:ilvl w:val="0"/>
          <w:numId w:val="44"/>
        </w:numPr>
      </w:pPr>
      <w:r/>
      <w:r>
        <w:rPr>
          <w:rFonts w:ascii="Arial MT" w:hAnsi="Arial MT" w:cs="Arial MT" w:eastAsia="Arial MT"/>
          <w:sz w:val="19"/>
        </w:rPr>
        <w:t>– O fiscal do contrato anotará em registro próprio, todas as ocorrências relacionadas à execução do contrato, determinando o que for necessário para a regularização das faltas ou dos defeitos observados, conforme §1º, do artigo 117, da Lei Federal nº 14.133/2021;</w:t>
      </w:r>
    </w:p>
    <w:p>
      <w:pPr>
        <w:jc w:val="both"/>
        <w:ind w:right="210"/>
        <w:spacing w:lineRule="auto" w:line="276"/>
        <w:tabs>
          <w:tab w:val="left" w:pos="450"/>
        </w:tabs>
        <w:numPr>
          <w:ilvl w:val="0"/>
          <w:numId w:val="44"/>
        </w:numPr>
      </w:pPr>
      <w:r/>
      <w:r>
        <w:rPr>
          <w:rFonts w:ascii="Arial MT" w:hAnsi="Arial MT" w:cs="Arial MT" w:eastAsia="Arial MT"/>
          <w:sz w:val="19"/>
        </w:rPr>
        <w:t>– A conformidade do material a ser entregue, deverá ser verificada junto ao documento da Contratada que contenha a relação detalhada deste, de acordo com o estabelecido no Termo de Referência e na proposta, informando as respectivas quantidades e especificações técnicas;</w:t>
      </w:r>
    </w:p>
    <w:p>
      <w:pPr>
        <w:jc w:val="both"/>
        <w:ind w:right="210"/>
        <w:spacing w:lineRule="auto" w:line="276"/>
        <w:tabs>
          <w:tab w:val="left" w:pos="345"/>
        </w:tabs>
        <w:numPr>
          <w:ilvl w:val="0"/>
          <w:numId w:val="44"/>
        </w:numPr>
      </w:pPr>
      <w:r/>
      <w:r>
        <w:rPr>
          <w:rFonts w:ascii="Arial MT" w:hAnsi="Arial MT" w:cs="Arial MT" w:eastAsia="Arial MT"/>
          <w:sz w:val="19"/>
        </w:rPr>
        <w:t>– A Contratada deverá manter preposto, aceito pelo Contratante, com poderes para solucionar demandas oriundas da execução do contrato, nos termos do art. 118, da Lei Federal nº 14.133/2021;</w:t>
      </w:r>
    </w:p>
    <w:p>
      <w:pPr>
        <w:jc w:val="both"/>
        <w:ind w:right="210"/>
        <w:spacing w:lineRule="auto" w:line="276"/>
        <w:tabs>
          <w:tab w:val="left" w:pos="435"/>
        </w:tabs>
        <w:numPr>
          <w:ilvl w:val="0"/>
          <w:numId w:val="44"/>
        </w:numPr>
      </w:pPr>
      <w:r/>
      <w:r>
        <w:rPr>
          <w:rFonts w:ascii="Arial MT" w:hAnsi="Arial MT" w:cs="Arial MT" w:eastAsia="Arial MT"/>
          <w:sz w:val="19"/>
        </w:rPr>
        <w:t>– O descumprimento total ou parcial das demais obrigações e responsabilidades assumidas pela Contratada, ensejará a aplicação de sanções administrativas previstas na legislação vigente, podendo culminar em rescisão contratual, conforme disposto nos artigos 155 e 156 da Lei Federal nº 14.133/2021;</w:t>
      </w:r>
    </w:p>
    <w:p>
      <w:pPr>
        <w:jc w:val="both"/>
        <w:ind w:right="210"/>
        <w:spacing w:before="15" w:lineRule="auto" w:line="264"/>
        <w:tabs>
          <w:tab w:val="left" w:pos="480"/>
        </w:tabs>
        <w:numPr>
          <w:ilvl w:val="0"/>
          <w:numId w:val="44"/>
        </w:numPr>
      </w:pPr>
      <w:r/>
      <w:r>
        <w:rPr>
          <w:rFonts w:ascii="Arial MT" w:hAnsi="Arial MT" w:cs="Arial MT" w:eastAsia="Arial MT"/>
          <w:sz w:val="19"/>
        </w:rPr>
        <w:t>– Ficam designados para as funções de gestor, fiscal e fiscal substituto, nos termos dos artigos 7º e 117, Lei Federal nº 14.133/2021, os servidores indicados na cláusula terceira do presente contrato;</w:t>
      </w:r>
    </w:p>
    <w:p>
      <w:pPr>
        <w:jc w:val="both"/>
        <w:ind w:right="210"/>
        <w:spacing w:before="15" w:lineRule="auto" w:line="276"/>
        <w:tabs>
          <w:tab w:val="left" w:pos="525"/>
        </w:tabs>
        <w:numPr>
          <w:ilvl w:val="0"/>
          <w:numId w:val="44"/>
        </w:numPr>
      </w:pPr>
      <w:r/>
      <w:r>
        <w:rPr>
          <w:rFonts w:ascii="Arial MT" w:hAnsi="Arial MT" w:cs="Arial MT" w:eastAsia="Arial MT"/>
          <w:sz w:val="19"/>
        </w:rPr>
        <w:t>– 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do Contratante ou de seus agentes e prepostos, conforme artigo 120 da Lei Federal nº 14.133/2021.</w:t>
      </w:r>
    </w:p>
    <w:p>
      <w:pPr>
        <w:spacing w:before="15"/>
      </w:pPr>
      <w:r>
        <w:t/>
      </w:r>
    </w:p>
    <w:p>
      <w:pPr>
        <w:jc w:val="both"/>
        <w:ind w:left="165"/>
      </w:pPr>
      <w:r>
        <w:rPr>
          <w:b/>
          <w:sz w:val="19"/>
        </w:rPr>
        <w:t xml:space="preserve">CLÁUSULA DÉCIMA SEXTA – DAS OBRIGAÇÕES DO CONTRATANTE: </w:t>
      </w:r>
      <w:r>
        <w:rPr>
          <w:rFonts w:ascii="Arial MT" w:hAnsi="Arial MT" w:cs="Arial MT" w:eastAsia="Arial MT"/>
          <w:sz w:val="19"/>
        </w:rPr>
        <w:t xml:space="preserve">Além das obrigações exigidas em Lei, o </w:t>
      </w:r>
      <w:r>
        <w:rPr>
          <w:b/>
          <w:sz w:val="19"/>
        </w:rPr>
        <w:t xml:space="preserve">CONTRATANTE </w:t>
      </w:r>
      <w:r>
        <w:rPr>
          <w:rFonts w:ascii="Arial MT" w:hAnsi="Arial MT" w:cs="Arial MT" w:eastAsia="Arial MT"/>
          <w:sz w:val="19"/>
        </w:rPr>
        <w:t>deverá:</w:t>
      </w:r>
    </w:p>
    <w:p>
      <w:pPr>
        <w:spacing w:before="15"/>
      </w:pPr>
      <w:r>
        <w:t/>
      </w:r>
    </w:p>
    <w:p>
      <w:pPr>
        <w:jc w:val="both"/>
        <w:ind w:right="210"/>
        <w:spacing w:lineRule="auto" w:line="276"/>
        <w:numPr>
          <w:ilvl w:val="0"/>
          <w:numId w:val="11"/>
        </w:numPr>
      </w:pPr>
      <w:r/>
      <w:r>
        <w:rPr>
          <w:rFonts w:ascii="Arial MT" w:hAnsi="Arial MT" w:cs="Arial MT" w:eastAsia="Arial MT"/>
          <w:sz w:val="19"/>
        </w:rPr>
        <w:t>– Exigir o cumprimento de todas as obrigações assumidas pela Contratada, de acordo com o contrato e demais documentos anexos;</w:t>
      </w:r>
    </w:p>
    <w:p>
      <w:pPr>
        <w:jc w:val="both"/>
        <w:tabs>
          <w:tab w:val="left" w:pos="315"/>
        </w:tabs>
        <w:numPr>
          <w:ilvl w:val="0"/>
          <w:numId w:val="11"/>
        </w:numPr>
      </w:pPr>
      <w:r/>
      <w:r>
        <w:rPr>
          <w:rFonts w:ascii="Arial MT" w:hAnsi="Arial MT" w:cs="Arial MT" w:eastAsia="Arial MT"/>
          <w:sz w:val="19"/>
        </w:rPr>
        <w:t>– Receber o objeto no prazo e nas condições estabelecidas no Termo de Referência e no presente contrato;</w:t>
      </w:r>
    </w:p>
    <w:p>
      <w:pPr>
        <w:jc w:val="both"/>
        <w:ind w:right="210"/>
        <w:spacing w:before="30" w:lineRule="auto" w:line="276"/>
        <w:tabs>
          <w:tab w:val="left" w:pos="450"/>
        </w:tabs>
        <w:numPr>
          <w:ilvl w:val="0"/>
          <w:numId w:val="11"/>
        </w:numPr>
      </w:pPr>
      <w:r/>
      <w:r>
        <w:rPr>
          <w:rFonts w:ascii="Arial MT" w:hAnsi="Arial MT" w:cs="Arial MT" w:eastAsia="Arial MT"/>
          <w:sz w:val="19"/>
        </w:rPr>
        <w:t>– Verificar minuciosamente, no prazo fixado, a conformidade do objeto recebido provisoriamente, com as especificações estabelecidas no presente contrato, no Termo de Referência, bem como na proposta da Contratada, para fins de aceitação e recebimento definitivo;</w:t>
      </w:r>
    </w:p>
    <w:p>
      <w:pPr>
        <w:jc w:val="both"/>
        <w:ind w:right="210"/>
        <w:spacing w:lineRule="auto" w:line="276"/>
        <w:tabs>
          <w:tab w:val="left" w:pos="435"/>
        </w:tabs>
        <w:numPr>
          <w:ilvl w:val="0"/>
          <w:numId w:val="11"/>
        </w:numPr>
      </w:pPr>
      <w:r/>
      <w:r>
        <w:rPr>
          <w:rFonts w:ascii="Arial MT" w:hAnsi="Arial MT" w:cs="Arial MT" w:eastAsia="Arial MT"/>
          <w:sz w:val="19"/>
        </w:rPr>
        <w:t>– Notificar a Contratada, por escrito, sobre imperfeições, falhas, irregularidades, vícios, defeitos e incorreções verificadas no objeto fornecido, para que seja por ela substituído, reparado ou corrigido, no total ou em partes, às suas expensas;</w:t>
      </w:r>
    </w:p>
    <w:p>
      <w:pPr>
        <w:jc w:val="both"/>
        <w:ind w:right="210"/>
        <w:spacing w:lineRule="auto" w:line="276"/>
        <w:tabs>
          <w:tab w:val="left" w:pos="360"/>
        </w:tabs>
        <w:numPr>
          <w:ilvl w:val="0"/>
          <w:numId w:val="11"/>
        </w:numPr>
      </w:pPr>
      <w:r/>
      <w:r>
        <w:rPr>
          <w:rFonts w:ascii="Arial MT" w:hAnsi="Arial MT" w:cs="Arial MT" w:eastAsia="Arial MT"/>
          <w:sz w:val="19"/>
        </w:rPr>
        <w:t>– Acompanhar e fiscalizar a execução do contrato e o cumprimento das obrigações pela Contratada, por meio de servidor especialmente designado;</w:t>
      </w:r>
    </w:p>
    <w:p>
      <w:pPr>
        <w:jc w:val="both"/>
        <w:ind w:right="210"/>
        <w:spacing w:before="15" w:lineRule="auto" w:line="276"/>
        <w:tabs>
          <w:tab w:val="left" w:pos="390"/>
        </w:tabs>
        <w:numPr>
          <w:ilvl w:val="0"/>
          <w:numId w:val="11"/>
        </w:numPr>
      </w:pPr>
      <w:r/>
      <w:r>
        <w:rPr>
          <w:rFonts w:ascii="Arial MT" w:hAnsi="Arial MT" w:cs="Arial MT" w:eastAsia="Arial MT"/>
          <w:sz w:val="19"/>
        </w:rPr>
        <w:t>– Comunicar a empresa para emissão da Nota Fiscal no que pertine à parcela incontroversa da execução do objeto, para efeito de liquidação e pagamento, quando houver controvérsia sobre a execução do objeto, quanto à dimensão, qualidade e quantidade, conforme o artigo 143 da Lei Federal nº 14.133/2021;</w:t>
      </w:r>
    </w:p>
    <w:p>
      <w:pPr>
        <w:jc w:val="both"/>
        <w:ind w:right="210"/>
        <w:spacing w:lineRule="auto" w:line="276"/>
        <w:tabs>
          <w:tab w:val="left" w:pos="495"/>
        </w:tabs>
        <w:numPr>
          <w:ilvl w:val="0"/>
          <w:numId w:val="11"/>
        </w:numPr>
      </w:pPr>
      <w:r/>
      <w:r>
        <w:rPr>
          <w:rFonts w:ascii="Arial MT" w:hAnsi="Arial MT" w:cs="Arial MT" w:eastAsia="Arial MT"/>
          <w:sz w:val="19"/>
        </w:rPr>
        <w:t>– Efetuar o pagamento à Contratada do valor correspondente ao fornecimento do objeto, no prazo, forma e condições estabelecidas no presente contrato;</w:t>
      </w:r>
    </w:p>
    <w:p>
      <w:pPr>
        <w:jc w:val="both"/>
        <w:spacing w:lineRule="exact" w:line="225"/>
        <w:tabs>
          <w:tab w:val="left" w:pos="495"/>
        </w:tabs>
        <w:numPr>
          <w:ilvl w:val="0"/>
          <w:numId w:val="11"/>
        </w:numPr>
      </w:pPr>
      <w:r/>
      <w:r>
        <w:rPr>
          <w:rFonts w:ascii="Arial MT" w:hAnsi="Arial MT" w:cs="Arial MT" w:eastAsia="Arial MT"/>
          <w:sz w:val="19"/>
        </w:rPr>
        <w:t>– Aplicar à Contratada as sanções previstas em Lei e no presente contrato;</w:t>
      </w:r>
    </w:p>
    <w:p>
      <w:pPr>
        <w:jc w:val="both"/>
        <w:ind w:right="210"/>
        <w:spacing w:before="30" w:lineRule="auto" w:line="276"/>
        <w:tabs>
          <w:tab w:val="left" w:pos="420"/>
        </w:tabs>
        <w:numPr>
          <w:ilvl w:val="0"/>
          <w:numId w:val="11"/>
        </w:numPr>
      </w:pPr>
      <w:r/>
      <w:r>
        <w:rPr>
          <w:rFonts w:ascii="Arial MT" w:hAnsi="Arial MT" w:cs="Arial MT" w:eastAsia="Arial MT"/>
          <w:sz w:val="19"/>
        </w:rPr>
        <w:t>– Explicitamente, emitir decisão sobre todas as solicitações e reclamações relacionadas à execução do presente contrato, ressalvados os requerimentos manifestamente impertinentes, meramente protelatórios ou de nenhum interesse para a boa execução do ajuste;</w:t>
      </w:r>
    </w:p>
    <w:p>
      <w:pPr>
        <w:jc w:val="both"/>
        <w:ind w:right="210"/>
        <w:spacing w:lineRule="auto" w:line="276"/>
        <w:tabs>
          <w:tab w:val="left" w:pos="345"/>
        </w:tabs>
        <w:numPr>
          <w:ilvl w:val="0"/>
          <w:numId w:val="11"/>
        </w:numPr>
      </w:pPr>
      <w:r/>
      <w:r>
        <w:rPr>
          <w:rFonts w:ascii="Arial MT" w:hAnsi="Arial MT" w:cs="Arial MT" w:eastAsia="Arial MT"/>
          <w:sz w:val="19"/>
        </w:rPr>
        <w:t xml:space="preserve">– Responder eventuais pedidos de reestabelecimento do equilíbrio econômico-financeiro, feitos pela Contratada, </w:t>
      </w:r>
      <w:r>
        <w:rPr>
          <w:b/>
          <w:sz w:val="19"/>
        </w:rPr>
        <w:t>no prazo de 60 (sessenta) dias</w:t>
      </w:r>
      <w:r>
        <w:rPr>
          <w:rFonts w:ascii="Arial MT" w:hAnsi="Arial MT" w:cs="Arial MT" w:eastAsia="Arial MT"/>
          <w:sz w:val="19"/>
        </w:rPr>
        <w:t>, contados da data do protocolo do requerimento, conforme o art. 92, inciso XI, da Lei Federal nº 14.133/2021;</w:t>
      </w:r>
    </w:p>
    <w:p>
      <w:pPr>
        <w:jc w:val="both"/>
        <w:ind w:right="210"/>
        <w:spacing w:lineRule="auto" w:line="276"/>
        <w:tabs>
          <w:tab w:val="left" w:pos="780"/>
        </w:tabs>
        <w:numPr>
          <w:ilvl w:val="1"/>
          <w:numId w:val="11"/>
        </w:numPr>
      </w:pPr>
      <w:r/>
      <w:r>
        <w:rPr>
          <w:rFonts w:ascii="Arial MT" w:hAnsi="Arial MT" w:cs="Arial MT" w:eastAsia="Arial MT"/>
          <w:sz w:val="19"/>
        </w:rPr>
        <w:t>O prazo estipulado no presente inciso poderá ser prorrogado por igual período, desde que devidamente motivado pela autoridade competente.</w:t>
      </w:r>
    </w:p>
    <w:p>
      <w:pPr>
        <w:jc w:val="both"/>
        <w:ind w:right="210"/>
        <w:spacing w:lineRule="auto" w:line="276"/>
        <w:tabs>
          <w:tab w:val="left" w:pos="405"/>
        </w:tabs>
        <w:numPr>
          <w:ilvl w:val="0"/>
          <w:numId w:val="11"/>
        </w:numPr>
      </w:pPr>
      <w:r/>
      <w:r>
        <w:rPr>
          <w:rFonts w:ascii="Arial MT" w:hAnsi="Arial MT" w:cs="Arial MT" w:eastAsia="Arial MT"/>
          <w:sz w:val="19"/>
        </w:rPr>
        <w:t>– Notificar os emitentes da (s) garantia (s) no contrato, quando houver, quanto ao início de processo administrativo para apuração de descumprimento de cláusulas contratuais.</w:t>
      </w:r>
    </w:p>
    <w:p>
      <w:pPr>
        <w:jc w:val="both"/>
        <w:ind w:left="165" w:right="210"/>
        <w:spacing w:before="15" w:lineRule="auto" w:line="276"/>
      </w:pPr>
      <w:r>
        <w:rPr>
          <w:b/>
          <w:sz w:val="19"/>
        </w:rPr>
        <w:t xml:space="preserve">Parágrafo Único: </w:t>
      </w:r>
      <w:r>
        <w:rPr>
          <w:rFonts w:ascii="Arial MT" w:hAnsi="Arial MT" w:cs="Arial MT" w:eastAsia="Arial MT"/>
          <w:sz w:val="19"/>
        </w:rPr>
        <w:t>O Contratante não responderá por quaisquer compromissos assumidos pela Contratada com terceiros, ainda que vinculados à execução do presente contrato, bem como por quaisquer danos causados a terceiros em decorrência de ato da Contratada, de seus empregados, prepostos ou subordinados.</w:t>
      </w:r>
    </w:p>
    <w:p>
      <w:pPr>
        <w:spacing w:before="15"/>
      </w:pPr>
      <w:r>
        <w:t/>
      </w:r>
    </w:p>
    <w:p>
      <w:pPr>
        <w:jc w:val="both"/>
        <w:ind w:left="165"/>
      </w:pPr>
      <w:r>
        <w:rPr>
          <w:b/>
          <w:sz w:val="19"/>
        </w:rPr>
        <w:t xml:space="preserve">CLÁUSULA DÉCIMA SÉTIMA – DAS OBRIGAÇÕES DA CONTRATADA: </w:t>
      </w:r>
      <w:r>
        <w:rPr>
          <w:rFonts w:ascii="Arial MT" w:hAnsi="Arial MT" w:cs="Arial MT" w:eastAsia="Arial MT"/>
          <w:sz w:val="19"/>
        </w:rPr>
        <w:t xml:space="preserve">Além das obrigações exigidas em Lei, a </w:t>
      </w:r>
      <w:r>
        <w:rPr>
          <w:b/>
          <w:sz w:val="19"/>
        </w:rPr>
        <w:t xml:space="preserve">CONTRATADA </w:t>
      </w:r>
      <w:r>
        <w:rPr>
          <w:rFonts w:ascii="Arial MT" w:hAnsi="Arial MT" w:cs="Arial MT" w:eastAsia="Arial MT"/>
          <w:sz w:val="19"/>
        </w:rPr>
        <w:t>deverá:</w:t>
      </w:r>
    </w:p>
    <w:p>
      <w:pPr>
        <w:jc w:val="both"/>
        <w:ind w:right="210"/>
        <w:spacing w:lineRule="auto" w:line="264"/>
        <w:numPr>
          <w:ilvl w:val="0"/>
          <w:numId w:val="4"/>
        </w:numPr>
      </w:pPr>
      <w:r/>
      <w:r>
        <w:rPr>
          <w:rFonts w:ascii="Arial MT" w:hAnsi="Arial MT" w:cs="Arial MT" w:eastAsia="Arial MT"/>
          <w:sz w:val="19"/>
        </w:rPr>
        <w:t>– Cumprir todas as obrigações constantes do presente contrato e demais documentos anexos, assumindo como exclusivamente seus, os riscos e as despesas decorrentes da boa e perfeita execução do objeto;</w:t>
      </w:r>
    </w:p>
    <w:p>
      <w:pPr>
        <w:jc w:val="both"/>
        <w:ind w:right="210"/>
        <w:spacing w:before="15" w:lineRule="auto" w:line="264"/>
        <w:tabs>
          <w:tab w:val="left" w:pos="330"/>
        </w:tabs>
        <w:numPr>
          <w:ilvl w:val="0"/>
          <w:numId w:val="4"/>
        </w:numPr>
      </w:pPr>
      <w:r/>
      <w:r>
        <w:rPr>
          <w:rFonts w:ascii="Arial MT" w:hAnsi="Arial MT" w:cs="Arial MT" w:eastAsia="Arial MT"/>
          <w:sz w:val="19"/>
        </w:rPr>
        <w:t>– Efetuar a entrega do objeto em perfeitas condições, conforme especificações, prazo e local constantes no Termo de Referência e seus anexos, acompanhado da respectiva nota fiscal;</w:t>
      </w:r>
    </w:p>
    <w:p>
      <w:pPr>
        <w:jc w:val="both"/>
        <w:ind w:right="210"/>
        <w:spacing w:before="15" w:lineRule="auto" w:line="276"/>
        <w:tabs>
          <w:tab w:val="left" w:pos="375"/>
        </w:tabs>
        <w:numPr>
          <w:ilvl w:val="0"/>
          <w:numId w:val="4"/>
        </w:numPr>
      </w:pPr>
      <w:r/>
      <w:r>
        <w:rPr>
          <w:rFonts w:ascii="Arial MT" w:hAnsi="Arial MT" w:cs="Arial MT" w:eastAsia="Arial MT"/>
          <w:sz w:val="19"/>
        </w:rPr>
        <w:t>– Responsabilizar-se pelos vícios e danos decorrentes do objeto, de acordo com os artigos 12, 13 e 17 a 27 Código de Defesa do Consumidor (Lei nº 8.078/1990);</w:t>
      </w:r>
    </w:p>
    <w:p>
      <w:pPr>
        <w:jc w:val="both"/>
        <w:ind w:right="210"/>
        <w:spacing w:before="15" w:lineRule="auto" w:line="264"/>
        <w:tabs>
          <w:tab w:val="left" w:pos="405"/>
        </w:tabs>
        <w:numPr>
          <w:ilvl w:val="0"/>
          <w:numId w:val="4"/>
        </w:numPr>
      </w:pPr>
      <w:r/>
      <w:r>
        <w:rPr>
          <w:rFonts w:ascii="Arial MT" w:hAnsi="Arial MT" w:cs="Arial MT" w:eastAsia="Arial MT"/>
          <w:sz w:val="19"/>
        </w:rPr>
        <w:t xml:space="preserve">– Comunicar o Contratante, no prazo máximo de </w:t>
      </w:r>
      <w:r>
        <w:rPr>
          <w:b/>
          <w:sz w:val="19"/>
        </w:rPr>
        <w:t xml:space="preserve">24 (vinte e quatro) horas </w:t>
      </w:r>
      <w:r>
        <w:rPr>
          <w:rFonts w:ascii="Arial MT" w:hAnsi="Arial MT" w:cs="Arial MT" w:eastAsia="Arial MT"/>
          <w:sz w:val="19"/>
        </w:rPr>
        <w:t>que antecedem a data da entrega, os motivos que impossibilitem o cumprimento do prazo previsto, com a devida comprovação;</w:t>
      </w:r>
    </w:p>
    <w:p>
      <w:pPr>
        <w:jc w:val="both"/>
        <w:ind w:right="210"/>
        <w:spacing w:before="15" w:lineRule="auto" w:line="276"/>
        <w:tabs>
          <w:tab w:val="left" w:pos="360"/>
        </w:tabs>
        <w:numPr>
          <w:ilvl w:val="0"/>
          <w:numId w:val="4"/>
        </w:numPr>
      </w:pPr>
      <w:r/>
      <w:r>
        <w:rPr>
          <w:rFonts w:ascii="Arial MT" w:hAnsi="Arial MT" w:cs="Arial MT" w:eastAsia="Arial MT"/>
          <w:sz w:val="19"/>
        </w:rPr>
        <w:t>– Atender às determinações regulares, emitidas pelo fiscal e gestor do contrato, ou autoridade superior, conforme determinado no art. 137, inciso II da Lei Federal nº 14.133/2021, e prestar todo esclarecimento ou informação por eles solicitados;</w:t>
      </w:r>
    </w:p>
    <w:p>
      <w:pPr>
        <w:jc w:val="both"/>
        <w:ind w:right="210"/>
        <w:spacing w:lineRule="auto" w:line="276"/>
        <w:tabs>
          <w:tab w:val="left" w:pos="405"/>
        </w:tabs>
        <w:numPr>
          <w:ilvl w:val="0"/>
          <w:numId w:val="4"/>
        </w:numPr>
      </w:pPr>
      <w:r/>
      <w:r>
        <w:rPr>
          <w:rFonts w:ascii="Arial MT" w:hAnsi="Arial MT" w:cs="Arial MT" w:eastAsia="Arial MT"/>
          <w:sz w:val="19"/>
        </w:rPr>
        <w:t>– Reparar, corrigir, remover, reconstruir ou substituir, às suas expensas, no total ou em parte, no prazo fixado no Termo de Referência, os bens nos quais se verificarem vícios, defeitos ou incorreções resultantes da execução ou dos materiais empregados;</w:t>
      </w:r>
    </w:p>
    <w:p>
      <w:pPr>
        <w:jc w:val="both"/>
        <w:ind w:right="210"/>
        <w:spacing w:lineRule="auto" w:line="276"/>
        <w:tabs>
          <w:tab w:val="left" w:pos="450"/>
        </w:tabs>
        <w:numPr>
          <w:ilvl w:val="0"/>
          <w:numId w:val="4"/>
        </w:numPr>
      </w:pPr>
      <w:r/>
      <w:r>
        <w:rPr>
          <w:rFonts w:ascii="Arial MT" w:hAnsi="Arial MT" w:cs="Arial MT" w:eastAsia="Arial MT"/>
          <w:sz w:val="19"/>
        </w:rPr>
        <w:t>– Responsabilizar-se pelos vícios e danos decorrentes da execução do objeto, bem como por todo e qualquer dano causado à Administração Pública ou a terceiros, não reduzindo essa responsabilidade a fiscalização ou o acompanhamento da execução contratual pelo Contratante, que ficará autorizada a descontar dos pagamentos devidos ou da garantia, caso exigida, o valor correspondente aos danos sofridos;</w:t>
      </w:r>
    </w:p>
    <w:p>
      <w:pPr>
        <w:jc w:val="both"/>
        <w:ind w:right="210"/>
        <w:spacing w:lineRule="auto" w:line="276"/>
        <w:tabs>
          <w:tab w:val="left" w:pos="510"/>
        </w:tabs>
        <w:numPr>
          <w:ilvl w:val="0"/>
          <w:numId w:val="4"/>
        </w:numPr>
      </w:pPr>
      <w:r/>
      <w:r>
        <w:rPr>
          <w:rFonts w:ascii="Arial MT" w:hAnsi="Arial MT" w:cs="Arial MT" w:eastAsia="Arial MT"/>
          <w:sz w:val="19"/>
        </w:rPr>
        <w:t>– 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pPr>
        <w:jc w:val="both"/>
        <w:ind w:right="210"/>
        <w:spacing w:lineRule="auto" w:line="276"/>
        <w:tabs>
          <w:tab w:val="left" w:pos="435"/>
        </w:tabs>
        <w:numPr>
          <w:ilvl w:val="0"/>
          <w:numId w:val="4"/>
        </w:numPr>
      </w:pPr>
      <w:r/>
      <w:r>
        <w:rPr>
          <w:rFonts w:ascii="Arial MT" w:hAnsi="Arial MT" w:cs="Arial MT" w:eastAsia="Arial MT"/>
          <w:sz w:val="19"/>
        </w:rPr>
        <w:t>– Entregar ao setor responsável pela fiscalização do contrato, junto à Nota Fiscal para fins de pagamento, os seguintes documentos:</w:t>
      </w:r>
    </w:p>
    <w:p>
      <w:pPr>
        <w:numPr>
          <w:ilvl w:val="1"/>
          <w:numId w:val="4"/>
        </w:numPr>
      </w:pPr>
      <w:r/>
      <w:r>
        <w:rPr>
          <w:rFonts w:ascii="Arial MT" w:hAnsi="Arial MT" w:cs="Arial MT" w:eastAsia="Arial MT"/>
          <w:sz w:val="19"/>
        </w:rPr>
        <w:t>Prova de regularidade relativa à Seguridade Social;</w:t>
      </w:r>
    </w:p>
    <w:p>
      <w:pPr>
        <w:spacing w:before="30"/>
        <w:numPr>
          <w:ilvl w:val="1"/>
          <w:numId w:val="4"/>
        </w:numPr>
      </w:pPr>
      <w:r/>
      <w:r>
        <w:rPr>
          <w:rFonts w:ascii="Arial MT" w:hAnsi="Arial MT" w:cs="Arial MT" w:eastAsia="Arial MT"/>
          <w:sz w:val="19"/>
        </w:rPr>
        <w:t>Certidão Conjunta Relativa aos Tributos Federais e à Dívida Ativa da União;</w:t>
      </w:r>
    </w:p>
    <w:p>
      <w:pPr>
        <w:ind w:right="210"/>
        <w:spacing w:before="30" w:lineRule="auto" w:line="276"/>
        <w:tabs>
          <w:tab w:val="left" w:pos="750"/>
        </w:tabs>
        <w:numPr>
          <w:ilvl w:val="1"/>
          <w:numId w:val="4"/>
        </w:numPr>
      </w:pPr>
      <w:r/>
      <w:r>
        <w:rPr>
          <w:rFonts w:ascii="Arial MT" w:hAnsi="Arial MT" w:cs="Arial MT" w:eastAsia="Arial MT"/>
          <w:sz w:val="19"/>
        </w:rPr>
        <w:t>Certidões que comprovem a regularidade perante a Fazenda Estadual ou Distrital do domicílio ou sede da Contratada;</w:t>
      </w:r>
    </w:p>
    <w:p>
      <w:pPr>
        <w:spacing w:before="15"/>
        <w:numPr>
          <w:ilvl w:val="1"/>
          <w:numId w:val="4"/>
        </w:numPr>
      </w:pPr>
      <w:r/>
      <w:r>
        <w:rPr>
          <w:rFonts w:ascii="Arial MT" w:hAnsi="Arial MT" w:cs="Arial MT" w:eastAsia="Arial MT"/>
          <w:sz w:val="19"/>
        </w:rPr>
        <w:t>Certidão de Regularidade do FGTS – CRF; e</w:t>
      </w:r>
    </w:p>
    <w:p>
      <w:pPr>
        <w:spacing w:before="30"/>
        <w:numPr>
          <w:ilvl w:val="1"/>
          <w:numId w:val="4"/>
        </w:numPr>
      </w:pPr>
      <w:r/>
      <w:r>
        <w:rPr>
          <w:rFonts w:ascii="Arial MT" w:hAnsi="Arial MT" w:cs="Arial MT" w:eastAsia="Arial MT"/>
          <w:sz w:val="19"/>
        </w:rPr>
        <w:t>Certidão Negativa de Débitos Trabalhistas – CNDT;</w:t>
      </w:r>
    </w:p>
    <w:p>
      <w:pPr>
        <w:jc w:val="both"/>
        <w:ind w:right="210"/>
        <w:spacing w:before="30" w:lineRule="auto" w:line="276"/>
        <w:tabs>
          <w:tab w:val="left" w:pos="360"/>
        </w:tabs>
        <w:numPr>
          <w:ilvl w:val="0"/>
          <w:numId w:val="4"/>
        </w:numPr>
      </w:pPr>
      <w:r/>
      <w:r>
        <w:rPr>
          <w:rFonts w:ascii="Arial MT" w:hAnsi="Arial MT" w:cs="Arial MT" w:eastAsia="Arial MT"/>
          <w:sz w:val="19"/>
        </w:rPr>
        <w:t>– Responsabilizar-se pelo cumprimento de todas as obrigações trabalhistas, previdenciárias, fiscais, comerciais e demais previstas em legislação específica, cuja inadimplência não transfere a responsabilidade ao Contratante e não poderá onerar o objeto do contrato;</w:t>
      </w:r>
    </w:p>
    <w:p>
      <w:pPr>
        <w:jc w:val="both"/>
        <w:ind w:right="210"/>
        <w:spacing w:lineRule="auto" w:line="276"/>
        <w:tabs>
          <w:tab w:val="left" w:pos="405"/>
        </w:tabs>
        <w:numPr>
          <w:ilvl w:val="0"/>
          <w:numId w:val="4"/>
        </w:numPr>
      </w:pPr>
      <w:r/>
      <w:r>
        <w:rPr>
          <w:rFonts w:ascii="Arial MT" w:hAnsi="Arial MT" w:cs="Arial MT" w:eastAsia="Arial MT"/>
          <w:sz w:val="19"/>
        </w:rPr>
        <w:t xml:space="preserve">– Comunicar aos fiscais do contrato, no prazo de até </w:t>
      </w:r>
      <w:r>
        <w:rPr>
          <w:b/>
          <w:sz w:val="19"/>
        </w:rPr>
        <w:t>24 (vinte e quatro) horas</w:t>
      </w:r>
      <w:r>
        <w:rPr>
          <w:rFonts w:ascii="Arial MT" w:hAnsi="Arial MT" w:cs="Arial MT" w:eastAsia="Arial MT"/>
          <w:sz w:val="19"/>
        </w:rPr>
        <w:t>, qualquer ocorrência anormal ou incidente que obste à execução do objeto contratual;</w:t>
      </w:r>
    </w:p>
    <w:p>
      <w:pPr>
        <w:jc w:val="both"/>
        <w:ind w:right="210"/>
        <w:spacing w:before="15" w:lineRule="auto" w:line="264"/>
        <w:tabs>
          <w:tab w:val="left" w:pos="450"/>
        </w:tabs>
        <w:numPr>
          <w:ilvl w:val="0"/>
          <w:numId w:val="4"/>
        </w:numPr>
      </w:pPr>
      <w:r/>
      <w:r>
        <w:rPr>
          <w:rFonts w:ascii="Arial MT" w:hAnsi="Arial MT" w:cs="Arial MT" w:eastAsia="Arial MT"/>
          <w:sz w:val="19"/>
        </w:rPr>
        <w:t>– Paralisar, por determinação do Contratante, qualquer atividade que não esteja sendo executada de acordo com a boa técnica ou que coloque em risco a segurança de pessoas ou bens de terceiros;</w:t>
      </w:r>
    </w:p>
    <w:p>
      <w:pPr>
        <w:jc w:val="both"/>
        <w:ind w:right="210"/>
        <w:spacing w:before="15" w:lineRule="auto" w:line="264"/>
        <w:tabs>
          <w:tab w:val="left" w:pos="540"/>
        </w:tabs>
        <w:numPr>
          <w:ilvl w:val="0"/>
          <w:numId w:val="4"/>
        </w:numPr>
      </w:pPr>
      <w:r/>
      <w:r>
        <w:rPr>
          <w:rFonts w:ascii="Arial MT" w:hAnsi="Arial MT" w:cs="Arial MT" w:eastAsia="Arial MT"/>
          <w:sz w:val="19"/>
        </w:rPr>
        <w:t>– Manter durante toda a vigência do contrato, em compatibilidade com as obrigações assumidas, todas as condições exigidas para habilitação/qualificação na licitação/contratação;</w:t>
      </w:r>
    </w:p>
    <w:p>
      <w:pPr>
        <w:jc w:val="both"/>
        <w:ind w:right="210"/>
        <w:spacing w:before="15" w:lineRule="auto" w:line="276"/>
        <w:tabs>
          <w:tab w:val="left" w:pos="525"/>
        </w:tabs>
        <w:numPr>
          <w:ilvl w:val="0"/>
          <w:numId w:val="4"/>
        </w:numPr>
      </w:pPr>
      <w:r/>
      <w:r>
        <w:rPr>
          <w:rFonts w:ascii="Arial MT" w:hAnsi="Arial MT" w:cs="Arial MT" w:eastAsia="Arial MT"/>
          <w:sz w:val="19"/>
        </w:rPr>
        <w:t>– Cumprir, durante todo o período de execução do contrato, a reserva de cargos prevista em lei para pessoa com deficiência, para reabilitado da Previdência Social ou para aprendiz, bem como as reservas de cargos previstas em legislação, conforme artigo 116 da Lei Federal nº 14.133/2021;</w:t>
      </w:r>
    </w:p>
    <w:p>
      <w:pPr>
        <w:jc w:val="both"/>
        <w:ind w:right="210"/>
        <w:spacing w:lineRule="auto" w:line="276"/>
        <w:tabs>
          <w:tab w:val="left" w:pos="480"/>
        </w:tabs>
        <w:numPr>
          <w:ilvl w:val="0"/>
          <w:numId w:val="4"/>
        </w:numPr>
      </w:pPr>
      <w:r/>
      <w:r>
        <w:rPr>
          <w:rFonts w:ascii="Arial MT" w:hAnsi="Arial MT" w:cs="Arial MT" w:eastAsia="Arial MT"/>
          <w:sz w:val="19"/>
        </w:rPr>
        <w:t>– Comprovar a reserva de cargos a que se refere a cláusula acima, no prazo fixado pelo fiscal do contrato, com a indicação dos empregados que preencheram as referidas vagas, conforme artigo 116, § único da Lei Federal nº 14.133/2021;</w:t>
      </w:r>
    </w:p>
    <w:p>
      <w:pPr>
        <w:jc w:val="both"/>
        <w:tabs>
          <w:tab w:val="left" w:pos="525"/>
        </w:tabs>
        <w:numPr>
          <w:ilvl w:val="0"/>
          <w:numId w:val="4"/>
        </w:numPr>
      </w:pPr>
      <w:r/>
      <w:r>
        <w:rPr>
          <w:rFonts w:ascii="Arial MT" w:hAnsi="Arial MT" w:cs="Arial MT" w:eastAsia="Arial MT"/>
          <w:sz w:val="19"/>
        </w:rPr>
        <w:t>– Guardar sigilo sobre todas as informações obtidas em decorrência do cumprimento do contrato;</w:t>
      </w:r>
    </w:p>
    <w:p>
      <w:pPr>
        <w:jc w:val="both"/>
        <w:ind w:right="210"/>
        <w:spacing w:before="30" w:lineRule="auto" w:line="276"/>
        <w:tabs>
          <w:tab w:val="left" w:pos="615"/>
        </w:tabs>
        <w:numPr>
          <w:ilvl w:val="0"/>
          <w:numId w:val="4"/>
        </w:numPr>
      </w:pPr>
      <w:r/>
      <w:r>
        <w:rPr>
          <w:rFonts w:ascii="Arial MT" w:hAnsi="Arial MT" w:cs="Arial MT" w:eastAsia="Arial MT"/>
          <w:sz w:val="19"/>
        </w:rPr>
        <w:t>– Arcar com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artigo 124, inciso II da Lei Federal nº 14.133/2021;</w:t>
      </w:r>
    </w:p>
    <w:p>
      <w:pPr>
        <w:jc w:val="both"/>
        <w:ind w:right="195"/>
        <w:spacing w:before="15" w:lineRule="auto" w:line="276"/>
        <w:tabs>
          <w:tab w:val="left" w:pos="810"/>
        </w:tabs>
        <w:numPr>
          <w:ilvl w:val="1"/>
          <w:numId w:val="4"/>
        </w:numPr>
      </w:pPr>
      <w:r/>
      <w:r>
        <w:rPr>
          <w:rFonts w:ascii="Arial MT" w:hAnsi="Arial MT" w:cs="Arial MT" w:eastAsia="Arial MT"/>
          <w:sz w:val="19"/>
        </w:rPr>
        <w:t>Para restabelecer equilíbrio econômico-financeiro inicial do contrato, a Contratada deverá apresentar requerimento formal à Administração, acompanhado de documentação comprobatória dos fatos alegados, ensejadores do eventual desequilíbrio;</w:t>
      </w:r>
    </w:p>
    <w:p>
      <w:pPr>
        <w:jc w:val="both"/>
        <w:ind w:right="210"/>
        <w:spacing w:lineRule="auto" w:line="264"/>
        <w:tabs>
          <w:tab w:val="left" w:pos="735"/>
        </w:tabs>
        <w:numPr>
          <w:ilvl w:val="1"/>
          <w:numId w:val="4"/>
        </w:numPr>
      </w:pPr>
      <w:r/>
      <w:r>
        <w:rPr>
          <w:rFonts w:ascii="Arial MT" w:hAnsi="Arial MT" w:cs="Arial MT" w:eastAsia="Arial MT"/>
          <w:sz w:val="19"/>
        </w:rPr>
        <w:t>O pedido a que se refere a alínea “a” deste inciso, deverá ser formulado durante a vigência do contrato e antes de eventual prorrogação;</w:t>
      </w:r>
    </w:p>
    <w:p>
      <w:pPr>
        <w:jc w:val="both"/>
        <w:ind w:right="210"/>
        <w:spacing w:before="15" w:lineRule="auto" w:line="276"/>
        <w:tabs>
          <w:tab w:val="left" w:pos="675"/>
        </w:tabs>
        <w:numPr>
          <w:ilvl w:val="0"/>
          <w:numId w:val="4"/>
        </w:numPr>
      </w:pPr>
      <w:r/>
      <w:r>
        <w:rPr>
          <w:rFonts w:ascii="Arial MT" w:hAnsi="Arial MT" w:cs="Arial MT" w:eastAsia="Arial MT"/>
          <w:sz w:val="19"/>
        </w:rPr>
        <w:t>– Cumprir, além dos postulados legais vigentes de âmbito federal, estadual ou municipal, as normas de segurança do Contratante;</w:t>
      </w:r>
    </w:p>
    <w:p>
      <w:pPr>
        <w:jc w:val="both"/>
        <w:ind w:right="210"/>
        <w:spacing w:before="15" w:lineRule="auto" w:line="276"/>
        <w:tabs>
          <w:tab w:val="left" w:pos="540"/>
        </w:tabs>
        <w:numPr>
          <w:ilvl w:val="0"/>
          <w:numId w:val="4"/>
        </w:numPr>
      </w:pPr>
      <w:r/>
      <w:r>
        <w:rPr>
          <w:rFonts w:ascii="Arial MT" w:hAnsi="Arial MT" w:cs="Arial MT" w:eastAsia="Arial MT"/>
          <w:sz w:val="19"/>
        </w:rPr>
        <w:t>– Alocar os empregados necessários, com habilitação e conhecimento adequados, ao perfeito cumprimento das cláusulas deste contrato, fornecendo os materiais, equipamentos, ferramentas e/ou utensílios demandados, cuja quantidade, qualidade e tecnologia deverão atender às recomendações de boa técnica e a legislação de regência;</w:t>
      </w:r>
    </w:p>
    <w:p>
      <w:pPr>
        <w:jc w:val="both"/>
        <w:ind w:right="210"/>
        <w:spacing w:lineRule="auto" w:line="276"/>
        <w:tabs>
          <w:tab w:val="left" w:pos="495"/>
        </w:tabs>
        <w:numPr>
          <w:ilvl w:val="0"/>
          <w:numId w:val="4"/>
        </w:numPr>
      </w:pPr>
      <w:r/>
      <w:r>
        <w:rPr>
          <w:rFonts w:ascii="Arial MT" w:hAnsi="Arial MT" w:cs="Arial MT" w:eastAsia="Arial MT"/>
          <w:sz w:val="19"/>
        </w:rPr>
        <w:t>– Orientar e treinar seus empregados sobre os deveres previstos na Lei nº 13.709, de 14 de agosto de 2018, adotando medidas eficazes para proteção de dados pessoais a que tenha acesso por força de execução deste contrato;</w:t>
      </w:r>
    </w:p>
    <w:p>
      <w:pPr>
        <w:jc w:val="both"/>
        <w:ind w:right="210"/>
        <w:spacing w:lineRule="auto" w:line="276"/>
        <w:tabs>
          <w:tab w:val="left" w:pos="525"/>
        </w:tabs>
        <w:numPr>
          <w:ilvl w:val="0"/>
          <w:numId w:val="4"/>
        </w:numPr>
      </w:pPr>
      <w:r/>
      <w:r>
        <w:rPr>
          <w:rFonts w:ascii="Arial MT" w:hAnsi="Arial MT" w:cs="Arial MT" w:eastAsia="Arial MT"/>
          <w:sz w:val="19"/>
        </w:rPr>
        <w:t>– Conduzir os trabalhos com estrita observância às normas da legislação pertinente, cumprindo as determinações dos Poderes Públicos, mantendo sempre as condições de segurança e disciplina;</w:t>
      </w:r>
    </w:p>
    <w:p>
      <w:pPr>
        <w:jc w:val="both"/>
        <w:ind w:right="210"/>
        <w:spacing w:lineRule="auto" w:line="276"/>
        <w:tabs>
          <w:tab w:val="left" w:pos="630"/>
        </w:tabs>
        <w:numPr>
          <w:ilvl w:val="0"/>
          <w:numId w:val="4"/>
        </w:numPr>
      </w:pPr>
      <w:r/>
      <w:r>
        <w:rPr>
          <w:rFonts w:ascii="Arial MT" w:hAnsi="Arial MT" w:cs="Arial MT" w:eastAsia="Arial MT"/>
          <w:sz w:val="19"/>
        </w:rPr>
        <w:t>– Submeter previamente, por escrito, ao Contratante, para análise e aprovação, quaisquer mudanças nos métodos executivos que fujam às especificações do memorial descritivo ou instrumento congênere;</w:t>
      </w:r>
    </w:p>
    <w:p>
      <w:pPr>
        <w:jc w:val="both"/>
        <w:ind w:right="210"/>
        <w:spacing w:lineRule="auto" w:line="276"/>
        <w:tabs>
          <w:tab w:val="left" w:pos="645"/>
        </w:tabs>
        <w:numPr>
          <w:ilvl w:val="0"/>
          <w:numId w:val="4"/>
        </w:numPr>
      </w:pPr>
      <w:r/>
      <w:r>
        <w:rPr>
          <w:rFonts w:ascii="Arial MT" w:hAnsi="Arial MT" w:cs="Arial MT" w:eastAsia="Arial MT"/>
          <w:sz w:val="19"/>
        </w:rPr>
        <w:t>– Não permitir a utilização de qualquer trabalho do menor de dezesseis anos, exceto na condição de aprendiz para os maiores de quatorze anos, nem permitir a utilização do trabalho do menor de dezoito anos em trabalho noturno, perigoso ou insalubre;</w:t>
      </w:r>
    </w:p>
    <w:p>
      <w:pPr>
        <w:jc w:val="both"/>
        <w:spacing w:lineRule="exact" w:line="210"/>
        <w:tabs>
          <w:tab w:val="left" w:pos="645"/>
        </w:tabs>
        <w:numPr>
          <w:ilvl w:val="0"/>
          <w:numId w:val="4"/>
        </w:numPr>
      </w:pPr>
      <w:r/>
      <w:r>
        <w:rPr>
          <w:rFonts w:ascii="Arial MT" w:hAnsi="Arial MT" w:cs="Arial MT" w:eastAsia="Arial MT"/>
          <w:sz w:val="19"/>
        </w:rPr>
        <w:t>– Indicar preposto para representá-lo durante toda a execução do contrato;</w:t>
      </w:r>
    </w:p>
    <w:p>
      <w:pPr>
        <w:tabs>
          <w:tab w:val="left" w:pos="600"/>
        </w:tabs>
        <w:numPr>
          <w:ilvl w:val="0"/>
          <w:numId w:val="4"/>
        </w:numPr>
      </w:pPr>
      <w:r/>
      <w:r>
        <w:rPr>
          <w:rFonts w:ascii="Arial MT" w:hAnsi="Arial MT" w:cs="Arial MT" w:eastAsia="Arial MT"/>
          <w:sz w:val="19"/>
        </w:rPr>
        <w:t>– Emitir nota fiscal/documento fiscal, de acordo com a cláusula oitava do presente contrato.</w:t>
      </w:r>
    </w:p>
    <w:p>
      <w:pPr>
        <w:spacing w:before="15"/>
      </w:pPr>
      <w:r>
        <w:t/>
      </w:r>
    </w:p>
    <w:p>
      <w:pPr>
        <w:outlineLvl w:val="1"/>
        <w:ind w:left="165"/>
      </w:pPr>
      <w:r>
        <w:rPr>
          <w:b/>
          <w:sz w:val="19"/>
        </w:rPr>
        <w:t>CLÁUSULA DÉCIMA OITAVA – DAS INFRAÇÕES E SANÇÕES ADMINISTRATIVAS</w:t>
      </w:r>
    </w:p>
    <w:p>
      <w:pPr>
        <w:spacing w:before="15"/>
      </w:pPr>
      <w:r>
        <w:t/>
      </w:r>
    </w:p>
    <w:p>
      <w:pPr>
        <w:numPr>
          <w:ilvl w:val="0"/>
          <w:numId w:val="10"/>
        </w:numPr>
      </w:pPr>
      <w:r/>
      <w:r>
        <w:rPr>
          <w:rFonts w:ascii="Arial MT" w:hAnsi="Arial MT" w:cs="Arial MT" w:eastAsia="Arial MT"/>
          <w:sz w:val="19"/>
        </w:rPr>
        <w:t xml:space="preserve">– Comete infração administrativa, nos termos da Lei Federal nº 14.133/2021, a </w:t>
      </w:r>
      <w:r>
        <w:rPr>
          <w:b/>
          <w:sz w:val="19"/>
        </w:rPr>
        <w:t xml:space="preserve">CONTRATADA </w:t>
      </w:r>
      <w:r>
        <w:rPr>
          <w:rFonts w:ascii="Arial MT" w:hAnsi="Arial MT" w:cs="Arial MT" w:eastAsia="Arial MT"/>
          <w:sz w:val="19"/>
        </w:rPr>
        <w:t>que:</w:t>
      </w:r>
    </w:p>
    <w:p>
      <w:pPr>
        <w:spacing w:before="30"/>
        <w:numPr>
          <w:ilvl w:val="1"/>
          <w:numId w:val="10"/>
        </w:numPr>
      </w:pPr>
      <w:r/>
      <w:r>
        <w:rPr>
          <w:rFonts w:ascii="Arial MT" w:hAnsi="Arial MT" w:cs="Arial MT" w:eastAsia="Arial MT"/>
          <w:sz w:val="19"/>
        </w:rPr>
        <w:t>der causa à inexecução parcial do contrato;</w:t>
      </w:r>
    </w:p>
    <w:p>
      <w:pPr>
        <w:ind w:right="210"/>
        <w:spacing w:before="30" w:lineRule="auto" w:line="264"/>
        <w:tabs>
          <w:tab w:val="left" w:pos="735"/>
        </w:tabs>
        <w:numPr>
          <w:ilvl w:val="1"/>
          <w:numId w:val="10"/>
        </w:numPr>
      </w:pPr>
      <w:r/>
      <w:r>
        <w:rPr>
          <w:rFonts w:ascii="Arial MT" w:hAnsi="Arial MT" w:cs="Arial MT" w:eastAsia="Arial MT"/>
          <w:sz w:val="19"/>
        </w:rPr>
        <w:t>der causa à inexecução parcial do contrato, que cause grave dano à Administração ou ao funcionamento dos serviços públicos ou ao interesse coletivo;</w:t>
      </w:r>
    </w:p>
    <w:p>
      <w:pPr>
        <w:spacing w:before="15"/>
        <w:numPr>
          <w:ilvl w:val="1"/>
          <w:numId w:val="10"/>
        </w:numPr>
      </w:pPr>
      <w:r/>
      <w:r>
        <w:rPr>
          <w:rFonts w:ascii="Arial MT" w:hAnsi="Arial MT" w:cs="Arial MT" w:eastAsia="Arial MT"/>
          <w:sz w:val="19"/>
        </w:rPr>
        <w:t>der causa à inexecução total do contrato;</w:t>
      </w:r>
    </w:p>
    <w:p>
      <w:pPr>
        <w:spacing w:before="30"/>
        <w:numPr>
          <w:ilvl w:val="1"/>
          <w:numId w:val="10"/>
        </w:numPr>
      </w:pPr>
      <w:r/>
      <w:r>
        <w:rPr>
          <w:rFonts w:ascii="Arial MT" w:hAnsi="Arial MT" w:cs="Arial MT" w:eastAsia="Arial MT"/>
          <w:sz w:val="19"/>
        </w:rPr>
        <w:t>deixar de entregar a documentação exigida para o certame/execução do contrato;</w:t>
      </w:r>
    </w:p>
    <w:p>
      <w:pPr>
        <w:spacing w:before="30"/>
        <w:numPr>
          <w:ilvl w:val="1"/>
          <w:numId w:val="10"/>
        </w:numPr>
      </w:pPr>
      <w:r/>
      <w:r>
        <w:rPr>
          <w:rFonts w:ascii="Arial MT" w:hAnsi="Arial MT" w:cs="Arial MT" w:eastAsia="Arial MT"/>
          <w:sz w:val="19"/>
        </w:rPr>
        <w:t>não manter a proposta, salvo em decorrência de fato superveniente, devidamente justificado;</w:t>
      </w:r>
    </w:p>
    <w:p>
      <w:pPr>
        <w:ind w:right="210"/>
        <w:spacing w:before="30" w:lineRule="auto" w:line="276"/>
        <w:numPr>
          <w:ilvl w:val="1"/>
          <w:numId w:val="10"/>
        </w:numPr>
      </w:pPr>
      <w:r/>
      <w:r>
        <w:rPr>
          <w:rFonts w:ascii="Arial MT" w:hAnsi="Arial MT" w:cs="Arial MT" w:eastAsia="Arial MT"/>
          <w:sz w:val="19"/>
        </w:rPr>
        <w:t>não celebrar o contrato ou não entregar a documentação exigida para a contratação, quando convocado dentro do prazo de validade de sua proposta;</w:t>
      </w:r>
    </w:p>
    <w:p>
      <w:pPr>
        <w:spacing w:before="15"/>
        <w:numPr>
          <w:ilvl w:val="1"/>
          <w:numId w:val="10"/>
        </w:numPr>
      </w:pPr>
      <w:r/>
      <w:r>
        <w:rPr>
          <w:rFonts w:ascii="Arial MT" w:hAnsi="Arial MT" w:cs="Arial MT" w:eastAsia="Arial MT"/>
          <w:sz w:val="19"/>
        </w:rPr>
        <w:t>ensejar o retardamento da execução ou da entrega do objeto da contratação sem motivo justificado;</w:t>
      </w:r>
    </w:p>
    <w:p>
      <w:pPr>
        <w:ind w:right="210"/>
        <w:spacing w:before="30" w:lineRule="auto" w:line="276"/>
        <w:tabs>
          <w:tab w:val="left" w:pos="750"/>
        </w:tabs>
        <w:numPr>
          <w:ilvl w:val="1"/>
          <w:numId w:val="10"/>
        </w:numPr>
      </w:pPr>
      <w:r/>
      <w:r>
        <w:rPr>
          <w:rFonts w:ascii="Arial MT" w:hAnsi="Arial MT" w:cs="Arial MT" w:eastAsia="Arial MT"/>
          <w:sz w:val="19"/>
        </w:rPr>
        <w:t>apresentar declaração ou documentação falsa exigida para o certame ou prestar declaração falsa durante a licitação ou execução do contrato;</w:t>
      </w:r>
    </w:p>
    <w:p>
      <w:pPr>
        <w:spacing w:before="15"/>
        <w:numPr>
          <w:ilvl w:val="1"/>
          <w:numId w:val="10"/>
        </w:numPr>
      </w:pPr>
      <w:r/>
      <w:r>
        <w:rPr>
          <w:rFonts w:ascii="Arial MT" w:hAnsi="Arial MT" w:cs="Arial MT" w:eastAsia="Arial MT"/>
          <w:sz w:val="19"/>
        </w:rPr>
        <w:t>fraudar a contratação ou praticar ato fraudulento na execução do contrato;</w:t>
      </w:r>
    </w:p>
    <w:p>
      <w:pPr>
        <w:spacing w:before="30"/>
        <w:numPr>
          <w:ilvl w:val="1"/>
          <w:numId w:val="10"/>
        </w:numPr>
      </w:pPr>
      <w:r/>
      <w:r>
        <w:rPr>
          <w:rFonts w:ascii="Arial MT" w:hAnsi="Arial MT" w:cs="Arial MT" w:eastAsia="Arial MT"/>
          <w:sz w:val="19"/>
        </w:rPr>
        <w:t>comportar-se de modo inidôneo ou cometer fraude de qualquer natureza;</w:t>
      </w:r>
    </w:p>
    <w:p>
      <w:pPr>
        <w:spacing w:before="30"/>
        <w:numPr>
          <w:ilvl w:val="1"/>
          <w:numId w:val="10"/>
        </w:numPr>
      </w:pPr>
      <w:r/>
      <w:r>
        <w:rPr>
          <w:rFonts w:ascii="Arial MT" w:hAnsi="Arial MT" w:cs="Arial MT" w:eastAsia="Arial MT"/>
          <w:sz w:val="19"/>
        </w:rPr>
        <w:t>praticar atos ilícitos com vistas a frustrar os objetivos da contratação;</w:t>
      </w:r>
    </w:p>
    <w:p>
      <w:pPr>
        <w:spacing w:before="30"/>
        <w:numPr>
          <w:ilvl w:val="1"/>
          <w:numId w:val="10"/>
        </w:numPr>
      </w:pPr>
      <w:r/>
      <w:r>
        <w:rPr>
          <w:rFonts w:ascii="Arial MT" w:hAnsi="Arial MT" w:cs="Arial MT" w:eastAsia="Arial MT"/>
          <w:sz w:val="19"/>
        </w:rPr>
        <w:t>praticar ato lesivo, previsto no artigo 5º, da Lei nº 12.846 de 1º de agosto de 2013;</w:t>
      </w:r>
    </w:p>
    <w:p>
      <w:pPr>
        <w:spacing w:before="30"/>
        <w:tabs>
          <w:tab w:val="left" w:pos="315"/>
        </w:tabs>
        <w:numPr>
          <w:ilvl w:val="0"/>
          <w:numId w:val="10"/>
        </w:numPr>
      </w:pPr>
      <w:r/>
      <w:r>
        <w:rPr>
          <w:rFonts w:ascii="Arial MT" w:hAnsi="Arial MT" w:cs="Arial MT" w:eastAsia="Arial MT"/>
          <w:sz w:val="19"/>
        </w:rPr>
        <w:t>– Serão aplicadas ao responsável pelas infrações administrativas acima descritas, as seguintes sanções:</w:t>
      </w:r>
    </w:p>
    <w:p>
      <w:pPr>
        <w:jc w:val="both"/>
        <w:ind w:right="210"/>
        <w:spacing w:before="30" w:lineRule="auto" w:line="276"/>
        <w:tabs>
          <w:tab w:val="left" w:pos="735"/>
        </w:tabs>
        <w:numPr>
          <w:ilvl w:val="1"/>
          <w:numId w:val="10"/>
        </w:numPr>
      </w:pPr>
      <w:r/>
      <w:r>
        <w:rPr>
          <w:b/>
          <w:sz w:val="19"/>
        </w:rPr>
        <w:t xml:space="preserve">Advertência, </w:t>
      </w:r>
      <w:r>
        <w:rPr>
          <w:rFonts w:ascii="Arial MT" w:hAnsi="Arial MT" w:cs="Arial MT" w:eastAsia="Arial MT"/>
          <w:sz w:val="19"/>
        </w:rPr>
        <w:t>quando a Contratada der causa à inexecução parcial do contrato, sempre que não se justificar a imposição de penalidade mais grave (artigo 156, §2º da Lei Federal nº 14.133/2021);</w:t>
      </w:r>
    </w:p>
    <w:p>
      <w:pPr>
        <w:jc w:val="both"/>
        <w:ind w:right="210"/>
        <w:spacing w:lineRule="auto" w:line="276"/>
        <w:numPr>
          <w:ilvl w:val="1"/>
          <w:numId w:val="10"/>
        </w:numPr>
      </w:pPr>
      <w:r/>
      <w:r>
        <w:rPr>
          <w:b/>
          <w:sz w:val="19"/>
        </w:rPr>
        <w:t xml:space="preserve">Impedimento de licitar e contratar, por prazo não superior a 03 (três) anos, </w:t>
      </w:r>
      <w:r>
        <w:rPr>
          <w:rFonts w:ascii="Arial MT" w:hAnsi="Arial MT" w:cs="Arial MT" w:eastAsia="Arial MT"/>
          <w:sz w:val="19"/>
        </w:rPr>
        <w:t>quando praticadas as condutas descritas nas alíneas “b”, “c”, “d”, “e”, “f” e “g” do inciso acima descrito, sempre que não se justificar a imposição de penalidade mais grave (artigo 156, §4º da Lei Federal nº 14.133/2021);</w:t>
      </w:r>
    </w:p>
    <w:p>
      <w:pPr>
        <w:jc w:val="both"/>
        <w:ind w:right="210"/>
        <w:spacing w:lineRule="auto" w:line="276"/>
        <w:numPr>
          <w:ilvl w:val="1"/>
          <w:numId w:val="10"/>
        </w:numPr>
      </w:pPr>
      <w:r/>
      <w:r>
        <w:rPr>
          <w:b/>
          <w:sz w:val="19"/>
        </w:rPr>
        <w:t xml:space="preserve">Declaração de inidoneidade para licitar e contratar, pelo prazo mínimo de 03 (três) anos, e máximo de 06 (seis) anos, </w:t>
      </w:r>
      <w:r>
        <w:rPr>
          <w:rFonts w:ascii="Arial MT" w:hAnsi="Arial MT" w:cs="Arial MT" w:eastAsia="Arial MT"/>
          <w:sz w:val="19"/>
        </w:rPr>
        <w:t>quando praticadas as condutas descritas nas alíneas “h”, “i”, “j”, “k” e “l” do inciso acima descrito, bem como nas alíneas “b”, “c”, “d”, “e”, “f”, e “g”, que justifiquem a imposição de penalidade mais grave (artigo 156, §5º, da Lei Federal nº 14.133/2021);</w:t>
      </w:r>
    </w:p>
    <w:p>
      <w:pPr>
        <w:jc w:val="both"/>
        <w:outlineLvl w:val="1"/>
        <w:numPr>
          <w:ilvl w:val="1"/>
          <w:numId w:val="10"/>
        </w:numPr>
      </w:pPr>
      <w:r/>
      <w:r>
        <w:rPr>
          <w:b/>
          <w:sz w:val="19"/>
        </w:rPr>
        <w:t>Multa:</w:t>
      </w:r>
    </w:p>
    <w:p>
      <w:pPr>
        <w:jc w:val="both"/>
        <w:ind w:right="210"/>
        <w:spacing w:before="30" w:lineRule="auto" w:line="276"/>
        <w:numPr>
          <w:ilvl w:val="2"/>
          <w:numId w:val="10"/>
        </w:numPr>
      </w:pPr>
      <w:r/>
      <w:r>
        <w:rPr>
          <w:rFonts w:ascii="Arial MT" w:hAnsi="Arial MT" w:cs="Arial MT" w:eastAsia="Arial MT"/>
          <w:sz w:val="19"/>
        </w:rPr>
        <w:t>Moratória de 1% (um por cento) por dia de atraso injustificado sobre o valor da parcela inadimplida, atéo limite de 30 (trinta) dias;</w:t>
      </w:r>
    </w:p>
    <w:p>
      <w:pPr>
        <w:jc w:val="both"/>
        <w:ind w:right="210"/>
        <w:spacing w:lineRule="auto" w:line="276"/>
        <w:numPr>
          <w:ilvl w:val="3"/>
          <w:numId w:val="10"/>
        </w:numPr>
      </w:pPr>
      <w:r/>
      <w:r>
        <w:rPr>
          <w:rFonts w:ascii="Arial MT" w:hAnsi="Arial MT" w:cs="Arial MT" w:eastAsia="Arial MT"/>
          <w:sz w:val="19"/>
        </w:rPr>
        <w:t>O atraso superior a 30 (trinta) dias, autoriza a Administração promover a rescisão do contrato por descumprimento ou cumprimento irregular de suas cláusulas, conforme dispõe o artigo 137 da Lei Federal nº 14.133/2021);</w:t>
      </w:r>
    </w:p>
    <w:p>
      <w:pPr>
        <w:jc w:val="both"/>
        <w:ind w:right="210"/>
        <w:spacing w:lineRule="auto" w:line="276"/>
        <w:numPr>
          <w:ilvl w:val="2"/>
          <w:numId w:val="10"/>
        </w:numPr>
      </w:pPr>
      <w:r/>
      <w:r>
        <w:rPr>
          <w:rFonts w:ascii="Arial MT" w:hAnsi="Arial MT" w:cs="Arial MT" w:eastAsia="Arial MT"/>
          <w:sz w:val="19"/>
        </w:rPr>
        <w:t>moratória de 1% (um por cento) por dia de atraso injustificado sobre o valor total do contrato, até o máximo de 30% (trinta por cento) pela inobservância do prazo fixado para apresentação, suplementação ou reposição da garantia</w:t>
      </w:r>
    </w:p>
    <w:p>
      <w:pPr>
        <w:jc w:val="both"/>
        <w:ind w:right="210"/>
        <w:spacing w:lineRule="auto" w:line="276"/>
        <w:tabs>
          <w:tab w:val="left" w:pos="915"/>
        </w:tabs>
        <w:numPr>
          <w:ilvl w:val="2"/>
          <w:numId w:val="10"/>
        </w:numPr>
      </w:pPr>
      <w:r/>
      <w:r>
        <w:rPr>
          <w:rFonts w:ascii="Arial MT" w:hAnsi="Arial MT" w:cs="Arial MT" w:eastAsia="Arial MT"/>
          <w:sz w:val="19"/>
        </w:rPr>
        <w:t>Compensatória de 30% (trinta por cento) sobre o valor total do contrato, no caso de inexecução total do objeto;</w:t>
      </w:r>
    </w:p>
    <w:p>
      <w:pPr>
        <w:jc w:val="both"/>
        <w:ind w:right="210"/>
        <w:spacing w:lineRule="auto" w:line="264"/>
        <w:tabs>
          <w:tab w:val="left" w:pos="405"/>
        </w:tabs>
        <w:numPr>
          <w:ilvl w:val="0"/>
          <w:numId w:val="10"/>
        </w:numPr>
      </w:pPr>
      <w:r/>
      <w:r>
        <w:rPr>
          <w:rFonts w:ascii="Arial MT" w:hAnsi="Arial MT" w:cs="Arial MT" w:eastAsia="Arial MT"/>
          <w:sz w:val="19"/>
        </w:rPr>
        <w:t>– A aplicação das sanções previstas neste contrato não exclui, em hipótese alguma, a obrigação de reparação integral do dano causado ao Contratante (artigo 156, §9º, da Lei Federal nº 14.133/2021);</w:t>
      </w:r>
    </w:p>
    <w:p>
      <w:pPr>
        <w:jc w:val="both"/>
        <w:ind w:right="210"/>
        <w:spacing w:before="15" w:lineRule="auto" w:line="276"/>
        <w:tabs>
          <w:tab w:val="left" w:pos="435"/>
        </w:tabs>
        <w:numPr>
          <w:ilvl w:val="0"/>
          <w:numId w:val="10"/>
        </w:numPr>
      </w:pPr>
      <w:r/>
      <w:r>
        <w:rPr>
          <w:rFonts w:ascii="Arial MT" w:hAnsi="Arial MT" w:cs="Arial MT" w:eastAsia="Arial MT"/>
          <w:sz w:val="19"/>
        </w:rPr>
        <w:t xml:space="preserve">– Antes da aplicação de multa, será facultada a defesa do interessado, </w:t>
      </w:r>
      <w:r>
        <w:rPr>
          <w:b/>
          <w:sz w:val="19"/>
        </w:rPr>
        <w:t>no prazo de 15 (quinze) dias úteis</w:t>
      </w:r>
      <w:r>
        <w:rPr>
          <w:rFonts w:ascii="Arial MT" w:hAnsi="Arial MT" w:cs="Arial MT" w:eastAsia="Arial MT"/>
          <w:sz w:val="19"/>
        </w:rPr>
        <w:t>, contados da data de sua intimação (artigo 157, da Lei Federal nº 14.133/2021);</w:t>
      </w:r>
    </w:p>
    <w:p>
      <w:pPr>
        <w:jc w:val="both"/>
        <w:ind w:right="210"/>
        <w:spacing w:before="15" w:lineRule="auto" w:line="276"/>
        <w:tabs>
          <w:tab w:val="left" w:pos="360"/>
        </w:tabs>
        <w:numPr>
          <w:ilvl w:val="0"/>
          <w:numId w:val="10"/>
        </w:numPr>
      </w:pPr>
      <w:r/>
      <w:r>
        <w:rPr>
          <w:rFonts w:ascii="Arial MT" w:hAnsi="Arial MT" w:cs="Arial MT" w:eastAsia="Arial MT"/>
          <w:sz w:val="19"/>
        </w:rPr>
        <w:t>– Se a multa aplicada e as indenizações cabíveis forem superiores ao valor do pagamento eventualmente devido pelo Contratante à Contratada, além da perda desse valor, a diferença será descontada da garantia prestada (quando houver) ou será cobrada judicialmente (artigo 156, §8º, da Lei Federal nº 14.133/2021);</w:t>
      </w:r>
    </w:p>
    <w:p>
      <w:pPr>
        <w:jc w:val="both"/>
        <w:ind w:right="210"/>
        <w:spacing w:lineRule="auto" w:line="264"/>
        <w:tabs>
          <w:tab w:val="left" w:pos="405"/>
        </w:tabs>
        <w:numPr>
          <w:ilvl w:val="0"/>
          <w:numId w:val="10"/>
        </w:numPr>
      </w:pPr>
      <w:r/>
      <w:r>
        <w:rPr>
          <w:rFonts w:ascii="Arial MT" w:hAnsi="Arial MT" w:cs="Arial MT" w:eastAsia="Arial MT"/>
          <w:sz w:val="19"/>
        </w:rPr>
        <w:t>– Previamente ao encaminhamento à cobrança judicial, a multa poderá ser recolhida administrativamente no prazo máximo de 30 (trinta) dias, a contar da data do recebimento da comunicação enviada pela autoridade competente;</w:t>
      </w:r>
    </w:p>
    <w:p>
      <w:pPr>
        <w:jc w:val="both"/>
        <w:ind w:right="210"/>
        <w:spacing w:before="15" w:lineRule="auto" w:line="264"/>
        <w:numPr>
          <w:ilvl w:val="0"/>
          <w:numId w:val="39"/>
        </w:numPr>
      </w:pPr>
      <w:r/>
      <w:r>
        <w:rPr>
          <w:rFonts w:ascii="Arial MT" w:hAnsi="Arial MT" w:cs="Arial MT" w:eastAsia="Arial MT"/>
          <w:sz w:val="19"/>
        </w:rPr>
        <w:t xml:space="preserve">– A aplicação das sanções realizar-se-á em processo administrativo que assegure o contraditório e a ampla defesa à Contratada, observando-se o procedimento previsto no </w:t>
      </w:r>
      <w:r>
        <w:rPr>
          <w:i/>
          <w:sz w:val="19"/>
        </w:rPr>
        <w:t xml:space="preserve">caput </w:t>
      </w:r>
      <w:r>
        <w:rPr>
          <w:rFonts w:ascii="Arial MT" w:hAnsi="Arial MT" w:cs="Arial MT" w:eastAsia="Arial MT"/>
          <w:sz w:val="19"/>
        </w:rPr>
        <w:t>e parágrafos do artigo 158, da Lei nº 14.133/2021, para as penalidades de impedimento de licitar e contratar e de declaração de inidoneidade para licitar ou contratar;</w:t>
      </w:r>
    </w:p>
    <w:p>
      <w:pPr>
        <w:spacing w:before="15"/>
        <w:numPr>
          <w:ilvl w:val="0"/>
          <w:numId w:val="39"/>
        </w:numPr>
      </w:pPr>
      <w:r/>
      <w:r>
        <w:rPr>
          <w:rFonts w:ascii="Arial MT" w:hAnsi="Arial MT" w:cs="Arial MT" w:eastAsia="Arial MT"/>
          <w:sz w:val="19"/>
        </w:rPr>
        <w:t>– Na aplicação das sanções serão considerados (art. 156, §1º):</w:t>
      </w:r>
    </w:p>
    <w:p>
      <w:pPr>
        <w:spacing w:before="30"/>
        <w:numPr>
          <w:ilvl w:val="1"/>
          <w:numId w:val="39"/>
        </w:numPr>
      </w:pPr>
      <w:r/>
      <w:r>
        <w:rPr>
          <w:rFonts w:ascii="Arial MT" w:hAnsi="Arial MT" w:cs="Arial MT" w:eastAsia="Arial MT"/>
          <w:sz w:val="19"/>
        </w:rPr>
        <w:t>A natureza e a gravidade da infração cometida;</w:t>
      </w:r>
    </w:p>
    <w:p>
      <w:pPr>
        <w:spacing w:before="30"/>
        <w:numPr>
          <w:ilvl w:val="1"/>
          <w:numId w:val="39"/>
        </w:numPr>
      </w:pPr>
      <w:r/>
      <w:r>
        <w:rPr>
          <w:rFonts w:ascii="Arial MT" w:hAnsi="Arial MT" w:cs="Arial MT" w:eastAsia="Arial MT"/>
          <w:sz w:val="19"/>
        </w:rPr>
        <w:t>As peculiaridades do caso concreto;</w:t>
      </w:r>
    </w:p>
    <w:p>
      <w:pPr>
        <w:spacing w:before="30"/>
        <w:numPr>
          <w:ilvl w:val="1"/>
          <w:numId w:val="39"/>
        </w:numPr>
      </w:pPr>
      <w:r/>
      <w:r>
        <w:rPr>
          <w:rFonts w:ascii="Arial MT" w:hAnsi="Arial MT" w:cs="Arial MT" w:eastAsia="Arial MT"/>
          <w:sz w:val="19"/>
        </w:rPr>
        <w:t>As circunstâncias agravantes ou atenuantes;</w:t>
      </w:r>
    </w:p>
    <w:p>
      <w:pPr>
        <w:spacing w:before="30"/>
        <w:numPr>
          <w:ilvl w:val="1"/>
          <w:numId w:val="39"/>
        </w:numPr>
      </w:pPr>
      <w:r/>
      <w:r>
        <w:rPr>
          <w:rFonts w:ascii="Arial MT" w:hAnsi="Arial MT" w:cs="Arial MT" w:eastAsia="Arial MT"/>
          <w:sz w:val="19"/>
        </w:rPr>
        <w:t>Os danos que dela provierem para ao Contratante;</w:t>
      </w:r>
    </w:p>
    <w:p>
      <w:pPr>
        <w:ind w:right="210"/>
        <w:spacing w:before="30" w:lineRule="auto" w:line="276"/>
        <w:numPr>
          <w:ilvl w:val="1"/>
          <w:numId w:val="39"/>
        </w:numPr>
      </w:pPr>
      <w:r/>
      <w:r>
        <w:rPr>
          <w:rFonts w:ascii="Arial MT" w:hAnsi="Arial MT" w:cs="Arial MT" w:eastAsia="Arial MT"/>
          <w:sz w:val="19"/>
        </w:rPr>
        <w:t>A implantação ou o aperfeiçoamento de programa de integridade, conforme normas e orientações dos órgãos de controle;</w:t>
      </w:r>
    </w:p>
    <w:p>
      <w:pPr>
        <w:jc w:val="both"/>
        <w:ind w:left="165" w:right="210"/>
        <w:spacing w:before="15" w:lineRule="auto" w:line="276"/>
      </w:pPr>
      <w:r>
        <w:rPr>
          <w:b/>
          <w:sz w:val="19"/>
        </w:rPr>
        <w:t xml:space="preserve">Parágrafo Primeiro: </w:t>
      </w:r>
      <w:r>
        <w:rPr>
          <w:rFonts w:ascii="Arial MT" w:hAnsi="Arial MT" w:cs="Arial MT" w:eastAsia="Arial MT"/>
          <w:sz w:val="19"/>
        </w:rPr>
        <w:t>A aplicação de multa de mora não impedirá que a Administração, ora Contratante, a converta em compensatória e promova a extinção unilateral do contrato, com a aplicação cumulada de outras sanções previstas na Lei Federal nº 14.133/21.</w:t>
      </w:r>
    </w:p>
    <w:p>
      <w:pPr>
        <w:jc w:val="both"/>
        <w:ind w:left="165" w:right="210"/>
        <w:spacing w:lineRule="auto" w:line="276"/>
      </w:pPr>
      <w:r>
        <w:rPr>
          <w:b/>
          <w:sz w:val="19"/>
        </w:rPr>
        <w:t xml:space="preserve">Parágrafo Segundo: </w:t>
      </w:r>
      <w:r>
        <w:rPr>
          <w:rFonts w:ascii="Arial MT" w:hAnsi="Arial MT" w:cs="Arial MT" w:eastAsia="Arial MT"/>
          <w:sz w:val="19"/>
        </w:rPr>
        <w:t>Os atos previstos como infrações administrativas na Lei Federal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pPr>
        <w:jc w:val="both"/>
        <w:ind w:left="165" w:right="210"/>
        <w:spacing w:lineRule="auto" w:line="276"/>
      </w:pPr>
      <w:r>
        <w:rPr>
          <w:b/>
          <w:sz w:val="19"/>
        </w:rPr>
        <w:t xml:space="preserve">Parágrafo Terceiro: </w:t>
      </w:r>
      <w:r>
        <w:rPr>
          <w:rFonts w:ascii="Arial MT" w:hAnsi="Arial MT" w:cs="Arial MT" w:eastAsia="Arial MT"/>
          <w:sz w:val="19"/>
        </w:rPr>
        <w:t>A personalidade jurídica da Contratada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Contratada, observados, em todos os casos, o contraditório, a ampla defesa e a obrigatoriedade de análise jurídica prévia (art. 160).</w:t>
      </w:r>
    </w:p>
    <w:p>
      <w:pPr>
        <w:jc w:val="both"/>
        <w:ind w:left="165" w:right="210"/>
        <w:spacing w:lineRule="auto" w:line="276"/>
      </w:pPr>
      <w:r>
        <w:rPr>
          <w:b/>
          <w:sz w:val="19"/>
        </w:rPr>
        <w:t xml:space="preserve">Parágrafo Quarto: </w:t>
      </w:r>
      <w:r>
        <w:rPr>
          <w:rFonts w:ascii="Arial MT" w:hAnsi="Arial MT" w:cs="Arial MT" w:eastAsia="Arial MT"/>
          <w:sz w:val="19"/>
        </w:rPr>
        <w:t xml:space="preserve">O Contratante deverá, no prazo máximo </w:t>
      </w:r>
      <w:r>
        <w:rPr>
          <w:b/>
          <w:sz w:val="19"/>
        </w:rPr>
        <w:t>15 (quinze) dias úteis</w:t>
      </w:r>
      <w:r>
        <w:rPr>
          <w:rFonts w:ascii="Arial MT" w:hAnsi="Arial MT" w:cs="Arial MT" w:eastAsia="Arial MT"/>
          <w:sz w:val="19"/>
        </w:rPr>
        <w:t>, contados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w:t>
      </w:r>
    </w:p>
    <w:p>
      <w:pPr>
        <w:jc w:val="both"/>
        <w:ind w:left="165" w:right="210"/>
        <w:spacing w:lineRule="auto" w:line="276"/>
      </w:pPr>
      <w:r>
        <w:rPr>
          <w:b/>
          <w:sz w:val="19"/>
        </w:rPr>
        <w:t xml:space="preserve">Parágrafo Quinto: </w:t>
      </w:r>
      <w:r>
        <w:rPr>
          <w:rFonts w:ascii="Arial MT" w:hAnsi="Arial MT" w:cs="Arial MT" w:eastAsia="Arial MT"/>
          <w:sz w:val="19"/>
        </w:rPr>
        <w:t>As sanções de impedimento de licitar e contratar e declaração de inidoneidade para licitar ou contratar, são passíveis de reabilitação, desde que atendidos os requisitos constantes no art. 163, da Lei Federal nº 14.133/21.</w:t>
      </w:r>
    </w:p>
    <w:p>
      <w:pPr>
        <w:spacing w:before="15"/>
      </w:pPr>
      <w:r>
        <w:t/>
      </w:r>
    </w:p>
    <w:p>
      <w:pPr>
        <w:jc w:val="both"/>
        <w:outlineLvl w:val="1"/>
        <w:ind w:left="165"/>
      </w:pPr>
      <w:r>
        <w:rPr>
          <w:b/>
          <w:sz w:val="19"/>
        </w:rPr>
        <w:t xml:space="preserve">CLÁUSULA DÉCIMA NONA – DAS PRERROGATIVAS DA ADMINISTRAÇÃO: O CONTRATANTE </w:t>
      </w:r>
      <w:r>
        <w:rPr>
          <w:rFonts w:ascii="Arial MT" w:hAnsi="Arial MT" w:cs="Arial MT" w:eastAsia="Arial MT"/>
          <w:sz w:val="19"/>
        </w:rPr>
        <w:t>poderá fazer uso das prerrogativas previstas no art. 104, da Lei Federal nº 14.133/2021.</w:t>
      </w:r>
    </w:p>
    <w:p>
      <w:pPr>
        <w:spacing w:before="15"/>
      </w:pPr>
      <w:r>
        <w:t/>
      </w:r>
    </w:p>
    <w:p>
      <w:pPr>
        <w:jc w:val="both"/>
        <w:outlineLvl w:val="1"/>
        <w:ind w:left="165"/>
      </w:pPr>
      <w:r>
        <w:rPr>
          <w:b/>
          <w:sz w:val="19"/>
        </w:rPr>
        <w:t>CLÁUSULA VIGÉSIMA – DA EXTINÇÃO DO CONTRATO</w:t>
      </w:r>
    </w:p>
    <w:p>
      <w:pPr>
        <w:jc w:val="both"/>
        <w:ind w:right="210"/>
        <w:spacing w:lineRule="auto" w:line="276"/>
        <w:numPr>
          <w:ilvl w:val="0"/>
          <w:numId w:val="2"/>
        </w:numPr>
      </w:pPr>
      <w:r/>
      <w:r>
        <w:rPr>
          <w:rFonts w:ascii="Arial MT" w:hAnsi="Arial MT" w:cs="Arial MT" w:eastAsia="Arial MT"/>
          <w:sz w:val="19"/>
        </w:rPr>
        <w:t>– O contrato se extingue quando vencido o prazo nele estipulado, independentemente de terem sido cumpridas ou não as obrigações de ambas as partes contraentes;</w:t>
      </w:r>
    </w:p>
    <w:p>
      <w:pPr>
        <w:jc w:val="both"/>
        <w:ind w:right="210"/>
        <w:spacing w:before="15" w:lineRule="auto" w:line="276"/>
        <w:tabs>
          <w:tab w:val="left" w:pos="360"/>
        </w:tabs>
        <w:numPr>
          <w:ilvl w:val="0"/>
          <w:numId w:val="2"/>
        </w:numPr>
      </w:pPr>
      <w:r/>
      <w:r>
        <w:rPr>
          <w:rFonts w:ascii="Arial MT" w:hAnsi="Arial MT" w:cs="Arial MT" w:eastAsia="Arial MT"/>
          <w:sz w:val="19"/>
        </w:rPr>
        <w:t>– Se as obrigações não forem cumpridas no prazo estipulado, a vigência ficará prorrogada até a conclusão do objeto, caso em que deverá a Administração providenciar a readequação do cronograma fixado para o contrato.</w:t>
      </w:r>
    </w:p>
    <w:p>
      <w:pPr>
        <w:jc w:val="both"/>
        <w:spacing w:lineRule="exact" w:line="225"/>
        <w:tabs>
          <w:tab w:val="left" w:pos="375"/>
        </w:tabs>
        <w:numPr>
          <w:ilvl w:val="0"/>
          <w:numId w:val="2"/>
        </w:numPr>
      </w:pPr>
      <w:r/>
      <w:r>
        <w:rPr>
          <w:rFonts w:ascii="Arial MT" w:hAnsi="Arial MT" w:cs="Arial MT" w:eastAsia="Arial MT"/>
          <w:sz w:val="19"/>
        </w:rPr>
        <w:t>– Quando a não conclusão do contrato referida no item anterior decorrer de culpa da Contratada:</w:t>
      </w:r>
    </w:p>
    <w:p>
      <w:pPr>
        <w:jc w:val="both"/>
        <w:spacing w:before="30"/>
        <w:numPr>
          <w:ilvl w:val="1"/>
          <w:numId w:val="2"/>
        </w:numPr>
      </w:pPr>
      <w:r/>
      <w:r>
        <w:rPr>
          <w:rFonts w:ascii="Arial MT" w:hAnsi="Arial MT" w:cs="Arial MT" w:eastAsia="Arial MT"/>
          <w:sz w:val="19"/>
        </w:rPr>
        <w:t>Ficará ele constituído em mora, sendo-lhe aplicáveis as respectivas sanções administrativas; e</w:t>
      </w:r>
    </w:p>
    <w:p>
      <w:pPr>
        <w:jc w:val="both"/>
        <w:ind w:right="210"/>
        <w:spacing w:before="30" w:lineRule="auto" w:line="264"/>
        <w:tabs>
          <w:tab w:val="left" w:pos="750"/>
        </w:tabs>
        <w:numPr>
          <w:ilvl w:val="1"/>
          <w:numId w:val="2"/>
        </w:numPr>
      </w:pPr>
      <w:r/>
      <w:r>
        <w:rPr>
          <w:rFonts w:ascii="Arial MT" w:hAnsi="Arial MT" w:cs="Arial MT" w:eastAsia="Arial MT"/>
          <w:sz w:val="19"/>
        </w:rPr>
        <w:t>Poderá a Administração optar pela extinção do contrato e, nesse caso, adotará as medidas admitidas em lei para a continuidade da execução contratual.</w:t>
      </w:r>
    </w:p>
    <w:p>
      <w:pPr>
        <w:jc w:val="both"/>
        <w:ind w:right="210"/>
        <w:spacing w:before="15" w:lineRule="auto" w:line="276"/>
        <w:tabs>
          <w:tab w:val="left" w:pos="390"/>
        </w:tabs>
        <w:numPr>
          <w:ilvl w:val="0"/>
          <w:numId w:val="2"/>
        </w:numPr>
      </w:pPr>
      <w:r/>
      <w:r>
        <w:rPr>
          <w:rFonts w:ascii="Arial MT" w:hAnsi="Arial MT" w:cs="Arial MT" w:eastAsia="Arial MT"/>
          <w:sz w:val="19"/>
        </w:rPr>
        <w:t>– O contrato pode ser extinto antes de cumpridas as obrigações nele estipuladas, ou antes do prazo nele fixado, por algum dos motivos previstos nos artigos 137 a 139, da Lei Federal nº 14.133/2021, assegurados o contraditório e a ampla defesa;</w:t>
      </w:r>
    </w:p>
    <w:p>
      <w:pPr>
        <w:jc w:val="both"/>
        <w:numPr>
          <w:ilvl w:val="1"/>
          <w:numId w:val="2"/>
        </w:numPr>
      </w:pPr>
      <w:r/>
      <w:r>
        <w:rPr>
          <w:rFonts w:ascii="Arial MT" w:hAnsi="Arial MT" w:cs="Arial MT" w:eastAsia="Arial MT"/>
          <w:sz w:val="19"/>
        </w:rPr>
        <w:t>Nesta hipótese, aplicam-se também os artigos 138 e 139 da mesma Lei;</w:t>
      </w:r>
    </w:p>
    <w:p>
      <w:pPr>
        <w:jc w:val="both"/>
        <w:ind w:right="210"/>
        <w:spacing w:before="30" w:lineRule="auto" w:line="276"/>
        <w:tabs>
          <w:tab w:val="left" w:pos="735"/>
        </w:tabs>
        <w:numPr>
          <w:ilvl w:val="1"/>
          <w:numId w:val="2"/>
        </w:numPr>
      </w:pPr>
      <w:r/>
      <w:r>
        <w:rPr>
          <w:rFonts w:ascii="Arial MT" w:hAnsi="Arial MT" w:cs="Arial MT" w:eastAsia="Arial MT"/>
          <w:sz w:val="19"/>
        </w:rPr>
        <w:t>A alteração social ou a modificação da finalidade ou da estrutura da empresa não ensejará a rescisão se não restringir sua capacidade de concluir o contrato;</w:t>
      </w:r>
    </w:p>
    <w:p>
      <w:pPr>
        <w:jc w:val="both"/>
        <w:ind w:right="210"/>
        <w:spacing w:lineRule="auto" w:line="276"/>
        <w:tabs>
          <w:tab w:val="left" w:pos="750"/>
        </w:tabs>
        <w:numPr>
          <w:ilvl w:val="1"/>
          <w:numId w:val="2"/>
        </w:numPr>
      </w:pPr>
      <w:r/>
      <w:r>
        <w:rPr>
          <w:rFonts w:ascii="Arial MT" w:hAnsi="Arial MT" w:cs="Arial MT" w:eastAsia="Arial MT"/>
          <w:sz w:val="19"/>
        </w:rPr>
        <w:t>Se a operação implicar mudança da pessoa jurídica contratada, deverá ser formalizado termo aditivo para alteração subjetiva;</w:t>
      </w:r>
    </w:p>
    <w:p>
      <w:pPr>
        <w:jc w:val="both"/>
        <w:spacing w:lineRule="exact" w:line="225"/>
        <w:tabs>
          <w:tab w:val="left" w:pos="345"/>
        </w:tabs>
        <w:numPr>
          <w:ilvl w:val="0"/>
          <w:numId w:val="2"/>
        </w:numPr>
      </w:pPr>
      <w:r/>
      <w:r>
        <w:rPr>
          <w:rFonts w:ascii="Arial MT" w:hAnsi="Arial MT" w:cs="Arial MT" w:eastAsia="Arial MT"/>
          <w:sz w:val="19"/>
        </w:rPr>
        <w:t>– A extinção do presente termo de contrato poderá ocorrer:</w:t>
      </w:r>
    </w:p>
    <w:p>
      <w:pPr>
        <w:jc w:val="both"/>
        <w:ind w:right="210"/>
        <w:spacing w:lineRule="auto" w:line="264"/>
        <w:tabs>
          <w:tab w:val="left" w:pos="750"/>
        </w:tabs>
        <w:numPr>
          <w:ilvl w:val="1"/>
          <w:numId w:val="2"/>
        </w:numPr>
      </w:pPr>
      <w:r/>
      <w:r>
        <w:rPr>
          <w:rFonts w:ascii="Arial MT" w:hAnsi="Arial MT" w:cs="Arial MT" w:eastAsia="Arial MT"/>
          <w:sz w:val="19"/>
        </w:rPr>
        <w:t>Por ato unilateral e escrito da Administração, exceto no caso de descumprimento decorrente de sua própria conduta;</w:t>
      </w:r>
    </w:p>
    <w:p>
      <w:pPr>
        <w:jc w:val="both"/>
        <w:ind w:right="195"/>
        <w:spacing w:before="15" w:lineRule="auto" w:line="264"/>
        <w:tabs>
          <w:tab w:val="left" w:pos="735"/>
        </w:tabs>
        <w:numPr>
          <w:ilvl w:val="1"/>
          <w:numId w:val="2"/>
        </w:numPr>
      </w:pPr>
      <w:r/>
      <w:r>
        <w:rPr>
          <w:rFonts w:ascii="Arial MT" w:hAnsi="Arial MT" w:cs="Arial MT" w:eastAsia="Arial MT"/>
          <w:sz w:val="19"/>
        </w:rPr>
        <w:t>De forma consensual, por acordo entre as partes, conciliação, mediação ou comitê de resolução de disputas, desde que haja interesse da Administração;</w:t>
      </w:r>
    </w:p>
    <w:p>
      <w:pPr>
        <w:jc w:val="both"/>
        <w:ind w:right="210"/>
        <w:spacing w:before="15" w:lineRule="auto" w:line="276"/>
        <w:tabs>
          <w:tab w:val="left" w:pos="750"/>
        </w:tabs>
        <w:numPr>
          <w:ilvl w:val="1"/>
          <w:numId w:val="2"/>
        </w:numPr>
      </w:pPr>
      <w:r/>
      <w:r>
        <w:rPr>
          <w:rFonts w:ascii="Arial MT" w:hAnsi="Arial MT" w:cs="Arial MT" w:eastAsia="Arial MT"/>
          <w:sz w:val="19"/>
        </w:rPr>
        <w:t>Por decisão arbitral, em decorrência de cláusula compromissória ou compromisso arbitral, ou por decisão judicial;</w:t>
      </w:r>
    </w:p>
    <w:p>
      <w:pPr>
        <w:jc w:val="both"/>
        <w:spacing w:before="15"/>
        <w:tabs>
          <w:tab w:val="left" w:pos="390"/>
        </w:tabs>
        <w:numPr>
          <w:ilvl w:val="0"/>
          <w:numId w:val="2"/>
        </w:numPr>
      </w:pPr>
      <w:r/>
      <w:r>
        <w:rPr>
          <w:rFonts w:ascii="Arial MT" w:hAnsi="Arial MT" w:cs="Arial MT" w:eastAsia="Arial MT"/>
          <w:sz w:val="19"/>
        </w:rPr>
        <w:t>– O termo de rescisão, sempre que possível, será precedido de:</w:t>
      </w:r>
    </w:p>
    <w:p>
      <w:pPr>
        <w:jc w:val="both"/>
        <w:spacing w:before="30"/>
        <w:numPr>
          <w:ilvl w:val="1"/>
          <w:numId w:val="2"/>
        </w:numPr>
      </w:pPr>
      <w:r/>
      <w:r>
        <w:rPr>
          <w:rFonts w:ascii="Arial MT" w:hAnsi="Arial MT" w:cs="Arial MT" w:eastAsia="Arial MT"/>
          <w:sz w:val="19"/>
        </w:rPr>
        <w:t>Balanço dos eventos contratuais já cumpridos ou parcialmente cumpridos;</w:t>
      </w:r>
    </w:p>
    <w:p>
      <w:pPr>
        <w:jc w:val="both"/>
        <w:spacing w:before="30"/>
        <w:numPr>
          <w:ilvl w:val="1"/>
          <w:numId w:val="2"/>
        </w:numPr>
      </w:pPr>
      <w:r/>
      <w:r>
        <w:rPr>
          <w:rFonts w:ascii="Arial MT" w:hAnsi="Arial MT" w:cs="Arial MT" w:eastAsia="Arial MT"/>
          <w:sz w:val="19"/>
        </w:rPr>
        <w:t>Relação dos pagamentos já efetuados e ainda devidos;</w:t>
      </w:r>
    </w:p>
    <w:p>
      <w:pPr>
        <w:jc w:val="both"/>
        <w:spacing w:before="30"/>
        <w:numPr>
          <w:ilvl w:val="1"/>
          <w:numId w:val="2"/>
        </w:numPr>
      </w:pPr>
      <w:r/>
      <w:r>
        <w:rPr>
          <w:rFonts w:ascii="Arial MT" w:hAnsi="Arial MT" w:cs="Arial MT" w:eastAsia="Arial MT"/>
          <w:sz w:val="19"/>
        </w:rPr>
        <w:t>Indenizações e multas;</w:t>
      </w:r>
    </w:p>
    <w:p>
      <w:pPr>
        <w:jc w:val="both"/>
        <w:ind w:left="165" w:right="210"/>
        <w:spacing w:before="30" w:lineRule="auto" w:line="276"/>
      </w:pPr>
      <w:r>
        <w:rPr>
          <w:b/>
          <w:sz w:val="19"/>
        </w:rPr>
        <w:t xml:space="preserve">Parágrafo Primeiro: </w:t>
      </w:r>
      <w:r>
        <w:rPr>
          <w:rFonts w:ascii="Arial MT" w:hAnsi="Arial MT" w:cs="Arial MT" w:eastAsia="Arial MT"/>
          <w:sz w:val="19"/>
        </w:rPr>
        <w:t>A extinção por ato unilateral do CONTRATANTE, sujeitará a CONTRATADA à multa rescisória de até 10% (dez por cento) sobre o valor do saldo do contrato existente na data da extinção, independentemente de outras penalidades.</w:t>
      </w:r>
    </w:p>
    <w:p>
      <w:pPr>
        <w:jc w:val="both"/>
        <w:ind w:left="165" w:right="210"/>
        <w:spacing w:before="15" w:lineRule="auto" w:line="276"/>
      </w:pPr>
      <w:r>
        <w:rPr>
          <w:b/>
          <w:sz w:val="19"/>
        </w:rPr>
        <w:t xml:space="preserve">Parágrafo Segundo: </w:t>
      </w:r>
      <w:r>
        <w:rPr>
          <w:rFonts w:ascii="Arial MT" w:hAnsi="Arial MT" w:cs="Arial MT" w:eastAsia="Arial MT"/>
          <w:sz w:val="19"/>
        </w:rPr>
        <w:t>Caso o valor do prejuízo do CONTRATANTE, advindo da extinção contratual por culpa da CONTRATADA, exceder o valor da Cláusula Penal prevista no parágrafo anterior, esta valerá como mínimo de indenização, na forma do disposto no art. 416, parágrafo único, do Código Civil.</w:t>
      </w:r>
    </w:p>
    <w:p>
      <w:pPr>
        <w:jc w:val="both"/>
        <w:ind w:left="165" w:right="210"/>
        <w:spacing w:lineRule="auto" w:line="276"/>
      </w:pPr>
      <w:r>
        <w:rPr>
          <w:b/>
          <w:sz w:val="19"/>
        </w:rPr>
        <w:t xml:space="preserve">Parágrafo Terceiro: </w:t>
      </w:r>
      <w:r>
        <w:rPr>
          <w:rFonts w:ascii="Arial MT" w:hAnsi="Arial MT" w:cs="Arial MT" w:eastAsia="Arial MT"/>
          <w:sz w:val="19"/>
        </w:rPr>
        <w:t>A extinção determinada por ato unilateral da Administração e a extinção consensual, deverão ser precedidas de autorização escrita e fundamentada da autoridade competente e reduzidas a termo no respectivo processo.</w:t>
      </w:r>
    </w:p>
    <w:p>
      <w:pPr>
        <w:spacing w:before="15"/>
      </w:pPr>
      <w:r>
        <w:t/>
      </w:r>
    </w:p>
    <w:p>
      <w:pPr>
        <w:jc w:val="both"/>
        <w:ind w:left="165" w:right="210"/>
        <w:spacing w:before="15" w:lineRule="auto" w:line="276"/>
      </w:pPr>
      <w:r>
        <w:rPr>
          <w:b/>
          <w:sz w:val="19"/>
        </w:rPr>
        <w:t xml:space="preserve">CLÁUSULA VIGÉSIMA PRIMEIRA – DA ANTICORRUPÇÃO: </w:t>
      </w:r>
      <w:r>
        <w:rPr>
          <w:rFonts w:ascii="Arial MT" w:hAnsi="Arial MT" w:cs="Arial MT" w:eastAsia="Arial MT"/>
          <w:sz w:val="19"/>
        </w:rPr>
        <w:t>As partes declaram conhecer as normas de prevenção à corrupção, previstas na legislação brasileira, dentre elas: a Lei de Improbidade Administrativa (Lei nº 8.429/1992), a Lei nº 12.846/2013 e seus regulamentos; e para a execução deste contrato, se comprometem que nenhuma das partes poderá oferecer, dar ou se comprometer a dar, a quem quer que seja, ou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pPr>
        <w:spacing w:before="15"/>
      </w:pPr>
      <w:r>
        <w:t/>
      </w:r>
    </w:p>
    <w:p>
      <w:pPr>
        <w:jc w:val="both"/>
        <w:outlineLvl w:val="1"/>
        <w:ind w:left="165" w:right="240"/>
        <w:spacing w:before="15"/>
      </w:pPr>
      <w:r>
        <w:rPr>
          <w:b/>
          <w:sz w:val="19"/>
        </w:rPr>
        <w:t xml:space="preserve">CLÁUSULA VIGÉSIMA SEGUNDA – DA VINCULAÇÃO AO PROCESSO LICITATÓRIO/PROPOSTA: </w:t>
      </w:r>
      <w:r>
        <w:rPr>
          <w:rFonts w:ascii="Arial MT" w:hAnsi="Arial MT" w:cs="Arial MT" w:eastAsia="Arial MT"/>
          <w:sz w:val="19"/>
        </w:rPr>
        <w:t xml:space="preserve">O presente contrato é oriundo do Pregão Eletrônico n. 31/2024, bem como vincula-se à proposta da empresa vencedora, ora </w:t>
      </w:r>
      <w:r>
        <w:rPr>
          <w:b/>
          <w:sz w:val="19"/>
        </w:rPr>
        <w:t>CONTRATADA</w:t>
      </w:r>
      <w:r>
        <w:rPr>
          <w:rFonts w:ascii="Arial MT" w:hAnsi="Arial MT" w:cs="Arial MT" w:eastAsia="Arial MT"/>
          <w:sz w:val="19"/>
        </w:rPr>
        <w:t>.</w:t>
      </w:r>
    </w:p>
    <w:p>
      <w:pPr>
        <w:jc w:val="both"/>
        <w:spacing w:before="15"/>
      </w:pPr>
      <w:r>
        <w:t/>
      </w:r>
    </w:p>
    <w:p>
      <w:pPr>
        <w:jc w:val="both"/>
        <w:outlineLvl w:val="1"/>
        <w:ind w:left="165"/>
      </w:pPr>
      <w:r>
        <w:rPr>
          <w:b/>
          <w:sz w:val="19"/>
        </w:rPr>
        <w:t xml:space="preserve">CLÁUSULA VIGÉSIMA TERCEIRA – DA CESSÃO/TRANSFERÊNCIA DO CONTRATO: A CONTRATADA </w:t>
      </w:r>
      <w:r>
        <w:rPr>
          <w:rFonts w:ascii="Arial MT" w:hAnsi="Arial MT" w:cs="Arial MT" w:eastAsia="Arial MT"/>
          <w:sz w:val="19"/>
        </w:rPr>
        <w:t>não</w:t>
      </w:r>
    </w:p>
    <w:p>
      <w:pPr>
        <w:jc w:val="both"/>
        <w:ind w:left="165" w:right="210"/>
        <w:spacing w:before="30" w:lineRule="auto" w:line="276"/>
      </w:pPr>
      <w:r>
        <w:rPr>
          <w:rFonts w:ascii="Arial MT" w:hAnsi="Arial MT" w:cs="Arial MT" w:eastAsia="Arial MT"/>
          <w:sz w:val="19"/>
        </w:rPr>
        <w:t xml:space="preserve">poderá ceder a terceiros, no todo ou em parte, os direitos e as obrigações oriundas deste contrato, sem prévio e expresso consentimento do </w:t>
      </w:r>
      <w:r>
        <w:rPr>
          <w:b/>
          <w:sz w:val="19"/>
        </w:rPr>
        <w:t>CONTRATANTE</w:t>
      </w:r>
      <w:r>
        <w:rPr>
          <w:rFonts w:ascii="Arial MT" w:hAnsi="Arial MT" w:cs="Arial MT" w:eastAsia="Arial MT"/>
          <w:sz w:val="19"/>
        </w:rPr>
        <w:t>, sob pena de rescisão de pleno direito, sujeitando o inadimplemento às sanções previstas neste contrato.</w:t>
      </w:r>
    </w:p>
    <w:p>
      <w:pPr>
        <w:jc w:val="both"/>
        <w:spacing w:before="15"/>
      </w:pPr>
      <w:r>
        <w:t/>
      </w:r>
    </w:p>
    <w:p>
      <w:pPr>
        <w:jc w:val="both"/>
        <w:ind w:right="240"/>
      </w:pPr>
      <w:r>
        <w:rPr>
          <w:b/>
          <w:sz w:val="19"/>
        </w:rPr>
        <w:t xml:space="preserve">CLÁUSULA VIGÉSIMA QUARTA – DESPESAS E ENCARGOS SOCIAIS: </w:t>
      </w:r>
      <w:r>
        <w:rPr>
          <w:rFonts w:ascii="Arial MT" w:hAnsi="Arial MT" w:cs="Arial MT" w:eastAsia="Arial MT"/>
          <w:sz w:val="19"/>
        </w:rPr>
        <w:t xml:space="preserve">Correrão à conta da </w:t>
      </w:r>
      <w:r>
        <w:rPr>
          <w:b/>
          <w:sz w:val="19"/>
        </w:rPr>
        <w:t xml:space="preserve">CONTRATADA </w:t>
      </w:r>
      <w:r>
        <w:rPr>
          <w:rFonts w:ascii="Arial MT" w:hAnsi="Arial MT" w:cs="Arial MT" w:eastAsia="Arial MT"/>
          <w:sz w:val="19"/>
        </w:rPr>
        <w:t>todas as despesas e encargos de natureza trabalhista, previdenciária, social ou tributária, incidentes sobre os serviços/execução do objeto deste Contrato.</w:t>
      </w:r>
    </w:p>
    <w:p>
      <w:pPr>
        <w:jc w:val="both"/>
        <w:ind w:right="240"/>
        <w:spacing w:before="15"/>
      </w:pPr>
      <w:r>
        <w:t/>
      </w:r>
    </w:p>
    <w:p>
      <w:pPr>
        <w:jc w:val="both"/>
        <w:ind w:left="165" w:right="210"/>
        <w:spacing w:lineRule="auto" w:line="276"/>
      </w:pPr>
      <w:r>
        <w:rPr>
          <w:b/>
          <w:sz w:val="19"/>
        </w:rPr>
        <w:t xml:space="preserve">CLÁUSULA VIGÉSIMA QUINTA – DOS CASOS OMISSOS: </w:t>
      </w:r>
      <w:r>
        <w:rPr>
          <w:rFonts w:ascii="Arial MT" w:hAnsi="Arial MT" w:cs="Arial MT" w:eastAsia="Arial MT"/>
          <w:sz w:val="19"/>
        </w:rPr>
        <w:t>Os casos omissos serão dirimidos de comum acordo entre as partes, com base na legislação em vigor, sobretudo na Lei nº 14.133/2021 e pelos preceitos de direito público, sendo aplicados, supletivamente, os princípios da teoria geral dos contratos e as disposições de direito privado.</w:t>
      </w:r>
    </w:p>
    <w:p>
      <w:pPr>
        <w:jc w:val="both"/>
        <w:ind w:left="165" w:right="210"/>
        <w:spacing w:lineRule="auto" w:line="276"/>
      </w:pPr>
      <w:r>
        <w:rPr>
          <w:b/>
          <w:sz w:val="19"/>
        </w:rPr>
        <w:t xml:space="preserve">Parágrafo Único: </w:t>
      </w:r>
      <w:r>
        <w:rPr>
          <w:rFonts w:ascii="Arial MT" w:hAnsi="Arial MT" w:cs="Arial MT" w:eastAsia="Arial MT"/>
          <w:sz w:val="19"/>
        </w:rPr>
        <w:t>Os casos omissos serão resolvidos à luz da referida lei, recorrendo-se à analogia, aos costumes e aos princípios gerais do direito.</w:t>
      </w:r>
    </w:p>
    <w:p>
      <w:pPr>
        <w:spacing w:before="15"/>
      </w:pPr>
      <w:r>
        <w:t/>
      </w:r>
    </w:p>
    <w:p>
      <w:pPr>
        <w:jc w:val="both"/>
        <w:ind w:left="165" w:right="210"/>
        <w:spacing w:lineRule="auto" w:line="276"/>
      </w:pPr>
      <w:r>
        <w:rPr>
          <w:b/>
          <w:sz w:val="19"/>
        </w:rPr>
        <w:t xml:space="preserve">CLÁUSULA VIGÉSIMA SEXTA: </w:t>
      </w:r>
      <w:r>
        <w:rPr>
          <w:rFonts w:ascii="Arial MT" w:hAnsi="Arial MT" w:cs="Arial MT" w:eastAsia="Arial MT"/>
          <w:sz w:val="19"/>
        </w:rPr>
        <w:t xml:space="preserve">A abstenção por parte do MUNICÍPIO, ora </w:t>
      </w:r>
      <w:r>
        <w:rPr>
          <w:b/>
          <w:sz w:val="19"/>
        </w:rPr>
        <w:t>CONTRATANTE</w:t>
      </w:r>
      <w:r>
        <w:rPr>
          <w:rFonts w:ascii="Arial MT" w:hAnsi="Arial MT" w:cs="Arial MT" w:eastAsia="Arial MT"/>
          <w:sz w:val="19"/>
        </w:rPr>
        <w:t>, da utilização de quaisquer direitos ou faculdades que lhe assistam em razão deste contrato e/ou da lei, não importará em renúncia destes mesmos direitos ou faculdades, que poderão ser exercidos a qualquer tempo.</w:t>
      </w:r>
    </w:p>
    <w:p>
      <w:pPr>
        <w:jc w:val="both"/>
        <w:spacing w:lineRule="auto" w:line="276"/>
      </w:pPr>
      <w:r>
        <w:t/>
      </w:r>
    </w:p>
    <w:p>
      <w:pPr>
        <w:jc w:val="both"/>
        <w:outlineLvl w:val="1"/>
        <w:ind w:left="165"/>
      </w:pPr>
      <w:r>
        <w:rPr>
          <w:b/>
          <w:sz w:val="19"/>
        </w:rPr>
        <w:t>CLÁUSULA VIGÉSIMA SÉTIMA – DAS ALTERAÇÕES:</w:t>
      </w:r>
    </w:p>
    <w:p>
      <w:pPr>
        <w:spacing w:before="15"/>
      </w:pPr>
      <w:r>
        <w:t/>
      </w:r>
    </w:p>
    <w:p>
      <w:pPr>
        <w:jc w:val="both"/>
        <w:ind w:right="210"/>
        <w:spacing w:lineRule="auto" w:line="276"/>
        <w:numPr>
          <w:ilvl w:val="0"/>
          <w:numId w:val="25"/>
        </w:numPr>
      </w:pPr>
      <w:r/>
      <w:r>
        <w:rPr>
          <w:rFonts w:ascii="Arial MT" w:hAnsi="Arial MT" w:cs="Arial MT" w:eastAsia="Arial MT"/>
          <w:sz w:val="19"/>
        </w:rPr>
        <w:t>– Eventuais alterações contratuais reger-se-ão pela disciplina dos arts. 124 e seguintes, da Lei nº 14.133/2021 e serão analisadas por meio de processo administrativo próprio;</w:t>
      </w:r>
    </w:p>
    <w:p>
      <w:pPr>
        <w:jc w:val="both"/>
        <w:ind w:right="210"/>
        <w:spacing w:before="15" w:lineRule="auto" w:line="276"/>
        <w:tabs>
          <w:tab w:val="left" w:pos="780"/>
        </w:tabs>
        <w:numPr>
          <w:ilvl w:val="1"/>
          <w:numId w:val="25"/>
        </w:numPr>
      </w:pPr>
      <w:r/>
      <w:r>
        <w:rPr>
          <w:rFonts w:ascii="Arial MT" w:hAnsi="Arial MT" w:cs="Arial MT" w:eastAsia="Arial MT"/>
          <w:sz w:val="19"/>
        </w:rPr>
        <w:t>Em caso de aprovação, o processo administrativo resultará na emissão de Anexo/Termo Aditivo, o qual integrará o presente instrumento contratual para todos os fins e efeitos de direito, bem como será divulgado e mantido à disposição do público em sítio eletrônico oficial/jornal de circulação local ou regional;</w:t>
      </w:r>
    </w:p>
    <w:p>
      <w:pPr>
        <w:jc w:val="both"/>
        <w:ind w:right="210"/>
        <w:spacing w:lineRule="auto" w:line="276"/>
        <w:tabs>
          <w:tab w:val="left" w:pos="330"/>
        </w:tabs>
        <w:numPr>
          <w:ilvl w:val="0"/>
          <w:numId w:val="25"/>
        </w:numPr>
      </w:pPr>
      <w:r/>
      <w:r>
        <w:rPr>
          <w:rFonts w:ascii="Arial MT" w:hAnsi="Arial MT" w:cs="Arial MT" w:eastAsia="Arial MT"/>
          <w:sz w:val="19"/>
        </w:rPr>
        <w:t xml:space="preserve">– Os serviços não ajustados no presente contrato, que porventura venham a ser solicitados pelo </w:t>
      </w:r>
      <w:r>
        <w:rPr>
          <w:b/>
          <w:sz w:val="19"/>
        </w:rPr>
        <w:t>CONTRATANTE</w:t>
      </w:r>
      <w:r>
        <w:rPr>
          <w:rFonts w:ascii="Arial MT" w:hAnsi="Arial MT" w:cs="Arial MT" w:eastAsia="Arial MT"/>
          <w:sz w:val="19"/>
        </w:rPr>
        <w:t>, serão analisados individualmente, nos moldes expostos no inciso I, “a” desta cláusula, bem como nos termos e condições das cláusulas obrigatórias constantes do presente instrumento e respeitados os limites da Lei nº 14.133/21;</w:t>
      </w:r>
    </w:p>
    <w:p>
      <w:pPr>
        <w:jc w:val="both"/>
        <w:ind w:right="210"/>
        <w:spacing w:lineRule="auto" w:line="276"/>
        <w:numPr>
          <w:ilvl w:val="1"/>
          <w:numId w:val="25"/>
        </w:numPr>
      </w:pPr>
      <w:r/>
      <w:r>
        <w:rPr>
          <w:rFonts w:ascii="Arial MT" w:hAnsi="Arial MT" w:cs="Arial MT" w:eastAsia="Arial MT"/>
          <w:sz w:val="19"/>
        </w:rPr>
        <w:t xml:space="preserve">A </w:t>
      </w:r>
      <w:r>
        <w:rPr>
          <w:b/>
          <w:sz w:val="19"/>
        </w:rPr>
        <w:t xml:space="preserve">CONTRATADA </w:t>
      </w:r>
      <w:r>
        <w:rPr>
          <w:rFonts w:ascii="Arial MT" w:hAnsi="Arial MT" w:cs="Arial MT" w:eastAsia="Arial MT"/>
          <w:sz w:val="19"/>
        </w:rPr>
        <w:t>é obrigada aceitar, nas mesmas condições contratuais, os acréscimos ou supressões que se fizerem necessários, até o limite de 25% (vinte e cinco por cento) do valor inicial atualizado do contrato;</w:t>
      </w:r>
    </w:p>
    <w:p>
      <w:pPr>
        <w:jc w:val="both"/>
        <w:ind w:right="210"/>
        <w:spacing w:before="15" w:lineRule="auto" w:line="264"/>
        <w:numPr>
          <w:ilvl w:val="1"/>
          <w:numId w:val="25"/>
        </w:numPr>
      </w:pPr>
      <w:r/>
      <w:r>
        <w:rPr>
          <w:rFonts w:ascii="Arial MT" w:hAnsi="Arial MT" w:cs="Arial MT" w:eastAsia="Arial MT"/>
          <w:sz w:val="19"/>
        </w:rPr>
        <w:t>As supressões resultantes de acordo celebrado entre as partes contratantes, poderão exceder o limite de 25% (vinte e cinco por cento) do valor inicial atualizado do termo de contrato.</w:t>
      </w:r>
    </w:p>
    <w:p>
      <w:pPr>
        <w:spacing w:before="15"/>
      </w:pPr>
      <w:r>
        <w:t/>
      </w:r>
    </w:p>
    <w:p>
      <w:pPr>
        <w:jc w:val="both"/>
        <w:ind w:left="165" w:right="210"/>
        <w:spacing w:lineRule="auto" w:line="276"/>
      </w:pPr>
      <w:r>
        <w:rPr>
          <w:b/>
          <w:sz w:val="19"/>
        </w:rPr>
        <w:t xml:space="preserve">CLÁUSULA VIGÉSIMA OITAVA – DA PUBLICAÇÃO: </w:t>
      </w:r>
      <w:r>
        <w:rPr>
          <w:rFonts w:ascii="Arial MT" w:hAnsi="Arial MT" w:cs="Arial MT" w:eastAsia="Arial MT"/>
          <w:sz w:val="19"/>
        </w:rPr>
        <w:t xml:space="preserve">O </w:t>
      </w:r>
      <w:r>
        <w:rPr>
          <w:b/>
          <w:sz w:val="19"/>
        </w:rPr>
        <w:t xml:space="preserve">CONTRATANTE </w:t>
      </w:r>
      <w:r>
        <w:rPr>
          <w:rFonts w:ascii="Arial MT" w:hAnsi="Arial MT" w:cs="Arial MT" w:eastAsia="Arial MT"/>
          <w:sz w:val="19"/>
        </w:rPr>
        <w:t>providenciará a publicação do extrato do presente contrato, no Diário Oficial do Município de São Tomé/Pr e/ou em jornal de circulação local ou regional, bem como no Portal Nacional de Contratações Públicas (PNCP), para fins de garantia à ampla publicidade, conforme artigo 94, inciso II, da Lei Federal nº 14.133/2021.</w:t>
      </w:r>
    </w:p>
    <w:p>
      <w:pPr>
        <w:spacing w:before="15"/>
      </w:pPr>
      <w:r>
        <w:t/>
      </w:r>
    </w:p>
    <w:p>
      <w:pPr>
        <w:jc w:val="both"/>
        <w:ind w:left="165" w:right="210"/>
        <w:spacing w:lineRule="auto" w:line="276"/>
      </w:pPr>
      <w:r>
        <w:rPr>
          <w:b/>
          <w:sz w:val="19"/>
        </w:rPr>
        <w:t xml:space="preserve">CLÁUSULA VIGÉSIMA NONA – DO FORO: </w:t>
      </w:r>
      <w:r>
        <w:rPr>
          <w:rFonts w:ascii="Arial MT" w:hAnsi="Arial MT" w:cs="Arial MT" w:eastAsia="Arial MT"/>
          <w:sz w:val="19"/>
        </w:rPr>
        <w:t>É eleito o Foro da Comarca de Cianorte, Estado do Paraná, para dirimir os litígios que decorrerem da execução deste Termo de Contrato, que não possam ser compostos pela conciliação, conforme art. 92, §1º da Lei nº 14.133/21.</w:t>
      </w:r>
    </w:p>
    <w:p>
      <w:pPr>
        <w:spacing w:before="15"/>
      </w:pPr>
      <w:r>
        <w:t/>
      </w:r>
    </w:p>
    <w:p>
      <w:pPr>
        <w:jc w:val="both"/>
        <w:ind w:left="165" w:right="210"/>
        <w:spacing w:lineRule="auto" w:line="264"/>
      </w:pPr>
      <w:r>
        <w:rPr>
          <w:rFonts w:ascii="Arial MT" w:hAnsi="Arial MT" w:cs="Arial MT" w:eastAsia="Arial MT"/>
          <w:sz w:val="19"/>
        </w:rPr>
        <w:t>Justas e contratadas, firmam as partes este instrumento com as testemunhas presentes ao ato, a fim de que produza seus efeitos legais.</w:t>
      </w:r>
    </w:p>
    <w:p>
      <w:pPr>
        <w:jc w:val="right"/>
        <w:ind w:right="210"/>
        <w:spacing w:before="15"/>
        <w:tabs>
          <w:tab w:val="left" w:pos="1620"/>
        </w:tabs>
      </w:pPr>
      <w:r>
        <w:rPr>
          <w:rFonts w:ascii="Arial MT" w:hAnsi="Arial MT" w:cs="Arial MT" w:eastAsia="Arial MT"/>
          <w:sz w:val="19"/>
        </w:rPr>
        <w:t>São Tomé,</w:t>
      </w:r>
      <w:r>
        <w:rPr>
          <w:rFonts w:ascii="Times New Roman" w:hAnsi="Times New Roman" w:cs="Times New Roman" w:eastAsia="Times New Roman"/>
          <w:u w:val="single"/>
          <w:sz w:val="19"/>
        </w:rPr>
        <w:tab/>
      </w:r>
      <w:r>
        <w:rPr>
          <w:rFonts w:ascii="Arial MT" w:hAnsi="Arial MT" w:cs="Arial MT" w:eastAsia="Arial MT"/>
          <w:sz w:val="19"/>
        </w:rPr>
        <w:t>de 2024.</w:t>
      </w:r>
    </w:p>
    <w:p>
      <w:pPr>
        <w:spacing w:before="15"/>
      </w:pPr>
      <w:r>
        <w:t/>
      </w:r>
    </w:p>
    <w:p>
      <w:pPr>
        <w:jc w:val="center"/>
        <w:outlineLvl w:val="1"/>
        <w:ind w:left="1350" w:right="1335"/>
        <w:spacing w:before="90"/>
      </w:pPr>
      <w:r>
        <w:rPr>
          <w:b/>
          <w:sz w:val="19"/>
        </w:rPr>
        <w:t>OCELIO FERREIRA LEITE</w:t>
      </w:r>
    </w:p>
    <w:p>
      <w:pPr>
        <w:jc w:val="center"/>
        <w:ind w:left="1335" w:right="1335"/>
        <w:spacing w:before="30"/>
      </w:pPr>
      <w:r>
        <w:rPr>
          <w:b/>
          <w:sz w:val="19"/>
        </w:rPr>
        <w:t>Município de São Tomé</w:t>
      </w:r>
    </w:p>
    <w:p>
      <w:pPr>
        <w:jc w:val="center"/>
        <w:ind w:left="4710" w:right="4695"/>
        <w:spacing w:before="30" w:lineRule="auto" w:line="492"/>
      </w:pPr>
      <w:r>
        <w:rPr>
          <w:rFonts w:ascii="Arial MT" w:hAnsi="Arial MT" w:cs="Arial MT" w:eastAsia="Arial MT"/>
          <w:sz w:val="19"/>
        </w:rPr>
        <w:t>Contratante Contratada</w:t>
      </w:r>
    </w:p>
    <w:p>
      <w:pPr>
        <w:outlineLvl w:val="1"/>
        <w:ind w:left="225"/>
        <w:spacing w:before="15"/>
        <w:tabs>
          <w:tab w:val="left" w:pos="4095"/>
        </w:tabs>
      </w:pPr>
      <w:r>
        <w:rPr>
          <w:b/>
          <w:sz w:val="19"/>
        </w:rPr>
        <w:t>GESTOR (A):</w:t>
      </w: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p>
    <w:p>
      <w:r>
        <w:t/>
      </w:r>
    </w:p>
    <w:p>
      <w:pPr>
        <w:ind w:left="225"/>
        <w:spacing w:before="90"/>
        <w:tabs>
          <w:tab w:val="left" w:pos="3765"/>
        </w:tabs>
      </w:pPr>
      <w:r>
        <w:rPr>
          <w:b/>
          <w:sz w:val="19"/>
        </w:rPr>
        <w:t>FISCAL:</w:t>
      </w: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p>
    <w:p>
      <w:pPr>
        <w:spacing w:before="15"/>
      </w:pPr>
      <w:r>
        <w:t/>
      </w:r>
    </w:p>
    <w:p>
      <w:pPr>
        <w:outlineLvl w:val="1"/>
        <w:ind w:left="225"/>
        <w:spacing w:before="90"/>
        <w:tabs>
          <w:tab w:val="left" w:pos="4950"/>
        </w:tabs>
      </w:pPr>
      <w:r>
        <w:rPr>
          <w:b/>
          <w:sz w:val="19"/>
        </w:rPr>
        <w:t>TESTEMUNHAS:</w:t>
      </w:r>
      <w:r>
        <w:rPr>
          <w:rFonts w:ascii="Times New Roman" w:hAnsi="Times New Roman" w:cs="Times New Roman" w:eastAsia="Times New Roman"/>
          <w:u w:val="single"/>
          <w:sz w:val="19"/>
        </w:rPr>
        <w:t xml:space="preserve"> </w:t>
      </w:r>
      <w:r>
        <w:rPr>
          <w:rFonts w:ascii="Times New Roman" w:hAnsi="Times New Roman" w:cs="Times New Roman" w:eastAsia="Times New Roman"/>
          <w:u w:val="single"/>
          <w:sz w:val="19"/>
        </w:rPr>
        <w:tab/>
      </w:r>
    </w:p>
    <w:p>
      <w:pPr>
        <w:spacing w:before="15"/>
      </w:pPr>
      <w:r>
        <w:t/>
      </w:r>
    </w:p>
    <w:p>
      <w:pPr>
        <w:ind w:left="225"/>
        <w:spacing w:before="90"/>
      </w:pPr>
      <w:r>
        <w:rPr>
          <w:b/>
          <w:sz w:val="19"/>
        </w:rPr>
        <w:t>* Se necessário a presente minuta será alterada para eventual adequação a legislação vigente.</w:t>
      </w:r>
    </w:p>
    <w:p>
      <w:pPr>
        <w:ind w:left="225"/>
        <w:spacing w:before="90"/>
      </w:pPr>
      <w:r>
        <w:t/>
      </w:r>
    </w:p>
    <w:p>
      <w:pPr>
        <w:ind w:left="225"/>
        <w:spacing w:before="90"/>
      </w:pPr>
      <w:r>
        <w:rPr>
          <w:rFonts w:ascii="Times New Roman" w:hAnsi="Times New Roman" w:cs="Times New Roman" w:eastAsia="Times New Roman"/>
        </w:rPr>
        <w:t/>
      </w:r>
    </w:p>
    <w:sectPr>
      <w:headerReference w:type="default" r:id="rIdHF0"/>
      <w:footerReference w:type="default" r:id="rIdHF1"/>
      <w:pgSz w:w="11899" w:h="16841"/>
      <w:pgMar w:top="454" w:right="454" w:bottom="454" w:left="454" w:header="567" w:footer="567" w:gutter="0"/>
    </w:sectPr>
  </w:body>
</w:document>
</file>

<file path=word/fontTable.xml><?xml version="1.0" encoding="utf-8"?>
<w:fonts xmlns:r="http://schemas.openxmlformats.org/officeDocument/2006/relationships" xmlns:w="http://schemas.openxmlformats.org/wordprocessingml/2006/main">
  <w:font w:name="Arial">
    <w:charset w:val="01"/>
  </w:font>
  <w:font w:name="Arial MT">
    <w:charset w:val="01"/>
  </w:font>
  <w:font w:name="Times New Roman">
    <w:charset w:val="01"/>
  </w:font>
  <w:font w:name="Calibri">
    <w:charset w:val="00"/>
  </w:font>
  <w:font w:name="Arial">
    <w:charset w:val="00"/>
  </w:font>
  <w:font w:name="Times New Roman">
    <w:charset w:val="00"/>
  </w:font>
  <w:font w:name="Courier New">
    <w:charset w:val="00"/>
  </w:font>
  <w:font w:name="Wingdings">
    <w:charset w:val="02"/>
  </w:font>
  <w:font w:name="Symbol">
    <w:charset w:val="02"/>
  </w:font>
</w:fonts>
</file>

<file path=word/footer.xml><?xml version="1.0" encoding="utf-8"?>
<w:ft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r>
      <w:t/>
    </w:r>
  </w:p>
</w:ftr>
</file>

<file path=word/header.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pPr>
      <w:jc w:val="center"/>
    </w:pPr>
    <w:r>
      <w:drawing>
        <wp:inline distT="0" distB="0" distL="0" distR="0">
          <wp:extent cx="5438775" cy="1162050"/>
          <wp:effectExtent l="0" t="0" r="0" b="0"/>
          <wp:docPr id="1" name="P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png"/>
                  <pic:cNvPicPr/>
                </pic:nvPicPr>
                <pic:blipFill>
                  <a:blip r:embed="prId1" cstate="print"/>
                  <a:stretch>
                    <a:fillRect/>
                  </a:stretch>
                </pic:blipFill>
                <pic:spPr>
                  <a:xfrm>
                    <a:off x="0" y="0"/>
                    <a:ext cx="5438775" cy="1162050"/>
                  </a:xfrm>
                  <a:prstGeom prst="rect">
                    <a:avLst/>
                  </a:prstGeom>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multiLevelType w:val="hybridMultilevel"/>
    <w:lvl w:ilvl="0">
      <w:numFmt w:val="decimal"/>
      <w:lvlText w:val="%1)"/>
      <w:lvlJc w:val="left"/>
      <w:start w:val="1"/>
      <w:pPr>
        <w:ind w:left="375" w:hanging="210"/>
        <w:tab w:val="num" w:pos="375"/>
      </w:pPr>
      <w:rPr>
        <w:rFonts w:ascii="Arial MT" w:hAnsi="Arial MT" w:cs="Arial MT" w:eastAsia="Arial MT"/>
      </w:rPr>
    </w:lvl>
    <w:lvl w:ilvl="1">
      <w:numFmt w:val="lowerLetter"/>
      <w:lvlText w:val="%2)"/>
      <w:lvlJc w:val="left"/>
      <w:start w:val="1"/>
      <w:pPr>
        <w:ind w:left="165" w:firstLine="0"/>
        <w:tab w:val="num" w:pos="165"/>
      </w:pPr>
      <w:rPr>
        <w:rFonts w:ascii="Arial MT" w:hAnsi="Arial MT" w:cs="Arial MT" w:eastAsia="Arial MT"/>
      </w:rPr>
    </w:lvl>
    <w:lvl w:ilvl="2">
      <w:numFmt w:val="bullet"/>
      <w:lvlText w:val="•"/>
      <w:lvlJc w:val="left"/>
      <w:pPr>
        <w:ind w:left="1500" w:hanging="270"/>
        <w:tab w:val="num" w:pos="1500"/>
      </w:pPr>
      <w:rPr>
        <w:rFonts w:ascii="Times New Roman" w:hAnsi="Times New Roman" w:cs="Times New Roman" w:eastAsia="Times New Roman"/>
        <w:sz w:val="24"/>
      </w:rPr>
    </w:lvl>
    <w:lvl w:ilvl="3">
      <w:numFmt w:val="bullet"/>
      <w:lvlText w:val="•"/>
      <w:lvlJc w:val="left"/>
      <w:pPr>
        <w:ind w:left="2610" w:hanging="270"/>
        <w:tab w:val="num" w:pos="2610"/>
      </w:pPr>
      <w:rPr>
        <w:rFonts w:ascii="Times New Roman" w:hAnsi="Times New Roman" w:cs="Times New Roman" w:eastAsia="Times New Roman"/>
        <w:sz w:val="24"/>
      </w:rPr>
    </w:lvl>
    <w:lvl w:ilvl="4">
      <w:numFmt w:val="bullet"/>
      <w:lvlText w:val="•"/>
      <w:lvlJc w:val="left"/>
      <w:pPr>
        <w:ind w:left="3720" w:hanging="270"/>
        <w:tab w:val="num" w:pos="3720"/>
      </w:pPr>
      <w:rPr>
        <w:rFonts w:ascii="Times New Roman" w:hAnsi="Times New Roman" w:cs="Times New Roman" w:eastAsia="Times New Roman"/>
        <w:sz w:val="24"/>
      </w:rPr>
    </w:lvl>
    <w:lvl w:ilvl="5">
      <w:numFmt w:val="bullet"/>
      <w:lvlText w:val="•"/>
      <w:lvlJc w:val="left"/>
      <w:pPr>
        <w:ind w:left="4830" w:hanging="270"/>
        <w:tab w:val="num" w:pos="4830"/>
      </w:pPr>
      <w:rPr>
        <w:rFonts w:ascii="Times New Roman" w:hAnsi="Times New Roman" w:cs="Times New Roman" w:eastAsia="Times New Roman"/>
        <w:sz w:val="24"/>
      </w:rPr>
    </w:lvl>
    <w:lvl w:ilvl="6">
      <w:numFmt w:val="bullet"/>
      <w:lvlText w:val="•"/>
      <w:lvlJc w:val="left"/>
      <w:pPr>
        <w:ind w:left="5955" w:hanging="270"/>
        <w:tab w:val="num" w:pos="5955"/>
      </w:pPr>
      <w:rPr>
        <w:rFonts w:ascii="Times New Roman" w:hAnsi="Times New Roman" w:cs="Times New Roman" w:eastAsia="Times New Roman"/>
        <w:sz w:val="24"/>
      </w:rPr>
    </w:lvl>
    <w:lvl w:ilvl="7">
      <w:numFmt w:val="bullet"/>
      <w:lvlText w:val="•"/>
      <w:lvlJc w:val="left"/>
      <w:pPr>
        <w:ind w:left="7065" w:hanging="270"/>
        <w:tab w:val="num" w:pos="7065"/>
      </w:pPr>
      <w:rPr>
        <w:rFonts w:ascii="Times New Roman" w:hAnsi="Times New Roman" w:cs="Times New Roman" w:eastAsia="Times New Roman"/>
        <w:sz w:val="24"/>
      </w:rPr>
    </w:lvl>
    <w:lvl w:ilvl="8">
      <w:numFmt w:val="bullet"/>
      <w:lvlText w:val="•"/>
      <w:lvlJc w:val="left"/>
      <w:pPr>
        <w:ind w:left="8175" w:hanging="270"/>
        <w:tab w:val="num" w:pos="8175"/>
      </w:pPr>
      <w:rPr>
        <w:rFonts w:ascii="Times New Roman" w:hAnsi="Times New Roman" w:cs="Times New Roman" w:eastAsia="Times New Roman"/>
        <w:sz w:val="24"/>
      </w:rPr>
    </w:lvl>
  </w:abstractNum>
  <w:abstractNum w:abstractNumId="1">
    <w:multiLevelType w:val="hybridMultilevel"/>
    <w:lvl w:ilvl="0">
      <w:numFmt w:val="upperRoman"/>
      <w:lvlText w:val="%1"/>
      <w:lvlJc w:val="left"/>
      <w:start w:val="1"/>
      <w:pPr>
        <w:ind w:left="165" w:firstLine="0"/>
        <w:tab w:val="num" w:pos="165"/>
      </w:pPr>
      <w:rPr>
        <w:rFonts w:ascii="Arial MT" w:hAnsi="Arial MT" w:cs="Arial MT" w:eastAsia="Arial MT"/>
      </w:rPr>
    </w:lvl>
    <w:lvl w:ilvl="1">
      <w:numFmt w:val="lowerLetter"/>
      <w:lvlText w:val="%2)"/>
      <w:lvlJc w:val="left"/>
      <w:start w:val="1"/>
      <w:pPr>
        <w:ind w:left="720" w:hanging="225"/>
        <w:tab w:val="num" w:pos="720"/>
      </w:pPr>
      <w:rPr>
        <w:rFonts w:ascii="Arial MT" w:hAnsi="Arial MT" w:cs="Arial MT" w:eastAsia="Arial MT"/>
      </w:rPr>
    </w:lvl>
    <w:lvl w:ilvl="2">
      <w:numFmt w:val="bullet"/>
      <w:lvlText w:val="•"/>
      <w:lvlJc w:val="left"/>
      <w:pPr>
        <w:ind w:left="720" w:hanging="225"/>
        <w:tab w:val="num" w:pos="720"/>
      </w:pPr>
      <w:rPr>
        <w:rFonts w:ascii="Times New Roman" w:hAnsi="Times New Roman" w:cs="Times New Roman" w:eastAsia="Times New Roman"/>
        <w:sz w:val="24"/>
      </w:rPr>
    </w:lvl>
    <w:lvl w:ilvl="3">
      <w:numFmt w:val="bullet"/>
      <w:lvlText w:val="•"/>
      <w:lvlJc w:val="left"/>
      <w:pPr>
        <w:ind w:left="1935" w:hanging="225"/>
        <w:tab w:val="num" w:pos="1935"/>
      </w:pPr>
      <w:rPr>
        <w:rFonts w:ascii="Times New Roman" w:hAnsi="Times New Roman" w:cs="Times New Roman" w:eastAsia="Times New Roman"/>
        <w:sz w:val="24"/>
      </w:rPr>
    </w:lvl>
    <w:lvl w:ilvl="4">
      <w:numFmt w:val="bullet"/>
      <w:lvlText w:val="•"/>
      <w:lvlJc w:val="left"/>
      <w:pPr>
        <w:ind w:left="3135" w:hanging="225"/>
        <w:tab w:val="num" w:pos="3135"/>
      </w:pPr>
      <w:rPr>
        <w:rFonts w:ascii="Times New Roman" w:hAnsi="Times New Roman" w:cs="Times New Roman" w:eastAsia="Times New Roman"/>
        <w:sz w:val="24"/>
      </w:rPr>
    </w:lvl>
    <w:lvl w:ilvl="5">
      <w:numFmt w:val="bullet"/>
      <w:lvlText w:val="•"/>
      <w:lvlJc w:val="left"/>
      <w:pPr>
        <w:ind w:left="4350" w:hanging="225"/>
        <w:tab w:val="num" w:pos="4350"/>
      </w:pPr>
      <w:rPr>
        <w:rFonts w:ascii="Times New Roman" w:hAnsi="Times New Roman" w:cs="Times New Roman" w:eastAsia="Times New Roman"/>
        <w:sz w:val="24"/>
      </w:rPr>
    </w:lvl>
    <w:lvl w:ilvl="6">
      <w:numFmt w:val="bullet"/>
      <w:lvlText w:val="•"/>
      <w:lvlJc w:val="left"/>
      <w:pPr>
        <w:ind w:left="5565" w:hanging="225"/>
        <w:tab w:val="num" w:pos="5565"/>
      </w:pPr>
      <w:rPr>
        <w:rFonts w:ascii="Times New Roman" w:hAnsi="Times New Roman" w:cs="Times New Roman" w:eastAsia="Times New Roman"/>
        <w:sz w:val="24"/>
      </w:rPr>
    </w:lvl>
    <w:lvl w:ilvl="7">
      <w:numFmt w:val="bullet"/>
      <w:lvlText w:val="•"/>
      <w:lvlJc w:val="left"/>
      <w:pPr>
        <w:ind w:left="6780" w:hanging="225"/>
        <w:tab w:val="num" w:pos="6780"/>
      </w:pPr>
      <w:rPr>
        <w:rFonts w:ascii="Times New Roman" w:hAnsi="Times New Roman" w:cs="Times New Roman" w:eastAsia="Times New Roman"/>
        <w:sz w:val="24"/>
      </w:rPr>
    </w:lvl>
    <w:lvl w:ilvl="8">
      <w:numFmt w:val="bullet"/>
      <w:lvlText w:val="•"/>
      <w:lvlJc w:val="left"/>
      <w:pPr>
        <w:ind w:left="7980" w:hanging="225"/>
        <w:tab w:val="num" w:pos="7980"/>
      </w:pPr>
      <w:rPr>
        <w:rFonts w:ascii="Times New Roman" w:hAnsi="Times New Roman" w:cs="Times New Roman" w:eastAsia="Times New Roman"/>
        <w:sz w:val="24"/>
      </w:rPr>
    </w:lvl>
  </w:abstractNum>
  <w:abstractNum w:abstractNumId="2">
    <w:multiLevelType w:val="hybridMultilevel"/>
    <w:lvl w:ilvl="0">
      <w:numFmt w:val="decimal"/>
      <w:lvlText w:val="%1"/>
      <w:lvlJc w:val="left"/>
      <w:start w:val="6"/>
      <w:pPr>
        <w:ind w:left="165" w:hanging="360"/>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sz w:val="18"/>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2700" w:hanging="540"/>
        <w:tab w:val="num" w:pos="2700"/>
      </w:pPr>
      <w:rPr>
        <w:rFonts w:ascii="Times New Roman" w:hAnsi="Times New Roman" w:cs="Times New Roman" w:eastAsia="Times New Roman"/>
        <w:sz w:val="24"/>
      </w:rPr>
    </w:lvl>
    <w:lvl w:ilvl="4">
      <w:numFmt w:val="bullet"/>
      <w:lvlText w:val="•"/>
      <w:lvlJc w:val="left"/>
      <w:pPr>
        <w:ind w:left="3795" w:hanging="540"/>
        <w:tab w:val="num" w:pos="3795"/>
      </w:pPr>
      <w:rPr>
        <w:rFonts w:ascii="Times New Roman" w:hAnsi="Times New Roman" w:cs="Times New Roman" w:eastAsia="Times New Roman"/>
        <w:sz w:val="24"/>
      </w:rPr>
    </w:lvl>
    <w:lvl w:ilvl="5">
      <w:numFmt w:val="bullet"/>
      <w:lvlText w:val="•"/>
      <w:lvlJc w:val="left"/>
      <w:pPr>
        <w:ind w:left="4905" w:hanging="540"/>
        <w:tab w:val="num" w:pos="4905"/>
      </w:pPr>
      <w:rPr>
        <w:rFonts w:ascii="Times New Roman" w:hAnsi="Times New Roman" w:cs="Times New Roman" w:eastAsia="Times New Roman"/>
        <w:sz w:val="24"/>
      </w:rPr>
    </w:lvl>
    <w:lvl w:ilvl="6">
      <w:numFmt w:val="bullet"/>
      <w:lvlText w:val="•"/>
      <w:lvlJc w:val="left"/>
      <w:pPr>
        <w:ind w:left="6000" w:hanging="540"/>
        <w:tab w:val="num" w:pos="6000"/>
      </w:pPr>
      <w:rPr>
        <w:rFonts w:ascii="Times New Roman" w:hAnsi="Times New Roman" w:cs="Times New Roman" w:eastAsia="Times New Roman"/>
        <w:sz w:val="24"/>
      </w:rPr>
    </w:lvl>
    <w:lvl w:ilvl="7">
      <w:numFmt w:val="bullet"/>
      <w:lvlText w:val="•"/>
      <w:lvlJc w:val="left"/>
      <w:pPr>
        <w:ind w:left="7110" w:hanging="540"/>
        <w:tab w:val="num" w:pos="7110"/>
      </w:pPr>
      <w:rPr>
        <w:rFonts w:ascii="Times New Roman" w:hAnsi="Times New Roman" w:cs="Times New Roman" w:eastAsia="Times New Roman"/>
        <w:sz w:val="24"/>
      </w:rPr>
    </w:lvl>
    <w:lvl w:ilvl="8">
      <w:numFmt w:val="bullet"/>
      <w:lvlText w:val="•"/>
      <w:lvlJc w:val="left"/>
      <w:pPr>
        <w:ind w:left="8205" w:hanging="540"/>
        <w:tab w:val="num" w:pos="8205"/>
      </w:pPr>
      <w:rPr>
        <w:rFonts w:ascii="Times New Roman" w:hAnsi="Times New Roman" w:cs="Times New Roman" w:eastAsia="Times New Roman"/>
        <w:sz w:val="24"/>
      </w:rPr>
    </w:lvl>
  </w:abstractNum>
  <w:abstractNum w:abstractNumId="3">
    <w:multiLevelType w:val="hybridMultilevel"/>
    <w:lvl w:ilvl="0">
      <w:numFmt w:val="upperRoman"/>
      <w:lvlText w:val="%1"/>
      <w:lvlJc w:val="left"/>
      <w:start w:val="1"/>
      <w:pPr>
        <w:ind w:left="165" w:firstLine="0"/>
        <w:tab w:val="num" w:pos="165"/>
      </w:pPr>
      <w:rPr>
        <w:rFonts w:ascii="Arial MT" w:hAnsi="Arial MT" w:cs="Arial MT" w:eastAsia="Arial MT"/>
      </w:rPr>
    </w:lvl>
    <w:lvl w:ilvl="1">
      <w:numFmt w:val="lowerLetter"/>
      <w:lvlText w:val="%2)"/>
      <w:lvlJc w:val="left"/>
      <w:start w:val="1"/>
      <w:pPr>
        <w:ind w:left="720" w:hanging="225"/>
        <w:tab w:val="num" w:pos="720"/>
      </w:pPr>
      <w:rPr>
        <w:rFonts w:ascii="Arial MT" w:hAnsi="Arial MT" w:cs="Arial MT" w:eastAsia="Arial MT"/>
      </w:rPr>
    </w:lvl>
    <w:lvl w:ilvl="2">
      <w:numFmt w:val="bullet"/>
      <w:lvlText w:val="•"/>
      <w:lvlJc w:val="left"/>
      <w:pPr>
        <w:ind w:left="720" w:hanging="225"/>
        <w:tab w:val="num" w:pos="720"/>
      </w:pPr>
      <w:rPr>
        <w:rFonts w:ascii="Times New Roman" w:hAnsi="Times New Roman" w:cs="Times New Roman" w:eastAsia="Times New Roman"/>
        <w:sz w:val="24"/>
      </w:rPr>
    </w:lvl>
    <w:lvl w:ilvl="3">
      <w:numFmt w:val="bullet"/>
      <w:lvlText w:val="•"/>
      <w:lvlJc w:val="left"/>
      <w:pPr>
        <w:ind w:left="1935" w:hanging="225"/>
        <w:tab w:val="num" w:pos="1935"/>
      </w:pPr>
      <w:rPr>
        <w:rFonts w:ascii="Times New Roman" w:hAnsi="Times New Roman" w:cs="Times New Roman" w:eastAsia="Times New Roman"/>
        <w:sz w:val="24"/>
      </w:rPr>
    </w:lvl>
    <w:lvl w:ilvl="4">
      <w:numFmt w:val="bullet"/>
      <w:lvlText w:val="•"/>
      <w:lvlJc w:val="left"/>
      <w:pPr>
        <w:ind w:left="3135" w:hanging="225"/>
        <w:tab w:val="num" w:pos="3135"/>
      </w:pPr>
      <w:rPr>
        <w:rFonts w:ascii="Times New Roman" w:hAnsi="Times New Roman" w:cs="Times New Roman" w:eastAsia="Times New Roman"/>
        <w:sz w:val="24"/>
      </w:rPr>
    </w:lvl>
    <w:lvl w:ilvl="5">
      <w:numFmt w:val="bullet"/>
      <w:lvlText w:val="•"/>
      <w:lvlJc w:val="left"/>
      <w:pPr>
        <w:ind w:left="4350" w:hanging="225"/>
        <w:tab w:val="num" w:pos="4350"/>
      </w:pPr>
      <w:rPr>
        <w:rFonts w:ascii="Times New Roman" w:hAnsi="Times New Roman" w:cs="Times New Roman" w:eastAsia="Times New Roman"/>
        <w:sz w:val="24"/>
      </w:rPr>
    </w:lvl>
    <w:lvl w:ilvl="6">
      <w:numFmt w:val="bullet"/>
      <w:lvlText w:val="•"/>
      <w:lvlJc w:val="left"/>
      <w:pPr>
        <w:ind w:left="5565" w:hanging="225"/>
        <w:tab w:val="num" w:pos="5565"/>
      </w:pPr>
      <w:rPr>
        <w:rFonts w:ascii="Times New Roman" w:hAnsi="Times New Roman" w:cs="Times New Roman" w:eastAsia="Times New Roman"/>
        <w:sz w:val="24"/>
      </w:rPr>
    </w:lvl>
    <w:lvl w:ilvl="7">
      <w:numFmt w:val="bullet"/>
      <w:lvlText w:val="•"/>
      <w:lvlJc w:val="left"/>
      <w:pPr>
        <w:ind w:left="6780" w:hanging="225"/>
        <w:tab w:val="num" w:pos="6780"/>
      </w:pPr>
      <w:rPr>
        <w:rFonts w:ascii="Times New Roman" w:hAnsi="Times New Roman" w:cs="Times New Roman" w:eastAsia="Times New Roman"/>
        <w:sz w:val="24"/>
      </w:rPr>
    </w:lvl>
    <w:lvl w:ilvl="8">
      <w:numFmt w:val="bullet"/>
      <w:lvlText w:val="•"/>
      <w:lvlJc w:val="left"/>
      <w:pPr>
        <w:ind w:left="7980" w:hanging="225"/>
        <w:tab w:val="num" w:pos="7980"/>
      </w:pPr>
      <w:rPr>
        <w:rFonts w:ascii="Times New Roman" w:hAnsi="Times New Roman" w:cs="Times New Roman" w:eastAsia="Times New Roman"/>
        <w:sz w:val="24"/>
      </w:rPr>
    </w:lvl>
  </w:abstractNum>
  <w:abstractNum w:abstractNumId="4">
    <w:multiLevelType w:val="multilevel"/>
    <w:lvl w:ilvl="0">
      <w:numFmt w:val="bullet"/>
      <w:lvlText w:val="–"/>
      <w:lvlJc w:val="left"/>
      <w:pPr>
        <w:ind w:left="660" w:hanging="165"/>
        <w:tab w:val="num" w:pos="660"/>
      </w:pPr>
      <w:rPr>
        <w:rFonts w:ascii="Arial MT" w:hAnsi="Arial MT" w:cs="Arial MT" w:eastAsia="Arial MT"/>
      </w:rPr>
    </w:lvl>
    <w:lvl w:ilvl="1">
      <w:numFmt w:val="bullet"/>
      <w:lvlText w:val="•"/>
      <w:lvlJc w:val="left"/>
      <w:pPr>
        <w:ind w:left="1485" w:hanging="165"/>
        <w:tab w:val="num" w:pos="1485"/>
      </w:pPr>
      <w:rPr>
        <w:rFonts w:ascii="Times New Roman" w:hAnsi="Times New Roman" w:cs="Times New Roman" w:eastAsia="Times New Roman"/>
        <w:sz w:val="24"/>
      </w:rPr>
    </w:lvl>
    <w:lvl w:ilvl="2">
      <w:numFmt w:val="bullet"/>
      <w:lvlText w:val="•"/>
      <w:lvlJc w:val="left"/>
      <w:pPr>
        <w:ind w:left="2475" w:hanging="165"/>
        <w:tab w:val="num" w:pos="2475"/>
      </w:pPr>
      <w:rPr>
        <w:rFonts w:ascii="Times New Roman" w:hAnsi="Times New Roman" w:cs="Times New Roman" w:eastAsia="Times New Roman"/>
        <w:sz w:val="24"/>
      </w:rPr>
    </w:lvl>
    <w:lvl w:ilvl="3">
      <w:numFmt w:val="bullet"/>
      <w:lvlText w:val="•"/>
      <w:lvlJc w:val="left"/>
      <w:pPr>
        <w:ind w:left="3465" w:hanging="165"/>
        <w:tab w:val="num" w:pos="3465"/>
      </w:pPr>
      <w:rPr>
        <w:rFonts w:ascii="Times New Roman" w:hAnsi="Times New Roman" w:cs="Times New Roman" w:eastAsia="Times New Roman"/>
        <w:sz w:val="24"/>
      </w:rPr>
    </w:lvl>
    <w:lvl w:ilvl="4">
      <w:numFmt w:val="bullet"/>
      <w:lvlText w:val="•"/>
      <w:lvlJc w:val="left"/>
      <w:pPr>
        <w:ind w:left="4455" w:hanging="165"/>
        <w:tab w:val="num" w:pos="4455"/>
      </w:pPr>
      <w:rPr>
        <w:rFonts w:ascii="Times New Roman" w:hAnsi="Times New Roman" w:cs="Times New Roman" w:eastAsia="Times New Roman"/>
        <w:sz w:val="24"/>
      </w:rPr>
    </w:lvl>
    <w:lvl w:ilvl="5">
      <w:numFmt w:val="bullet"/>
      <w:lvlText w:val="•"/>
      <w:lvlJc w:val="left"/>
      <w:pPr>
        <w:ind w:left="5460" w:hanging="165"/>
        <w:tab w:val="num" w:pos="5460"/>
      </w:pPr>
      <w:rPr>
        <w:rFonts w:ascii="Times New Roman" w:hAnsi="Times New Roman" w:cs="Times New Roman" w:eastAsia="Times New Roman"/>
        <w:sz w:val="24"/>
      </w:rPr>
    </w:lvl>
    <w:lvl w:ilvl="6">
      <w:numFmt w:val="bullet"/>
      <w:lvlText w:val="•"/>
      <w:lvlJc w:val="left"/>
      <w:pPr>
        <w:ind w:left="6450" w:hanging="165"/>
        <w:tab w:val="num" w:pos="6450"/>
      </w:pPr>
      <w:rPr>
        <w:rFonts w:ascii="Times New Roman" w:hAnsi="Times New Roman" w:cs="Times New Roman" w:eastAsia="Times New Roman"/>
        <w:sz w:val="24"/>
      </w:rPr>
    </w:lvl>
    <w:lvl w:ilvl="7">
      <w:numFmt w:val="bullet"/>
      <w:lvlText w:val="•"/>
      <w:lvlJc w:val="left"/>
      <w:pPr>
        <w:ind w:left="7440" w:hanging="165"/>
        <w:tab w:val="num" w:pos="7440"/>
      </w:pPr>
      <w:rPr>
        <w:rFonts w:ascii="Times New Roman" w:hAnsi="Times New Roman" w:cs="Times New Roman" w:eastAsia="Times New Roman"/>
        <w:sz w:val="24"/>
      </w:rPr>
    </w:lvl>
    <w:lvl w:ilvl="8">
      <w:numFmt w:val="bullet"/>
      <w:lvlText w:val="•"/>
      <w:lvlJc w:val="left"/>
      <w:pPr>
        <w:ind w:left="8430" w:hanging="165"/>
        <w:tab w:val="num" w:pos="8430"/>
      </w:pPr>
      <w:rPr>
        <w:rFonts w:ascii="Times New Roman" w:hAnsi="Times New Roman" w:cs="Times New Roman" w:eastAsia="Times New Roman"/>
        <w:sz w:val="24"/>
      </w:rPr>
    </w:lvl>
  </w:abstractNum>
  <w:abstractNum w:abstractNumId="5">
    <w:multiLevelType w:val="hybridMultilevel"/>
    <w:lvl w:ilvl="0">
      <w:numFmt w:val="decimal"/>
      <w:lvlText w:val="%1"/>
      <w:lvlJc w:val="left"/>
      <w:start w:val="4"/>
      <w:pPr>
        <w:ind w:left="225" w:hanging="330"/>
        <w:tab w:val="num" w:pos="225"/>
      </w:pPr>
      <w:rPr>
        <w:rFonts w:ascii="Times New Roman" w:hAnsi="Times New Roman" w:cs="Times New Roman" w:eastAsia="Times New Roman"/>
        <w:sz w:val="24"/>
      </w:rPr>
    </w:lvl>
    <w:lvl w:ilvl="1">
      <w:numFmt w:val="decimal"/>
      <w:lvlText w:val="%1.%2"/>
      <w:lvlJc w:val="left"/>
      <w:start w:val="1"/>
      <w:pPr>
        <w:ind w:left="225" w:firstLine="0"/>
        <w:tab w:val="num" w:pos="225"/>
      </w:pPr>
      <w:rPr>
        <w:rFonts w:ascii="Times New Roman" w:hAnsi="Times New Roman" w:cs="Times New Roman" w:eastAsia="Times New Roman"/>
        <w:b/>
      </w:rPr>
    </w:lvl>
    <w:lvl w:ilvl="2">
      <w:numFmt w:val="bullet"/>
      <w:lvlText w:val="•"/>
      <w:lvlJc w:val="left"/>
      <w:pPr>
        <w:ind w:left="2250" w:hanging="330"/>
        <w:tab w:val="num" w:pos="2250"/>
      </w:pPr>
      <w:rPr>
        <w:rFonts w:ascii="Times New Roman" w:hAnsi="Times New Roman" w:cs="Times New Roman" w:eastAsia="Times New Roman"/>
        <w:sz w:val="24"/>
      </w:rPr>
    </w:lvl>
    <w:lvl w:ilvl="3">
      <w:numFmt w:val="bullet"/>
      <w:lvlText w:val="•"/>
      <w:lvlJc w:val="left"/>
      <w:pPr>
        <w:ind w:left="3270" w:hanging="330"/>
        <w:tab w:val="num" w:pos="3270"/>
      </w:pPr>
      <w:rPr>
        <w:rFonts w:ascii="Times New Roman" w:hAnsi="Times New Roman" w:cs="Times New Roman" w:eastAsia="Times New Roman"/>
        <w:sz w:val="24"/>
      </w:rPr>
    </w:lvl>
    <w:lvl w:ilvl="4">
      <w:numFmt w:val="bullet"/>
      <w:lvlText w:val="•"/>
      <w:lvlJc w:val="left"/>
      <w:pPr>
        <w:ind w:left="4290" w:hanging="330"/>
        <w:tab w:val="num" w:pos="4290"/>
      </w:pPr>
      <w:rPr>
        <w:rFonts w:ascii="Times New Roman" w:hAnsi="Times New Roman" w:cs="Times New Roman" w:eastAsia="Times New Roman"/>
        <w:sz w:val="24"/>
      </w:rPr>
    </w:lvl>
    <w:lvl w:ilvl="5">
      <w:numFmt w:val="bullet"/>
      <w:lvlText w:val="•"/>
      <w:lvlJc w:val="left"/>
      <w:pPr>
        <w:ind w:left="5310" w:hanging="330"/>
        <w:tab w:val="num" w:pos="5310"/>
      </w:pPr>
      <w:rPr>
        <w:rFonts w:ascii="Times New Roman" w:hAnsi="Times New Roman" w:cs="Times New Roman" w:eastAsia="Times New Roman"/>
        <w:sz w:val="24"/>
      </w:rPr>
    </w:lvl>
    <w:lvl w:ilvl="6">
      <w:numFmt w:val="bullet"/>
      <w:lvlText w:val="•"/>
      <w:lvlJc w:val="left"/>
      <w:pPr>
        <w:ind w:left="6330" w:hanging="330"/>
        <w:tab w:val="num" w:pos="6330"/>
      </w:pPr>
      <w:rPr>
        <w:rFonts w:ascii="Times New Roman" w:hAnsi="Times New Roman" w:cs="Times New Roman" w:eastAsia="Times New Roman"/>
        <w:sz w:val="24"/>
      </w:rPr>
    </w:lvl>
    <w:lvl w:ilvl="7">
      <w:numFmt w:val="bullet"/>
      <w:lvlText w:val="•"/>
      <w:lvlJc w:val="left"/>
      <w:pPr>
        <w:ind w:left="7350" w:hanging="330"/>
        <w:tab w:val="num" w:pos="7350"/>
      </w:pPr>
      <w:rPr>
        <w:rFonts w:ascii="Times New Roman" w:hAnsi="Times New Roman" w:cs="Times New Roman" w:eastAsia="Times New Roman"/>
        <w:sz w:val="24"/>
      </w:rPr>
    </w:lvl>
    <w:lvl w:ilvl="8">
      <w:numFmt w:val="bullet"/>
      <w:lvlText w:val="•"/>
      <w:lvlJc w:val="left"/>
      <w:pPr>
        <w:ind w:left="8370" w:hanging="330"/>
        <w:tab w:val="num" w:pos="8370"/>
      </w:pPr>
      <w:rPr>
        <w:rFonts w:ascii="Times New Roman" w:hAnsi="Times New Roman" w:cs="Times New Roman" w:eastAsia="Times New Roman"/>
        <w:sz w:val="24"/>
      </w:rPr>
    </w:lvl>
  </w:abstractNum>
  <w:abstractNum w:abstractNumId="6">
    <w:multiLevelType w:val="hybridMultilevel"/>
    <w:lvl w:ilvl="0">
      <w:numFmt w:val="decimal"/>
      <w:lvlText w:val="%1"/>
      <w:lvlJc w:val="left"/>
      <w:start w:val="11"/>
      <w:pPr>
        <w:ind w:left="165" w:hanging="465"/>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2700" w:hanging="585"/>
        <w:tab w:val="num" w:pos="2700"/>
      </w:pPr>
      <w:rPr>
        <w:rFonts w:ascii="Times New Roman" w:hAnsi="Times New Roman" w:cs="Times New Roman" w:eastAsia="Times New Roman"/>
        <w:sz w:val="24"/>
      </w:rPr>
    </w:lvl>
    <w:lvl w:ilvl="4">
      <w:numFmt w:val="bullet"/>
      <w:lvlText w:val="•"/>
      <w:lvlJc w:val="left"/>
      <w:pPr>
        <w:ind w:left="3795" w:hanging="585"/>
        <w:tab w:val="num" w:pos="3795"/>
      </w:pPr>
      <w:rPr>
        <w:rFonts w:ascii="Times New Roman" w:hAnsi="Times New Roman" w:cs="Times New Roman" w:eastAsia="Times New Roman"/>
        <w:sz w:val="24"/>
      </w:rPr>
    </w:lvl>
    <w:lvl w:ilvl="5">
      <w:numFmt w:val="bullet"/>
      <w:lvlText w:val="•"/>
      <w:lvlJc w:val="left"/>
      <w:pPr>
        <w:ind w:left="4905" w:hanging="585"/>
        <w:tab w:val="num" w:pos="4905"/>
      </w:pPr>
      <w:rPr>
        <w:rFonts w:ascii="Times New Roman" w:hAnsi="Times New Roman" w:cs="Times New Roman" w:eastAsia="Times New Roman"/>
        <w:sz w:val="24"/>
      </w:rPr>
    </w:lvl>
    <w:lvl w:ilvl="6">
      <w:numFmt w:val="bullet"/>
      <w:lvlText w:val="•"/>
      <w:lvlJc w:val="left"/>
      <w:pPr>
        <w:ind w:left="6000" w:hanging="585"/>
        <w:tab w:val="num" w:pos="6000"/>
      </w:pPr>
      <w:rPr>
        <w:rFonts w:ascii="Times New Roman" w:hAnsi="Times New Roman" w:cs="Times New Roman" w:eastAsia="Times New Roman"/>
        <w:sz w:val="24"/>
      </w:rPr>
    </w:lvl>
    <w:lvl w:ilvl="7">
      <w:numFmt w:val="bullet"/>
      <w:lvlText w:val="•"/>
      <w:lvlJc w:val="left"/>
      <w:pPr>
        <w:ind w:left="7110" w:hanging="585"/>
        <w:tab w:val="num" w:pos="7110"/>
      </w:pPr>
      <w:rPr>
        <w:rFonts w:ascii="Times New Roman" w:hAnsi="Times New Roman" w:cs="Times New Roman" w:eastAsia="Times New Roman"/>
        <w:sz w:val="24"/>
      </w:rPr>
    </w:lvl>
    <w:lvl w:ilvl="8">
      <w:numFmt w:val="bullet"/>
      <w:lvlText w:val="•"/>
      <w:lvlJc w:val="left"/>
      <w:pPr>
        <w:ind w:left="8205" w:hanging="585"/>
        <w:tab w:val="num" w:pos="8205"/>
      </w:pPr>
      <w:rPr>
        <w:rFonts w:ascii="Times New Roman" w:hAnsi="Times New Roman" w:cs="Times New Roman" w:eastAsia="Times New Roman"/>
        <w:sz w:val="24"/>
      </w:rPr>
    </w:lvl>
  </w:abstractNum>
  <w:abstractNum w:abstractNumId="7">
    <w:multiLevelType w:val="hybridMultilevel"/>
    <w:lvl w:ilvl="0">
      <w:numFmt w:val="decimal"/>
      <w:lvlText w:val="%1"/>
      <w:lvlJc w:val="left"/>
      <w:start w:val="13"/>
      <w:pPr>
        <w:ind w:left="1065" w:hanging="630"/>
        <w:tab w:val="num" w:pos="1065"/>
      </w:pPr>
      <w:rPr>
        <w:rFonts w:ascii="Times New Roman" w:hAnsi="Times New Roman" w:cs="Times New Roman" w:eastAsia="Times New Roman"/>
        <w:sz w:val="24"/>
      </w:rPr>
    </w:lvl>
    <w:lvl w:ilvl="1">
      <w:numFmt w:val="decimal"/>
      <w:lvlText w:val="%1.%2"/>
      <w:lvlJc w:val="left"/>
      <w:start w:val="4"/>
      <w:pPr>
        <w:ind w:left="1065" w:hanging="630"/>
        <w:tab w:val="num" w:pos="1065"/>
      </w:pPr>
      <w:rPr>
        <w:rFonts w:ascii="Times New Roman" w:hAnsi="Times New Roman" w:cs="Times New Roman" w:eastAsia="Times New Roman"/>
        <w:sz w:val="24"/>
      </w:rPr>
    </w:lvl>
    <w:lvl w:ilvl="2">
      <w:numFmt w:val="decimal"/>
      <w:lvlText w:val="%1.%2.%3"/>
      <w:lvlJc w:val="left"/>
      <w:start w:val="1"/>
      <w:pPr>
        <w:ind w:left="1065" w:firstLine="0"/>
        <w:tab w:val="num" w:pos="1065"/>
      </w:pPr>
      <w:rPr>
        <w:rFonts w:ascii="Times New Roman" w:hAnsi="Times New Roman" w:cs="Times New Roman" w:eastAsia="Times New Roman"/>
        <w:b/>
      </w:rPr>
    </w:lvl>
    <w:lvl w:ilvl="3">
      <w:numFmt w:val="bullet"/>
      <w:lvlText w:val="•"/>
      <w:lvlJc w:val="left"/>
      <w:pPr>
        <w:ind w:left="3870" w:hanging="630"/>
        <w:tab w:val="num" w:pos="3870"/>
      </w:pPr>
      <w:rPr>
        <w:rFonts w:ascii="Times New Roman" w:hAnsi="Times New Roman" w:cs="Times New Roman" w:eastAsia="Times New Roman"/>
        <w:sz w:val="24"/>
      </w:rPr>
    </w:lvl>
    <w:lvl w:ilvl="4">
      <w:numFmt w:val="bullet"/>
      <w:lvlText w:val="•"/>
      <w:lvlJc w:val="left"/>
      <w:pPr>
        <w:ind w:left="4800" w:hanging="630"/>
        <w:tab w:val="num" w:pos="4800"/>
      </w:pPr>
      <w:rPr>
        <w:rFonts w:ascii="Times New Roman" w:hAnsi="Times New Roman" w:cs="Times New Roman" w:eastAsia="Times New Roman"/>
        <w:sz w:val="24"/>
      </w:rPr>
    </w:lvl>
    <w:lvl w:ilvl="5">
      <w:numFmt w:val="bullet"/>
      <w:lvlText w:val="•"/>
      <w:lvlJc w:val="left"/>
      <w:pPr>
        <w:ind w:left="5730" w:hanging="630"/>
        <w:tab w:val="num" w:pos="5730"/>
      </w:pPr>
      <w:rPr>
        <w:rFonts w:ascii="Times New Roman" w:hAnsi="Times New Roman" w:cs="Times New Roman" w:eastAsia="Times New Roman"/>
        <w:sz w:val="24"/>
      </w:rPr>
    </w:lvl>
    <w:lvl w:ilvl="6">
      <w:numFmt w:val="bullet"/>
      <w:lvlText w:val="•"/>
      <w:lvlJc w:val="left"/>
      <w:pPr>
        <w:ind w:left="6660" w:hanging="630"/>
        <w:tab w:val="num" w:pos="6660"/>
      </w:pPr>
      <w:rPr>
        <w:rFonts w:ascii="Times New Roman" w:hAnsi="Times New Roman" w:cs="Times New Roman" w:eastAsia="Times New Roman"/>
        <w:sz w:val="24"/>
      </w:rPr>
    </w:lvl>
    <w:lvl w:ilvl="7">
      <w:numFmt w:val="bullet"/>
      <w:lvlText w:val="•"/>
      <w:lvlJc w:val="left"/>
      <w:pPr>
        <w:ind w:left="7605" w:hanging="630"/>
        <w:tab w:val="num" w:pos="7605"/>
      </w:pPr>
      <w:rPr>
        <w:rFonts w:ascii="Times New Roman" w:hAnsi="Times New Roman" w:cs="Times New Roman" w:eastAsia="Times New Roman"/>
        <w:sz w:val="24"/>
      </w:rPr>
    </w:lvl>
    <w:lvl w:ilvl="8">
      <w:numFmt w:val="bullet"/>
      <w:lvlText w:val="•"/>
      <w:lvlJc w:val="left"/>
      <w:pPr>
        <w:ind w:left="8535" w:hanging="630"/>
        <w:tab w:val="num" w:pos="8535"/>
      </w:pPr>
      <w:rPr>
        <w:rFonts w:ascii="Times New Roman" w:hAnsi="Times New Roman" w:cs="Times New Roman" w:eastAsia="Times New Roman"/>
        <w:sz w:val="24"/>
      </w:rPr>
    </w:lvl>
  </w:abstractNum>
  <w:abstractNum w:abstractNumId="8">
    <w:multiLevelType w:val="hybridMultilevel"/>
    <w:lvl w:ilvl="0">
      <w:numFmt w:val="decimal"/>
      <w:lvlText w:val="%1"/>
      <w:lvlJc w:val="left"/>
      <w:start w:val="4"/>
      <w:pPr>
        <w:ind w:left="165" w:hanging="330"/>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decimal"/>
      <w:lvlText w:val="%1.%2.%3"/>
      <w:lvlJc w:val="left"/>
      <w:start w:val="1"/>
      <w:pPr>
        <w:ind w:left="975" w:hanging="480"/>
        <w:tab w:val="num" w:pos="975"/>
      </w:pPr>
      <w:rPr>
        <w:rFonts w:ascii="Times New Roman" w:hAnsi="Times New Roman" w:cs="Times New Roman" w:eastAsia="Times New Roman"/>
        <w:b/>
      </w:rPr>
    </w:lvl>
    <w:lvl w:ilvl="3">
      <w:numFmt w:val="bullet"/>
      <w:lvlText w:val="•"/>
      <w:lvlJc w:val="left"/>
      <w:pPr>
        <w:ind w:left="2160" w:hanging="480"/>
        <w:tab w:val="num" w:pos="2160"/>
      </w:pPr>
      <w:rPr>
        <w:rFonts w:ascii="Times New Roman" w:hAnsi="Times New Roman" w:cs="Times New Roman" w:eastAsia="Times New Roman"/>
        <w:sz w:val="24"/>
      </w:rPr>
    </w:lvl>
    <w:lvl w:ilvl="4">
      <w:numFmt w:val="bullet"/>
      <w:lvlText w:val="•"/>
      <w:lvlJc w:val="left"/>
      <w:pPr>
        <w:ind w:left="3330" w:hanging="480"/>
        <w:tab w:val="num" w:pos="3330"/>
      </w:pPr>
      <w:rPr>
        <w:rFonts w:ascii="Times New Roman" w:hAnsi="Times New Roman" w:cs="Times New Roman" w:eastAsia="Times New Roman"/>
        <w:sz w:val="24"/>
      </w:rPr>
    </w:lvl>
    <w:lvl w:ilvl="5">
      <w:numFmt w:val="bullet"/>
      <w:lvlText w:val="•"/>
      <w:lvlJc w:val="left"/>
      <w:pPr>
        <w:ind w:left="4515" w:hanging="480"/>
        <w:tab w:val="num" w:pos="4515"/>
      </w:pPr>
      <w:rPr>
        <w:rFonts w:ascii="Times New Roman" w:hAnsi="Times New Roman" w:cs="Times New Roman" w:eastAsia="Times New Roman"/>
        <w:sz w:val="24"/>
      </w:rPr>
    </w:lvl>
    <w:lvl w:ilvl="6">
      <w:numFmt w:val="bullet"/>
      <w:lvlText w:val="•"/>
      <w:lvlJc w:val="left"/>
      <w:pPr>
        <w:ind w:left="5700" w:hanging="480"/>
        <w:tab w:val="num" w:pos="5700"/>
      </w:pPr>
      <w:rPr>
        <w:rFonts w:ascii="Times New Roman" w:hAnsi="Times New Roman" w:cs="Times New Roman" w:eastAsia="Times New Roman"/>
        <w:sz w:val="24"/>
      </w:rPr>
    </w:lvl>
    <w:lvl w:ilvl="7">
      <w:numFmt w:val="bullet"/>
      <w:lvlText w:val="•"/>
      <w:lvlJc w:val="left"/>
      <w:pPr>
        <w:ind w:left="6870" w:hanging="480"/>
        <w:tab w:val="num" w:pos="6870"/>
      </w:pPr>
      <w:rPr>
        <w:rFonts w:ascii="Times New Roman" w:hAnsi="Times New Roman" w:cs="Times New Roman" w:eastAsia="Times New Roman"/>
        <w:sz w:val="24"/>
      </w:rPr>
    </w:lvl>
    <w:lvl w:ilvl="8">
      <w:numFmt w:val="bullet"/>
      <w:lvlText w:val="•"/>
      <w:lvlJc w:val="left"/>
      <w:pPr>
        <w:ind w:left="8055" w:hanging="480"/>
        <w:tab w:val="num" w:pos="8055"/>
      </w:pPr>
      <w:rPr>
        <w:rFonts w:ascii="Times New Roman" w:hAnsi="Times New Roman" w:cs="Times New Roman" w:eastAsia="Times New Roman"/>
        <w:sz w:val="24"/>
      </w:rPr>
    </w:lvl>
  </w:abstractNum>
  <w:abstractNum w:abstractNumId="9">
    <w:multiLevelType w:val="hybridMultilevel"/>
    <w:lvl w:ilvl="0">
      <w:numFmt w:val="upperRoman"/>
      <w:lvlText w:val="%1"/>
      <w:lvlJc w:val="left"/>
      <w:start w:val="1"/>
      <w:pPr>
        <w:ind w:left="270" w:hanging="105"/>
        <w:tab w:val="num" w:pos="270"/>
      </w:pPr>
      <w:rPr>
        <w:rFonts w:ascii="Arial MT" w:hAnsi="Arial MT" w:cs="Arial MT" w:eastAsia="Arial MT"/>
      </w:rPr>
    </w:lvl>
    <w:lvl w:ilvl="1">
      <w:numFmt w:val="lowerLetter"/>
      <w:lvlText w:val="%2)"/>
      <w:lvlJc w:val="left"/>
      <w:start w:val="1"/>
      <w:pPr>
        <w:ind w:left="720" w:hanging="225"/>
        <w:tab w:val="num" w:pos="720"/>
      </w:pPr>
      <w:rPr>
        <w:rFonts w:ascii="Arial MT" w:hAnsi="Arial MT" w:cs="Arial MT" w:eastAsia="Arial MT"/>
      </w:rPr>
    </w:lvl>
    <w:lvl w:ilvl="2">
      <w:numFmt w:val="decimal"/>
      <w:lvlText w:val="%3."/>
      <w:lvlJc w:val="left"/>
      <w:start w:val="1"/>
      <w:pPr>
        <w:ind w:left="675" w:firstLine="0"/>
        <w:tab w:val="num" w:pos="675"/>
      </w:pPr>
      <w:rPr>
        <w:rFonts w:ascii="Arial MT" w:hAnsi="Arial MT" w:cs="Arial MT" w:eastAsia="Arial MT"/>
      </w:rPr>
    </w:lvl>
    <w:lvl w:ilvl="3">
      <w:numFmt w:val="decimal"/>
      <w:lvlText w:val="%3.%4"/>
      <w:lvlJc w:val="left"/>
      <w:start w:val="1"/>
      <w:pPr>
        <w:ind w:left="900" w:firstLine="0"/>
        <w:tab w:val="num" w:pos="900"/>
      </w:pPr>
      <w:rPr>
        <w:rFonts w:ascii="Arial MT" w:hAnsi="Arial MT" w:cs="Arial MT" w:eastAsia="Arial MT"/>
      </w:rPr>
    </w:lvl>
    <w:lvl w:ilvl="4">
      <w:numFmt w:val="bullet"/>
      <w:lvlText w:val="•"/>
      <w:lvlJc w:val="left"/>
      <w:pPr>
        <w:ind w:left="900" w:hanging="360"/>
        <w:tab w:val="num" w:pos="900"/>
      </w:pPr>
      <w:rPr>
        <w:rFonts w:ascii="Times New Roman" w:hAnsi="Times New Roman" w:cs="Times New Roman" w:eastAsia="Times New Roman"/>
        <w:sz w:val="24"/>
      </w:rPr>
    </w:lvl>
    <w:lvl w:ilvl="5">
      <w:numFmt w:val="bullet"/>
      <w:lvlText w:val="•"/>
      <w:lvlJc w:val="left"/>
      <w:pPr>
        <w:ind w:left="2490" w:hanging="360"/>
        <w:tab w:val="num" w:pos="2490"/>
      </w:pPr>
      <w:rPr>
        <w:rFonts w:ascii="Times New Roman" w:hAnsi="Times New Roman" w:cs="Times New Roman" w:eastAsia="Times New Roman"/>
        <w:sz w:val="24"/>
      </w:rPr>
    </w:lvl>
    <w:lvl w:ilvl="6">
      <w:numFmt w:val="bullet"/>
      <w:lvlText w:val="•"/>
      <w:lvlJc w:val="left"/>
      <w:pPr>
        <w:ind w:left="4065" w:hanging="360"/>
        <w:tab w:val="num" w:pos="4065"/>
      </w:pPr>
      <w:rPr>
        <w:rFonts w:ascii="Times New Roman" w:hAnsi="Times New Roman" w:cs="Times New Roman" w:eastAsia="Times New Roman"/>
        <w:sz w:val="24"/>
      </w:rPr>
    </w:lvl>
    <w:lvl w:ilvl="7">
      <w:numFmt w:val="bullet"/>
      <w:lvlText w:val="•"/>
      <w:lvlJc w:val="left"/>
      <w:pPr>
        <w:ind w:left="5655" w:hanging="360"/>
        <w:tab w:val="num" w:pos="5655"/>
      </w:pPr>
      <w:rPr>
        <w:rFonts w:ascii="Times New Roman" w:hAnsi="Times New Roman" w:cs="Times New Roman" w:eastAsia="Times New Roman"/>
        <w:sz w:val="24"/>
      </w:rPr>
    </w:lvl>
    <w:lvl w:ilvl="8">
      <w:numFmt w:val="bullet"/>
      <w:lvlText w:val="•"/>
      <w:lvlJc w:val="left"/>
      <w:pPr>
        <w:ind w:left="7230" w:hanging="360"/>
        <w:tab w:val="num" w:pos="7230"/>
      </w:pPr>
      <w:rPr>
        <w:rFonts w:ascii="Times New Roman" w:hAnsi="Times New Roman" w:cs="Times New Roman" w:eastAsia="Times New Roman"/>
        <w:sz w:val="24"/>
      </w:rPr>
    </w:lvl>
  </w:abstractNum>
  <w:abstractNum w:abstractNumId="10">
    <w:multiLevelType w:val="hybridMultilevel"/>
    <w:lvl w:ilvl="0">
      <w:numFmt w:val="upperRoman"/>
      <w:lvlText w:val="%1"/>
      <w:lvlJc w:val="left"/>
      <w:start w:val="1"/>
      <w:pPr>
        <w:ind w:left="165" w:firstLine="0"/>
        <w:tab w:val="num" w:pos="165"/>
      </w:pPr>
      <w:rPr>
        <w:rFonts w:ascii="Arial MT" w:hAnsi="Arial MT" w:cs="Arial MT" w:eastAsia="Arial MT"/>
      </w:rPr>
    </w:lvl>
    <w:lvl w:ilvl="1">
      <w:numFmt w:val="lowerLetter"/>
      <w:lvlText w:val="%2)"/>
      <w:lvlJc w:val="left"/>
      <w:start w:val="1"/>
      <w:pPr>
        <w:ind w:left="495" w:firstLine="0"/>
        <w:tab w:val="num" w:pos="495"/>
      </w:pPr>
      <w:rPr>
        <w:rFonts w:ascii="Arial MT" w:hAnsi="Arial MT" w:cs="Arial MT" w:eastAsia="Arial MT"/>
      </w:rPr>
    </w:lvl>
    <w:lvl w:ilvl="2">
      <w:numFmt w:val="bullet"/>
      <w:lvlText w:val="•"/>
      <w:lvlJc w:val="left"/>
      <w:pPr>
        <w:ind w:left="1605" w:hanging="270"/>
        <w:tab w:val="num" w:pos="1605"/>
      </w:pPr>
      <w:rPr>
        <w:rFonts w:ascii="Times New Roman" w:hAnsi="Times New Roman" w:cs="Times New Roman" w:eastAsia="Times New Roman"/>
        <w:sz w:val="24"/>
      </w:rPr>
    </w:lvl>
    <w:lvl w:ilvl="3">
      <w:numFmt w:val="bullet"/>
      <w:lvlText w:val="•"/>
      <w:lvlJc w:val="left"/>
      <w:pPr>
        <w:ind w:left="2700" w:hanging="270"/>
        <w:tab w:val="num" w:pos="2700"/>
      </w:pPr>
      <w:rPr>
        <w:rFonts w:ascii="Times New Roman" w:hAnsi="Times New Roman" w:cs="Times New Roman" w:eastAsia="Times New Roman"/>
        <w:sz w:val="24"/>
      </w:rPr>
    </w:lvl>
    <w:lvl w:ilvl="4">
      <w:numFmt w:val="bullet"/>
      <w:lvlText w:val="•"/>
      <w:lvlJc w:val="left"/>
      <w:pPr>
        <w:ind w:left="3795" w:hanging="270"/>
        <w:tab w:val="num" w:pos="3795"/>
      </w:pPr>
      <w:rPr>
        <w:rFonts w:ascii="Times New Roman" w:hAnsi="Times New Roman" w:cs="Times New Roman" w:eastAsia="Times New Roman"/>
        <w:sz w:val="24"/>
      </w:rPr>
    </w:lvl>
    <w:lvl w:ilvl="5">
      <w:numFmt w:val="bullet"/>
      <w:lvlText w:val="•"/>
      <w:lvlJc w:val="left"/>
      <w:pPr>
        <w:ind w:left="4905" w:hanging="270"/>
        <w:tab w:val="num" w:pos="4905"/>
      </w:pPr>
      <w:rPr>
        <w:rFonts w:ascii="Times New Roman" w:hAnsi="Times New Roman" w:cs="Times New Roman" w:eastAsia="Times New Roman"/>
        <w:sz w:val="24"/>
      </w:rPr>
    </w:lvl>
    <w:lvl w:ilvl="6">
      <w:numFmt w:val="bullet"/>
      <w:lvlText w:val="•"/>
      <w:lvlJc w:val="left"/>
      <w:pPr>
        <w:ind w:left="6000" w:hanging="270"/>
        <w:tab w:val="num" w:pos="6000"/>
      </w:pPr>
      <w:rPr>
        <w:rFonts w:ascii="Times New Roman" w:hAnsi="Times New Roman" w:cs="Times New Roman" w:eastAsia="Times New Roman"/>
        <w:sz w:val="24"/>
      </w:rPr>
    </w:lvl>
    <w:lvl w:ilvl="7">
      <w:numFmt w:val="bullet"/>
      <w:lvlText w:val="•"/>
      <w:lvlJc w:val="left"/>
      <w:pPr>
        <w:ind w:left="7110" w:hanging="270"/>
        <w:tab w:val="num" w:pos="7110"/>
      </w:pPr>
      <w:rPr>
        <w:rFonts w:ascii="Times New Roman" w:hAnsi="Times New Roman" w:cs="Times New Roman" w:eastAsia="Times New Roman"/>
        <w:sz w:val="24"/>
      </w:rPr>
    </w:lvl>
    <w:lvl w:ilvl="8">
      <w:numFmt w:val="bullet"/>
      <w:lvlText w:val="•"/>
      <w:lvlJc w:val="left"/>
      <w:pPr>
        <w:ind w:left="8205" w:hanging="270"/>
        <w:tab w:val="num" w:pos="8205"/>
      </w:pPr>
      <w:rPr>
        <w:rFonts w:ascii="Times New Roman" w:hAnsi="Times New Roman" w:cs="Times New Roman" w:eastAsia="Times New Roman"/>
        <w:sz w:val="24"/>
      </w:rPr>
    </w:lvl>
  </w:abstractNum>
  <w:abstractNum w:abstractNumId="11">
    <w:multiLevelType w:val="hybridMultilevel"/>
    <w:lvl w:ilvl="0">
      <w:numFmt w:val="decimal"/>
      <w:lvlText w:val="%1"/>
      <w:lvlJc w:val="left"/>
      <w:start w:val="1"/>
      <w:pPr>
        <w:ind w:left="225" w:hanging="345"/>
        <w:tab w:val="num" w:pos="225"/>
      </w:pPr>
      <w:rPr>
        <w:rFonts w:ascii="Times New Roman" w:hAnsi="Times New Roman" w:cs="Times New Roman" w:eastAsia="Times New Roman"/>
        <w:sz w:val="24"/>
      </w:rPr>
    </w:lvl>
    <w:lvl w:ilvl="1">
      <w:numFmt w:val="decimal"/>
      <w:lvlText w:val="%1.%2"/>
      <w:lvlJc w:val="left"/>
      <w:start w:val="1"/>
      <w:pPr>
        <w:ind w:left="225" w:firstLine="0"/>
        <w:tab w:val="num" w:pos="225"/>
      </w:pPr>
      <w:rPr>
        <w:rFonts w:ascii="Times New Roman" w:hAnsi="Times New Roman" w:cs="Times New Roman" w:eastAsia="Times New Roman"/>
        <w:b/>
      </w:rPr>
    </w:lvl>
    <w:lvl w:ilvl="2">
      <w:numFmt w:val="bullet"/>
      <w:lvlText w:val="•"/>
      <w:lvlJc w:val="left"/>
      <w:pPr>
        <w:ind w:left="2250" w:hanging="345"/>
        <w:tab w:val="num" w:pos="2250"/>
      </w:pPr>
      <w:rPr>
        <w:rFonts w:ascii="Times New Roman" w:hAnsi="Times New Roman" w:cs="Times New Roman" w:eastAsia="Times New Roman"/>
        <w:sz w:val="24"/>
      </w:rPr>
    </w:lvl>
    <w:lvl w:ilvl="3">
      <w:numFmt w:val="bullet"/>
      <w:lvlText w:val="•"/>
      <w:lvlJc w:val="left"/>
      <w:pPr>
        <w:ind w:left="3270" w:hanging="345"/>
        <w:tab w:val="num" w:pos="3270"/>
      </w:pPr>
      <w:rPr>
        <w:rFonts w:ascii="Times New Roman" w:hAnsi="Times New Roman" w:cs="Times New Roman" w:eastAsia="Times New Roman"/>
        <w:sz w:val="24"/>
      </w:rPr>
    </w:lvl>
    <w:lvl w:ilvl="4">
      <w:numFmt w:val="bullet"/>
      <w:lvlText w:val="•"/>
      <w:lvlJc w:val="left"/>
      <w:pPr>
        <w:ind w:left="4290" w:hanging="345"/>
        <w:tab w:val="num" w:pos="4290"/>
      </w:pPr>
      <w:rPr>
        <w:rFonts w:ascii="Times New Roman" w:hAnsi="Times New Roman" w:cs="Times New Roman" w:eastAsia="Times New Roman"/>
        <w:sz w:val="24"/>
      </w:rPr>
    </w:lvl>
    <w:lvl w:ilvl="5">
      <w:numFmt w:val="bullet"/>
      <w:lvlText w:val="•"/>
      <w:lvlJc w:val="left"/>
      <w:pPr>
        <w:ind w:left="5310" w:hanging="345"/>
        <w:tab w:val="num" w:pos="5310"/>
      </w:pPr>
      <w:rPr>
        <w:rFonts w:ascii="Times New Roman" w:hAnsi="Times New Roman" w:cs="Times New Roman" w:eastAsia="Times New Roman"/>
        <w:sz w:val="24"/>
      </w:rPr>
    </w:lvl>
    <w:lvl w:ilvl="6">
      <w:numFmt w:val="bullet"/>
      <w:lvlText w:val="•"/>
      <w:lvlJc w:val="left"/>
      <w:pPr>
        <w:ind w:left="6330" w:hanging="345"/>
        <w:tab w:val="num" w:pos="6330"/>
      </w:pPr>
      <w:rPr>
        <w:rFonts w:ascii="Times New Roman" w:hAnsi="Times New Roman" w:cs="Times New Roman" w:eastAsia="Times New Roman"/>
        <w:sz w:val="24"/>
      </w:rPr>
    </w:lvl>
    <w:lvl w:ilvl="7">
      <w:numFmt w:val="bullet"/>
      <w:lvlText w:val="•"/>
      <w:lvlJc w:val="left"/>
      <w:pPr>
        <w:ind w:left="7350" w:hanging="345"/>
        <w:tab w:val="num" w:pos="7350"/>
      </w:pPr>
      <w:rPr>
        <w:rFonts w:ascii="Times New Roman" w:hAnsi="Times New Roman" w:cs="Times New Roman" w:eastAsia="Times New Roman"/>
        <w:sz w:val="24"/>
      </w:rPr>
    </w:lvl>
    <w:lvl w:ilvl="8">
      <w:numFmt w:val="bullet"/>
      <w:lvlText w:val="•"/>
      <w:lvlJc w:val="left"/>
      <w:pPr>
        <w:ind w:left="8370" w:hanging="345"/>
        <w:tab w:val="num" w:pos="8370"/>
      </w:pPr>
      <w:rPr>
        <w:rFonts w:ascii="Times New Roman" w:hAnsi="Times New Roman" w:cs="Times New Roman" w:eastAsia="Times New Roman"/>
        <w:sz w:val="24"/>
      </w:rPr>
    </w:lvl>
  </w:abstractNum>
  <w:abstractNum w:abstractNumId="12">
    <w:multiLevelType w:val="hybridMultilevel"/>
    <w:lvl w:ilvl="0">
      <w:numFmt w:val="decimal"/>
      <w:lvlText w:val="%1"/>
      <w:lvlJc w:val="left"/>
      <w:start w:val="3"/>
      <w:pPr>
        <w:ind w:left="165" w:hanging="330"/>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decimal"/>
      <w:lvlText w:val="%1.%2.%3.%4"/>
      <w:lvlJc w:val="left"/>
      <w:start w:val="1"/>
      <w:pPr>
        <w:ind w:left="1065" w:firstLine="0"/>
        <w:tab w:val="num" w:pos="1065"/>
      </w:pPr>
      <w:rPr>
        <w:rFonts w:ascii="Times New Roman" w:hAnsi="Times New Roman" w:cs="Times New Roman" w:eastAsia="Times New Roman"/>
        <w:b/>
      </w:rPr>
    </w:lvl>
    <w:lvl w:ilvl="4">
      <w:numFmt w:val="bullet"/>
      <w:lvlText w:val="•"/>
      <w:lvlJc w:val="left"/>
      <w:pPr>
        <w:ind w:left="3390" w:hanging="735"/>
        <w:tab w:val="num" w:pos="3390"/>
      </w:pPr>
      <w:rPr>
        <w:rFonts w:ascii="Times New Roman" w:hAnsi="Times New Roman" w:cs="Times New Roman" w:eastAsia="Times New Roman"/>
        <w:sz w:val="24"/>
      </w:rPr>
    </w:lvl>
    <w:lvl w:ilvl="5">
      <w:numFmt w:val="bullet"/>
      <w:lvlText w:val="•"/>
      <w:lvlJc w:val="left"/>
      <w:pPr>
        <w:ind w:left="4560" w:hanging="735"/>
        <w:tab w:val="num" w:pos="4560"/>
      </w:pPr>
      <w:rPr>
        <w:rFonts w:ascii="Times New Roman" w:hAnsi="Times New Roman" w:cs="Times New Roman" w:eastAsia="Times New Roman"/>
        <w:sz w:val="24"/>
      </w:rPr>
    </w:lvl>
    <w:lvl w:ilvl="6">
      <w:numFmt w:val="bullet"/>
      <w:lvlText w:val="•"/>
      <w:lvlJc w:val="left"/>
      <w:pPr>
        <w:ind w:left="5730" w:hanging="735"/>
        <w:tab w:val="num" w:pos="5730"/>
      </w:pPr>
      <w:rPr>
        <w:rFonts w:ascii="Times New Roman" w:hAnsi="Times New Roman" w:cs="Times New Roman" w:eastAsia="Times New Roman"/>
        <w:sz w:val="24"/>
      </w:rPr>
    </w:lvl>
    <w:lvl w:ilvl="7">
      <w:numFmt w:val="bullet"/>
      <w:lvlText w:val="•"/>
      <w:lvlJc w:val="left"/>
      <w:pPr>
        <w:ind w:left="6900" w:hanging="735"/>
        <w:tab w:val="num" w:pos="6900"/>
      </w:pPr>
      <w:rPr>
        <w:rFonts w:ascii="Times New Roman" w:hAnsi="Times New Roman" w:cs="Times New Roman" w:eastAsia="Times New Roman"/>
        <w:sz w:val="24"/>
      </w:rPr>
    </w:lvl>
    <w:lvl w:ilvl="8">
      <w:numFmt w:val="bullet"/>
      <w:lvlText w:val="•"/>
      <w:lvlJc w:val="left"/>
      <w:pPr>
        <w:ind w:left="8070" w:hanging="735"/>
        <w:tab w:val="num" w:pos="8070"/>
      </w:pPr>
      <w:rPr>
        <w:rFonts w:ascii="Times New Roman" w:hAnsi="Times New Roman" w:cs="Times New Roman" w:eastAsia="Times New Roman"/>
        <w:sz w:val="24"/>
      </w:rPr>
    </w:lvl>
  </w:abstractNum>
  <w:abstractNum w:abstractNumId="13">
    <w:multiLevelType w:val="hybridMultilevel"/>
    <w:lvl w:ilvl="0">
      <w:numFmt w:val="decimal"/>
      <w:lvlText w:val="%1"/>
      <w:lvlJc w:val="left"/>
      <w:start w:val="7"/>
      <w:pPr>
        <w:ind w:left="165" w:hanging="360"/>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2700" w:hanging="480"/>
        <w:tab w:val="num" w:pos="2700"/>
      </w:pPr>
      <w:rPr>
        <w:rFonts w:ascii="Times New Roman" w:hAnsi="Times New Roman" w:cs="Times New Roman" w:eastAsia="Times New Roman"/>
        <w:sz w:val="24"/>
      </w:rPr>
    </w:lvl>
    <w:lvl w:ilvl="4">
      <w:numFmt w:val="bullet"/>
      <w:lvlText w:val="•"/>
      <w:lvlJc w:val="left"/>
      <w:pPr>
        <w:ind w:left="3795" w:hanging="480"/>
        <w:tab w:val="num" w:pos="3795"/>
      </w:pPr>
      <w:rPr>
        <w:rFonts w:ascii="Times New Roman" w:hAnsi="Times New Roman" w:cs="Times New Roman" w:eastAsia="Times New Roman"/>
        <w:sz w:val="24"/>
      </w:rPr>
    </w:lvl>
    <w:lvl w:ilvl="5">
      <w:numFmt w:val="bullet"/>
      <w:lvlText w:val="•"/>
      <w:lvlJc w:val="left"/>
      <w:pPr>
        <w:ind w:left="4905" w:hanging="480"/>
        <w:tab w:val="num" w:pos="4905"/>
      </w:pPr>
      <w:rPr>
        <w:rFonts w:ascii="Times New Roman" w:hAnsi="Times New Roman" w:cs="Times New Roman" w:eastAsia="Times New Roman"/>
        <w:sz w:val="24"/>
      </w:rPr>
    </w:lvl>
    <w:lvl w:ilvl="6">
      <w:numFmt w:val="bullet"/>
      <w:lvlText w:val="•"/>
      <w:lvlJc w:val="left"/>
      <w:pPr>
        <w:ind w:left="6000" w:hanging="480"/>
        <w:tab w:val="num" w:pos="6000"/>
      </w:pPr>
      <w:rPr>
        <w:rFonts w:ascii="Times New Roman" w:hAnsi="Times New Roman" w:cs="Times New Roman" w:eastAsia="Times New Roman"/>
        <w:sz w:val="24"/>
      </w:rPr>
    </w:lvl>
    <w:lvl w:ilvl="7">
      <w:numFmt w:val="bullet"/>
      <w:lvlText w:val="•"/>
      <w:lvlJc w:val="left"/>
      <w:pPr>
        <w:ind w:left="7110" w:hanging="480"/>
        <w:tab w:val="num" w:pos="7110"/>
      </w:pPr>
      <w:rPr>
        <w:rFonts w:ascii="Times New Roman" w:hAnsi="Times New Roman" w:cs="Times New Roman" w:eastAsia="Times New Roman"/>
        <w:sz w:val="24"/>
      </w:rPr>
    </w:lvl>
    <w:lvl w:ilvl="8">
      <w:numFmt w:val="bullet"/>
      <w:lvlText w:val="•"/>
      <w:lvlJc w:val="left"/>
      <w:pPr>
        <w:ind w:left="8205" w:hanging="480"/>
        <w:tab w:val="num" w:pos="8205"/>
      </w:pPr>
      <w:rPr>
        <w:rFonts w:ascii="Times New Roman" w:hAnsi="Times New Roman" w:cs="Times New Roman" w:eastAsia="Times New Roman"/>
        <w:sz w:val="24"/>
      </w:rPr>
    </w:lvl>
  </w:abstractNum>
  <w:abstractNum w:abstractNumId="14">
    <w:multiLevelType w:val="hybridMultilevel"/>
    <w:lvl w:ilvl="0">
      <w:numFmt w:val="decimal"/>
      <w:lvlText w:val="%1"/>
      <w:lvlJc w:val="left"/>
      <w:start w:val="2"/>
      <w:pPr>
        <w:ind w:left="225" w:hanging="330"/>
        <w:tab w:val="num" w:pos="225"/>
      </w:pPr>
      <w:rPr>
        <w:rFonts w:ascii="Times New Roman" w:hAnsi="Times New Roman" w:cs="Times New Roman" w:eastAsia="Times New Roman"/>
        <w:sz w:val="24"/>
      </w:rPr>
    </w:lvl>
    <w:lvl w:ilvl="1">
      <w:numFmt w:val="decimal"/>
      <w:lvlText w:val="%1.%2"/>
      <w:lvlJc w:val="left"/>
      <w:start w:val="3"/>
      <w:pPr>
        <w:ind w:left="225" w:firstLine="0"/>
        <w:tab w:val="num" w:pos="22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lowerLetter"/>
      <w:lvlText w:val="%4)"/>
      <w:lvlJc w:val="left"/>
      <w:start w:val="1"/>
      <w:pPr>
        <w:ind w:left="780" w:firstLine="0"/>
        <w:tab w:val="num" w:pos="780"/>
      </w:pPr>
      <w:rPr>
        <w:rFonts w:ascii="Times New Roman" w:hAnsi="Times New Roman" w:cs="Times New Roman" w:eastAsia="Times New Roman"/>
        <w:b/>
      </w:rPr>
    </w:lvl>
    <w:lvl w:ilvl="4">
      <w:numFmt w:val="bullet"/>
      <w:lvlText w:val="•"/>
      <w:lvlJc w:val="left"/>
      <w:pPr>
        <w:ind w:left="2325" w:hanging="270"/>
        <w:tab w:val="num" w:pos="2325"/>
      </w:pPr>
      <w:rPr>
        <w:rFonts w:ascii="Times New Roman" w:hAnsi="Times New Roman" w:cs="Times New Roman" w:eastAsia="Times New Roman"/>
        <w:sz w:val="24"/>
      </w:rPr>
    </w:lvl>
    <w:lvl w:ilvl="5">
      <w:numFmt w:val="bullet"/>
      <w:lvlText w:val="•"/>
      <w:lvlJc w:val="left"/>
      <w:pPr>
        <w:ind w:left="3675" w:hanging="270"/>
        <w:tab w:val="num" w:pos="3675"/>
      </w:pPr>
      <w:rPr>
        <w:rFonts w:ascii="Times New Roman" w:hAnsi="Times New Roman" w:cs="Times New Roman" w:eastAsia="Times New Roman"/>
        <w:sz w:val="24"/>
      </w:rPr>
    </w:lvl>
    <w:lvl w:ilvl="6">
      <w:numFmt w:val="bullet"/>
      <w:lvlText w:val="•"/>
      <w:lvlJc w:val="left"/>
      <w:pPr>
        <w:ind w:left="5025" w:hanging="270"/>
        <w:tab w:val="num" w:pos="5025"/>
      </w:pPr>
      <w:rPr>
        <w:rFonts w:ascii="Times New Roman" w:hAnsi="Times New Roman" w:cs="Times New Roman" w:eastAsia="Times New Roman"/>
        <w:sz w:val="24"/>
      </w:rPr>
    </w:lvl>
    <w:lvl w:ilvl="7">
      <w:numFmt w:val="bullet"/>
      <w:lvlText w:val="•"/>
      <w:lvlJc w:val="left"/>
      <w:pPr>
        <w:ind w:left="6360" w:hanging="270"/>
        <w:tab w:val="num" w:pos="6360"/>
      </w:pPr>
      <w:rPr>
        <w:rFonts w:ascii="Times New Roman" w:hAnsi="Times New Roman" w:cs="Times New Roman" w:eastAsia="Times New Roman"/>
        <w:sz w:val="24"/>
      </w:rPr>
    </w:lvl>
    <w:lvl w:ilvl="8">
      <w:numFmt w:val="bullet"/>
      <w:lvlText w:val="•"/>
      <w:lvlJc w:val="left"/>
      <w:pPr>
        <w:ind w:left="7710" w:hanging="270"/>
        <w:tab w:val="num" w:pos="7710"/>
      </w:pPr>
      <w:rPr>
        <w:rFonts w:ascii="Times New Roman" w:hAnsi="Times New Roman" w:cs="Times New Roman" w:eastAsia="Times New Roman"/>
        <w:sz w:val="24"/>
      </w:rPr>
    </w:lvl>
  </w:abstractNum>
  <w:abstractNum w:abstractNumId="15">
    <w:multiLevelType w:val="hybridMultilevel"/>
    <w:lvl w:ilvl="0">
      <w:numFmt w:val="decimal"/>
      <w:lvlText w:val="%1"/>
      <w:lvlJc w:val="left"/>
      <w:start w:val="10"/>
      <w:pPr>
        <w:ind w:left="165" w:hanging="450"/>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bullet"/>
      <w:lvlText w:val="•"/>
      <w:lvlJc w:val="left"/>
      <w:pPr>
        <w:ind w:left="2205" w:hanging="450"/>
        <w:tab w:val="num" w:pos="2205"/>
      </w:pPr>
      <w:rPr>
        <w:rFonts w:ascii="Times New Roman" w:hAnsi="Times New Roman" w:cs="Times New Roman" w:eastAsia="Times New Roman"/>
        <w:sz w:val="24"/>
      </w:rPr>
    </w:lvl>
    <w:lvl w:ilvl="3">
      <w:numFmt w:val="bullet"/>
      <w:lvlText w:val="•"/>
      <w:lvlJc w:val="left"/>
      <w:pPr>
        <w:ind w:left="3240" w:hanging="450"/>
        <w:tab w:val="num" w:pos="3240"/>
      </w:pPr>
      <w:rPr>
        <w:rFonts w:ascii="Times New Roman" w:hAnsi="Times New Roman" w:cs="Times New Roman" w:eastAsia="Times New Roman"/>
        <w:sz w:val="24"/>
      </w:rPr>
    </w:lvl>
    <w:lvl w:ilvl="4">
      <w:numFmt w:val="bullet"/>
      <w:lvlText w:val="•"/>
      <w:lvlJc w:val="left"/>
      <w:pPr>
        <w:ind w:left="4260" w:hanging="450"/>
        <w:tab w:val="num" w:pos="4260"/>
      </w:pPr>
      <w:rPr>
        <w:rFonts w:ascii="Times New Roman" w:hAnsi="Times New Roman" w:cs="Times New Roman" w:eastAsia="Times New Roman"/>
        <w:sz w:val="24"/>
      </w:rPr>
    </w:lvl>
    <w:lvl w:ilvl="5">
      <w:numFmt w:val="bullet"/>
      <w:lvlText w:val="•"/>
      <w:lvlJc w:val="left"/>
      <w:pPr>
        <w:ind w:left="5280" w:hanging="450"/>
        <w:tab w:val="num" w:pos="5280"/>
      </w:pPr>
      <w:rPr>
        <w:rFonts w:ascii="Times New Roman" w:hAnsi="Times New Roman" w:cs="Times New Roman" w:eastAsia="Times New Roman"/>
        <w:sz w:val="24"/>
      </w:rPr>
    </w:lvl>
    <w:lvl w:ilvl="6">
      <w:numFmt w:val="bullet"/>
      <w:lvlText w:val="•"/>
      <w:lvlJc w:val="left"/>
      <w:pPr>
        <w:ind w:left="6300" w:hanging="450"/>
        <w:tab w:val="num" w:pos="6300"/>
      </w:pPr>
      <w:rPr>
        <w:rFonts w:ascii="Times New Roman" w:hAnsi="Times New Roman" w:cs="Times New Roman" w:eastAsia="Times New Roman"/>
        <w:sz w:val="24"/>
      </w:rPr>
    </w:lvl>
    <w:lvl w:ilvl="7">
      <w:numFmt w:val="bullet"/>
      <w:lvlText w:val="•"/>
      <w:lvlJc w:val="left"/>
      <w:pPr>
        <w:ind w:left="7335" w:hanging="450"/>
        <w:tab w:val="num" w:pos="7335"/>
      </w:pPr>
      <w:rPr>
        <w:rFonts w:ascii="Times New Roman" w:hAnsi="Times New Roman" w:cs="Times New Roman" w:eastAsia="Times New Roman"/>
        <w:sz w:val="24"/>
      </w:rPr>
    </w:lvl>
    <w:lvl w:ilvl="8">
      <w:numFmt w:val="bullet"/>
      <w:lvlText w:val="•"/>
      <w:lvlJc w:val="left"/>
      <w:pPr>
        <w:ind w:left="8355" w:hanging="450"/>
        <w:tab w:val="num" w:pos="8355"/>
      </w:pPr>
      <w:rPr>
        <w:rFonts w:ascii="Times New Roman" w:hAnsi="Times New Roman" w:cs="Times New Roman" w:eastAsia="Times New Roman"/>
        <w:sz w:val="24"/>
      </w:rPr>
    </w:lvl>
  </w:abstractNum>
  <w:abstractNum w:abstractNumId="16">
    <w:multiLevelType w:val="hybridMultilevel"/>
    <w:lvl w:ilvl="0">
      <w:numFmt w:val="decimal"/>
      <w:lvlText w:val="%1"/>
      <w:lvlJc w:val="left"/>
      <w:start w:val="9"/>
      <w:pPr>
        <w:ind w:left="165" w:hanging="360"/>
        <w:tab w:val="num" w:pos="165"/>
      </w:pPr>
      <w:rPr>
        <w:rFonts w:ascii="Times New Roman" w:hAnsi="Times New Roman" w:cs="Times New Roman" w:eastAsia="Times New Roman"/>
        <w:sz w:val="24"/>
      </w:rPr>
    </w:lvl>
    <w:lvl w:ilvl="1">
      <w:numFmt w:val="decimal"/>
      <w:lvlText w:val="%1.%2"/>
      <w:lvlJc w:val="left"/>
      <w:start w:val="6"/>
      <w:pPr>
        <w:ind w:left="165" w:firstLine="0"/>
        <w:tab w:val="num" w:pos="165"/>
      </w:pPr>
      <w:rPr>
        <w:rFonts w:ascii="Times New Roman" w:hAnsi="Times New Roman" w:cs="Times New Roman" w:eastAsia="Times New Roman"/>
        <w:b/>
      </w:rPr>
    </w:lvl>
    <w:lvl w:ilvl="2">
      <w:numFmt w:val="bullet"/>
      <w:lvlText w:val="•"/>
      <w:lvlJc w:val="left"/>
      <w:pPr>
        <w:ind w:left="2205" w:hanging="360"/>
        <w:tab w:val="num" w:pos="2205"/>
      </w:pPr>
      <w:rPr>
        <w:rFonts w:ascii="Times New Roman" w:hAnsi="Times New Roman" w:cs="Times New Roman" w:eastAsia="Times New Roman"/>
        <w:sz w:val="24"/>
      </w:rPr>
    </w:lvl>
    <w:lvl w:ilvl="3">
      <w:numFmt w:val="bullet"/>
      <w:lvlText w:val="•"/>
      <w:lvlJc w:val="left"/>
      <w:pPr>
        <w:ind w:left="3240" w:hanging="360"/>
        <w:tab w:val="num" w:pos="3240"/>
      </w:pPr>
      <w:rPr>
        <w:rFonts w:ascii="Times New Roman" w:hAnsi="Times New Roman" w:cs="Times New Roman" w:eastAsia="Times New Roman"/>
        <w:sz w:val="24"/>
      </w:rPr>
    </w:lvl>
    <w:lvl w:ilvl="4">
      <w:numFmt w:val="bullet"/>
      <w:lvlText w:val="•"/>
      <w:lvlJc w:val="left"/>
      <w:pPr>
        <w:ind w:left="4260" w:hanging="360"/>
        <w:tab w:val="num" w:pos="4260"/>
      </w:pPr>
      <w:rPr>
        <w:rFonts w:ascii="Times New Roman" w:hAnsi="Times New Roman" w:cs="Times New Roman" w:eastAsia="Times New Roman"/>
        <w:sz w:val="24"/>
      </w:rPr>
    </w:lvl>
    <w:lvl w:ilvl="5">
      <w:numFmt w:val="bullet"/>
      <w:lvlText w:val="•"/>
      <w:lvlJc w:val="left"/>
      <w:pPr>
        <w:ind w:left="5280" w:hanging="360"/>
        <w:tab w:val="num" w:pos="5280"/>
      </w:pPr>
      <w:rPr>
        <w:rFonts w:ascii="Times New Roman" w:hAnsi="Times New Roman" w:cs="Times New Roman" w:eastAsia="Times New Roman"/>
        <w:sz w:val="24"/>
      </w:rPr>
    </w:lvl>
    <w:lvl w:ilvl="6">
      <w:numFmt w:val="bullet"/>
      <w:lvlText w:val="•"/>
      <w:lvlJc w:val="left"/>
      <w:pPr>
        <w:ind w:left="6300" w:hanging="360"/>
        <w:tab w:val="num" w:pos="6300"/>
      </w:pPr>
      <w:rPr>
        <w:rFonts w:ascii="Times New Roman" w:hAnsi="Times New Roman" w:cs="Times New Roman" w:eastAsia="Times New Roman"/>
        <w:sz w:val="24"/>
      </w:rPr>
    </w:lvl>
    <w:lvl w:ilvl="7">
      <w:numFmt w:val="bullet"/>
      <w:lvlText w:val="•"/>
      <w:lvlJc w:val="left"/>
      <w:pPr>
        <w:ind w:left="7335" w:hanging="360"/>
        <w:tab w:val="num" w:pos="7335"/>
      </w:pPr>
      <w:rPr>
        <w:rFonts w:ascii="Times New Roman" w:hAnsi="Times New Roman" w:cs="Times New Roman" w:eastAsia="Times New Roman"/>
        <w:sz w:val="24"/>
      </w:rPr>
    </w:lvl>
    <w:lvl w:ilvl="8">
      <w:numFmt w:val="bullet"/>
      <w:lvlText w:val="•"/>
      <w:lvlJc w:val="left"/>
      <w:pPr>
        <w:ind w:left="8355" w:hanging="360"/>
        <w:tab w:val="num" w:pos="8355"/>
      </w:pPr>
      <w:rPr>
        <w:rFonts w:ascii="Times New Roman" w:hAnsi="Times New Roman" w:cs="Times New Roman" w:eastAsia="Times New Roman"/>
        <w:sz w:val="24"/>
      </w:rPr>
    </w:lvl>
  </w:abstractNum>
  <w:abstractNum w:abstractNumId="17">
    <w:multiLevelType w:val="hybridMultilevel"/>
    <w:lvl w:ilvl="0">
      <w:numFmt w:val="upperRoman"/>
      <w:lvlText w:val="%1"/>
      <w:lvlJc w:val="left"/>
      <w:start w:val="1"/>
      <w:pPr>
        <w:ind w:left="165" w:firstLine="0"/>
        <w:tab w:val="num" w:pos="165"/>
      </w:pPr>
      <w:rPr>
        <w:rFonts w:ascii="Arial MT" w:hAnsi="Arial MT" w:cs="Arial MT" w:eastAsia="Arial MT"/>
      </w:rPr>
    </w:lvl>
    <w:lvl w:ilvl="1">
      <w:numFmt w:val="bullet"/>
      <w:lvlText w:val="•"/>
      <w:lvlJc w:val="left"/>
      <w:pPr>
        <w:ind w:left="1185" w:hanging="150"/>
        <w:tab w:val="num" w:pos="1185"/>
      </w:pPr>
      <w:rPr>
        <w:rFonts w:ascii="Times New Roman" w:hAnsi="Times New Roman" w:cs="Times New Roman" w:eastAsia="Times New Roman"/>
        <w:sz w:val="24"/>
      </w:rPr>
    </w:lvl>
    <w:lvl w:ilvl="2">
      <w:numFmt w:val="bullet"/>
      <w:lvlText w:val="•"/>
      <w:lvlJc w:val="left"/>
      <w:pPr>
        <w:ind w:left="2205" w:hanging="150"/>
        <w:tab w:val="num" w:pos="2205"/>
      </w:pPr>
      <w:rPr>
        <w:rFonts w:ascii="Times New Roman" w:hAnsi="Times New Roman" w:cs="Times New Roman" w:eastAsia="Times New Roman"/>
        <w:sz w:val="24"/>
      </w:rPr>
    </w:lvl>
    <w:lvl w:ilvl="3">
      <w:numFmt w:val="bullet"/>
      <w:lvlText w:val="•"/>
      <w:lvlJc w:val="left"/>
      <w:pPr>
        <w:ind w:left="3240" w:hanging="150"/>
        <w:tab w:val="num" w:pos="3240"/>
      </w:pPr>
      <w:rPr>
        <w:rFonts w:ascii="Times New Roman" w:hAnsi="Times New Roman" w:cs="Times New Roman" w:eastAsia="Times New Roman"/>
        <w:sz w:val="24"/>
      </w:rPr>
    </w:lvl>
    <w:lvl w:ilvl="4">
      <w:numFmt w:val="bullet"/>
      <w:lvlText w:val="•"/>
      <w:lvlJc w:val="left"/>
      <w:pPr>
        <w:ind w:left="4260" w:hanging="150"/>
        <w:tab w:val="num" w:pos="4260"/>
      </w:pPr>
      <w:rPr>
        <w:rFonts w:ascii="Times New Roman" w:hAnsi="Times New Roman" w:cs="Times New Roman" w:eastAsia="Times New Roman"/>
        <w:sz w:val="24"/>
      </w:rPr>
    </w:lvl>
    <w:lvl w:ilvl="5">
      <w:numFmt w:val="bullet"/>
      <w:lvlText w:val="•"/>
      <w:lvlJc w:val="left"/>
      <w:pPr>
        <w:ind w:left="5280" w:hanging="150"/>
        <w:tab w:val="num" w:pos="5280"/>
      </w:pPr>
      <w:rPr>
        <w:rFonts w:ascii="Times New Roman" w:hAnsi="Times New Roman" w:cs="Times New Roman" w:eastAsia="Times New Roman"/>
        <w:sz w:val="24"/>
      </w:rPr>
    </w:lvl>
    <w:lvl w:ilvl="6">
      <w:numFmt w:val="bullet"/>
      <w:lvlText w:val="•"/>
      <w:lvlJc w:val="left"/>
      <w:pPr>
        <w:ind w:left="6300" w:hanging="150"/>
        <w:tab w:val="num" w:pos="6300"/>
      </w:pPr>
      <w:rPr>
        <w:rFonts w:ascii="Times New Roman" w:hAnsi="Times New Roman" w:cs="Times New Roman" w:eastAsia="Times New Roman"/>
        <w:sz w:val="24"/>
      </w:rPr>
    </w:lvl>
    <w:lvl w:ilvl="7">
      <w:numFmt w:val="bullet"/>
      <w:lvlText w:val="•"/>
      <w:lvlJc w:val="left"/>
      <w:pPr>
        <w:ind w:left="7335" w:hanging="150"/>
        <w:tab w:val="num" w:pos="7335"/>
      </w:pPr>
      <w:rPr>
        <w:rFonts w:ascii="Times New Roman" w:hAnsi="Times New Roman" w:cs="Times New Roman" w:eastAsia="Times New Roman"/>
        <w:sz w:val="24"/>
      </w:rPr>
    </w:lvl>
    <w:lvl w:ilvl="8">
      <w:numFmt w:val="bullet"/>
      <w:lvlText w:val="•"/>
      <w:lvlJc w:val="left"/>
      <w:pPr>
        <w:ind w:left="8355" w:hanging="150"/>
        <w:tab w:val="num" w:pos="8355"/>
      </w:pPr>
      <w:rPr>
        <w:rFonts w:ascii="Times New Roman" w:hAnsi="Times New Roman" w:cs="Times New Roman" w:eastAsia="Times New Roman"/>
        <w:sz w:val="24"/>
      </w:rPr>
    </w:lvl>
  </w:abstractNum>
  <w:abstractNum w:abstractNumId="18">
    <w:multiLevelType w:val="hybridMultilevel"/>
    <w:lvl w:ilvl="0">
      <w:numFmt w:val="decimal"/>
      <w:lvlText w:val="%1"/>
      <w:lvlJc w:val="left"/>
      <w:start w:val="8"/>
      <w:pPr>
        <w:ind w:left="165" w:hanging="330"/>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2700" w:hanging="510"/>
        <w:tab w:val="num" w:pos="2700"/>
      </w:pPr>
      <w:rPr>
        <w:rFonts w:ascii="Times New Roman" w:hAnsi="Times New Roman" w:cs="Times New Roman" w:eastAsia="Times New Roman"/>
        <w:sz w:val="24"/>
      </w:rPr>
    </w:lvl>
    <w:lvl w:ilvl="4">
      <w:numFmt w:val="bullet"/>
      <w:lvlText w:val="•"/>
      <w:lvlJc w:val="left"/>
      <w:pPr>
        <w:ind w:left="3795" w:hanging="510"/>
        <w:tab w:val="num" w:pos="3795"/>
      </w:pPr>
      <w:rPr>
        <w:rFonts w:ascii="Times New Roman" w:hAnsi="Times New Roman" w:cs="Times New Roman" w:eastAsia="Times New Roman"/>
        <w:sz w:val="24"/>
      </w:rPr>
    </w:lvl>
    <w:lvl w:ilvl="5">
      <w:numFmt w:val="bullet"/>
      <w:lvlText w:val="•"/>
      <w:lvlJc w:val="left"/>
      <w:pPr>
        <w:ind w:left="4905" w:hanging="510"/>
        <w:tab w:val="num" w:pos="4905"/>
      </w:pPr>
      <w:rPr>
        <w:rFonts w:ascii="Times New Roman" w:hAnsi="Times New Roman" w:cs="Times New Roman" w:eastAsia="Times New Roman"/>
        <w:sz w:val="24"/>
      </w:rPr>
    </w:lvl>
    <w:lvl w:ilvl="6">
      <w:numFmt w:val="bullet"/>
      <w:lvlText w:val="•"/>
      <w:lvlJc w:val="left"/>
      <w:pPr>
        <w:ind w:left="6000" w:hanging="510"/>
        <w:tab w:val="num" w:pos="6000"/>
      </w:pPr>
      <w:rPr>
        <w:rFonts w:ascii="Times New Roman" w:hAnsi="Times New Roman" w:cs="Times New Roman" w:eastAsia="Times New Roman"/>
        <w:sz w:val="24"/>
      </w:rPr>
    </w:lvl>
    <w:lvl w:ilvl="7">
      <w:numFmt w:val="bullet"/>
      <w:lvlText w:val="•"/>
      <w:lvlJc w:val="left"/>
      <w:pPr>
        <w:ind w:left="7110" w:hanging="510"/>
        <w:tab w:val="num" w:pos="7110"/>
      </w:pPr>
      <w:rPr>
        <w:rFonts w:ascii="Times New Roman" w:hAnsi="Times New Roman" w:cs="Times New Roman" w:eastAsia="Times New Roman"/>
        <w:sz w:val="24"/>
      </w:rPr>
    </w:lvl>
    <w:lvl w:ilvl="8">
      <w:numFmt w:val="bullet"/>
      <w:lvlText w:val="•"/>
      <w:lvlJc w:val="left"/>
      <w:pPr>
        <w:ind w:left="8205" w:hanging="510"/>
        <w:tab w:val="num" w:pos="8205"/>
      </w:pPr>
      <w:rPr>
        <w:rFonts w:ascii="Times New Roman" w:hAnsi="Times New Roman" w:cs="Times New Roman" w:eastAsia="Times New Roman"/>
        <w:sz w:val="24"/>
      </w:rPr>
    </w:lvl>
  </w:abstractNum>
  <w:abstractNum w:abstractNumId="19">
    <w:multiLevelType w:val="hybridMultilevel"/>
    <w:lvl w:ilvl="0">
      <w:numFmt w:val="upperRoman"/>
      <w:lvlText w:val="%1"/>
      <w:lvlJc w:val="left"/>
      <w:start w:val="1"/>
      <w:pPr>
        <w:ind w:left="165" w:firstLine="0"/>
        <w:tab w:val="num" w:pos="165"/>
      </w:pPr>
      <w:rPr>
        <w:rFonts w:ascii="Arial MT" w:hAnsi="Arial MT" w:cs="Arial MT" w:eastAsia="Arial MT"/>
      </w:rPr>
    </w:lvl>
    <w:lvl w:ilvl="1">
      <w:numFmt w:val="bullet"/>
      <w:lvlText w:val="•"/>
      <w:lvlJc w:val="left"/>
      <w:pPr>
        <w:ind w:left="1185" w:hanging="135"/>
        <w:tab w:val="num" w:pos="1185"/>
      </w:pPr>
      <w:rPr>
        <w:rFonts w:ascii="Times New Roman" w:hAnsi="Times New Roman" w:cs="Times New Roman" w:eastAsia="Times New Roman"/>
        <w:sz w:val="24"/>
      </w:rPr>
    </w:lvl>
    <w:lvl w:ilvl="2">
      <w:numFmt w:val="bullet"/>
      <w:lvlText w:val="•"/>
      <w:lvlJc w:val="left"/>
      <w:pPr>
        <w:ind w:left="2205" w:hanging="135"/>
        <w:tab w:val="num" w:pos="2205"/>
      </w:pPr>
      <w:rPr>
        <w:rFonts w:ascii="Times New Roman" w:hAnsi="Times New Roman" w:cs="Times New Roman" w:eastAsia="Times New Roman"/>
        <w:sz w:val="24"/>
      </w:rPr>
    </w:lvl>
    <w:lvl w:ilvl="3">
      <w:numFmt w:val="bullet"/>
      <w:lvlText w:val="•"/>
      <w:lvlJc w:val="left"/>
      <w:pPr>
        <w:ind w:left="3240" w:hanging="135"/>
        <w:tab w:val="num" w:pos="3240"/>
      </w:pPr>
      <w:rPr>
        <w:rFonts w:ascii="Times New Roman" w:hAnsi="Times New Roman" w:cs="Times New Roman" w:eastAsia="Times New Roman"/>
        <w:sz w:val="24"/>
      </w:rPr>
    </w:lvl>
    <w:lvl w:ilvl="4">
      <w:numFmt w:val="bullet"/>
      <w:lvlText w:val="•"/>
      <w:lvlJc w:val="left"/>
      <w:pPr>
        <w:ind w:left="4260" w:hanging="135"/>
        <w:tab w:val="num" w:pos="4260"/>
      </w:pPr>
      <w:rPr>
        <w:rFonts w:ascii="Times New Roman" w:hAnsi="Times New Roman" w:cs="Times New Roman" w:eastAsia="Times New Roman"/>
        <w:sz w:val="24"/>
      </w:rPr>
    </w:lvl>
    <w:lvl w:ilvl="5">
      <w:numFmt w:val="bullet"/>
      <w:lvlText w:val="•"/>
      <w:lvlJc w:val="left"/>
      <w:pPr>
        <w:ind w:left="5280" w:hanging="135"/>
        <w:tab w:val="num" w:pos="5280"/>
      </w:pPr>
      <w:rPr>
        <w:rFonts w:ascii="Times New Roman" w:hAnsi="Times New Roman" w:cs="Times New Roman" w:eastAsia="Times New Roman"/>
        <w:sz w:val="24"/>
      </w:rPr>
    </w:lvl>
    <w:lvl w:ilvl="6">
      <w:numFmt w:val="bullet"/>
      <w:lvlText w:val="•"/>
      <w:lvlJc w:val="left"/>
      <w:pPr>
        <w:ind w:left="6300" w:hanging="135"/>
        <w:tab w:val="num" w:pos="6300"/>
      </w:pPr>
      <w:rPr>
        <w:rFonts w:ascii="Times New Roman" w:hAnsi="Times New Roman" w:cs="Times New Roman" w:eastAsia="Times New Roman"/>
        <w:sz w:val="24"/>
      </w:rPr>
    </w:lvl>
    <w:lvl w:ilvl="7">
      <w:numFmt w:val="bullet"/>
      <w:lvlText w:val="•"/>
      <w:lvlJc w:val="left"/>
      <w:pPr>
        <w:ind w:left="7335" w:hanging="135"/>
        <w:tab w:val="num" w:pos="7335"/>
      </w:pPr>
      <w:rPr>
        <w:rFonts w:ascii="Times New Roman" w:hAnsi="Times New Roman" w:cs="Times New Roman" w:eastAsia="Times New Roman"/>
        <w:sz w:val="24"/>
      </w:rPr>
    </w:lvl>
    <w:lvl w:ilvl="8">
      <w:numFmt w:val="bullet"/>
      <w:lvlText w:val="•"/>
      <w:lvlJc w:val="left"/>
      <w:pPr>
        <w:ind w:left="8355" w:hanging="135"/>
        <w:tab w:val="num" w:pos="8355"/>
      </w:pPr>
      <w:rPr>
        <w:rFonts w:ascii="Times New Roman" w:hAnsi="Times New Roman" w:cs="Times New Roman" w:eastAsia="Times New Roman"/>
        <w:sz w:val="24"/>
      </w:rPr>
    </w:lvl>
  </w:abstractNum>
  <w:abstractNum w:abstractNumId="20">
    <w:multiLevelType w:val="hybridMultilevel"/>
    <w:lvl w:ilvl="0">
      <w:numFmt w:val="decimal"/>
      <w:lvlText w:val="%1"/>
      <w:lvlJc w:val="left"/>
      <w:start w:val="1"/>
      <w:pPr>
        <w:ind w:left="225" w:hanging="345"/>
        <w:tab w:val="num" w:pos="225"/>
      </w:pPr>
      <w:rPr>
        <w:rFonts w:ascii="Times New Roman" w:hAnsi="Times New Roman" w:cs="Times New Roman" w:eastAsia="Times New Roman"/>
        <w:sz w:val="24"/>
      </w:rPr>
    </w:lvl>
    <w:lvl w:ilvl="1">
      <w:numFmt w:val="decimal"/>
      <w:lvlText w:val="%1.%2"/>
      <w:lvlJc w:val="left"/>
      <w:start w:val="1"/>
      <w:pPr>
        <w:ind w:left="225" w:firstLine="0"/>
        <w:tab w:val="num" w:pos="22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2700" w:hanging="525"/>
        <w:tab w:val="num" w:pos="2700"/>
      </w:pPr>
      <w:rPr>
        <w:rFonts w:ascii="Times New Roman" w:hAnsi="Times New Roman" w:cs="Times New Roman" w:eastAsia="Times New Roman"/>
        <w:sz w:val="24"/>
      </w:rPr>
    </w:lvl>
    <w:lvl w:ilvl="4">
      <w:numFmt w:val="bullet"/>
      <w:lvlText w:val="•"/>
      <w:lvlJc w:val="left"/>
      <w:pPr>
        <w:ind w:left="3795" w:hanging="525"/>
        <w:tab w:val="num" w:pos="3795"/>
      </w:pPr>
      <w:rPr>
        <w:rFonts w:ascii="Times New Roman" w:hAnsi="Times New Roman" w:cs="Times New Roman" w:eastAsia="Times New Roman"/>
        <w:sz w:val="24"/>
      </w:rPr>
    </w:lvl>
    <w:lvl w:ilvl="5">
      <w:numFmt w:val="bullet"/>
      <w:lvlText w:val="•"/>
      <w:lvlJc w:val="left"/>
      <w:pPr>
        <w:ind w:left="4905" w:hanging="525"/>
        <w:tab w:val="num" w:pos="4905"/>
      </w:pPr>
      <w:rPr>
        <w:rFonts w:ascii="Times New Roman" w:hAnsi="Times New Roman" w:cs="Times New Roman" w:eastAsia="Times New Roman"/>
        <w:sz w:val="24"/>
      </w:rPr>
    </w:lvl>
    <w:lvl w:ilvl="6">
      <w:numFmt w:val="bullet"/>
      <w:lvlText w:val="•"/>
      <w:lvlJc w:val="left"/>
      <w:pPr>
        <w:ind w:left="6000" w:hanging="525"/>
        <w:tab w:val="num" w:pos="6000"/>
      </w:pPr>
      <w:rPr>
        <w:rFonts w:ascii="Times New Roman" w:hAnsi="Times New Roman" w:cs="Times New Roman" w:eastAsia="Times New Roman"/>
        <w:sz w:val="24"/>
      </w:rPr>
    </w:lvl>
    <w:lvl w:ilvl="7">
      <w:numFmt w:val="bullet"/>
      <w:lvlText w:val="•"/>
      <w:lvlJc w:val="left"/>
      <w:pPr>
        <w:ind w:left="7110" w:hanging="525"/>
        <w:tab w:val="num" w:pos="7110"/>
      </w:pPr>
      <w:rPr>
        <w:rFonts w:ascii="Times New Roman" w:hAnsi="Times New Roman" w:cs="Times New Roman" w:eastAsia="Times New Roman"/>
        <w:sz w:val="24"/>
      </w:rPr>
    </w:lvl>
    <w:lvl w:ilvl="8">
      <w:numFmt w:val="bullet"/>
      <w:lvlText w:val="•"/>
      <w:lvlJc w:val="left"/>
      <w:pPr>
        <w:ind w:left="8205" w:hanging="525"/>
        <w:tab w:val="num" w:pos="8205"/>
      </w:pPr>
      <w:rPr>
        <w:rFonts w:ascii="Times New Roman" w:hAnsi="Times New Roman" w:cs="Times New Roman" w:eastAsia="Times New Roman"/>
        <w:sz w:val="24"/>
      </w:rPr>
    </w:lvl>
  </w:abstractNum>
  <w:abstractNum w:abstractNumId="21">
    <w:multiLevelType w:val="hybridMultilevel"/>
    <w:lvl w:ilvl="0">
      <w:numFmt w:val="decimal"/>
      <w:lvlText w:val="%1"/>
      <w:lvlJc w:val="left"/>
      <w:start w:val="6"/>
      <w:pPr>
        <w:ind w:left="975" w:hanging="480"/>
        <w:tab w:val="num" w:pos="975"/>
      </w:pPr>
      <w:rPr>
        <w:rFonts w:ascii="Times New Roman" w:hAnsi="Times New Roman" w:cs="Times New Roman" w:eastAsia="Times New Roman"/>
        <w:sz w:val="24"/>
      </w:rPr>
    </w:lvl>
    <w:lvl w:ilvl="1">
      <w:numFmt w:val="decimal"/>
      <w:lvlText w:val="%1.%2"/>
      <w:lvlJc w:val="left"/>
      <w:start w:val="3"/>
      <w:pPr>
        <w:ind w:left="975" w:hanging="480"/>
        <w:tab w:val="num" w:pos="975"/>
      </w:pPr>
      <w:rPr>
        <w:rFonts w:ascii="Times New Roman" w:hAnsi="Times New Roman" w:cs="Times New Roman" w:eastAsia="Times New Roman"/>
        <w:sz w:val="24"/>
      </w:rPr>
    </w:lvl>
    <w:lvl w:ilvl="2">
      <w:numFmt w:val="decimal"/>
      <w:lvlText w:val="%1.%2.%3"/>
      <w:lvlJc w:val="left"/>
      <w:start w:val="1"/>
      <w:pPr>
        <w:ind w:left="975" w:hanging="480"/>
        <w:tab w:val="num" w:pos="975"/>
      </w:pPr>
      <w:rPr>
        <w:rFonts w:ascii="Times New Roman" w:hAnsi="Times New Roman" w:cs="Times New Roman" w:eastAsia="Times New Roman"/>
        <w:b/>
      </w:rPr>
    </w:lvl>
    <w:lvl w:ilvl="3">
      <w:numFmt w:val="bullet"/>
      <w:lvlText w:val="•"/>
      <w:lvlJc w:val="left"/>
      <w:pPr>
        <w:ind w:left="3810" w:hanging="480"/>
        <w:tab w:val="num" w:pos="3810"/>
      </w:pPr>
      <w:rPr>
        <w:rFonts w:ascii="Times New Roman" w:hAnsi="Times New Roman" w:cs="Times New Roman" w:eastAsia="Times New Roman"/>
        <w:sz w:val="24"/>
      </w:rPr>
    </w:lvl>
    <w:lvl w:ilvl="4">
      <w:numFmt w:val="bullet"/>
      <w:lvlText w:val="•"/>
      <w:lvlJc w:val="left"/>
      <w:pPr>
        <w:ind w:left="4755" w:hanging="480"/>
        <w:tab w:val="num" w:pos="4755"/>
      </w:pPr>
      <w:rPr>
        <w:rFonts w:ascii="Times New Roman" w:hAnsi="Times New Roman" w:cs="Times New Roman" w:eastAsia="Times New Roman"/>
        <w:sz w:val="24"/>
      </w:rPr>
    </w:lvl>
    <w:lvl w:ilvl="5">
      <w:numFmt w:val="bullet"/>
      <w:lvlText w:val="•"/>
      <w:lvlJc w:val="left"/>
      <w:pPr>
        <w:ind w:left="5700" w:hanging="480"/>
        <w:tab w:val="num" w:pos="5700"/>
      </w:pPr>
      <w:rPr>
        <w:rFonts w:ascii="Times New Roman" w:hAnsi="Times New Roman" w:cs="Times New Roman" w:eastAsia="Times New Roman"/>
        <w:sz w:val="24"/>
      </w:rPr>
    </w:lvl>
    <w:lvl w:ilvl="6">
      <w:numFmt w:val="bullet"/>
      <w:lvlText w:val="•"/>
      <w:lvlJc w:val="left"/>
      <w:pPr>
        <w:ind w:left="6630" w:hanging="480"/>
        <w:tab w:val="num" w:pos="6630"/>
      </w:pPr>
      <w:rPr>
        <w:rFonts w:ascii="Times New Roman" w:hAnsi="Times New Roman" w:cs="Times New Roman" w:eastAsia="Times New Roman"/>
        <w:sz w:val="24"/>
      </w:rPr>
    </w:lvl>
    <w:lvl w:ilvl="7">
      <w:numFmt w:val="bullet"/>
      <w:lvlText w:val="•"/>
      <w:lvlJc w:val="left"/>
      <w:pPr>
        <w:ind w:left="7575" w:hanging="480"/>
        <w:tab w:val="num" w:pos="7575"/>
      </w:pPr>
      <w:rPr>
        <w:rFonts w:ascii="Times New Roman" w:hAnsi="Times New Roman" w:cs="Times New Roman" w:eastAsia="Times New Roman"/>
        <w:sz w:val="24"/>
      </w:rPr>
    </w:lvl>
    <w:lvl w:ilvl="8">
      <w:numFmt w:val="bullet"/>
      <w:lvlText w:val="•"/>
      <w:lvlJc w:val="left"/>
      <w:pPr>
        <w:ind w:left="8520" w:hanging="480"/>
        <w:tab w:val="num" w:pos="8520"/>
      </w:pPr>
      <w:rPr>
        <w:rFonts w:ascii="Times New Roman" w:hAnsi="Times New Roman" w:cs="Times New Roman" w:eastAsia="Times New Roman"/>
        <w:sz w:val="24"/>
      </w:rPr>
    </w:lvl>
  </w:abstractNum>
  <w:abstractNum w:abstractNumId="22">
    <w:multiLevelType w:val="hybridMultilevel"/>
    <w:lvl w:ilvl="0">
      <w:numFmt w:val="decimal"/>
      <w:lvlText w:val="%1"/>
      <w:lvlJc w:val="left"/>
      <w:start w:val="5"/>
      <w:pPr>
        <w:ind w:left="165" w:hanging="345"/>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2160" w:hanging="480"/>
        <w:tab w:val="num" w:pos="2160"/>
      </w:pPr>
      <w:rPr>
        <w:rFonts w:ascii="Times New Roman" w:hAnsi="Times New Roman" w:cs="Times New Roman" w:eastAsia="Times New Roman"/>
        <w:sz w:val="24"/>
      </w:rPr>
    </w:lvl>
    <w:lvl w:ilvl="4">
      <w:numFmt w:val="bullet"/>
      <w:lvlText w:val="•"/>
      <w:lvlJc w:val="left"/>
      <w:pPr>
        <w:ind w:left="3330" w:hanging="480"/>
        <w:tab w:val="num" w:pos="3330"/>
      </w:pPr>
      <w:rPr>
        <w:rFonts w:ascii="Times New Roman" w:hAnsi="Times New Roman" w:cs="Times New Roman" w:eastAsia="Times New Roman"/>
        <w:sz w:val="24"/>
      </w:rPr>
    </w:lvl>
    <w:lvl w:ilvl="5">
      <w:numFmt w:val="bullet"/>
      <w:lvlText w:val="•"/>
      <w:lvlJc w:val="left"/>
      <w:pPr>
        <w:ind w:left="4515" w:hanging="480"/>
        <w:tab w:val="num" w:pos="4515"/>
      </w:pPr>
      <w:rPr>
        <w:rFonts w:ascii="Times New Roman" w:hAnsi="Times New Roman" w:cs="Times New Roman" w:eastAsia="Times New Roman"/>
        <w:sz w:val="24"/>
      </w:rPr>
    </w:lvl>
    <w:lvl w:ilvl="6">
      <w:numFmt w:val="bullet"/>
      <w:lvlText w:val="•"/>
      <w:lvlJc w:val="left"/>
      <w:pPr>
        <w:ind w:left="5700" w:hanging="480"/>
        <w:tab w:val="num" w:pos="5700"/>
      </w:pPr>
      <w:rPr>
        <w:rFonts w:ascii="Times New Roman" w:hAnsi="Times New Roman" w:cs="Times New Roman" w:eastAsia="Times New Roman"/>
        <w:sz w:val="24"/>
      </w:rPr>
    </w:lvl>
    <w:lvl w:ilvl="7">
      <w:numFmt w:val="bullet"/>
      <w:lvlText w:val="•"/>
      <w:lvlJc w:val="left"/>
      <w:pPr>
        <w:ind w:left="6870" w:hanging="480"/>
        <w:tab w:val="num" w:pos="6870"/>
      </w:pPr>
      <w:rPr>
        <w:rFonts w:ascii="Times New Roman" w:hAnsi="Times New Roman" w:cs="Times New Roman" w:eastAsia="Times New Roman"/>
        <w:sz w:val="24"/>
      </w:rPr>
    </w:lvl>
    <w:lvl w:ilvl="8">
      <w:numFmt w:val="bullet"/>
      <w:lvlText w:val="•"/>
      <w:lvlJc w:val="left"/>
      <w:pPr>
        <w:ind w:left="8055" w:hanging="480"/>
        <w:tab w:val="num" w:pos="8055"/>
      </w:pPr>
      <w:rPr>
        <w:rFonts w:ascii="Times New Roman" w:hAnsi="Times New Roman" w:cs="Times New Roman" w:eastAsia="Times New Roman"/>
        <w:sz w:val="24"/>
      </w:rPr>
    </w:lvl>
  </w:abstractNum>
  <w:abstractNum w:abstractNumId="23">
    <w:multiLevelType w:val="hybridMultilevel"/>
    <w:lvl w:ilvl="0">
      <w:numFmt w:val="lowerLetter"/>
      <w:lvlText w:val="%1)"/>
      <w:lvlJc w:val="left"/>
      <w:start w:val="1"/>
      <w:pPr>
        <w:ind w:left="1005" w:hanging="225"/>
        <w:tab w:val="num" w:pos="1005"/>
      </w:pPr>
      <w:rPr>
        <w:rFonts w:ascii="Times New Roman" w:hAnsi="Times New Roman" w:cs="Times New Roman" w:eastAsia="Times New Roman"/>
        <w:b/>
      </w:rPr>
    </w:lvl>
    <w:lvl w:ilvl="1">
      <w:numFmt w:val="bullet"/>
      <w:lvlText w:val="•"/>
      <w:lvlJc w:val="left"/>
      <w:pPr>
        <w:ind w:left="1935" w:hanging="225"/>
        <w:tab w:val="num" w:pos="1935"/>
      </w:pPr>
      <w:rPr>
        <w:rFonts w:ascii="Times New Roman" w:hAnsi="Times New Roman" w:cs="Times New Roman" w:eastAsia="Times New Roman"/>
        <w:sz w:val="24"/>
      </w:rPr>
    </w:lvl>
    <w:lvl w:ilvl="2">
      <w:numFmt w:val="bullet"/>
      <w:lvlText w:val="•"/>
      <w:lvlJc w:val="left"/>
      <w:pPr>
        <w:ind w:left="2880" w:hanging="225"/>
        <w:tab w:val="num" w:pos="2880"/>
      </w:pPr>
      <w:rPr>
        <w:rFonts w:ascii="Times New Roman" w:hAnsi="Times New Roman" w:cs="Times New Roman" w:eastAsia="Times New Roman"/>
        <w:sz w:val="24"/>
      </w:rPr>
    </w:lvl>
    <w:lvl w:ilvl="3">
      <w:numFmt w:val="bullet"/>
      <w:lvlText w:val="•"/>
      <w:lvlJc w:val="left"/>
      <w:pPr>
        <w:ind w:left="3825" w:hanging="225"/>
        <w:tab w:val="num" w:pos="3825"/>
      </w:pPr>
      <w:rPr>
        <w:rFonts w:ascii="Times New Roman" w:hAnsi="Times New Roman" w:cs="Times New Roman" w:eastAsia="Times New Roman"/>
        <w:sz w:val="24"/>
      </w:rPr>
    </w:lvl>
    <w:lvl w:ilvl="4">
      <w:numFmt w:val="bullet"/>
      <w:lvlText w:val="•"/>
      <w:lvlJc w:val="left"/>
      <w:pPr>
        <w:ind w:left="4755" w:hanging="225"/>
        <w:tab w:val="num" w:pos="4755"/>
      </w:pPr>
      <w:rPr>
        <w:rFonts w:ascii="Times New Roman" w:hAnsi="Times New Roman" w:cs="Times New Roman" w:eastAsia="Times New Roman"/>
        <w:sz w:val="24"/>
      </w:rPr>
    </w:lvl>
    <w:lvl w:ilvl="5">
      <w:numFmt w:val="bullet"/>
      <w:lvlText w:val="•"/>
      <w:lvlJc w:val="left"/>
      <w:pPr>
        <w:ind w:left="5700" w:hanging="225"/>
        <w:tab w:val="num" w:pos="5700"/>
      </w:pPr>
      <w:rPr>
        <w:rFonts w:ascii="Times New Roman" w:hAnsi="Times New Roman" w:cs="Times New Roman" w:eastAsia="Times New Roman"/>
        <w:sz w:val="24"/>
      </w:rPr>
    </w:lvl>
    <w:lvl w:ilvl="6">
      <w:numFmt w:val="bullet"/>
      <w:lvlText w:val="•"/>
      <w:lvlJc w:val="left"/>
      <w:pPr>
        <w:ind w:left="6645" w:hanging="225"/>
        <w:tab w:val="num" w:pos="6645"/>
      </w:pPr>
      <w:rPr>
        <w:rFonts w:ascii="Times New Roman" w:hAnsi="Times New Roman" w:cs="Times New Roman" w:eastAsia="Times New Roman"/>
        <w:sz w:val="24"/>
      </w:rPr>
    </w:lvl>
    <w:lvl w:ilvl="7">
      <w:numFmt w:val="bullet"/>
      <w:lvlText w:val="•"/>
      <w:lvlJc w:val="left"/>
      <w:pPr>
        <w:ind w:left="7590" w:hanging="225"/>
        <w:tab w:val="num" w:pos="7590"/>
      </w:pPr>
      <w:rPr>
        <w:rFonts w:ascii="Times New Roman" w:hAnsi="Times New Roman" w:cs="Times New Roman" w:eastAsia="Times New Roman"/>
        <w:sz w:val="24"/>
      </w:rPr>
    </w:lvl>
    <w:lvl w:ilvl="8">
      <w:numFmt w:val="bullet"/>
      <w:lvlText w:val="•"/>
      <w:lvlJc w:val="left"/>
      <w:pPr>
        <w:ind w:left="8520" w:hanging="225"/>
        <w:tab w:val="num" w:pos="8520"/>
      </w:pPr>
      <w:rPr>
        <w:rFonts w:ascii="Times New Roman" w:hAnsi="Times New Roman" w:cs="Times New Roman" w:eastAsia="Times New Roman"/>
        <w:sz w:val="24"/>
      </w:rPr>
    </w:lvl>
  </w:abstractNum>
  <w:abstractNum w:abstractNumId="24">
    <w:multiLevelType w:val="hybridMultilevel"/>
    <w:lvl w:ilvl="0">
      <w:numFmt w:val="upperRoman"/>
      <w:lvlText w:val="%1"/>
      <w:lvlJc w:val="left"/>
      <w:start w:val="1"/>
      <w:pPr>
        <w:ind w:left="165" w:firstLine="0"/>
        <w:tab w:val="num" w:pos="165"/>
      </w:pPr>
      <w:rPr>
        <w:rFonts w:ascii="Arial MT" w:hAnsi="Arial MT" w:cs="Arial MT" w:eastAsia="Arial MT"/>
      </w:rPr>
    </w:lvl>
    <w:lvl w:ilvl="1">
      <w:numFmt w:val="lowerLetter"/>
      <w:lvlText w:val="%2)"/>
      <w:lvlJc w:val="left"/>
      <w:start w:val="1"/>
      <w:pPr>
        <w:ind w:left="495" w:firstLine="0"/>
        <w:tab w:val="num" w:pos="495"/>
      </w:pPr>
      <w:rPr>
        <w:rFonts w:ascii="Arial MT" w:hAnsi="Arial MT" w:cs="Arial MT" w:eastAsia="Arial MT"/>
      </w:rPr>
    </w:lvl>
    <w:lvl w:ilvl="2">
      <w:numFmt w:val="bullet"/>
      <w:lvlText w:val="•"/>
      <w:lvlJc w:val="left"/>
      <w:pPr>
        <w:ind w:left="1605" w:hanging="270"/>
        <w:tab w:val="num" w:pos="1605"/>
      </w:pPr>
      <w:rPr>
        <w:rFonts w:ascii="Times New Roman" w:hAnsi="Times New Roman" w:cs="Times New Roman" w:eastAsia="Times New Roman"/>
        <w:sz w:val="24"/>
      </w:rPr>
    </w:lvl>
    <w:lvl w:ilvl="3">
      <w:numFmt w:val="bullet"/>
      <w:lvlText w:val="•"/>
      <w:lvlJc w:val="left"/>
      <w:pPr>
        <w:ind w:left="2700" w:hanging="270"/>
        <w:tab w:val="num" w:pos="2700"/>
      </w:pPr>
      <w:rPr>
        <w:rFonts w:ascii="Times New Roman" w:hAnsi="Times New Roman" w:cs="Times New Roman" w:eastAsia="Times New Roman"/>
        <w:sz w:val="24"/>
      </w:rPr>
    </w:lvl>
    <w:lvl w:ilvl="4">
      <w:numFmt w:val="bullet"/>
      <w:lvlText w:val="•"/>
      <w:lvlJc w:val="left"/>
      <w:pPr>
        <w:ind w:left="3795" w:hanging="270"/>
        <w:tab w:val="num" w:pos="3795"/>
      </w:pPr>
      <w:rPr>
        <w:rFonts w:ascii="Times New Roman" w:hAnsi="Times New Roman" w:cs="Times New Roman" w:eastAsia="Times New Roman"/>
        <w:sz w:val="24"/>
      </w:rPr>
    </w:lvl>
    <w:lvl w:ilvl="5">
      <w:numFmt w:val="bullet"/>
      <w:lvlText w:val="•"/>
      <w:lvlJc w:val="left"/>
      <w:pPr>
        <w:ind w:left="4905" w:hanging="270"/>
        <w:tab w:val="num" w:pos="4905"/>
      </w:pPr>
      <w:rPr>
        <w:rFonts w:ascii="Times New Roman" w:hAnsi="Times New Roman" w:cs="Times New Roman" w:eastAsia="Times New Roman"/>
        <w:sz w:val="24"/>
      </w:rPr>
    </w:lvl>
    <w:lvl w:ilvl="6">
      <w:numFmt w:val="bullet"/>
      <w:lvlText w:val="•"/>
      <w:lvlJc w:val="left"/>
      <w:pPr>
        <w:ind w:left="6000" w:hanging="270"/>
        <w:tab w:val="num" w:pos="6000"/>
      </w:pPr>
      <w:rPr>
        <w:rFonts w:ascii="Times New Roman" w:hAnsi="Times New Roman" w:cs="Times New Roman" w:eastAsia="Times New Roman"/>
        <w:sz w:val="24"/>
      </w:rPr>
    </w:lvl>
    <w:lvl w:ilvl="7">
      <w:numFmt w:val="bullet"/>
      <w:lvlText w:val="•"/>
      <w:lvlJc w:val="left"/>
      <w:pPr>
        <w:ind w:left="7110" w:hanging="270"/>
        <w:tab w:val="num" w:pos="7110"/>
      </w:pPr>
      <w:rPr>
        <w:rFonts w:ascii="Times New Roman" w:hAnsi="Times New Roman" w:cs="Times New Roman" w:eastAsia="Times New Roman"/>
        <w:sz w:val="24"/>
      </w:rPr>
    </w:lvl>
    <w:lvl w:ilvl="8">
      <w:numFmt w:val="bullet"/>
      <w:lvlText w:val="•"/>
      <w:lvlJc w:val="left"/>
      <w:pPr>
        <w:ind w:left="8205" w:hanging="270"/>
        <w:tab w:val="num" w:pos="8205"/>
      </w:pPr>
      <w:rPr>
        <w:rFonts w:ascii="Times New Roman" w:hAnsi="Times New Roman" w:cs="Times New Roman" w:eastAsia="Times New Roman"/>
        <w:sz w:val="24"/>
      </w:rPr>
    </w:lvl>
  </w:abstractNum>
  <w:abstractNum w:abstractNumId="25">
    <w:multiLevelType w:val="hybridMultilevel"/>
    <w:lvl w:ilvl="0">
      <w:numFmt w:val="upperRoman"/>
      <w:lvlText w:val="%1"/>
      <w:lvlJc w:val="left"/>
      <w:start w:val="1"/>
      <w:pPr>
        <w:ind w:left="270" w:hanging="105"/>
        <w:tab w:val="num" w:pos="270"/>
      </w:pPr>
      <w:rPr>
        <w:rFonts w:ascii="Arial MT" w:hAnsi="Arial MT" w:cs="Arial MT" w:eastAsia="Arial MT"/>
      </w:rPr>
    </w:lvl>
    <w:lvl w:ilvl="1">
      <w:numFmt w:val="bullet"/>
      <w:lvlText w:val="•"/>
      <w:lvlJc w:val="left"/>
      <w:pPr>
        <w:ind w:left="1275" w:hanging="105"/>
        <w:tab w:val="num" w:pos="1275"/>
      </w:pPr>
      <w:rPr>
        <w:rFonts w:ascii="Times New Roman" w:hAnsi="Times New Roman" w:cs="Times New Roman" w:eastAsia="Times New Roman"/>
        <w:sz w:val="24"/>
      </w:rPr>
    </w:lvl>
    <w:lvl w:ilvl="2">
      <w:numFmt w:val="bullet"/>
      <w:lvlText w:val="•"/>
      <w:lvlJc w:val="left"/>
      <w:pPr>
        <w:ind w:left="2295" w:hanging="105"/>
        <w:tab w:val="num" w:pos="2295"/>
      </w:pPr>
      <w:rPr>
        <w:rFonts w:ascii="Times New Roman" w:hAnsi="Times New Roman" w:cs="Times New Roman" w:eastAsia="Times New Roman"/>
        <w:sz w:val="24"/>
      </w:rPr>
    </w:lvl>
    <w:lvl w:ilvl="3">
      <w:numFmt w:val="bullet"/>
      <w:lvlText w:val="•"/>
      <w:lvlJc w:val="left"/>
      <w:pPr>
        <w:ind w:left="3300" w:hanging="105"/>
        <w:tab w:val="num" w:pos="3300"/>
      </w:pPr>
      <w:rPr>
        <w:rFonts w:ascii="Times New Roman" w:hAnsi="Times New Roman" w:cs="Times New Roman" w:eastAsia="Times New Roman"/>
        <w:sz w:val="24"/>
      </w:rPr>
    </w:lvl>
    <w:lvl w:ilvl="4">
      <w:numFmt w:val="bullet"/>
      <w:lvlText w:val="•"/>
      <w:lvlJc w:val="left"/>
      <w:pPr>
        <w:ind w:left="4320" w:hanging="105"/>
        <w:tab w:val="num" w:pos="4320"/>
      </w:pPr>
      <w:rPr>
        <w:rFonts w:ascii="Times New Roman" w:hAnsi="Times New Roman" w:cs="Times New Roman" w:eastAsia="Times New Roman"/>
        <w:sz w:val="24"/>
      </w:rPr>
    </w:lvl>
    <w:lvl w:ilvl="5">
      <w:numFmt w:val="bullet"/>
      <w:lvlText w:val="•"/>
      <w:lvlJc w:val="left"/>
      <w:pPr>
        <w:ind w:left="5340" w:hanging="105"/>
        <w:tab w:val="num" w:pos="5340"/>
      </w:pPr>
      <w:rPr>
        <w:rFonts w:ascii="Times New Roman" w:hAnsi="Times New Roman" w:cs="Times New Roman" w:eastAsia="Times New Roman"/>
        <w:sz w:val="24"/>
      </w:rPr>
    </w:lvl>
    <w:lvl w:ilvl="6">
      <w:numFmt w:val="bullet"/>
      <w:lvlText w:val="•"/>
      <w:lvlJc w:val="left"/>
      <w:pPr>
        <w:ind w:left="6345" w:hanging="105"/>
        <w:tab w:val="num" w:pos="6345"/>
      </w:pPr>
      <w:rPr>
        <w:rFonts w:ascii="Times New Roman" w:hAnsi="Times New Roman" w:cs="Times New Roman" w:eastAsia="Times New Roman"/>
        <w:sz w:val="24"/>
      </w:rPr>
    </w:lvl>
    <w:lvl w:ilvl="7">
      <w:numFmt w:val="bullet"/>
      <w:lvlText w:val="•"/>
      <w:lvlJc w:val="left"/>
      <w:pPr>
        <w:ind w:left="7365" w:hanging="105"/>
        <w:tab w:val="num" w:pos="7365"/>
      </w:pPr>
      <w:rPr>
        <w:rFonts w:ascii="Times New Roman" w:hAnsi="Times New Roman" w:cs="Times New Roman" w:eastAsia="Times New Roman"/>
        <w:sz w:val="24"/>
      </w:rPr>
    </w:lvl>
    <w:lvl w:ilvl="8">
      <w:numFmt w:val="bullet"/>
      <w:lvlText w:val="•"/>
      <w:lvlJc w:val="left"/>
      <w:pPr>
        <w:ind w:left="8370" w:hanging="105"/>
        <w:tab w:val="num" w:pos="8370"/>
      </w:pPr>
      <w:rPr>
        <w:rFonts w:ascii="Times New Roman" w:hAnsi="Times New Roman" w:cs="Times New Roman" w:eastAsia="Times New Roman"/>
        <w:sz w:val="24"/>
      </w:rPr>
    </w:lvl>
  </w:abstractNum>
  <w:abstractNum w:abstractNumId="26">
    <w:multiLevelType w:val="hybridMultilevel"/>
    <w:lvl w:ilvl="0">
      <w:numFmt w:val="decimal"/>
      <w:lvlText w:val="%1"/>
      <w:lvlJc w:val="left"/>
      <w:start w:val="9"/>
      <w:pPr>
        <w:ind w:left="165" w:hanging="345"/>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2700" w:hanging="495"/>
        <w:tab w:val="num" w:pos="2700"/>
      </w:pPr>
      <w:rPr>
        <w:rFonts w:ascii="Times New Roman" w:hAnsi="Times New Roman" w:cs="Times New Roman" w:eastAsia="Times New Roman"/>
        <w:sz w:val="24"/>
      </w:rPr>
    </w:lvl>
    <w:lvl w:ilvl="4">
      <w:numFmt w:val="bullet"/>
      <w:lvlText w:val="•"/>
      <w:lvlJc w:val="left"/>
      <w:pPr>
        <w:ind w:left="3795" w:hanging="495"/>
        <w:tab w:val="num" w:pos="3795"/>
      </w:pPr>
      <w:rPr>
        <w:rFonts w:ascii="Times New Roman" w:hAnsi="Times New Roman" w:cs="Times New Roman" w:eastAsia="Times New Roman"/>
        <w:sz w:val="24"/>
      </w:rPr>
    </w:lvl>
    <w:lvl w:ilvl="5">
      <w:numFmt w:val="bullet"/>
      <w:lvlText w:val="•"/>
      <w:lvlJc w:val="left"/>
      <w:pPr>
        <w:ind w:left="4905" w:hanging="495"/>
        <w:tab w:val="num" w:pos="4905"/>
      </w:pPr>
      <w:rPr>
        <w:rFonts w:ascii="Times New Roman" w:hAnsi="Times New Roman" w:cs="Times New Roman" w:eastAsia="Times New Roman"/>
        <w:sz w:val="24"/>
      </w:rPr>
    </w:lvl>
    <w:lvl w:ilvl="6">
      <w:numFmt w:val="bullet"/>
      <w:lvlText w:val="•"/>
      <w:lvlJc w:val="left"/>
      <w:pPr>
        <w:ind w:left="6000" w:hanging="495"/>
        <w:tab w:val="num" w:pos="6000"/>
      </w:pPr>
      <w:rPr>
        <w:rFonts w:ascii="Times New Roman" w:hAnsi="Times New Roman" w:cs="Times New Roman" w:eastAsia="Times New Roman"/>
        <w:sz w:val="24"/>
      </w:rPr>
    </w:lvl>
    <w:lvl w:ilvl="7">
      <w:numFmt w:val="bullet"/>
      <w:lvlText w:val="•"/>
      <w:lvlJc w:val="left"/>
      <w:pPr>
        <w:ind w:left="7110" w:hanging="495"/>
        <w:tab w:val="num" w:pos="7110"/>
      </w:pPr>
      <w:rPr>
        <w:rFonts w:ascii="Times New Roman" w:hAnsi="Times New Roman" w:cs="Times New Roman" w:eastAsia="Times New Roman"/>
        <w:sz w:val="24"/>
      </w:rPr>
    </w:lvl>
    <w:lvl w:ilvl="8">
      <w:numFmt w:val="bullet"/>
      <w:lvlText w:val="•"/>
      <w:lvlJc w:val="left"/>
      <w:pPr>
        <w:ind w:left="8205" w:hanging="495"/>
        <w:tab w:val="num" w:pos="8205"/>
      </w:pPr>
      <w:rPr>
        <w:rFonts w:ascii="Times New Roman" w:hAnsi="Times New Roman" w:cs="Times New Roman" w:eastAsia="Times New Roman"/>
        <w:sz w:val="24"/>
      </w:rPr>
    </w:lvl>
  </w:abstractNum>
  <w:abstractNum w:abstractNumId="27">
    <w:multiLevelType w:val="hybridMultilevel"/>
    <w:lvl w:ilvl="0">
      <w:numFmt w:val="decimal"/>
      <w:lvlText w:val="%1"/>
      <w:lvlJc w:val="left"/>
      <w:start w:val="6"/>
      <w:pPr>
        <w:ind w:left="165" w:hanging="345"/>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lowerLetter"/>
      <w:lvlText w:val="%3)"/>
      <w:lvlJc w:val="left"/>
      <w:start w:val="1"/>
      <w:pPr>
        <w:ind w:left="1005" w:hanging="225"/>
        <w:tab w:val="num" w:pos="1005"/>
      </w:pPr>
      <w:rPr>
        <w:rFonts w:ascii="Times New Roman" w:hAnsi="Times New Roman" w:cs="Times New Roman" w:eastAsia="Times New Roman"/>
        <w:b/>
      </w:rPr>
    </w:lvl>
    <w:lvl w:ilvl="3">
      <w:numFmt w:val="bullet"/>
      <w:lvlText w:val="•"/>
      <w:lvlJc w:val="left"/>
      <w:pPr>
        <w:ind w:left="3090" w:hanging="225"/>
        <w:tab w:val="num" w:pos="3090"/>
      </w:pPr>
      <w:rPr>
        <w:rFonts w:ascii="Times New Roman" w:hAnsi="Times New Roman" w:cs="Times New Roman" w:eastAsia="Times New Roman"/>
        <w:sz w:val="24"/>
      </w:rPr>
    </w:lvl>
    <w:lvl w:ilvl="4">
      <w:numFmt w:val="bullet"/>
      <w:lvlText w:val="•"/>
      <w:lvlJc w:val="left"/>
      <w:pPr>
        <w:ind w:left="4140" w:hanging="225"/>
        <w:tab w:val="num" w:pos="4140"/>
      </w:pPr>
      <w:rPr>
        <w:rFonts w:ascii="Times New Roman" w:hAnsi="Times New Roman" w:cs="Times New Roman" w:eastAsia="Times New Roman"/>
        <w:sz w:val="24"/>
      </w:rPr>
    </w:lvl>
    <w:lvl w:ilvl="5">
      <w:numFmt w:val="bullet"/>
      <w:lvlText w:val="•"/>
      <w:lvlJc w:val="left"/>
      <w:pPr>
        <w:ind w:left="5175" w:hanging="225"/>
        <w:tab w:val="num" w:pos="5175"/>
      </w:pPr>
      <w:rPr>
        <w:rFonts w:ascii="Times New Roman" w:hAnsi="Times New Roman" w:cs="Times New Roman" w:eastAsia="Times New Roman"/>
        <w:sz w:val="24"/>
      </w:rPr>
    </w:lvl>
    <w:lvl w:ilvl="6">
      <w:numFmt w:val="bullet"/>
      <w:lvlText w:val="•"/>
      <w:lvlJc w:val="left"/>
      <w:pPr>
        <w:ind w:left="6225" w:hanging="225"/>
        <w:tab w:val="num" w:pos="6225"/>
      </w:pPr>
      <w:rPr>
        <w:rFonts w:ascii="Times New Roman" w:hAnsi="Times New Roman" w:cs="Times New Roman" w:eastAsia="Times New Roman"/>
        <w:sz w:val="24"/>
      </w:rPr>
    </w:lvl>
    <w:lvl w:ilvl="7">
      <w:numFmt w:val="bullet"/>
      <w:lvlText w:val="•"/>
      <w:lvlJc w:val="left"/>
      <w:pPr>
        <w:ind w:left="7275" w:hanging="225"/>
        <w:tab w:val="num" w:pos="7275"/>
      </w:pPr>
      <w:rPr>
        <w:rFonts w:ascii="Times New Roman" w:hAnsi="Times New Roman" w:cs="Times New Roman" w:eastAsia="Times New Roman"/>
        <w:sz w:val="24"/>
      </w:rPr>
    </w:lvl>
    <w:lvl w:ilvl="8">
      <w:numFmt w:val="bullet"/>
      <w:lvlText w:val="•"/>
      <w:lvlJc w:val="left"/>
      <w:pPr>
        <w:ind w:left="8310" w:hanging="225"/>
        <w:tab w:val="num" w:pos="8310"/>
      </w:pPr>
      <w:rPr>
        <w:rFonts w:ascii="Times New Roman" w:hAnsi="Times New Roman" w:cs="Times New Roman" w:eastAsia="Times New Roman"/>
        <w:sz w:val="24"/>
      </w:rPr>
    </w:lvl>
  </w:abstractNum>
  <w:abstractNum w:abstractNumId="28">
    <w:multiLevelType w:val="hybridMultilevel"/>
    <w:lvl w:ilvl="0">
      <w:numFmt w:val="decimal"/>
      <w:lvlText w:val="%1"/>
      <w:lvlJc w:val="left"/>
      <w:start w:val="6"/>
      <w:pPr>
        <w:ind w:left="585" w:hanging="375"/>
        <w:tab w:val="num" w:pos="585"/>
      </w:pPr>
      <w:rPr>
        <w:rFonts w:ascii="Times New Roman" w:hAnsi="Times New Roman" w:cs="Times New Roman" w:eastAsia="Times New Roman"/>
        <w:sz w:val="24"/>
      </w:rPr>
    </w:lvl>
    <w:lvl w:ilvl="1">
      <w:numFmt w:val="decimal"/>
      <w:lvlText w:val="%1.%2."/>
      <w:lvlJc w:val="left"/>
      <w:start w:val="5"/>
      <w:pPr>
        <w:ind w:left="585" w:hanging="360"/>
        <w:tab w:val="num" w:pos="58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decimal"/>
      <w:lvlText w:val="%1.%2.%3.%4"/>
      <w:lvlJc w:val="left"/>
      <w:start w:val="1"/>
      <w:pPr>
        <w:ind w:left="960" w:firstLine="0"/>
        <w:tab w:val="num" w:pos="960"/>
      </w:pPr>
      <w:rPr>
        <w:rFonts w:ascii="Times New Roman" w:hAnsi="Times New Roman" w:cs="Times New Roman" w:eastAsia="Times New Roman"/>
        <w:b/>
      </w:rPr>
    </w:lvl>
    <w:lvl w:ilvl="4">
      <w:numFmt w:val="bullet"/>
      <w:lvlText w:val="•"/>
      <w:lvlJc w:val="left"/>
      <w:pPr>
        <w:ind w:left="3315" w:hanging="660"/>
        <w:tab w:val="num" w:pos="3315"/>
      </w:pPr>
      <w:rPr>
        <w:rFonts w:ascii="Times New Roman" w:hAnsi="Times New Roman" w:cs="Times New Roman" w:eastAsia="Times New Roman"/>
        <w:sz w:val="24"/>
      </w:rPr>
    </w:lvl>
    <w:lvl w:ilvl="5">
      <w:numFmt w:val="bullet"/>
      <w:lvlText w:val="•"/>
      <w:lvlJc w:val="left"/>
      <w:pPr>
        <w:ind w:left="4500" w:hanging="660"/>
        <w:tab w:val="num" w:pos="4500"/>
      </w:pPr>
      <w:rPr>
        <w:rFonts w:ascii="Times New Roman" w:hAnsi="Times New Roman" w:cs="Times New Roman" w:eastAsia="Times New Roman"/>
        <w:sz w:val="24"/>
      </w:rPr>
    </w:lvl>
    <w:lvl w:ilvl="6">
      <w:numFmt w:val="bullet"/>
      <w:lvlText w:val="•"/>
      <w:lvlJc w:val="left"/>
      <w:pPr>
        <w:ind w:left="5685" w:hanging="660"/>
        <w:tab w:val="num" w:pos="5685"/>
      </w:pPr>
      <w:rPr>
        <w:rFonts w:ascii="Times New Roman" w:hAnsi="Times New Roman" w:cs="Times New Roman" w:eastAsia="Times New Roman"/>
        <w:sz w:val="24"/>
      </w:rPr>
    </w:lvl>
    <w:lvl w:ilvl="7">
      <w:numFmt w:val="bullet"/>
      <w:lvlText w:val="•"/>
      <w:lvlJc w:val="left"/>
      <w:pPr>
        <w:ind w:left="6870" w:hanging="660"/>
        <w:tab w:val="num" w:pos="6870"/>
      </w:pPr>
      <w:rPr>
        <w:rFonts w:ascii="Times New Roman" w:hAnsi="Times New Roman" w:cs="Times New Roman" w:eastAsia="Times New Roman"/>
        <w:sz w:val="24"/>
      </w:rPr>
    </w:lvl>
    <w:lvl w:ilvl="8">
      <w:numFmt w:val="bullet"/>
      <w:lvlText w:val="•"/>
      <w:lvlJc w:val="left"/>
      <w:pPr>
        <w:ind w:left="8040" w:hanging="660"/>
        <w:tab w:val="num" w:pos="8040"/>
      </w:pPr>
      <w:rPr>
        <w:rFonts w:ascii="Times New Roman" w:hAnsi="Times New Roman" w:cs="Times New Roman" w:eastAsia="Times New Roman"/>
        <w:sz w:val="24"/>
      </w:rPr>
    </w:lvl>
  </w:abstractNum>
  <w:abstractNum w:abstractNumId="29">
    <w:multiLevelType w:val="hybridMultilevel"/>
    <w:lvl w:ilvl="0">
      <w:numFmt w:val="upperRoman"/>
      <w:lvlText w:val="%1"/>
      <w:lvlJc w:val="left"/>
      <w:start w:val="1"/>
      <w:pPr>
        <w:ind w:left="225" w:firstLine="0"/>
        <w:tab w:val="num" w:pos="225"/>
      </w:pPr>
      <w:rPr>
        <w:rFonts w:ascii="Times New Roman" w:hAnsi="Times New Roman" w:cs="Times New Roman" w:eastAsia="Times New Roman"/>
        <w:b/>
      </w:rPr>
    </w:lvl>
    <w:lvl w:ilvl="1">
      <w:numFmt w:val="bullet"/>
      <w:lvlText w:val="•"/>
      <w:lvlJc w:val="left"/>
      <w:pPr>
        <w:ind w:left="1245" w:hanging="120"/>
        <w:tab w:val="num" w:pos="1245"/>
      </w:pPr>
      <w:rPr>
        <w:rFonts w:ascii="Times New Roman" w:hAnsi="Times New Roman" w:cs="Times New Roman" w:eastAsia="Times New Roman"/>
        <w:sz w:val="24"/>
      </w:rPr>
    </w:lvl>
    <w:lvl w:ilvl="2">
      <w:numFmt w:val="bullet"/>
      <w:lvlText w:val="•"/>
      <w:lvlJc w:val="left"/>
      <w:pPr>
        <w:ind w:left="2250" w:hanging="120"/>
        <w:tab w:val="num" w:pos="2250"/>
      </w:pPr>
      <w:rPr>
        <w:rFonts w:ascii="Times New Roman" w:hAnsi="Times New Roman" w:cs="Times New Roman" w:eastAsia="Times New Roman"/>
        <w:sz w:val="24"/>
      </w:rPr>
    </w:lvl>
    <w:lvl w:ilvl="3">
      <w:numFmt w:val="bullet"/>
      <w:lvlText w:val="•"/>
      <w:lvlJc w:val="left"/>
      <w:pPr>
        <w:ind w:left="3270" w:hanging="120"/>
        <w:tab w:val="num" w:pos="3270"/>
      </w:pPr>
      <w:rPr>
        <w:rFonts w:ascii="Times New Roman" w:hAnsi="Times New Roman" w:cs="Times New Roman" w:eastAsia="Times New Roman"/>
        <w:sz w:val="24"/>
      </w:rPr>
    </w:lvl>
    <w:lvl w:ilvl="4">
      <w:numFmt w:val="bullet"/>
      <w:lvlText w:val="•"/>
      <w:lvlJc w:val="left"/>
      <w:pPr>
        <w:ind w:left="4290" w:hanging="120"/>
        <w:tab w:val="num" w:pos="4290"/>
      </w:pPr>
      <w:rPr>
        <w:rFonts w:ascii="Times New Roman" w:hAnsi="Times New Roman" w:cs="Times New Roman" w:eastAsia="Times New Roman"/>
        <w:sz w:val="24"/>
      </w:rPr>
    </w:lvl>
    <w:lvl w:ilvl="5">
      <w:numFmt w:val="bullet"/>
      <w:lvlText w:val="•"/>
      <w:lvlJc w:val="left"/>
      <w:pPr>
        <w:ind w:left="5310" w:hanging="120"/>
        <w:tab w:val="num" w:pos="5310"/>
      </w:pPr>
      <w:rPr>
        <w:rFonts w:ascii="Times New Roman" w:hAnsi="Times New Roman" w:cs="Times New Roman" w:eastAsia="Times New Roman"/>
        <w:sz w:val="24"/>
      </w:rPr>
    </w:lvl>
    <w:lvl w:ilvl="6">
      <w:numFmt w:val="bullet"/>
      <w:lvlText w:val="•"/>
      <w:lvlJc w:val="left"/>
      <w:pPr>
        <w:ind w:left="6330" w:hanging="120"/>
        <w:tab w:val="num" w:pos="6330"/>
      </w:pPr>
      <w:rPr>
        <w:rFonts w:ascii="Times New Roman" w:hAnsi="Times New Roman" w:cs="Times New Roman" w:eastAsia="Times New Roman"/>
        <w:sz w:val="24"/>
      </w:rPr>
    </w:lvl>
    <w:lvl w:ilvl="7">
      <w:numFmt w:val="bullet"/>
      <w:lvlText w:val="•"/>
      <w:lvlJc w:val="left"/>
      <w:pPr>
        <w:ind w:left="7350" w:hanging="120"/>
        <w:tab w:val="num" w:pos="7350"/>
      </w:pPr>
      <w:rPr>
        <w:rFonts w:ascii="Times New Roman" w:hAnsi="Times New Roman" w:cs="Times New Roman" w:eastAsia="Times New Roman"/>
        <w:sz w:val="24"/>
      </w:rPr>
    </w:lvl>
    <w:lvl w:ilvl="8">
      <w:numFmt w:val="bullet"/>
      <w:lvlText w:val="•"/>
      <w:lvlJc w:val="left"/>
      <w:pPr>
        <w:ind w:left="8370" w:hanging="120"/>
        <w:tab w:val="num" w:pos="8370"/>
      </w:pPr>
      <w:rPr>
        <w:rFonts w:ascii="Times New Roman" w:hAnsi="Times New Roman" w:cs="Times New Roman" w:eastAsia="Times New Roman"/>
        <w:sz w:val="24"/>
      </w:rPr>
    </w:lvl>
  </w:abstractNum>
  <w:abstractNum w:abstractNumId="30">
    <w:multiLevelType w:val="hybridMultilevel"/>
    <w:lvl w:ilvl="0">
      <w:numFmt w:val="decimal"/>
      <w:lvlText w:val="%1"/>
      <w:lvlJc w:val="left"/>
      <w:start w:val="5"/>
      <w:pPr>
        <w:ind w:left="165" w:hanging="765"/>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bullet"/>
      <w:lvlText w:val="•"/>
      <w:lvlJc w:val="left"/>
      <w:pPr>
        <w:ind w:left="2205" w:hanging="765"/>
        <w:tab w:val="num" w:pos="2205"/>
      </w:pPr>
      <w:rPr>
        <w:rFonts w:ascii="Times New Roman" w:hAnsi="Times New Roman" w:cs="Times New Roman" w:eastAsia="Times New Roman"/>
        <w:sz w:val="24"/>
      </w:rPr>
    </w:lvl>
    <w:lvl w:ilvl="3">
      <w:numFmt w:val="bullet"/>
      <w:lvlText w:val="•"/>
      <w:lvlJc w:val="left"/>
      <w:pPr>
        <w:ind w:left="3240" w:hanging="765"/>
        <w:tab w:val="num" w:pos="3240"/>
      </w:pPr>
      <w:rPr>
        <w:rFonts w:ascii="Times New Roman" w:hAnsi="Times New Roman" w:cs="Times New Roman" w:eastAsia="Times New Roman"/>
        <w:sz w:val="24"/>
      </w:rPr>
    </w:lvl>
    <w:lvl w:ilvl="4">
      <w:numFmt w:val="bullet"/>
      <w:lvlText w:val="•"/>
      <w:lvlJc w:val="left"/>
      <w:pPr>
        <w:ind w:left="4260" w:hanging="765"/>
        <w:tab w:val="num" w:pos="4260"/>
      </w:pPr>
      <w:rPr>
        <w:rFonts w:ascii="Times New Roman" w:hAnsi="Times New Roman" w:cs="Times New Roman" w:eastAsia="Times New Roman"/>
        <w:sz w:val="24"/>
      </w:rPr>
    </w:lvl>
    <w:lvl w:ilvl="5">
      <w:numFmt w:val="bullet"/>
      <w:lvlText w:val="•"/>
      <w:lvlJc w:val="left"/>
      <w:pPr>
        <w:ind w:left="5280" w:hanging="765"/>
        <w:tab w:val="num" w:pos="5280"/>
      </w:pPr>
      <w:rPr>
        <w:rFonts w:ascii="Times New Roman" w:hAnsi="Times New Roman" w:cs="Times New Roman" w:eastAsia="Times New Roman"/>
        <w:sz w:val="24"/>
      </w:rPr>
    </w:lvl>
    <w:lvl w:ilvl="6">
      <w:numFmt w:val="bullet"/>
      <w:lvlText w:val="•"/>
      <w:lvlJc w:val="left"/>
      <w:pPr>
        <w:ind w:left="6300" w:hanging="765"/>
        <w:tab w:val="num" w:pos="6300"/>
      </w:pPr>
      <w:rPr>
        <w:rFonts w:ascii="Times New Roman" w:hAnsi="Times New Roman" w:cs="Times New Roman" w:eastAsia="Times New Roman"/>
        <w:sz w:val="24"/>
      </w:rPr>
    </w:lvl>
    <w:lvl w:ilvl="7">
      <w:numFmt w:val="bullet"/>
      <w:lvlText w:val="•"/>
      <w:lvlJc w:val="left"/>
      <w:pPr>
        <w:ind w:left="7335" w:hanging="765"/>
        <w:tab w:val="num" w:pos="7335"/>
      </w:pPr>
      <w:rPr>
        <w:rFonts w:ascii="Times New Roman" w:hAnsi="Times New Roman" w:cs="Times New Roman" w:eastAsia="Times New Roman"/>
        <w:sz w:val="24"/>
      </w:rPr>
    </w:lvl>
    <w:lvl w:ilvl="8">
      <w:numFmt w:val="bullet"/>
      <w:lvlText w:val="•"/>
      <w:lvlJc w:val="left"/>
      <w:pPr>
        <w:ind w:left="8355" w:hanging="765"/>
        <w:tab w:val="num" w:pos="8355"/>
      </w:pPr>
      <w:rPr>
        <w:rFonts w:ascii="Times New Roman" w:hAnsi="Times New Roman" w:cs="Times New Roman" w:eastAsia="Times New Roman"/>
        <w:sz w:val="24"/>
      </w:rPr>
    </w:lvl>
  </w:abstractNum>
  <w:abstractNum w:abstractNumId="31">
    <w:multiLevelType w:val="hybridMultilevel"/>
    <w:lvl w:ilvl="0">
      <w:numFmt w:val="decimal"/>
      <w:lvlText w:val="%1"/>
      <w:lvlJc w:val="left"/>
      <w:start w:val="13"/>
      <w:pPr>
        <w:ind w:left="165" w:hanging="480"/>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lowerLetter"/>
      <w:lvlText w:val="%3)"/>
      <w:lvlJc w:val="left"/>
      <w:start w:val="1"/>
      <w:pPr>
        <w:ind w:left="1005" w:hanging="225"/>
        <w:tab w:val="num" w:pos="1005"/>
      </w:pPr>
      <w:rPr>
        <w:rFonts w:ascii="Times New Roman" w:hAnsi="Times New Roman" w:cs="Times New Roman" w:eastAsia="Times New Roman"/>
        <w:b/>
      </w:rPr>
    </w:lvl>
    <w:lvl w:ilvl="3">
      <w:numFmt w:val="bullet"/>
      <w:lvlText w:val="•"/>
      <w:lvlJc w:val="left"/>
      <w:pPr>
        <w:ind w:left="3090" w:hanging="225"/>
        <w:tab w:val="num" w:pos="3090"/>
      </w:pPr>
      <w:rPr>
        <w:rFonts w:ascii="Times New Roman" w:hAnsi="Times New Roman" w:cs="Times New Roman" w:eastAsia="Times New Roman"/>
        <w:sz w:val="24"/>
      </w:rPr>
    </w:lvl>
    <w:lvl w:ilvl="4">
      <w:numFmt w:val="bullet"/>
      <w:lvlText w:val="•"/>
      <w:lvlJc w:val="left"/>
      <w:pPr>
        <w:ind w:left="4140" w:hanging="225"/>
        <w:tab w:val="num" w:pos="4140"/>
      </w:pPr>
      <w:rPr>
        <w:rFonts w:ascii="Times New Roman" w:hAnsi="Times New Roman" w:cs="Times New Roman" w:eastAsia="Times New Roman"/>
        <w:sz w:val="24"/>
      </w:rPr>
    </w:lvl>
    <w:lvl w:ilvl="5">
      <w:numFmt w:val="bullet"/>
      <w:lvlText w:val="•"/>
      <w:lvlJc w:val="left"/>
      <w:pPr>
        <w:ind w:left="5175" w:hanging="225"/>
        <w:tab w:val="num" w:pos="5175"/>
      </w:pPr>
      <w:rPr>
        <w:rFonts w:ascii="Times New Roman" w:hAnsi="Times New Roman" w:cs="Times New Roman" w:eastAsia="Times New Roman"/>
        <w:sz w:val="24"/>
      </w:rPr>
    </w:lvl>
    <w:lvl w:ilvl="6">
      <w:numFmt w:val="bullet"/>
      <w:lvlText w:val="•"/>
      <w:lvlJc w:val="left"/>
      <w:pPr>
        <w:ind w:left="6225" w:hanging="225"/>
        <w:tab w:val="num" w:pos="6225"/>
      </w:pPr>
      <w:rPr>
        <w:rFonts w:ascii="Times New Roman" w:hAnsi="Times New Roman" w:cs="Times New Roman" w:eastAsia="Times New Roman"/>
        <w:sz w:val="24"/>
      </w:rPr>
    </w:lvl>
    <w:lvl w:ilvl="7">
      <w:numFmt w:val="bullet"/>
      <w:lvlText w:val="•"/>
      <w:lvlJc w:val="left"/>
      <w:pPr>
        <w:ind w:left="7275" w:hanging="225"/>
        <w:tab w:val="num" w:pos="7275"/>
      </w:pPr>
      <w:rPr>
        <w:rFonts w:ascii="Times New Roman" w:hAnsi="Times New Roman" w:cs="Times New Roman" w:eastAsia="Times New Roman"/>
        <w:sz w:val="24"/>
      </w:rPr>
    </w:lvl>
    <w:lvl w:ilvl="8">
      <w:numFmt w:val="bullet"/>
      <w:lvlText w:val="•"/>
      <w:lvlJc w:val="left"/>
      <w:pPr>
        <w:ind w:left="8310" w:hanging="225"/>
        <w:tab w:val="num" w:pos="8310"/>
      </w:pPr>
      <w:rPr>
        <w:rFonts w:ascii="Times New Roman" w:hAnsi="Times New Roman" w:cs="Times New Roman" w:eastAsia="Times New Roman"/>
        <w:sz w:val="24"/>
      </w:rPr>
    </w:lvl>
  </w:abstractNum>
  <w:abstractNum w:abstractNumId="32">
    <w:multiLevelType w:val="hybridMultilevel"/>
    <w:lvl w:ilvl="0">
      <w:numFmt w:val="decimal"/>
      <w:lvlText w:val="%1"/>
      <w:lvlJc w:val="left"/>
      <w:start w:val="12"/>
      <w:pPr>
        <w:ind w:left="165" w:hanging="435"/>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decimal"/>
      <w:lvlText w:val="%1.%2.%3"/>
      <w:lvlJc w:val="left"/>
      <w:start w:val="1"/>
      <w:pPr>
        <w:ind w:left="1080" w:hanging="585"/>
        <w:tab w:val="num" w:pos="1080"/>
      </w:pPr>
      <w:rPr>
        <w:rFonts w:ascii="Times New Roman" w:hAnsi="Times New Roman" w:cs="Times New Roman" w:eastAsia="Times New Roman"/>
        <w:b/>
      </w:rPr>
    </w:lvl>
    <w:lvl w:ilvl="3">
      <w:numFmt w:val="lowerLetter"/>
      <w:lvlText w:val="%4)"/>
      <w:lvlJc w:val="left"/>
      <w:start w:val="1"/>
      <w:pPr>
        <w:ind w:left="780" w:firstLine="0"/>
        <w:tab w:val="num" w:pos="780"/>
      </w:pPr>
      <w:rPr>
        <w:rFonts w:ascii="Times New Roman" w:hAnsi="Times New Roman" w:cs="Times New Roman" w:eastAsia="Times New Roman"/>
        <w:b/>
      </w:rPr>
    </w:lvl>
    <w:lvl w:ilvl="4">
      <w:numFmt w:val="bullet"/>
      <w:lvlText w:val="•"/>
      <w:lvlJc w:val="left"/>
      <w:pPr>
        <w:ind w:left="2415" w:hanging="315"/>
        <w:tab w:val="num" w:pos="2415"/>
      </w:pPr>
      <w:rPr>
        <w:rFonts w:ascii="Times New Roman" w:hAnsi="Times New Roman" w:cs="Times New Roman" w:eastAsia="Times New Roman"/>
        <w:sz w:val="24"/>
      </w:rPr>
    </w:lvl>
    <w:lvl w:ilvl="5">
      <w:numFmt w:val="bullet"/>
      <w:lvlText w:val="•"/>
      <w:lvlJc w:val="left"/>
      <w:pPr>
        <w:ind w:left="3750" w:hanging="315"/>
        <w:tab w:val="num" w:pos="3750"/>
      </w:pPr>
      <w:rPr>
        <w:rFonts w:ascii="Times New Roman" w:hAnsi="Times New Roman" w:cs="Times New Roman" w:eastAsia="Times New Roman"/>
        <w:sz w:val="24"/>
      </w:rPr>
    </w:lvl>
    <w:lvl w:ilvl="6">
      <w:numFmt w:val="bullet"/>
      <w:lvlText w:val="•"/>
      <w:lvlJc w:val="left"/>
      <w:pPr>
        <w:ind w:left="5070" w:hanging="315"/>
        <w:tab w:val="num" w:pos="5070"/>
      </w:pPr>
      <w:rPr>
        <w:rFonts w:ascii="Times New Roman" w:hAnsi="Times New Roman" w:cs="Times New Roman" w:eastAsia="Times New Roman"/>
        <w:sz w:val="24"/>
      </w:rPr>
    </w:lvl>
    <w:lvl w:ilvl="7">
      <w:numFmt w:val="bullet"/>
      <w:lvlText w:val="•"/>
      <w:lvlJc w:val="left"/>
      <w:pPr>
        <w:ind w:left="6405" w:hanging="315"/>
        <w:tab w:val="num" w:pos="6405"/>
      </w:pPr>
      <w:rPr>
        <w:rFonts w:ascii="Times New Roman" w:hAnsi="Times New Roman" w:cs="Times New Roman" w:eastAsia="Times New Roman"/>
        <w:sz w:val="24"/>
      </w:rPr>
    </w:lvl>
    <w:lvl w:ilvl="8">
      <w:numFmt w:val="bullet"/>
      <w:lvlText w:val="•"/>
      <w:lvlJc w:val="left"/>
      <w:pPr>
        <w:ind w:left="7740" w:hanging="315"/>
        <w:tab w:val="num" w:pos="7740"/>
      </w:pPr>
      <w:rPr>
        <w:rFonts w:ascii="Times New Roman" w:hAnsi="Times New Roman" w:cs="Times New Roman" w:eastAsia="Times New Roman"/>
        <w:sz w:val="24"/>
      </w:rPr>
    </w:lvl>
  </w:abstractNum>
  <w:abstractNum w:abstractNumId="33">
    <w:multiLevelType w:val="hybridMultilevel"/>
    <w:lvl w:ilvl="0">
      <w:numFmt w:val="decimal"/>
      <w:lvlText w:val="%1"/>
      <w:lvlJc w:val="left"/>
      <w:start w:val="7"/>
      <w:pPr>
        <w:ind w:left="165" w:hanging="315"/>
        <w:tab w:val="num" w:pos="165"/>
      </w:pPr>
      <w:rPr>
        <w:rFonts w:ascii="Times New Roman" w:hAnsi="Times New Roman" w:cs="Times New Roman" w:eastAsia="Times New Roman"/>
        <w:sz w:val="24"/>
      </w:rPr>
    </w:lvl>
    <w:lvl w:ilvl="1">
      <w:numFmt w:val="decimal"/>
      <w:lvlText w:val="%1.%2"/>
      <w:lvlJc w:val="left"/>
      <w:start w:val="3"/>
      <w:pPr>
        <w:ind w:left="165" w:firstLine="0"/>
        <w:tab w:val="num" w:pos="16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2700" w:hanging="480"/>
        <w:tab w:val="num" w:pos="2700"/>
      </w:pPr>
      <w:rPr>
        <w:rFonts w:ascii="Times New Roman" w:hAnsi="Times New Roman" w:cs="Times New Roman" w:eastAsia="Times New Roman"/>
        <w:sz w:val="24"/>
      </w:rPr>
    </w:lvl>
    <w:lvl w:ilvl="4">
      <w:numFmt w:val="bullet"/>
      <w:lvlText w:val="•"/>
      <w:lvlJc w:val="left"/>
      <w:pPr>
        <w:ind w:left="3795" w:hanging="480"/>
        <w:tab w:val="num" w:pos="3795"/>
      </w:pPr>
      <w:rPr>
        <w:rFonts w:ascii="Times New Roman" w:hAnsi="Times New Roman" w:cs="Times New Roman" w:eastAsia="Times New Roman"/>
        <w:sz w:val="24"/>
      </w:rPr>
    </w:lvl>
    <w:lvl w:ilvl="5">
      <w:numFmt w:val="bullet"/>
      <w:lvlText w:val="•"/>
      <w:lvlJc w:val="left"/>
      <w:pPr>
        <w:ind w:left="4905" w:hanging="480"/>
        <w:tab w:val="num" w:pos="4905"/>
      </w:pPr>
      <w:rPr>
        <w:rFonts w:ascii="Times New Roman" w:hAnsi="Times New Roman" w:cs="Times New Roman" w:eastAsia="Times New Roman"/>
        <w:sz w:val="24"/>
      </w:rPr>
    </w:lvl>
    <w:lvl w:ilvl="6">
      <w:numFmt w:val="bullet"/>
      <w:lvlText w:val="•"/>
      <w:lvlJc w:val="left"/>
      <w:pPr>
        <w:ind w:left="6000" w:hanging="480"/>
        <w:tab w:val="num" w:pos="6000"/>
      </w:pPr>
      <w:rPr>
        <w:rFonts w:ascii="Times New Roman" w:hAnsi="Times New Roman" w:cs="Times New Roman" w:eastAsia="Times New Roman"/>
        <w:sz w:val="24"/>
      </w:rPr>
    </w:lvl>
    <w:lvl w:ilvl="7">
      <w:numFmt w:val="bullet"/>
      <w:lvlText w:val="•"/>
      <w:lvlJc w:val="left"/>
      <w:pPr>
        <w:ind w:left="7110" w:hanging="480"/>
        <w:tab w:val="num" w:pos="7110"/>
      </w:pPr>
      <w:rPr>
        <w:rFonts w:ascii="Times New Roman" w:hAnsi="Times New Roman" w:cs="Times New Roman" w:eastAsia="Times New Roman"/>
        <w:sz w:val="24"/>
      </w:rPr>
    </w:lvl>
    <w:lvl w:ilvl="8">
      <w:numFmt w:val="bullet"/>
      <w:lvlText w:val="•"/>
      <w:lvlJc w:val="left"/>
      <w:pPr>
        <w:ind w:left="8205" w:hanging="480"/>
        <w:tab w:val="num" w:pos="8205"/>
      </w:pPr>
      <w:rPr>
        <w:rFonts w:ascii="Times New Roman" w:hAnsi="Times New Roman" w:cs="Times New Roman" w:eastAsia="Times New Roman"/>
        <w:sz w:val="24"/>
      </w:rPr>
    </w:lvl>
  </w:abstractNum>
  <w:abstractNum w:abstractNumId="34">
    <w:multiLevelType w:val="hybridMultilevel"/>
    <w:lvl w:ilvl="0">
      <w:numFmt w:val="upperRoman"/>
      <w:lvlText w:val="%1"/>
      <w:lvlJc w:val="left"/>
      <w:start w:val="1"/>
      <w:pPr>
        <w:ind w:left="270" w:hanging="105"/>
        <w:tab w:val="num" w:pos="270"/>
      </w:pPr>
      <w:rPr>
        <w:rFonts w:ascii="Arial MT" w:hAnsi="Arial MT" w:cs="Arial MT" w:eastAsia="Arial MT"/>
      </w:rPr>
    </w:lvl>
    <w:lvl w:ilvl="1">
      <w:numFmt w:val="bullet"/>
      <w:lvlText w:val="•"/>
      <w:lvlJc w:val="left"/>
      <w:pPr>
        <w:ind w:left="1275" w:hanging="105"/>
        <w:tab w:val="num" w:pos="1275"/>
      </w:pPr>
      <w:rPr>
        <w:rFonts w:ascii="Times New Roman" w:hAnsi="Times New Roman" w:cs="Times New Roman" w:eastAsia="Times New Roman"/>
        <w:sz w:val="24"/>
      </w:rPr>
    </w:lvl>
    <w:lvl w:ilvl="2">
      <w:numFmt w:val="bullet"/>
      <w:lvlText w:val="•"/>
      <w:lvlJc w:val="left"/>
      <w:pPr>
        <w:ind w:left="2295" w:hanging="105"/>
        <w:tab w:val="num" w:pos="2295"/>
      </w:pPr>
      <w:rPr>
        <w:rFonts w:ascii="Times New Roman" w:hAnsi="Times New Roman" w:cs="Times New Roman" w:eastAsia="Times New Roman"/>
        <w:sz w:val="24"/>
      </w:rPr>
    </w:lvl>
    <w:lvl w:ilvl="3">
      <w:numFmt w:val="bullet"/>
      <w:lvlText w:val="•"/>
      <w:lvlJc w:val="left"/>
      <w:pPr>
        <w:ind w:left="3300" w:hanging="105"/>
        <w:tab w:val="num" w:pos="3300"/>
      </w:pPr>
      <w:rPr>
        <w:rFonts w:ascii="Times New Roman" w:hAnsi="Times New Roman" w:cs="Times New Roman" w:eastAsia="Times New Roman"/>
        <w:sz w:val="24"/>
      </w:rPr>
    </w:lvl>
    <w:lvl w:ilvl="4">
      <w:numFmt w:val="bullet"/>
      <w:lvlText w:val="•"/>
      <w:lvlJc w:val="left"/>
      <w:pPr>
        <w:ind w:left="4320" w:hanging="105"/>
        <w:tab w:val="num" w:pos="4320"/>
      </w:pPr>
      <w:rPr>
        <w:rFonts w:ascii="Times New Roman" w:hAnsi="Times New Roman" w:cs="Times New Roman" w:eastAsia="Times New Roman"/>
        <w:sz w:val="24"/>
      </w:rPr>
    </w:lvl>
    <w:lvl w:ilvl="5">
      <w:numFmt w:val="bullet"/>
      <w:lvlText w:val="•"/>
      <w:lvlJc w:val="left"/>
      <w:pPr>
        <w:ind w:left="5340" w:hanging="105"/>
        <w:tab w:val="num" w:pos="5340"/>
      </w:pPr>
      <w:rPr>
        <w:rFonts w:ascii="Times New Roman" w:hAnsi="Times New Roman" w:cs="Times New Roman" w:eastAsia="Times New Roman"/>
        <w:sz w:val="24"/>
      </w:rPr>
    </w:lvl>
    <w:lvl w:ilvl="6">
      <w:numFmt w:val="bullet"/>
      <w:lvlText w:val="•"/>
      <w:lvlJc w:val="left"/>
      <w:pPr>
        <w:ind w:left="6345" w:hanging="105"/>
        <w:tab w:val="num" w:pos="6345"/>
      </w:pPr>
      <w:rPr>
        <w:rFonts w:ascii="Times New Roman" w:hAnsi="Times New Roman" w:cs="Times New Roman" w:eastAsia="Times New Roman"/>
        <w:sz w:val="24"/>
      </w:rPr>
    </w:lvl>
    <w:lvl w:ilvl="7">
      <w:numFmt w:val="bullet"/>
      <w:lvlText w:val="•"/>
      <w:lvlJc w:val="left"/>
      <w:pPr>
        <w:ind w:left="7365" w:hanging="105"/>
        <w:tab w:val="num" w:pos="7365"/>
      </w:pPr>
      <w:rPr>
        <w:rFonts w:ascii="Times New Roman" w:hAnsi="Times New Roman" w:cs="Times New Roman" w:eastAsia="Times New Roman"/>
        <w:sz w:val="24"/>
      </w:rPr>
    </w:lvl>
    <w:lvl w:ilvl="8">
      <w:numFmt w:val="bullet"/>
      <w:lvlText w:val="•"/>
      <w:lvlJc w:val="left"/>
      <w:pPr>
        <w:ind w:left="8370" w:hanging="105"/>
        <w:tab w:val="num" w:pos="8370"/>
      </w:pPr>
      <w:rPr>
        <w:rFonts w:ascii="Times New Roman" w:hAnsi="Times New Roman" w:cs="Times New Roman" w:eastAsia="Times New Roman"/>
        <w:sz w:val="24"/>
      </w:rPr>
    </w:lvl>
  </w:abstractNum>
  <w:abstractNum w:abstractNumId="35">
    <w:multiLevelType w:val="hybridMultilevel"/>
    <w:lvl w:ilvl="0">
      <w:numFmt w:val="lowerLetter"/>
      <w:lvlText w:val="%1)"/>
      <w:lvlJc w:val="left"/>
      <w:start w:val="1"/>
      <w:pPr>
        <w:ind w:left="1005" w:hanging="225"/>
        <w:tab w:val="num" w:pos="1005"/>
      </w:pPr>
      <w:rPr>
        <w:rFonts w:ascii="Times New Roman" w:hAnsi="Times New Roman" w:cs="Times New Roman" w:eastAsia="Times New Roman"/>
        <w:b/>
      </w:rPr>
    </w:lvl>
    <w:lvl w:ilvl="1">
      <w:numFmt w:val="bullet"/>
      <w:lvlText w:val="•"/>
      <w:lvlJc w:val="left"/>
      <w:pPr>
        <w:ind w:left="1935" w:hanging="225"/>
        <w:tab w:val="num" w:pos="1935"/>
      </w:pPr>
      <w:rPr>
        <w:rFonts w:ascii="Times New Roman" w:hAnsi="Times New Roman" w:cs="Times New Roman" w:eastAsia="Times New Roman"/>
        <w:sz w:val="24"/>
      </w:rPr>
    </w:lvl>
    <w:lvl w:ilvl="2">
      <w:numFmt w:val="bullet"/>
      <w:lvlText w:val="•"/>
      <w:lvlJc w:val="left"/>
      <w:pPr>
        <w:ind w:left="2880" w:hanging="225"/>
        <w:tab w:val="num" w:pos="2880"/>
      </w:pPr>
      <w:rPr>
        <w:rFonts w:ascii="Times New Roman" w:hAnsi="Times New Roman" w:cs="Times New Roman" w:eastAsia="Times New Roman"/>
        <w:sz w:val="24"/>
      </w:rPr>
    </w:lvl>
    <w:lvl w:ilvl="3">
      <w:numFmt w:val="bullet"/>
      <w:lvlText w:val="•"/>
      <w:lvlJc w:val="left"/>
      <w:pPr>
        <w:ind w:left="3825" w:hanging="225"/>
        <w:tab w:val="num" w:pos="3825"/>
      </w:pPr>
      <w:rPr>
        <w:rFonts w:ascii="Times New Roman" w:hAnsi="Times New Roman" w:cs="Times New Roman" w:eastAsia="Times New Roman"/>
        <w:sz w:val="24"/>
      </w:rPr>
    </w:lvl>
    <w:lvl w:ilvl="4">
      <w:numFmt w:val="bullet"/>
      <w:lvlText w:val="•"/>
      <w:lvlJc w:val="left"/>
      <w:pPr>
        <w:ind w:left="4755" w:hanging="225"/>
        <w:tab w:val="num" w:pos="4755"/>
      </w:pPr>
      <w:rPr>
        <w:rFonts w:ascii="Times New Roman" w:hAnsi="Times New Roman" w:cs="Times New Roman" w:eastAsia="Times New Roman"/>
        <w:sz w:val="24"/>
      </w:rPr>
    </w:lvl>
    <w:lvl w:ilvl="5">
      <w:numFmt w:val="bullet"/>
      <w:lvlText w:val="•"/>
      <w:lvlJc w:val="left"/>
      <w:pPr>
        <w:ind w:left="5700" w:hanging="225"/>
        <w:tab w:val="num" w:pos="5700"/>
      </w:pPr>
      <w:rPr>
        <w:rFonts w:ascii="Times New Roman" w:hAnsi="Times New Roman" w:cs="Times New Roman" w:eastAsia="Times New Roman"/>
        <w:sz w:val="24"/>
      </w:rPr>
    </w:lvl>
    <w:lvl w:ilvl="6">
      <w:numFmt w:val="bullet"/>
      <w:lvlText w:val="•"/>
      <w:lvlJc w:val="left"/>
      <w:pPr>
        <w:ind w:left="6645" w:hanging="225"/>
        <w:tab w:val="num" w:pos="6645"/>
      </w:pPr>
      <w:rPr>
        <w:rFonts w:ascii="Times New Roman" w:hAnsi="Times New Roman" w:cs="Times New Roman" w:eastAsia="Times New Roman"/>
        <w:sz w:val="24"/>
      </w:rPr>
    </w:lvl>
    <w:lvl w:ilvl="7">
      <w:numFmt w:val="bullet"/>
      <w:lvlText w:val="•"/>
      <w:lvlJc w:val="left"/>
      <w:pPr>
        <w:ind w:left="7590" w:hanging="225"/>
        <w:tab w:val="num" w:pos="7590"/>
      </w:pPr>
      <w:rPr>
        <w:rFonts w:ascii="Times New Roman" w:hAnsi="Times New Roman" w:cs="Times New Roman" w:eastAsia="Times New Roman"/>
        <w:sz w:val="24"/>
      </w:rPr>
    </w:lvl>
    <w:lvl w:ilvl="8">
      <w:numFmt w:val="bullet"/>
      <w:lvlText w:val="•"/>
      <w:lvlJc w:val="left"/>
      <w:pPr>
        <w:ind w:left="8520" w:hanging="225"/>
        <w:tab w:val="num" w:pos="8520"/>
      </w:pPr>
      <w:rPr>
        <w:rFonts w:ascii="Times New Roman" w:hAnsi="Times New Roman" w:cs="Times New Roman" w:eastAsia="Times New Roman"/>
        <w:sz w:val="24"/>
      </w:rPr>
    </w:lvl>
  </w:abstractNum>
  <w:abstractNum w:abstractNumId="36">
    <w:multiLevelType w:val="hybridMultilevel"/>
    <w:lvl w:ilvl="0">
      <w:numFmt w:val="decimal"/>
      <w:lvlText w:val="%1"/>
      <w:lvlJc w:val="left"/>
      <w:start w:val="2"/>
      <w:pPr>
        <w:ind w:left="1695" w:hanging="630"/>
        <w:tab w:val="num" w:pos="1695"/>
      </w:pPr>
      <w:rPr>
        <w:rFonts w:ascii="Times New Roman" w:hAnsi="Times New Roman" w:cs="Times New Roman" w:eastAsia="Times New Roman"/>
        <w:sz w:val="24"/>
      </w:rPr>
    </w:lvl>
    <w:lvl w:ilvl="1">
      <w:numFmt w:val="decimal"/>
      <w:lvlText w:val="%1.%2"/>
      <w:lvlJc w:val="left"/>
      <w:start w:val="4"/>
      <w:pPr>
        <w:ind w:left="1695" w:hanging="630"/>
        <w:tab w:val="num" w:pos="1695"/>
      </w:pPr>
      <w:rPr>
        <w:rFonts w:ascii="Times New Roman" w:hAnsi="Times New Roman" w:cs="Times New Roman" w:eastAsia="Times New Roman"/>
        <w:sz w:val="24"/>
      </w:rPr>
    </w:lvl>
    <w:lvl w:ilvl="2">
      <w:numFmt w:val="decimal"/>
      <w:lvlText w:val="%1.%2.%3"/>
      <w:lvlJc w:val="left"/>
      <w:start w:val="3"/>
      <w:pPr>
        <w:ind w:left="1695" w:hanging="630"/>
        <w:tab w:val="num" w:pos="1695"/>
      </w:pPr>
      <w:rPr>
        <w:rFonts w:ascii="Times New Roman" w:hAnsi="Times New Roman" w:cs="Times New Roman" w:eastAsia="Times New Roman"/>
        <w:sz w:val="24"/>
      </w:rPr>
    </w:lvl>
    <w:lvl w:ilvl="3">
      <w:numFmt w:val="decimal"/>
      <w:lvlText w:val="%1.%2.%3.%4"/>
      <w:lvlJc w:val="left"/>
      <w:start w:val="1"/>
      <w:pPr>
        <w:ind w:left="1695" w:hanging="630"/>
        <w:tab w:val="num" w:pos="1695"/>
      </w:pPr>
      <w:rPr>
        <w:rFonts w:ascii="Times New Roman" w:hAnsi="Times New Roman" w:cs="Times New Roman" w:eastAsia="Times New Roman"/>
        <w:b/>
      </w:rPr>
    </w:lvl>
    <w:lvl w:ilvl="4">
      <w:numFmt w:val="bullet"/>
      <w:lvlText w:val="•"/>
      <w:lvlJc w:val="left"/>
      <w:pPr>
        <w:ind w:left="5175" w:hanging="630"/>
        <w:tab w:val="num" w:pos="5175"/>
      </w:pPr>
      <w:rPr>
        <w:rFonts w:ascii="Times New Roman" w:hAnsi="Times New Roman" w:cs="Times New Roman" w:eastAsia="Times New Roman"/>
        <w:sz w:val="24"/>
      </w:rPr>
    </w:lvl>
    <w:lvl w:ilvl="5">
      <w:numFmt w:val="bullet"/>
      <w:lvlText w:val="•"/>
      <w:lvlJc w:val="left"/>
      <w:pPr>
        <w:ind w:left="6060" w:hanging="630"/>
        <w:tab w:val="num" w:pos="6060"/>
      </w:pPr>
      <w:rPr>
        <w:rFonts w:ascii="Times New Roman" w:hAnsi="Times New Roman" w:cs="Times New Roman" w:eastAsia="Times New Roman"/>
        <w:sz w:val="24"/>
      </w:rPr>
    </w:lvl>
    <w:lvl w:ilvl="6">
      <w:numFmt w:val="bullet"/>
      <w:lvlText w:val="•"/>
      <w:lvlJc w:val="left"/>
      <w:pPr>
        <w:ind w:left="6930" w:hanging="630"/>
        <w:tab w:val="num" w:pos="6930"/>
      </w:pPr>
      <w:rPr>
        <w:rFonts w:ascii="Times New Roman" w:hAnsi="Times New Roman" w:cs="Times New Roman" w:eastAsia="Times New Roman"/>
        <w:sz w:val="24"/>
      </w:rPr>
    </w:lvl>
    <w:lvl w:ilvl="7">
      <w:numFmt w:val="bullet"/>
      <w:lvlText w:val="•"/>
      <w:lvlJc w:val="left"/>
      <w:pPr>
        <w:ind w:left="7800" w:hanging="630"/>
        <w:tab w:val="num" w:pos="7800"/>
      </w:pPr>
      <w:rPr>
        <w:rFonts w:ascii="Times New Roman" w:hAnsi="Times New Roman" w:cs="Times New Roman" w:eastAsia="Times New Roman"/>
        <w:sz w:val="24"/>
      </w:rPr>
    </w:lvl>
    <w:lvl w:ilvl="8">
      <w:numFmt w:val="bullet"/>
      <w:lvlText w:val="•"/>
      <w:lvlJc w:val="left"/>
      <w:pPr>
        <w:ind w:left="8670" w:hanging="630"/>
        <w:tab w:val="num" w:pos="8670"/>
      </w:pPr>
      <w:rPr>
        <w:rFonts w:ascii="Times New Roman" w:hAnsi="Times New Roman" w:cs="Times New Roman" w:eastAsia="Times New Roman"/>
        <w:sz w:val="24"/>
      </w:rPr>
    </w:lvl>
  </w:abstractNum>
  <w:abstractNum w:abstractNumId="37">
    <w:multiLevelType w:val="hybridMultilevel"/>
    <w:lvl w:ilvl="0">
      <w:numFmt w:val="decimal"/>
      <w:lvlText w:val="%1"/>
      <w:lvlJc w:val="left"/>
      <w:start w:val="6"/>
      <w:pPr>
        <w:ind w:left="480" w:hanging="315"/>
        <w:tab w:val="num" w:pos="480"/>
      </w:pPr>
      <w:rPr>
        <w:rFonts w:ascii="Times New Roman" w:hAnsi="Times New Roman" w:cs="Times New Roman" w:eastAsia="Times New Roman"/>
        <w:sz w:val="24"/>
      </w:rPr>
    </w:lvl>
    <w:lvl w:ilvl="1">
      <w:numFmt w:val="decimal"/>
      <w:lvlText w:val="%1.%2"/>
      <w:lvlJc w:val="left"/>
      <w:start w:val="6"/>
      <w:pPr>
        <w:ind w:left="480" w:hanging="315"/>
        <w:tab w:val="num" w:pos="480"/>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decimal"/>
      <w:lvlText w:val="%1.%2.%3.%4"/>
      <w:lvlJc w:val="left"/>
      <w:start w:val="1"/>
      <w:pPr>
        <w:ind w:left="1695" w:hanging="630"/>
        <w:tab w:val="num" w:pos="1695"/>
      </w:pPr>
      <w:rPr>
        <w:rFonts w:ascii="Times New Roman" w:hAnsi="Times New Roman" w:cs="Times New Roman" w:eastAsia="Times New Roman"/>
        <w:b/>
      </w:rPr>
    </w:lvl>
    <w:lvl w:ilvl="4">
      <w:numFmt w:val="bullet"/>
      <w:lvlText w:val="•"/>
      <w:lvlJc w:val="left"/>
      <w:pPr>
        <w:ind w:left="2940" w:hanging="630"/>
        <w:tab w:val="num" w:pos="2940"/>
      </w:pPr>
      <w:rPr>
        <w:rFonts w:ascii="Times New Roman" w:hAnsi="Times New Roman" w:cs="Times New Roman" w:eastAsia="Times New Roman"/>
        <w:sz w:val="24"/>
      </w:rPr>
    </w:lvl>
    <w:lvl w:ilvl="5">
      <w:numFmt w:val="bullet"/>
      <w:lvlText w:val="•"/>
      <w:lvlJc w:val="left"/>
      <w:pPr>
        <w:ind w:left="4185" w:hanging="630"/>
        <w:tab w:val="num" w:pos="4185"/>
      </w:pPr>
      <w:rPr>
        <w:rFonts w:ascii="Times New Roman" w:hAnsi="Times New Roman" w:cs="Times New Roman" w:eastAsia="Times New Roman"/>
        <w:sz w:val="24"/>
      </w:rPr>
    </w:lvl>
    <w:lvl w:ilvl="6">
      <w:numFmt w:val="bullet"/>
      <w:lvlText w:val="•"/>
      <w:lvlJc w:val="left"/>
      <w:pPr>
        <w:ind w:left="5430" w:hanging="630"/>
        <w:tab w:val="num" w:pos="5430"/>
      </w:pPr>
      <w:rPr>
        <w:rFonts w:ascii="Times New Roman" w:hAnsi="Times New Roman" w:cs="Times New Roman" w:eastAsia="Times New Roman"/>
        <w:sz w:val="24"/>
      </w:rPr>
    </w:lvl>
    <w:lvl w:ilvl="7">
      <w:numFmt w:val="bullet"/>
      <w:lvlText w:val="•"/>
      <w:lvlJc w:val="left"/>
      <w:pPr>
        <w:ind w:left="6675" w:hanging="630"/>
        <w:tab w:val="num" w:pos="6675"/>
      </w:pPr>
      <w:rPr>
        <w:rFonts w:ascii="Times New Roman" w:hAnsi="Times New Roman" w:cs="Times New Roman" w:eastAsia="Times New Roman"/>
        <w:sz w:val="24"/>
      </w:rPr>
    </w:lvl>
    <w:lvl w:ilvl="8">
      <w:numFmt w:val="bullet"/>
      <w:lvlText w:val="•"/>
      <w:lvlJc w:val="left"/>
      <w:pPr>
        <w:ind w:left="7920" w:hanging="630"/>
        <w:tab w:val="num" w:pos="7920"/>
      </w:pPr>
      <w:rPr>
        <w:rFonts w:ascii="Times New Roman" w:hAnsi="Times New Roman" w:cs="Times New Roman" w:eastAsia="Times New Roman"/>
        <w:sz w:val="24"/>
      </w:rPr>
    </w:lvl>
  </w:abstractNum>
  <w:abstractNum w:abstractNumId="38">
    <w:multiLevelType w:val="hybridMultilevel"/>
    <w:lvl w:ilvl="0">
      <w:numFmt w:val="upperRoman"/>
      <w:lvlText w:val="%1"/>
      <w:lvlJc w:val="left"/>
      <w:start w:val="8"/>
      <w:pPr>
        <w:ind w:left="165" w:firstLine="0"/>
        <w:tab w:val="num" w:pos="165"/>
      </w:pPr>
      <w:rPr>
        <w:rFonts w:ascii="Arial MT" w:hAnsi="Arial MT" w:cs="Arial MT" w:eastAsia="Arial MT"/>
      </w:rPr>
    </w:lvl>
    <w:lvl w:ilvl="1">
      <w:numFmt w:val="lowerLetter"/>
      <w:lvlText w:val="%2)"/>
      <w:lvlJc w:val="left"/>
      <w:start w:val="1"/>
      <w:pPr>
        <w:ind w:left="900" w:hanging="225"/>
        <w:tab w:val="num" w:pos="900"/>
      </w:pPr>
      <w:rPr>
        <w:rFonts w:ascii="Arial MT" w:hAnsi="Arial MT" w:cs="Arial MT" w:eastAsia="Arial MT"/>
      </w:rPr>
    </w:lvl>
    <w:lvl w:ilvl="2">
      <w:numFmt w:val="bullet"/>
      <w:lvlText w:val="•"/>
      <w:lvlJc w:val="left"/>
      <w:pPr>
        <w:ind w:left="1950" w:hanging="225"/>
        <w:tab w:val="num" w:pos="1950"/>
      </w:pPr>
      <w:rPr>
        <w:rFonts w:ascii="Times New Roman" w:hAnsi="Times New Roman" w:cs="Times New Roman" w:eastAsia="Times New Roman"/>
        <w:sz w:val="24"/>
      </w:rPr>
    </w:lvl>
    <w:lvl w:ilvl="3">
      <w:numFmt w:val="bullet"/>
      <w:lvlText w:val="•"/>
      <w:lvlJc w:val="left"/>
      <w:pPr>
        <w:ind w:left="3015" w:hanging="225"/>
        <w:tab w:val="num" w:pos="3015"/>
      </w:pPr>
      <w:rPr>
        <w:rFonts w:ascii="Times New Roman" w:hAnsi="Times New Roman" w:cs="Times New Roman" w:eastAsia="Times New Roman"/>
        <w:sz w:val="24"/>
      </w:rPr>
    </w:lvl>
    <w:lvl w:ilvl="4">
      <w:numFmt w:val="bullet"/>
      <w:lvlText w:val="•"/>
      <w:lvlJc w:val="left"/>
      <w:pPr>
        <w:ind w:left="4065" w:hanging="225"/>
        <w:tab w:val="num" w:pos="4065"/>
      </w:pPr>
      <w:rPr>
        <w:rFonts w:ascii="Times New Roman" w:hAnsi="Times New Roman" w:cs="Times New Roman" w:eastAsia="Times New Roman"/>
        <w:sz w:val="24"/>
      </w:rPr>
    </w:lvl>
    <w:lvl w:ilvl="5">
      <w:numFmt w:val="bullet"/>
      <w:lvlText w:val="•"/>
      <w:lvlJc w:val="left"/>
      <w:pPr>
        <w:ind w:left="5130" w:hanging="225"/>
        <w:tab w:val="num" w:pos="5130"/>
      </w:pPr>
      <w:rPr>
        <w:rFonts w:ascii="Times New Roman" w:hAnsi="Times New Roman" w:cs="Times New Roman" w:eastAsia="Times New Roman"/>
        <w:sz w:val="24"/>
      </w:rPr>
    </w:lvl>
    <w:lvl w:ilvl="6">
      <w:numFmt w:val="bullet"/>
      <w:lvlText w:val="•"/>
      <w:lvlJc w:val="left"/>
      <w:pPr>
        <w:ind w:left="6180" w:hanging="225"/>
        <w:tab w:val="num" w:pos="6180"/>
      </w:pPr>
      <w:rPr>
        <w:rFonts w:ascii="Times New Roman" w:hAnsi="Times New Roman" w:cs="Times New Roman" w:eastAsia="Times New Roman"/>
        <w:sz w:val="24"/>
      </w:rPr>
    </w:lvl>
    <w:lvl w:ilvl="7">
      <w:numFmt w:val="bullet"/>
      <w:lvlText w:val="•"/>
      <w:lvlJc w:val="left"/>
      <w:pPr>
        <w:ind w:left="7230" w:hanging="225"/>
        <w:tab w:val="num" w:pos="7230"/>
      </w:pPr>
      <w:rPr>
        <w:rFonts w:ascii="Times New Roman" w:hAnsi="Times New Roman" w:cs="Times New Roman" w:eastAsia="Times New Roman"/>
        <w:sz w:val="24"/>
      </w:rPr>
    </w:lvl>
    <w:lvl w:ilvl="8">
      <w:numFmt w:val="bullet"/>
      <w:lvlText w:val="•"/>
      <w:lvlJc w:val="left"/>
      <w:pPr>
        <w:ind w:left="8295" w:hanging="225"/>
        <w:tab w:val="num" w:pos="8295"/>
      </w:pPr>
      <w:rPr>
        <w:rFonts w:ascii="Times New Roman" w:hAnsi="Times New Roman" w:cs="Times New Roman" w:eastAsia="Times New Roman"/>
        <w:sz w:val="24"/>
      </w:rPr>
    </w:lvl>
  </w:abstractNum>
  <w:abstractNum w:abstractNumId="39">
    <w:multiLevelType w:val="hybridMultilevel"/>
    <w:lvl w:ilvl="0">
      <w:numFmt w:val="lowerLetter"/>
      <w:lvlText w:val="%1)"/>
      <w:lvlJc w:val="left"/>
      <w:start w:val="1"/>
      <w:pPr>
        <w:ind w:left="780" w:firstLine="0"/>
        <w:tab w:val="num" w:pos="780"/>
      </w:pPr>
      <w:rPr>
        <w:rFonts w:ascii="Times New Roman" w:hAnsi="Times New Roman" w:cs="Times New Roman" w:eastAsia="Times New Roman"/>
        <w:b/>
      </w:rPr>
    </w:lvl>
    <w:lvl w:ilvl="1">
      <w:numFmt w:val="decimal"/>
      <w:lvlText w:val="%1.%2)"/>
      <w:lvlJc w:val="left"/>
      <w:start w:val="1"/>
      <w:pPr>
        <w:ind w:left="1065" w:firstLine="0"/>
        <w:tab w:val="num" w:pos="1065"/>
      </w:pPr>
      <w:rPr>
        <w:rFonts w:ascii="Times New Roman" w:hAnsi="Times New Roman" w:cs="Times New Roman" w:eastAsia="Times New Roman"/>
        <w:b/>
      </w:rPr>
    </w:lvl>
    <w:lvl w:ilvl="2">
      <w:numFmt w:val="decimal"/>
      <w:lvlText w:val="%1.%2.%3)"/>
      <w:lvlJc w:val="left"/>
      <w:start w:val="1"/>
      <w:pPr>
        <w:ind w:left="1350" w:firstLine="0"/>
        <w:tab w:val="num" w:pos="1350"/>
      </w:pPr>
      <w:rPr>
        <w:rFonts w:ascii="Times New Roman" w:hAnsi="Times New Roman" w:cs="Times New Roman" w:eastAsia="Times New Roman"/>
        <w:b/>
      </w:rPr>
    </w:lvl>
    <w:lvl w:ilvl="3">
      <w:numFmt w:val="bullet"/>
      <w:lvlText w:val="•"/>
      <w:lvlJc w:val="left"/>
      <w:pPr>
        <w:ind w:left="2490" w:hanging="570"/>
        <w:tab w:val="num" w:pos="2490"/>
      </w:pPr>
      <w:rPr>
        <w:rFonts w:ascii="Times New Roman" w:hAnsi="Times New Roman" w:cs="Times New Roman" w:eastAsia="Times New Roman"/>
        <w:sz w:val="24"/>
      </w:rPr>
    </w:lvl>
    <w:lvl w:ilvl="4">
      <w:numFmt w:val="bullet"/>
      <w:lvlText w:val="•"/>
      <w:lvlJc w:val="left"/>
      <w:pPr>
        <w:ind w:left="3615" w:hanging="570"/>
        <w:tab w:val="num" w:pos="3615"/>
      </w:pPr>
      <w:rPr>
        <w:rFonts w:ascii="Times New Roman" w:hAnsi="Times New Roman" w:cs="Times New Roman" w:eastAsia="Times New Roman"/>
        <w:sz w:val="24"/>
      </w:rPr>
    </w:lvl>
    <w:lvl w:ilvl="5">
      <w:numFmt w:val="bullet"/>
      <w:lvlText w:val="•"/>
      <w:lvlJc w:val="left"/>
      <w:pPr>
        <w:ind w:left="4755" w:hanging="570"/>
        <w:tab w:val="num" w:pos="4755"/>
      </w:pPr>
      <w:rPr>
        <w:rFonts w:ascii="Times New Roman" w:hAnsi="Times New Roman" w:cs="Times New Roman" w:eastAsia="Times New Roman"/>
        <w:sz w:val="24"/>
      </w:rPr>
    </w:lvl>
    <w:lvl w:ilvl="6">
      <w:numFmt w:val="bullet"/>
      <w:lvlText w:val="•"/>
      <w:lvlJc w:val="left"/>
      <w:pPr>
        <w:ind w:left="5880" w:hanging="570"/>
        <w:tab w:val="num" w:pos="5880"/>
      </w:pPr>
      <w:rPr>
        <w:rFonts w:ascii="Times New Roman" w:hAnsi="Times New Roman" w:cs="Times New Roman" w:eastAsia="Times New Roman"/>
        <w:sz w:val="24"/>
      </w:rPr>
    </w:lvl>
    <w:lvl w:ilvl="7">
      <w:numFmt w:val="bullet"/>
      <w:lvlText w:val="•"/>
      <w:lvlJc w:val="left"/>
      <w:pPr>
        <w:ind w:left="7020" w:hanging="570"/>
        <w:tab w:val="num" w:pos="7020"/>
      </w:pPr>
      <w:rPr>
        <w:rFonts w:ascii="Times New Roman" w:hAnsi="Times New Roman" w:cs="Times New Roman" w:eastAsia="Times New Roman"/>
        <w:sz w:val="24"/>
      </w:rPr>
    </w:lvl>
    <w:lvl w:ilvl="8">
      <w:numFmt w:val="bullet"/>
      <w:lvlText w:val="•"/>
      <w:lvlJc w:val="left"/>
      <w:pPr>
        <w:ind w:left="8145" w:hanging="570"/>
        <w:tab w:val="num" w:pos="8145"/>
      </w:pPr>
      <w:rPr>
        <w:rFonts w:ascii="Times New Roman" w:hAnsi="Times New Roman" w:cs="Times New Roman" w:eastAsia="Times New Roman"/>
        <w:sz w:val="24"/>
      </w:rPr>
    </w:lvl>
  </w:abstractNum>
  <w:abstractNum w:abstractNumId="40">
    <w:multiLevelType w:val="hybridMultilevel"/>
    <w:lvl w:ilvl="0">
      <w:numFmt w:val="decimal"/>
      <w:lvlText w:val="%1"/>
      <w:lvlJc w:val="left"/>
      <w:start w:val="3"/>
      <w:pPr>
        <w:ind w:left="480" w:hanging="315"/>
        <w:tab w:val="num" w:pos="480"/>
      </w:pPr>
      <w:rPr>
        <w:rFonts w:ascii="Times New Roman" w:hAnsi="Times New Roman" w:cs="Times New Roman" w:eastAsia="Times New Roman"/>
        <w:sz w:val="24"/>
      </w:rPr>
    </w:lvl>
    <w:lvl w:ilvl="1">
      <w:numFmt w:val="decimal"/>
      <w:lvlText w:val="%1.%2"/>
      <w:lvlJc w:val="left"/>
      <w:start w:val="1"/>
      <w:pPr>
        <w:ind w:left="480" w:hanging="315"/>
        <w:tab w:val="num" w:pos="480"/>
      </w:pPr>
      <w:rPr>
        <w:rFonts w:ascii="Times New Roman" w:hAnsi="Times New Roman" w:cs="Times New Roman" w:eastAsia="Times New Roman"/>
        <w:b/>
      </w:rPr>
    </w:lvl>
    <w:lvl w:ilvl="2">
      <w:numFmt w:val="decimal"/>
      <w:lvlText w:val="%1.%2.%3"/>
      <w:lvlJc w:val="left"/>
      <w:start w:val="1"/>
      <w:pPr>
        <w:ind w:left="975" w:hanging="480"/>
        <w:tab w:val="num" w:pos="975"/>
      </w:pPr>
      <w:rPr>
        <w:rFonts w:ascii="Times New Roman" w:hAnsi="Times New Roman" w:cs="Times New Roman" w:eastAsia="Times New Roman"/>
        <w:b/>
      </w:rPr>
    </w:lvl>
    <w:lvl w:ilvl="3">
      <w:numFmt w:val="bullet"/>
      <w:lvlText w:val="•"/>
      <w:lvlJc w:val="left"/>
      <w:pPr>
        <w:ind w:left="3075" w:hanging="480"/>
        <w:tab w:val="num" w:pos="3075"/>
      </w:pPr>
      <w:rPr>
        <w:rFonts w:ascii="Times New Roman" w:hAnsi="Times New Roman" w:cs="Times New Roman" w:eastAsia="Times New Roman"/>
        <w:sz w:val="24"/>
      </w:rPr>
    </w:lvl>
    <w:lvl w:ilvl="4">
      <w:numFmt w:val="bullet"/>
      <w:lvlText w:val="•"/>
      <w:lvlJc w:val="left"/>
      <w:pPr>
        <w:ind w:left="4125" w:hanging="480"/>
        <w:tab w:val="num" w:pos="4125"/>
      </w:pPr>
      <w:rPr>
        <w:rFonts w:ascii="Times New Roman" w:hAnsi="Times New Roman" w:cs="Times New Roman" w:eastAsia="Times New Roman"/>
        <w:sz w:val="24"/>
      </w:rPr>
    </w:lvl>
    <w:lvl w:ilvl="5">
      <w:numFmt w:val="bullet"/>
      <w:lvlText w:val="•"/>
      <w:lvlJc w:val="left"/>
      <w:pPr>
        <w:ind w:left="5175" w:hanging="480"/>
        <w:tab w:val="num" w:pos="5175"/>
      </w:pPr>
      <w:rPr>
        <w:rFonts w:ascii="Times New Roman" w:hAnsi="Times New Roman" w:cs="Times New Roman" w:eastAsia="Times New Roman"/>
        <w:sz w:val="24"/>
      </w:rPr>
    </w:lvl>
    <w:lvl w:ilvl="6">
      <w:numFmt w:val="bullet"/>
      <w:lvlText w:val="•"/>
      <w:lvlJc w:val="left"/>
      <w:pPr>
        <w:ind w:left="6210" w:hanging="480"/>
        <w:tab w:val="num" w:pos="6210"/>
      </w:pPr>
      <w:rPr>
        <w:rFonts w:ascii="Times New Roman" w:hAnsi="Times New Roman" w:cs="Times New Roman" w:eastAsia="Times New Roman"/>
        <w:sz w:val="24"/>
      </w:rPr>
    </w:lvl>
    <w:lvl w:ilvl="7">
      <w:numFmt w:val="bullet"/>
      <w:lvlText w:val="•"/>
      <w:lvlJc w:val="left"/>
      <w:pPr>
        <w:ind w:left="7260" w:hanging="480"/>
        <w:tab w:val="num" w:pos="7260"/>
      </w:pPr>
      <w:rPr>
        <w:rFonts w:ascii="Times New Roman" w:hAnsi="Times New Roman" w:cs="Times New Roman" w:eastAsia="Times New Roman"/>
        <w:sz w:val="24"/>
      </w:rPr>
    </w:lvl>
    <w:lvl w:ilvl="8">
      <w:numFmt w:val="bullet"/>
      <w:lvlText w:val="•"/>
      <w:lvlJc w:val="left"/>
      <w:pPr>
        <w:ind w:left="8310" w:hanging="480"/>
        <w:tab w:val="num" w:pos="8310"/>
      </w:pPr>
      <w:rPr>
        <w:rFonts w:ascii="Times New Roman" w:hAnsi="Times New Roman" w:cs="Times New Roman" w:eastAsia="Times New Roman"/>
        <w:sz w:val="24"/>
      </w:rPr>
    </w:lvl>
  </w:abstractNum>
  <w:abstractNum w:abstractNumId="41">
    <w:multiLevelType w:val="hybridMultilevel"/>
    <w:lvl w:ilvl="0">
      <w:numFmt w:val="decimal"/>
      <w:lvlText w:val="%1"/>
      <w:lvlJc w:val="left"/>
      <w:start w:val="6"/>
      <w:pPr>
        <w:ind w:left="495" w:hanging="555"/>
        <w:tab w:val="num" w:pos="495"/>
      </w:pPr>
      <w:rPr>
        <w:rFonts w:ascii="Times New Roman" w:hAnsi="Times New Roman" w:cs="Times New Roman" w:eastAsia="Times New Roman"/>
        <w:sz w:val="24"/>
      </w:rPr>
    </w:lvl>
    <w:lvl w:ilvl="1">
      <w:numFmt w:val="decimal"/>
      <w:lvlText w:val="%1.%2"/>
      <w:lvlJc w:val="left"/>
      <w:start w:val="2"/>
      <w:pPr>
        <w:ind w:left="495" w:hanging="555"/>
        <w:tab w:val="num" w:pos="495"/>
      </w:pPr>
      <w:rPr>
        <w:rFonts w:ascii="Times New Roman" w:hAnsi="Times New Roman" w:cs="Times New Roman" w:eastAsia="Times New Roman"/>
        <w:sz w:val="24"/>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3465" w:hanging="555"/>
        <w:tab w:val="num" w:pos="3465"/>
      </w:pPr>
      <w:rPr>
        <w:rFonts w:ascii="Times New Roman" w:hAnsi="Times New Roman" w:cs="Times New Roman" w:eastAsia="Times New Roman"/>
        <w:sz w:val="24"/>
      </w:rPr>
    </w:lvl>
    <w:lvl w:ilvl="4">
      <w:numFmt w:val="bullet"/>
      <w:lvlText w:val="•"/>
      <w:lvlJc w:val="left"/>
      <w:pPr>
        <w:ind w:left="4455" w:hanging="555"/>
        <w:tab w:val="num" w:pos="4455"/>
      </w:pPr>
      <w:rPr>
        <w:rFonts w:ascii="Times New Roman" w:hAnsi="Times New Roman" w:cs="Times New Roman" w:eastAsia="Times New Roman"/>
        <w:sz w:val="24"/>
      </w:rPr>
    </w:lvl>
    <w:lvl w:ilvl="5">
      <w:numFmt w:val="bullet"/>
      <w:lvlText w:val="•"/>
      <w:lvlJc w:val="left"/>
      <w:pPr>
        <w:ind w:left="5460" w:hanging="555"/>
        <w:tab w:val="num" w:pos="5460"/>
      </w:pPr>
      <w:rPr>
        <w:rFonts w:ascii="Times New Roman" w:hAnsi="Times New Roman" w:cs="Times New Roman" w:eastAsia="Times New Roman"/>
        <w:sz w:val="24"/>
      </w:rPr>
    </w:lvl>
    <w:lvl w:ilvl="6">
      <w:numFmt w:val="bullet"/>
      <w:lvlText w:val="•"/>
      <w:lvlJc w:val="left"/>
      <w:pPr>
        <w:ind w:left="6450" w:hanging="555"/>
        <w:tab w:val="num" w:pos="6450"/>
      </w:pPr>
      <w:rPr>
        <w:rFonts w:ascii="Times New Roman" w:hAnsi="Times New Roman" w:cs="Times New Roman" w:eastAsia="Times New Roman"/>
        <w:sz w:val="24"/>
      </w:rPr>
    </w:lvl>
    <w:lvl w:ilvl="7">
      <w:numFmt w:val="bullet"/>
      <w:lvlText w:val="•"/>
      <w:lvlJc w:val="left"/>
      <w:pPr>
        <w:ind w:left="7440" w:hanging="555"/>
        <w:tab w:val="num" w:pos="7440"/>
      </w:pPr>
      <w:rPr>
        <w:rFonts w:ascii="Times New Roman" w:hAnsi="Times New Roman" w:cs="Times New Roman" w:eastAsia="Times New Roman"/>
        <w:sz w:val="24"/>
      </w:rPr>
    </w:lvl>
    <w:lvl w:ilvl="8">
      <w:numFmt w:val="bullet"/>
      <w:lvlText w:val="•"/>
      <w:lvlJc w:val="left"/>
      <w:pPr>
        <w:ind w:left="8430" w:hanging="555"/>
        <w:tab w:val="num" w:pos="8430"/>
      </w:pPr>
      <w:rPr>
        <w:rFonts w:ascii="Times New Roman" w:hAnsi="Times New Roman" w:cs="Times New Roman" w:eastAsia="Times New Roman"/>
        <w:sz w:val="24"/>
      </w:rPr>
    </w:lvl>
  </w:abstractNum>
  <w:abstractNum w:abstractNumId="42">
    <w:multiLevelType w:val="hybridMultilevel"/>
    <w:lvl w:ilvl="0">
      <w:numFmt w:val="decimal"/>
      <w:lvlText w:val="%1"/>
      <w:lvlJc w:val="left"/>
      <w:start w:val="13"/>
      <w:pPr>
        <w:ind w:left="165" w:hanging="435"/>
        <w:tab w:val="num" w:pos="165"/>
      </w:pPr>
      <w:rPr>
        <w:rFonts w:ascii="Times New Roman" w:hAnsi="Times New Roman" w:cs="Times New Roman" w:eastAsia="Times New Roman"/>
        <w:sz w:val="24"/>
      </w:rPr>
    </w:lvl>
    <w:lvl w:ilvl="1">
      <w:numFmt w:val="decimal"/>
      <w:lvlText w:val="%1.%2"/>
      <w:lvlJc w:val="left"/>
      <w:start w:val="6"/>
      <w:pPr>
        <w:ind w:left="165" w:firstLine="0"/>
        <w:tab w:val="num" w:pos="165"/>
      </w:pPr>
      <w:rPr>
        <w:rFonts w:ascii="Times New Roman" w:hAnsi="Times New Roman" w:cs="Times New Roman" w:eastAsia="Times New Roman"/>
        <w:b/>
      </w:rPr>
    </w:lvl>
    <w:lvl w:ilvl="2">
      <w:numFmt w:val="decimal"/>
      <w:lvlText w:val="%1.%2.%3"/>
      <w:lvlJc w:val="left"/>
      <w:start w:val="1"/>
      <w:pPr>
        <w:ind w:left="840" w:hanging="675"/>
        <w:tab w:val="num" w:pos="840"/>
      </w:pPr>
      <w:rPr>
        <w:rFonts w:ascii="Arial MT" w:hAnsi="Arial MT" w:cs="Arial MT" w:eastAsia="Arial MT"/>
      </w:rPr>
    </w:lvl>
    <w:lvl w:ilvl="3">
      <w:numFmt w:val="bullet"/>
      <w:lvlText w:val="•"/>
      <w:lvlJc w:val="left"/>
      <w:pPr>
        <w:ind w:left="2970" w:hanging="690"/>
        <w:tab w:val="num" w:pos="2970"/>
      </w:pPr>
      <w:rPr>
        <w:rFonts w:ascii="Times New Roman" w:hAnsi="Times New Roman" w:cs="Times New Roman" w:eastAsia="Times New Roman"/>
        <w:sz w:val="24"/>
      </w:rPr>
    </w:lvl>
    <w:lvl w:ilvl="4">
      <w:numFmt w:val="bullet"/>
      <w:lvlText w:val="•"/>
      <w:lvlJc w:val="left"/>
      <w:pPr>
        <w:ind w:left="4035" w:hanging="690"/>
        <w:tab w:val="num" w:pos="4035"/>
      </w:pPr>
      <w:rPr>
        <w:rFonts w:ascii="Times New Roman" w:hAnsi="Times New Roman" w:cs="Times New Roman" w:eastAsia="Times New Roman"/>
        <w:sz w:val="24"/>
      </w:rPr>
    </w:lvl>
    <w:lvl w:ilvl="5">
      <w:numFmt w:val="bullet"/>
      <w:lvlText w:val="•"/>
      <w:lvlJc w:val="left"/>
      <w:pPr>
        <w:ind w:left="5085" w:hanging="690"/>
        <w:tab w:val="num" w:pos="5085"/>
      </w:pPr>
      <w:rPr>
        <w:rFonts w:ascii="Times New Roman" w:hAnsi="Times New Roman" w:cs="Times New Roman" w:eastAsia="Times New Roman"/>
        <w:sz w:val="24"/>
      </w:rPr>
    </w:lvl>
    <w:lvl w:ilvl="6">
      <w:numFmt w:val="bullet"/>
      <w:lvlText w:val="•"/>
      <w:lvlJc w:val="left"/>
      <w:pPr>
        <w:ind w:left="6150" w:hanging="690"/>
        <w:tab w:val="num" w:pos="6150"/>
      </w:pPr>
      <w:rPr>
        <w:rFonts w:ascii="Times New Roman" w:hAnsi="Times New Roman" w:cs="Times New Roman" w:eastAsia="Times New Roman"/>
        <w:sz w:val="24"/>
      </w:rPr>
    </w:lvl>
    <w:lvl w:ilvl="7">
      <w:numFmt w:val="bullet"/>
      <w:lvlText w:val="•"/>
      <w:lvlJc w:val="left"/>
      <w:pPr>
        <w:ind w:left="7215" w:hanging="690"/>
        <w:tab w:val="num" w:pos="7215"/>
      </w:pPr>
      <w:rPr>
        <w:rFonts w:ascii="Times New Roman" w:hAnsi="Times New Roman" w:cs="Times New Roman" w:eastAsia="Times New Roman"/>
        <w:sz w:val="24"/>
      </w:rPr>
    </w:lvl>
    <w:lvl w:ilvl="8">
      <w:numFmt w:val="bullet"/>
      <w:lvlText w:val="•"/>
      <w:lvlJc w:val="left"/>
      <w:pPr>
        <w:ind w:left="8280" w:hanging="690"/>
        <w:tab w:val="num" w:pos="8280"/>
      </w:pPr>
      <w:rPr>
        <w:rFonts w:ascii="Times New Roman" w:hAnsi="Times New Roman" w:cs="Times New Roman" w:eastAsia="Times New Roman"/>
        <w:sz w:val="24"/>
      </w:rPr>
    </w:lvl>
  </w:abstractNum>
  <w:abstractNum w:abstractNumId="43">
    <w:multiLevelType w:val="hybridMultilevel"/>
    <w:lvl w:ilvl="0">
      <w:numFmt w:val="upperRoman"/>
      <w:lvlText w:val="%1"/>
      <w:lvlJc w:val="left"/>
      <w:start w:val="1"/>
      <w:pPr>
        <w:ind w:left="165" w:firstLine="0"/>
        <w:tab w:val="num" w:pos="165"/>
      </w:pPr>
      <w:rPr>
        <w:rFonts w:ascii="Arial MT" w:hAnsi="Arial MT" w:cs="Arial MT" w:eastAsia="Arial MT"/>
      </w:rPr>
    </w:lvl>
    <w:lvl w:ilvl="1">
      <w:numFmt w:val="bullet"/>
      <w:lvlText w:val="•"/>
      <w:lvlJc w:val="left"/>
      <w:pPr>
        <w:ind w:left="1185" w:hanging="150"/>
        <w:tab w:val="num" w:pos="1185"/>
      </w:pPr>
      <w:rPr>
        <w:rFonts w:ascii="Times New Roman" w:hAnsi="Times New Roman" w:cs="Times New Roman" w:eastAsia="Times New Roman"/>
        <w:sz w:val="24"/>
      </w:rPr>
    </w:lvl>
    <w:lvl w:ilvl="2">
      <w:numFmt w:val="bullet"/>
      <w:lvlText w:val="•"/>
      <w:lvlJc w:val="left"/>
      <w:pPr>
        <w:ind w:left="2205" w:hanging="150"/>
        <w:tab w:val="num" w:pos="2205"/>
      </w:pPr>
      <w:rPr>
        <w:rFonts w:ascii="Times New Roman" w:hAnsi="Times New Roman" w:cs="Times New Roman" w:eastAsia="Times New Roman"/>
        <w:sz w:val="24"/>
      </w:rPr>
    </w:lvl>
    <w:lvl w:ilvl="3">
      <w:numFmt w:val="bullet"/>
      <w:lvlText w:val="•"/>
      <w:lvlJc w:val="left"/>
      <w:pPr>
        <w:ind w:left="3240" w:hanging="150"/>
        <w:tab w:val="num" w:pos="3240"/>
      </w:pPr>
      <w:rPr>
        <w:rFonts w:ascii="Times New Roman" w:hAnsi="Times New Roman" w:cs="Times New Roman" w:eastAsia="Times New Roman"/>
        <w:sz w:val="24"/>
      </w:rPr>
    </w:lvl>
    <w:lvl w:ilvl="4">
      <w:numFmt w:val="bullet"/>
      <w:lvlText w:val="•"/>
      <w:lvlJc w:val="left"/>
      <w:pPr>
        <w:ind w:left="4260" w:hanging="150"/>
        <w:tab w:val="num" w:pos="4260"/>
      </w:pPr>
      <w:rPr>
        <w:rFonts w:ascii="Times New Roman" w:hAnsi="Times New Roman" w:cs="Times New Roman" w:eastAsia="Times New Roman"/>
        <w:sz w:val="24"/>
      </w:rPr>
    </w:lvl>
    <w:lvl w:ilvl="5">
      <w:numFmt w:val="bullet"/>
      <w:lvlText w:val="•"/>
      <w:lvlJc w:val="left"/>
      <w:pPr>
        <w:ind w:left="5280" w:hanging="150"/>
        <w:tab w:val="num" w:pos="5280"/>
      </w:pPr>
      <w:rPr>
        <w:rFonts w:ascii="Times New Roman" w:hAnsi="Times New Roman" w:cs="Times New Roman" w:eastAsia="Times New Roman"/>
        <w:sz w:val="24"/>
      </w:rPr>
    </w:lvl>
    <w:lvl w:ilvl="6">
      <w:numFmt w:val="bullet"/>
      <w:lvlText w:val="•"/>
      <w:lvlJc w:val="left"/>
      <w:pPr>
        <w:ind w:left="6300" w:hanging="150"/>
        <w:tab w:val="num" w:pos="6300"/>
      </w:pPr>
      <w:rPr>
        <w:rFonts w:ascii="Times New Roman" w:hAnsi="Times New Roman" w:cs="Times New Roman" w:eastAsia="Times New Roman"/>
        <w:sz w:val="24"/>
      </w:rPr>
    </w:lvl>
    <w:lvl w:ilvl="7">
      <w:numFmt w:val="bullet"/>
      <w:lvlText w:val="•"/>
      <w:lvlJc w:val="left"/>
      <w:pPr>
        <w:ind w:left="7335" w:hanging="150"/>
        <w:tab w:val="num" w:pos="7335"/>
      </w:pPr>
      <w:rPr>
        <w:rFonts w:ascii="Times New Roman" w:hAnsi="Times New Roman" w:cs="Times New Roman" w:eastAsia="Times New Roman"/>
        <w:sz w:val="24"/>
      </w:rPr>
    </w:lvl>
    <w:lvl w:ilvl="8">
      <w:numFmt w:val="bullet"/>
      <w:lvlText w:val="•"/>
      <w:lvlJc w:val="left"/>
      <w:pPr>
        <w:ind w:left="8355" w:hanging="150"/>
        <w:tab w:val="num" w:pos="8355"/>
      </w:pPr>
      <w:rPr>
        <w:rFonts w:ascii="Times New Roman" w:hAnsi="Times New Roman" w:cs="Times New Roman" w:eastAsia="Times New Roman"/>
        <w:sz w:val="24"/>
      </w:rPr>
    </w:lvl>
  </w:abstractNum>
  <w:abstractNum w:abstractNumId="44">
    <w:multiLevelType w:val="hybridMultilevel"/>
    <w:lvl w:ilvl="0">
      <w:numFmt w:val="lowerLetter"/>
      <w:lvlText w:val="%1)"/>
      <w:lvlJc w:val="left"/>
      <w:start w:val="1"/>
      <w:pPr>
        <w:ind w:left="1140" w:hanging="210"/>
        <w:tab w:val="num" w:pos="1140"/>
      </w:pPr>
      <w:rPr>
        <w:rFonts w:ascii="Arial MT" w:hAnsi="Arial MT" w:cs="Arial MT" w:eastAsia="Arial MT"/>
      </w:rPr>
    </w:lvl>
    <w:lvl w:ilvl="1">
      <w:numFmt w:val="bullet"/>
      <w:lvlText w:val="•"/>
      <w:lvlJc w:val="left"/>
      <w:pPr>
        <w:ind w:left="2070" w:hanging="225"/>
        <w:tab w:val="num" w:pos="2070"/>
      </w:pPr>
      <w:rPr>
        <w:rFonts w:ascii="Times New Roman" w:hAnsi="Times New Roman" w:cs="Times New Roman" w:eastAsia="Times New Roman"/>
        <w:sz w:val="24"/>
      </w:rPr>
    </w:lvl>
    <w:lvl w:ilvl="2">
      <w:numFmt w:val="bullet"/>
      <w:lvlText w:val="•"/>
      <w:lvlJc w:val="left"/>
      <w:pPr>
        <w:ind w:left="3000" w:hanging="225"/>
        <w:tab w:val="num" w:pos="3000"/>
      </w:pPr>
      <w:rPr>
        <w:rFonts w:ascii="Times New Roman" w:hAnsi="Times New Roman" w:cs="Times New Roman" w:eastAsia="Times New Roman"/>
        <w:sz w:val="24"/>
      </w:rPr>
    </w:lvl>
    <w:lvl w:ilvl="3">
      <w:numFmt w:val="bullet"/>
      <w:lvlText w:val="•"/>
      <w:lvlJc w:val="left"/>
      <w:pPr>
        <w:ind w:left="3915" w:hanging="225"/>
        <w:tab w:val="num" w:pos="3915"/>
      </w:pPr>
      <w:rPr>
        <w:rFonts w:ascii="Times New Roman" w:hAnsi="Times New Roman" w:cs="Times New Roman" w:eastAsia="Times New Roman"/>
        <w:sz w:val="24"/>
      </w:rPr>
    </w:lvl>
    <w:lvl w:ilvl="4">
      <w:numFmt w:val="bullet"/>
      <w:lvlText w:val="•"/>
      <w:lvlJc w:val="left"/>
      <w:pPr>
        <w:ind w:left="4845" w:hanging="225"/>
        <w:tab w:val="num" w:pos="4845"/>
      </w:pPr>
      <w:rPr>
        <w:rFonts w:ascii="Times New Roman" w:hAnsi="Times New Roman" w:cs="Times New Roman" w:eastAsia="Times New Roman"/>
        <w:sz w:val="24"/>
      </w:rPr>
    </w:lvl>
    <w:lvl w:ilvl="5">
      <w:numFmt w:val="bullet"/>
      <w:lvlText w:val="•"/>
      <w:lvlJc w:val="left"/>
      <w:pPr>
        <w:ind w:left="5775" w:hanging="225"/>
        <w:tab w:val="num" w:pos="5775"/>
      </w:pPr>
      <w:rPr>
        <w:rFonts w:ascii="Times New Roman" w:hAnsi="Times New Roman" w:cs="Times New Roman" w:eastAsia="Times New Roman"/>
        <w:sz w:val="24"/>
      </w:rPr>
    </w:lvl>
    <w:lvl w:ilvl="6">
      <w:numFmt w:val="bullet"/>
      <w:lvlText w:val="•"/>
      <w:lvlJc w:val="left"/>
      <w:pPr>
        <w:ind w:left="6705" w:hanging="225"/>
        <w:tab w:val="num" w:pos="6705"/>
      </w:pPr>
      <w:rPr>
        <w:rFonts w:ascii="Times New Roman" w:hAnsi="Times New Roman" w:cs="Times New Roman" w:eastAsia="Times New Roman"/>
        <w:sz w:val="24"/>
      </w:rPr>
    </w:lvl>
    <w:lvl w:ilvl="7">
      <w:numFmt w:val="bullet"/>
      <w:lvlText w:val="•"/>
      <w:lvlJc w:val="left"/>
      <w:pPr>
        <w:ind w:left="7620" w:hanging="225"/>
        <w:tab w:val="num" w:pos="7620"/>
      </w:pPr>
      <w:rPr>
        <w:rFonts w:ascii="Times New Roman" w:hAnsi="Times New Roman" w:cs="Times New Roman" w:eastAsia="Times New Roman"/>
        <w:sz w:val="24"/>
      </w:rPr>
    </w:lvl>
    <w:lvl w:ilvl="8">
      <w:numFmt w:val="bullet"/>
      <w:lvlText w:val="•"/>
      <w:lvlJc w:val="left"/>
      <w:pPr>
        <w:ind w:left="8550" w:hanging="225"/>
        <w:tab w:val="num" w:pos="8550"/>
      </w:pPr>
      <w:rPr>
        <w:rFonts w:ascii="Times New Roman" w:hAnsi="Times New Roman" w:cs="Times New Roman" w:eastAsia="Times New Roman"/>
        <w:sz w:val="24"/>
      </w:rPr>
    </w:lvl>
  </w:abstractNum>
  <w:abstractNum w:abstractNumId="45">
    <w:multiLevelType w:val="hybridMultilevel"/>
    <w:lvl w:ilvl="0">
      <w:numFmt w:val="decimal"/>
      <w:lvlText w:val="%1"/>
      <w:lvlJc w:val="left"/>
      <w:start w:val="7"/>
      <w:pPr>
        <w:ind w:left="480" w:hanging="315"/>
        <w:tab w:val="num" w:pos="480"/>
      </w:pPr>
      <w:rPr>
        <w:rFonts w:ascii="Times New Roman" w:hAnsi="Times New Roman" w:cs="Times New Roman" w:eastAsia="Times New Roman"/>
        <w:sz w:val="24"/>
      </w:rPr>
    </w:lvl>
    <w:lvl w:ilvl="1">
      <w:numFmt w:val="decimal"/>
      <w:lvlText w:val="%1.%2"/>
      <w:lvlJc w:val="left"/>
      <w:start w:val="1"/>
      <w:pPr>
        <w:ind w:left="480" w:hanging="315"/>
        <w:tab w:val="num" w:pos="480"/>
      </w:pPr>
      <w:rPr>
        <w:rFonts w:ascii="Times New Roman" w:hAnsi="Times New Roman" w:cs="Times New Roman" w:eastAsia="Times New Roman"/>
        <w:b/>
      </w:rPr>
    </w:lvl>
    <w:lvl w:ilvl="2">
      <w:numFmt w:val="lowerLetter"/>
      <w:lvlText w:val="%3)"/>
      <w:lvlJc w:val="left"/>
      <w:start w:val="1"/>
      <w:pPr>
        <w:ind w:left="1005" w:hanging="225"/>
        <w:tab w:val="num" w:pos="1005"/>
      </w:pPr>
      <w:rPr>
        <w:rFonts w:ascii="Times New Roman" w:hAnsi="Times New Roman" w:cs="Times New Roman" w:eastAsia="Times New Roman"/>
        <w:b/>
        <w:sz w:val="24"/>
      </w:rPr>
    </w:lvl>
    <w:lvl w:ilvl="3">
      <w:numFmt w:val="bullet"/>
      <w:lvlText w:val="•"/>
      <w:lvlJc w:val="left"/>
      <w:pPr>
        <w:ind w:left="3090" w:hanging="225"/>
        <w:tab w:val="num" w:pos="3090"/>
      </w:pPr>
      <w:rPr>
        <w:rFonts w:ascii="Times New Roman" w:hAnsi="Times New Roman" w:cs="Times New Roman" w:eastAsia="Times New Roman"/>
        <w:sz w:val="24"/>
      </w:rPr>
    </w:lvl>
    <w:lvl w:ilvl="4">
      <w:numFmt w:val="bullet"/>
      <w:lvlText w:val="•"/>
      <w:lvlJc w:val="left"/>
      <w:pPr>
        <w:ind w:left="4140" w:hanging="225"/>
        <w:tab w:val="num" w:pos="4140"/>
      </w:pPr>
      <w:rPr>
        <w:rFonts w:ascii="Times New Roman" w:hAnsi="Times New Roman" w:cs="Times New Roman" w:eastAsia="Times New Roman"/>
        <w:sz w:val="24"/>
      </w:rPr>
    </w:lvl>
    <w:lvl w:ilvl="5">
      <w:numFmt w:val="bullet"/>
      <w:lvlText w:val="•"/>
      <w:lvlJc w:val="left"/>
      <w:pPr>
        <w:ind w:left="5175" w:hanging="225"/>
        <w:tab w:val="num" w:pos="5175"/>
      </w:pPr>
      <w:rPr>
        <w:rFonts w:ascii="Times New Roman" w:hAnsi="Times New Roman" w:cs="Times New Roman" w:eastAsia="Times New Roman"/>
        <w:sz w:val="24"/>
      </w:rPr>
    </w:lvl>
    <w:lvl w:ilvl="6">
      <w:numFmt w:val="bullet"/>
      <w:lvlText w:val="•"/>
      <w:lvlJc w:val="left"/>
      <w:pPr>
        <w:ind w:left="6225" w:hanging="225"/>
        <w:tab w:val="num" w:pos="6225"/>
      </w:pPr>
      <w:rPr>
        <w:rFonts w:ascii="Times New Roman" w:hAnsi="Times New Roman" w:cs="Times New Roman" w:eastAsia="Times New Roman"/>
        <w:sz w:val="24"/>
      </w:rPr>
    </w:lvl>
    <w:lvl w:ilvl="7">
      <w:numFmt w:val="bullet"/>
      <w:lvlText w:val="•"/>
      <w:lvlJc w:val="left"/>
      <w:pPr>
        <w:ind w:left="7275" w:hanging="225"/>
        <w:tab w:val="num" w:pos="7275"/>
      </w:pPr>
      <w:rPr>
        <w:rFonts w:ascii="Times New Roman" w:hAnsi="Times New Roman" w:cs="Times New Roman" w:eastAsia="Times New Roman"/>
        <w:sz w:val="24"/>
      </w:rPr>
    </w:lvl>
    <w:lvl w:ilvl="8">
      <w:numFmt w:val="bullet"/>
      <w:lvlText w:val="•"/>
      <w:lvlJc w:val="left"/>
      <w:pPr>
        <w:ind w:left="8310" w:hanging="225"/>
        <w:tab w:val="num" w:pos="8310"/>
      </w:pPr>
      <w:rPr>
        <w:rFonts w:ascii="Times New Roman" w:hAnsi="Times New Roman" w:cs="Times New Roman" w:eastAsia="Times New Roman"/>
        <w:sz w:val="24"/>
      </w:rPr>
    </w:lvl>
  </w:abstractNum>
  <w:abstractNum w:abstractNumId="46">
    <w:multiLevelType w:val="hybridMultilevel"/>
    <w:lvl w:ilvl="0">
      <w:numFmt w:val="decimal"/>
      <w:lvlText w:val="%1"/>
      <w:lvlJc w:val="left"/>
      <w:start w:val="5"/>
      <w:pPr>
        <w:ind w:left="165" w:hanging="345"/>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2160" w:hanging="480"/>
        <w:tab w:val="num" w:pos="2160"/>
      </w:pPr>
      <w:rPr>
        <w:rFonts w:ascii="Times New Roman" w:hAnsi="Times New Roman" w:cs="Times New Roman" w:eastAsia="Times New Roman"/>
        <w:sz w:val="24"/>
      </w:rPr>
    </w:lvl>
    <w:lvl w:ilvl="4">
      <w:numFmt w:val="bullet"/>
      <w:lvlText w:val="•"/>
      <w:lvlJc w:val="left"/>
      <w:pPr>
        <w:ind w:left="3330" w:hanging="480"/>
        <w:tab w:val="num" w:pos="3330"/>
      </w:pPr>
      <w:rPr>
        <w:rFonts w:ascii="Times New Roman" w:hAnsi="Times New Roman" w:cs="Times New Roman" w:eastAsia="Times New Roman"/>
        <w:sz w:val="24"/>
      </w:rPr>
    </w:lvl>
    <w:lvl w:ilvl="5">
      <w:numFmt w:val="bullet"/>
      <w:lvlText w:val="•"/>
      <w:lvlJc w:val="left"/>
      <w:pPr>
        <w:ind w:left="4515" w:hanging="480"/>
        <w:tab w:val="num" w:pos="4515"/>
      </w:pPr>
      <w:rPr>
        <w:rFonts w:ascii="Times New Roman" w:hAnsi="Times New Roman" w:cs="Times New Roman" w:eastAsia="Times New Roman"/>
        <w:sz w:val="24"/>
      </w:rPr>
    </w:lvl>
    <w:lvl w:ilvl="6">
      <w:numFmt w:val="bullet"/>
      <w:lvlText w:val="•"/>
      <w:lvlJc w:val="left"/>
      <w:pPr>
        <w:ind w:left="5700" w:hanging="480"/>
        <w:tab w:val="num" w:pos="5700"/>
      </w:pPr>
      <w:rPr>
        <w:rFonts w:ascii="Times New Roman" w:hAnsi="Times New Roman" w:cs="Times New Roman" w:eastAsia="Times New Roman"/>
        <w:sz w:val="24"/>
      </w:rPr>
    </w:lvl>
    <w:lvl w:ilvl="7">
      <w:numFmt w:val="bullet"/>
      <w:lvlText w:val="•"/>
      <w:lvlJc w:val="left"/>
      <w:pPr>
        <w:ind w:left="6870" w:hanging="480"/>
        <w:tab w:val="num" w:pos="6870"/>
      </w:pPr>
      <w:rPr>
        <w:rFonts w:ascii="Times New Roman" w:hAnsi="Times New Roman" w:cs="Times New Roman" w:eastAsia="Times New Roman"/>
        <w:sz w:val="24"/>
      </w:rPr>
    </w:lvl>
    <w:lvl w:ilvl="8">
      <w:numFmt w:val="bullet"/>
      <w:lvlText w:val="•"/>
      <w:lvlJc w:val="left"/>
      <w:pPr>
        <w:ind w:left="8055" w:hanging="480"/>
        <w:tab w:val="num" w:pos="8055"/>
      </w:pPr>
      <w:rPr>
        <w:rFonts w:ascii="Times New Roman" w:hAnsi="Times New Roman" w:cs="Times New Roman" w:eastAsia="Times New Roman"/>
        <w:sz w:val="24"/>
      </w:rPr>
    </w:lvl>
  </w:abstractNum>
  <w:abstractNum w:abstractNumId="47">
    <w:multiLevelType w:val="hybridMultilevel"/>
    <w:lvl w:ilvl="0">
      <w:numFmt w:val="decimal"/>
      <w:lvlText w:val="%1"/>
      <w:lvlJc w:val="left"/>
      <w:start w:val="5"/>
      <w:pPr>
        <w:ind w:left="165" w:hanging="345"/>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2160" w:hanging="480"/>
        <w:tab w:val="num" w:pos="2160"/>
      </w:pPr>
      <w:rPr>
        <w:rFonts w:ascii="Times New Roman" w:hAnsi="Times New Roman" w:cs="Times New Roman" w:eastAsia="Times New Roman"/>
        <w:sz w:val="24"/>
      </w:rPr>
    </w:lvl>
    <w:lvl w:ilvl="4">
      <w:numFmt w:val="bullet"/>
      <w:lvlText w:val="•"/>
      <w:lvlJc w:val="left"/>
      <w:pPr>
        <w:ind w:left="3330" w:hanging="480"/>
        <w:tab w:val="num" w:pos="3330"/>
      </w:pPr>
      <w:rPr>
        <w:rFonts w:ascii="Times New Roman" w:hAnsi="Times New Roman" w:cs="Times New Roman" w:eastAsia="Times New Roman"/>
        <w:sz w:val="24"/>
      </w:rPr>
    </w:lvl>
    <w:lvl w:ilvl="5">
      <w:numFmt w:val="bullet"/>
      <w:lvlText w:val="•"/>
      <w:lvlJc w:val="left"/>
      <w:pPr>
        <w:ind w:left="4515" w:hanging="480"/>
        <w:tab w:val="num" w:pos="4515"/>
      </w:pPr>
      <w:rPr>
        <w:rFonts w:ascii="Times New Roman" w:hAnsi="Times New Roman" w:cs="Times New Roman" w:eastAsia="Times New Roman"/>
        <w:sz w:val="24"/>
      </w:rPr>
    </w:lvl>
    <w:lvl w:ilvl="6">
      <w:numFmt w:val="bullet"/>
      <w:lvlText w:val="•"/>
      <w:lvlJc w:val="left"/>
      <w:pPr>
        <w:ind w:left="5700" w:hanging="480"/>
        <w:tab w:val="num" w:pos="5700"/>
      </w:pPr>
      <w:rPr>
        <w:rFonts w:ascii="Times New Roman" w:hAnsi="Times New Roman" w:cs="Times New Roman" w:eastAsia="Times New Roman"/>
        <w:sz w:val="24"/>
      </w:rPr>
    </w:lvl>
    <w:lvl w:ilvl="7">
      <w:numFmt w:val="bullet"/>
      <w:lvlText w:val="•"/>
      <w:lvlJc w:val="left"/>
      <w:pPr>
        <w:ind w:left="6870" w:hanging="480"/>
        <w:tab w:val="num" w:pos="6870"/>
      </w:pPr>
      <w:rPr>
        <w:rFonts w:ascii="Times New Roman" w:hAnsi="Times New Roman" w:cs="Times New Roman" w:eastAsia="Times New Roman"/>
        <w:sz w:val="24"/>
      </w:rPr>
    </w:lvl>
    <w:lvl w:ilvl="8">
      <w:numFmt w:val="bullet"/>
      <w:lvlText w:val="•"/>
      <w:lvlJc w:val="left"/>
      <w:pPr>
        <w:ind w:left="8055" w:hanging="480"/>
        <w:tab w:val="num" w:pos="8055"/>
      </w:pPr>
      <w:rPr>
        <w:rFonts w:ascii="Times New Roman" w:hAnsi="Times New Roman" w:cs="Times New Roman" w:eastAsia="Times New Roman"/>
        <w:sz w:val="24"/>
      </w:rPr>
    </w:lvl>
  </w:abstractNum>
  <w:abstractNum w:abstractNumId="48">
    <w:multiLevelType w:val="hybridMultilevel"/>
    <w:lvl w:ilvl="0">
      <w:numFmt w:val="decimal"/>
      <w:lvlText w:val="%1"/>
      <w:lvlJc w:val="left"/>
      <w:start w:val="11"/>
      <w:pPr>
        <w:ind w:left="165" w:hanging="465"/>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rPr>
    </w:lvl>
    <w:lvl w:ilvl="2">
      <w:numFmt w:val="decimal"/>
      <w:lvlText w:val="%1.%2.%3"/>
      <w:lvlJc w:val="left"/>
      <w:start w:val="1"/>
      <w:pPr>
        <w:ind w:left="495" w:firstLine="0"/>
        <w:tab w:val="num" w:pos="495"/>
      </w:pPr>
      <w:rPr>
        <w:rFonts w:ascii="Times New Roman" w:hAnsi="Times New Roman" w:cs="Times New Roman" w:eastAsia="Times New Roman"/>
        <w:b/>
      </w:rPr>
    </w:lvl>
    <w:lvl w:ilvl="3">
      <w:numFmt w:val="bullet"/>
      <w:lvlText w:val="•"/>
      <w:lvlJc w:val="left"/>
      <w:pPr>
        <w:ind w:left="2700" w:hanging="585"/>
        <w:tab w:val="num" w:pos="2700"/>
      </w:pPr>
      <w:rPr>
        <w:rFonts w:ascii="Times New Roman" w:hAnsi="Times New Roman" w:cs="Times New Roman" w:eastAsia="Times New Roman"/>
        <w:sz w:val="24"/>
      </w:rPr>
    </w:lvl>
    <w:lvl w:ilvl="4">
      <w:numFmt w:val="bullet"/>
      <w:lvlText w:val="•"/>
      <w:lvlJc w:val="left"/>
      <w:pPr>
        <w:ind w:left="3795" w:hanging="585"/>
        <w:tab w:val="num" w:pos="3795"/>
      </w:pPr>
      <w:rPr>
        <w:rFonts w:ascii="Times New Roman" w:hAnsi="Times New Roman" w:cs="Times New Roman" w:eastAsia="Times New Roman"/>
        <w:sz w:val="24"/>
      </w:rPr>
    </w:lvl>
    <w:lvl w:ilvl="5">
      <w:numFmt w:val="bullet"/>
      <w:lvlText w:val="•"/>
      <w:lvlJc w:val="left"/>
      <w:pPr>
        <w:ind w:left="4905" w:hanging="585"/>
        <w:tab w:val="num" w:pos="4905"/>
      </w:pPr>
      <w:rPr>
        <w:rFonts w:ascii="Times New Roman" w:hAnsi="Times New Roman" w:cs="Times New Roman" w:eastAsia="Times New Roman"/>
        <w:sz w:val="24"/>
      </w:rPr>
    </w:lvl>
    <w:lvl w:ilvl="6">
      <w:numFmt w:val="bullet"/>
      <w:lvlText w:val="•"/>
      <w:lvlJc w:val="left"/>
      <w:pPr>
        <w:ind w:left="6000" w:hanging="585"/>
        <w:tab w:val="num" w:pos="6000"/>
      </w:pPr>
      <w:rPr>
        <w:rFonts w:ascii="Times New Roman" w:hAnsi="Times New Roman" w:cs="Times New Roman" w:eastAsia="Times New Roman"/>
        <w:sz w:val="24"/>
      </w:rPr>
    </w:lvl>
    <w:lvl w:ilvl="7">
      <w:numFmt w:val="bullet"/>
      <w:lvlText w:val="•"/>
      <w:lvlJc w:val="left"/>
      <w:pPr>
        <w:ind w:left="7110" w:hanging="585"/>
        <w:tab w:val="num" w:pos="7110"/>
      </w:pPr>
      <w:rPr>
        <w:rFonts w:ascii="Times New Roman" w:hAnsi="Times New Roman" w:cs="Times New Roman" w:eastAsia="Times New Roman"/>
        <w:sz w:val="24"/>
      </w:rPr>
    </w:lvl>
    <w:lvl w:ilvl="8">
      <w:numFmt w:val="bullet"/>
      <w:lvlText w:val="•"/>
      <w:lvlJc w:val="left"/>
      <w:pPr>
        <w:ind w:left="8205" w:hanging="585"/>
        <w:tab w:val="num" w:pos="8205"/>
      </w:pPr>
      <w:rPr>
        <w:rFonts w:ascii="Times New Roman" w:hAnsi="Times New Roman" w:cs="Times New Roman" w:eastAsia="Times New Roman"/>
        <w:sz w:val="24"/>
      </w:rPr>
    </w:lvl>
  </w:abstractNum>
  <w:abstractNum w:abstractNumId="49">
    <w:multiLevelType w:val="hybridMultilevel"/>
    <w:lvl w:ilvl="0">
      <w:numFmt w:val="decimal"/>
      <w:lvlText w:val="%1"/>
      <w:lvlJc w:val="left"/>
      <w:start w:val="6"/>
      <w:pPr>
        <w:ind w:left="165" w:hanging="345"/>
        <w:tab w:val="num" w:pos="165"/>
      </w:pPr>
      <w:rPr>
        <w:rFonts w:ascii="Times New Roman" w:hAnsi="Times New Roman" w:cs="Times New Roman" w:eastAsia="Times New Roman"/>
        <w:sz w:val="24"/>
      </w:rPr>
    </w:lvl>
    <w:lvl w:ilvl="1">
      <w:numFmt w:val="decimal"/>
      <w:lvlText w:val="%1.%2"/>
      <w:lvlJc w:val="left"/>
      <w:start w:val="1"/>
      <w:pPr>
        <w:ind w:left="165" w:firstLine="0"/>
        <w:tab w:val="num" w:pos="165"/>
      </w:pPr>
      <w:rPr>
        <w:rFonts w:ascii="Times New Roman" w:hAnsi="Times New Roman" w:cs="Times New Roman" w:eastAsia="Times New Roman"/>
        <w:b/>
        <w:sz w:val="24"/>
      </w:rPr>
    </w:lvl>
    <w:lvl w:ilvl="2">
      <w:numFmt w:val="lowerLetter"/>
      <w:lvlText w:val="%3)"/>
      <w:lvlJc w:val="left"/>
      <w:start w:val="1"/>
      <w:pPr>
        <w:ind w:left="1005" w:hanging="225"/>
        <w:tab w:val="num" w:pos="1005"/>
      </w:pPr>
      <w:rPr>
        <w:rFonts w:ascii="Times New Roman" w:hAnsi="Times New Roman" w:cs="Times New Roman" w:eastAsia="Times New Roman"/>
        <w:b/>
      </w:rPr>
    </w:lvl>
    <w:lvl w:ilvl="3">
      <w:numFmt w:val="bullet"/>
      <w:lvlText w:val="•"/>
      <w:lvlJc w:val="left"/>
      <w:pPr>
        <w:ind w:left="3090" w:hanging="225"/>
        <w:tab w:val="num" w:pos="3090"/>
      </w:pPr>
      <w:rPr>
        <w:rFonts w:ascii="Times New Roman" w:hAnsi="Times New Roman" w:cs="Times New Roman" w:eastAsia="Times New Roman"/>
        <w:sz w:val="24"/>
      </w:rPr>
    </w:lvl>
    <w:lvl w:ilvl="4">
      <w:numFmt w:val="bullet"/>
      <w:lvlText w:val="•"/>
      <w:lvlJc w:val="left"/>
      <w:pPr>
        <w:ind w:left="4140" w:hanging="225"/>
        <w:tab w:val="num" w:pos="4140"/>
      </w:pPr>
      <w:rPr>
        <w:rFonts w:ascii="Times New Roman" w:hAnsi="Times New Roman" w:cs="Times New Roman" w:eastAsia="Times New Roman"/>
        <w:sz w:val="24"/>
      </w:rPr>
    </w:lvl>
    <w:lvl w:ilvl="5">
      <w:numFmt w:val="bullet"/>
      <w:lvlText w:val="•"/>
      <w:lvlJc w:val="left"/>
      <w:pPr>
        <w:ind w:left="5175" w:hanging="225"/>
        <w:tab w:val="num" w:pos="5175"/>
      </w:pPr>
      <w:rPr>
        <w:rFonts w:ascii="Times New Roman" w:hAnsi="Times New Roman" w:cs="Times New Roman" w:eastAsia="Times New Roman"/>
        <w:sz w:val="24"/>
      </w:rPr>
    </w:lvl>
    <w:lvl w:ilvl="6">
      <w:numFmt w:val="bullet"/>
      <w:lvlText w:val="•"/>
      <w:lvlJc w:val="left"/>
      <w:pPr>
        <w:ind w:left="6225" w:hanging="225"/>
        <w:tab w:val="num" w:pos="6225"/>
      </w:pPr>
      <w:rPr>
        <w:rFonts w:ascii="Times New Roman" w:hAnsi="Times New Roman" w:cs="Times New Roman" w:eastAsia="Times New Roman"/>
        <w:sz w:val="24"/>
      </w:rPr>
    </w:lvl>
    <w:lvl w:ilvl="7">
      <w:numFmt w:val="bullet"/>
      <w:lvlText w:val="•"/>
      <w:lvlJc w:val="left"/>
      <w:pPr>
        <w:ind w:left="7275" w:hanging="225"/>
        <w:tab w:val="num" w:pos="7275"/>
      </w:pPr>
      <w:rPr>
        <w:rFonts w:ascii="Times New Roman" w:hAnsi="Times New Roman" w:cs="Times New Roman" w:eastAsia="Times New Roman"/>
        <w:sz w:val="24"/>
      </w:rPr>
    </w:lvl>
    <w:lvl w:ilvl="8">
      <w:numFmt w:val="bullet"/>
      <w:lvlText w:val="•"/>
      <w:lvlJc w:val="left"/>
      <w:pPr>
        <w:ind w:left="8310" w:hanging="225"/>
        <w:tab w:val="num" w:pos="8310"/>
      </w:pPr>
      <w:rPr>
        <w:rFonts w:ascii="Times New Roman" w:hAnsi="Times New Roman" w:cs="Times New Roman" w:eastAsia="Times New Roman"/>
        <w:sz w:val="24"/>
      </w:rPr>
    </w:lvl>
  </w:abstractNum>
  <w:abstractNum w:abstractNumId="50">
    <w:multiLevelType w:val="multilevel"/>
    <w:lvl w:ilvl="0">
      <w:numFmt w:val="bullet"/>
      <w:lvlText w:val="-"/>
      <w:lvlJc w:val="left"/>
      <w:pPr>
        <w:ind w:left="720" w:hanging="360"/>
        <w:tab w:val="num" w:pos="720"/>
      </w:pPr>
      <w:rPr>
        <w:rFonts w:ascii="Times New Roman" w:hAnsi="Times New Roman" w:cs="Times New Roman" w:eastAsia="Times New Roman"/>
        <w:sz w:val="24"/>
      </w:rPr>
    </w:lvl>
    <w:lvl w:ilvl="1">
      <w:numFmt w:val="bullet"/>
      <w:lvlText w:val="o"/>
      <w:lvlJc w:val="left"/>
      <w:pPr>
        <w:ind w:left="1440" w:hanging="360"/>
        <w:tab w:val="num" w:pos="1440"/>
      </w:pPr>
      <w:rPr>
        <w:rFonts w:ascii="Courier New" w:hAnsi="Courier New" w:cs="Courier New" w:eastAsia="Courier New"/>
        <w:sz w:val="24"/>
      </w:rPr>
    </w:lvl>
    <w:lvl w:ilvl="2">
      <w:numFmt w:val="bullet"/>
      <w:lvlText w:val="§"/>
      <w:lvlJc w:val="left"/>
      <w:pPr>
        <w:ind w:left="2160" w:hanging="360"/>
        <w:tab w:val="num" w:pos="2160"/>
      </w:pPr>
      <w:rPr>
        <w:rFonts w:ascii="Wingdings" w:hAnsi="Wingdings" w:cs="Wingdings" w:eastAsia="Wingdings"/>
        <w:sz w:val="24"/>
      </w:rPr>
    </w:lvl>
    <w:lvl w:ilvl="3">
      <w:numFmt w:val="bullet"/>
      <w:lvlText w:val="·"/>
      <w:lvlJc w:val="left"/>
      <w:pPr>
        <w:ind w:left="2880" w:hanging="360"/>
        <w:tab w:val="num" w:pos="2880"/>
      </w:pPr>
      <w:rPr>
        <w:rFonts w:ascii="Symbol" w:hAnsi="Symbol" w:cs="Symbol" w:eastAsia="Symbol"/>
        <w:sz w:val="24"/>
      </w:rPr>
    </w:lvl>
    <w:lvl w:ilvl="4">
      <w:numFmt w:val="bullet"/>
      <w:lvlText w:val="o"/>
      <w:lvlJc w:val="left"/>
      <w:pPr>
        <w:ind w:left="3600" w:hanging="360"/>
        <w:tab w:val="num" w:pos="3600"/>
      </w:pPr>
      <w:rPr>
        <w:rFonts w:ascii="Courier New" w:hAnsi="Courier New" w:cs="Courier New" w:eastAsia="Courier New"/>
        <w:sz w:val="24"/>
      </w:rPr>
    </w:lvl>
    <w:lvl w:ilvl="5">
      <w:numFmt w:val="bullet"/>
      <w:lvlText w:val="§"/>
      <w:lvlJc w:val="left"/>
      <w:pPr>
        <w:ind w:left="4320" w:hanging="360"/>
        <w:tab w:val="num" w:pos="4320"/>
      </w:pPr>
      <w:rPr>
        <w:rFonts w:ascii="Wingdings" w:hAnsi="Wingdings" w:cs="Wingdings" w:eastAsia="Wingdings"/>
        <w:sz w:val="24"/>
      </w:rPr>
    </w:lvl>
    <w:lvl w:ilvl="6">
      <w:numFmt w:val="bullet"/>
      <w:lvlText w:val="·"/>
      <w:lvlJc w:val="left"/>
      <w:pPr>
        <w:ind w:left="5040" w:hanging="360"/>
        <w:tab w:val="num" w:pos="5040"/>
      </w:pPr>
      <w:rPr>
        <w:rFonts w:ascii="Symbol" w:hAnsi="Symbol" w:cs="Symbol" w:eastAsia="Symbol"/>
        <w:sz w:val="24"/>
      </w:rPr>
    </w:lvl>
    <w:lvl w:ilvl="7">
      <w:numFmt w:val="bullet"/>
      <w:lvlText w:val="o"/>
      <w:lvlJc w:val="left"/>
      <w:pPr>
        <w:ind w:left="5760" w:hanging="360"/>
        <w:tab w:val="num" w:pos="5760"/>
      </w:pPr>
      <w:rPr>
        <w:rFonts w:ascii="Courier New" w:hAnsi="Courier New" w:cs="Courier New" w:eastAsia="Courier New"/>
        <w:sz w:val="24"/>
      </w:rPr>
    </w:lvl>
    <w:lvl w:ilvl="8">
      <w:numFmt w:val="bullet"/>
      <w:lvlText w:val="§"/>
      <w:lvlJc w:val="left"/>
      <w:pPr>
        <w:ind w:left="6480" w:hanging="360"/>
        <w:tab w:val="num" w:pos="6480"/>
      </w:pPr>
      <w:rPr>
        <w:rFonts w:ascii="Wingdings" w:hAnsi="Wingdings" w:cs="Wingdings" w:eastAsia="Wingdings"/>
        <w:sz w:val="24"/>
      </w:rPr>
    </w:lvl>
  </w:abstractNum>
  <w:abstractNum w:abstractNumId="51">
    <w:multiLevelType w:val="multilevel"/>
    <w:lvl w:ilvl="0">
      <w:numFmt w:val="lowerLetter"/>
      <w:lvlText w:val=""/>
      <w:lvlJc w:val="left"/>
      <w:start w:val="1"/>
      <w:pPr>
        <w:ind w:left="720" w:hanging="360"/>
        <w:tab w:val="num" w:pos="720"/>
      </w:pPr>
      <w:rPr>
        <w:rFonts w:ascii="Times New Roman" w:hAnsi="Times New Roman" w:cs="Times New Roman" w:eastAsia="Times New Roman"/>
        <w:sz w:val="18"/>
        <w:color w:val="000000"/>
      </w:rPr>
    </w:lvl>
    <w:lvl w:ilvl="1">
      <w:numFmt w:val="lowerLetter"/>
      <w:lvlText w:val="%2."/>
      <w:lvlJc w:val="left"/>
      <w:start w:val="1"/>
      <w:pPr>
        <w:ind w:left="1440" w:hanging="360"/>
        <w:tab w:val="num" w:pos="1440"/>
      </w:pPr>
      <w:rPr>
        <w:rFonts w:ascii="Times New Roman" w:hAnsi="Times New Roman" w:cs="Times New Roman" w:eastAsia="Times New Roman"/>
        <w:sz w:val="24"/>
      </w:rPr>
    </w:lvl>
    <w:lvl w:ilvl="2">
      <w:numFmt w:val="lowerRoman"/>
      <w:lvlText w:val="%3."/>
      <w:lvlJc w:val="right"/>
      <w:start w:val="1"/>
      <w:pPr>
        <w:ind w:left="2160" w:hanging="180"/>
        <w:tab w:val="num" w:pos="2160"/>
      </w:pPr>
      <w:rPr>
        <w:rFonts w:ascii="Times New Roman" w:hAnsi="Times New Roman" w:cs="Times New Roman" w:eastAsia="Times New Roman"/>
        <w:sz w:val="24"/>
      </w:rPr>
    </w:lvl>
    <w:lvl w:ilvl="3">
      <w:numFmt w:val="decimal"/>
      <w:lvlText w:val="%4."/>
      <w:lvlJc w:val="left"/>
      <w:start w:val="1"/>
      <w:pPr>
        <w:ind w:left="2880" w:hanging="360"/>
        <w:tab w:val="num" w:pos="2880"/>
      </w:pPr>
      <w:rPr>
        <w:rFonts w:ascii="Times New Roman" w:hAnsi="Times New Roman" w:cs="Times New Roman" w:eastAsia="Times New Roman"/>
        <w:sz w:val="24"/>
      </w:rPr>
    </w:lvl>
    <w:lvl w:ilvl="4">
      <w:numFmt w:val="lowerLetter"/>
      <w:lvlText w:val="%5."/>
      <w:lvlJc w:val="left"/>
      <w:start w:val="1"/>
      <w:pPr>
        <w:ind w:left="3600" w:hanging="360"/>
        <w:tab w:val="num" w:pos="3600"/>
      </w:pPr>
      <w:rPr>
        <w:rFonts w:ascii="Times New Roman" w:hAnsi="Times New Roman" w:cs="Times New Roman" w:eastAsia="Times New Roman"/>
        <w:sz w:val="24"/>
      </w:rPr>
    </w:lvl>
    <w:lvl w:ilvl="5">
      <w:numFmt w:val="lowerRoman"/>
      <w:lvlText w:val="%6."/>
      <w:lvlJc w:val="right"/>
      <w:start w:val="1"/>
      <w:pPr>
        <w:ind w:left="4320" w:hanging="18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lowerLetter"/>
      <w:lvlText w:val="%8."/>
      <w:lvlJc w:val="left"/>
      <w:start w:val="1"/>
      <w:pPr>
        <w:ind w:left="5760" w:hanging="360"/>
        <w:tab w:val="num" w:pos="5760"/>
      </w:pPr>
      <w:rPr>
        <w:rFonts w:ascii="Times New Roman" w:hAnsi="Times New Roman" w:cs="Times New Roman" w:eastAsia="Times New Roman"/>
        <w:sz w:val="24"/>
      </w:rPr>
    </w:lvl>
    <w:lvl w:ilvl="8">
      <w:numFmt w:val="lowerRoman"/>
      <w:lvlText w:val="%9."/>
      <w:lvlJc w:val="right"/>
      <w:start w:val="1"/>
      <w:pPr>
        <w:ind w:left="6480" w:hanging="180"/>
        <w:tab w:val="num" w:pos="6480"/>
      </w:pPr>
      <w:rPr>
        <w:rFonts w:ascii="Times New Roman" w:hAnsi="Times New Roman" w:cs="Times New Roman" w:eastAsia="Times New Roman"/>
        <w:sz w:val="24"/>
      </w:rPr>
    </w:lvl>
  </w:abstractNum>
  <w:abstractNum w:abstractNumId="52">
    <w:multiLevelType w:val="multilevel"/>
    <w:lvl w:ilvl="0">
      <w:numFmt w:val="lowerLetter"/>
      <w:lvlText w:val=""/>
      <w:lvlJc w:val="left"/>
      <w:start w:val="1"/>
      <w:pPr>
        <w:ind w:left="720" w:hanging="360"/>
        <w:tab w:val="num" w:pos="720"/>
      </w:pPr>
      <w:rPr>
        <w:rFonts w:ascii="Times New Roman" w:hAnsi="Times New Roman" w:cs="Times New Roman" w:eastAsia="Times New Roman"/>
        <w:sz w:val="18"/>
        <w:color w:val="000000"/>
      </w:rPr>
    </w:lvl>
    <w:lvl w:ilvl="1">
      <w:numFmt w:val="lowerLetter"/>
      <w:lvlText w:val="%2."/>
      <w:lvlJc w:val="left"/>
      <w:start w:val="1"/>
      <w:pPr>
        <w:ind w:left="1440" w:hanging="360"/>
        <w:tab w:val="num" w:pos="1440"/>
      </w:pPr>
      <w:rPr>
        <w:rFonts w:ascii="Times New Roman" w:hAnsi="Times New Roman" w:cs="Times New Roman" w:eastAsia="Times New Roman"/>
        <w:sz w:val="24"/>
      </w:rPr>
    </w:lvl>
    <w:lvl w:ilvl="2">
      <w:numFmt w:val="lowerRoman"/>
      <w:lvlText w:val="%3."/>
      <w:lvlJc w:val="right"/>
      <w:start w:val="1"/>
      <w:pPr>
        <w:ind w:left="2160" w:hanging="180"/>
        <w:tab w:val="num" w:pos="2160"/>
      </w:pPr>
      <w:rPr>
        <w:rFonts w:ascii="Times New Roman" w:hAnsi="Times New Roman" w:cs="Times New Roman" w:eastAsia="Times New Roman"/>
        <w:sz w:val="24"/>
      </w:rPr>
    </w:lvl>
    <w:lvl w:ilvl="3">
      <w:numFmt w:val="decimal"/>
      <w:lvlText w:val="%4."/>
      <w:lvlJc w:val="left"/>
      <w:start w:val="1"/>
      <w:pPr>
        <w:ind w:left="2880" w:hanging="360"/>
        <w:tab w:val="num" w:pos="2880"/>
      </w:pPr>
      <w:rPr>
        <w:rFonts w:ascii="Times New Roman" w:hAnsi="Times New Roman" w:cs="Times New Roman" w:eastAsia="Times New Roman"/>
        <w:sz w:val="24"/>
      </w:rPr>
    </w:lvl>
    <w:lvl w:ilvl="4">
      <w:numFmt w:val="lowerLetter"/>
      <w:lvlText w:val="%5."/>
      <w:lvlJc w:val="left"/>
      <w:start w:val="1"/>
      <w:pPr>
        <w:ind w:left="3600" w:hanging="360"/>
        <w:tab w:val="num" w:pos="3600"/>
      </w:pPr>
      <w:rPr>
        <w:rFonts w:ascii="Times New Roman" w:hAnsi="Times New Roman" w:cs="Times New Roman" w:eastAsia="Times New Roman"/>
        <w:sz w:val="24"/>
      </w:rPr>
    </w:lvl>
    <w:lvl w:ilvl="5">
      <w:numFmt w:val="lowerRoman"/>
      <w:lvlText w:val="%6."/>
      <w:lvlJc w:val="right"/>
      <w:start w:val="1"/>
      <w:pPr>
        <w:ind w:left="4320" w:hanging="18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lowerLetter"/>
      <w:lvlText w:val="%8."/>
      <w:lvlJc w:val="left"/>
      <w:start w:val="1"/>
      <w:pPr>
        <w:ind w:left="5760" w:hanging="360"/>
        <w:tab w:val="num" w:pos="5760"/>
      </w:pPr>
      <w:rPr>
        <w:rFonts w:ascii="Times New Roman" w:hAnsi="Times New Roman" w:cs="Times New Roman" w:eastAsia="Times New Roman"/>
        <w:sz w:val="24"/>
      </w:rPr>
    </w:lvl>
    <w:lvl w:ilvl="8">
      <w:numFmt w:val="lowerRoman"/>
      <w:lvlText w:val="%9."/>
      <w:lvlJc w:val="right"/>
      <w:start w:val="1"/>
      <w:pPr>
        <w:ind w:left="6480" w:hanging="180"/>
        <w:tab w:val="num" w:pos="6480"/>
      </w:pPr>
      <w:rPr>
        <w:rFonts w:ascii="Times New Roman" w:hAnsi="Times New Roman" w:cs="Times New Roman" w:eastAsia="Times New Roman"/>
        <w:sz w:val="24"/>
      </w:rPr>
    </w:lvl>
  </w:abstractNum>
  <w:abstractNum w:abstractNumId="53">
    <w:multiLevelType w:val="multilevel"/>
    <w:lvl w:ilvl="0">
      <w:numFmt w:val="decimal"/>
      <w:lvlText w:val=""/>
      <w:lvlJc w:val="left"/>
      <w:start w:val="1"/>
      <w:pPr>
        <w:ind w:left="720" w:hanging="360"/>
        <w:tab w:val="num" w:pos="720"/>
      </w:pPr>
      <w:rPr>
        <w:rFonts w:ascii="Times New Roman" w:hAnsi="Times New Roman" w:cs="Times New Roman" w:eastAsia="Times New Roman"/>
        <w:sz w:val="24"/>
      </w:rPr>
    </w:lvl>
    <w:lvl w:ilvl="1">
      <w:numFmt w:val="lowerLetter"/>
      <w:lvlText w:val="%2."/>
      <w:lvlJc w:val="left"/>
      <w:start w:val="1"/>
      <w:pPr>
        <w:ind w:left="1440" w:hanging="360"/>
        <w:tab w:val="num" w:pos="1440"/>
      </w:pPr>
      <w:rPr>
        <w:rFonts w:ascii="Times New Roman" w:hAnsi="Times New Roman" w:cs="Times New Roman" w:eastAsia="Times New Roman"/>
        <w:sz w:val="18"/>
        <w:color w:val="000000"/>
      </w:rPr>
    </w:lvl>
    <w:lvl w:ilvl="2">
      <w:numFmt w:val="lowerRoman"/>
      <w:lvlText w:val="%3."/>
      <w:lvlJc w:val="right"/>
      <w:start w:val="1"/>
      <w:pPr>
        <w:ind w:left="2160" w:hanging="180"/>
        <w:tab w:val="num" w:pos="2160"/>
      </w:pPr>
      <w:rPr>
        <w:rFonts w:ascii="Times New Roman" w:hAnsi="Times New Roman" w:cs="Times New Roman" w:eastAsia="Times New Roman"/>
        <w:sz w:val="24"/>
      </w:rPr>
    </w:lvl>
    <w:lvl w:ilvl="3">
      <w:numFmt w:val="decimal"/>
      <w:lvlText w:val="%4."/>
      <w:lvlJc w:val="left"/>
      <w:start w:val="1"/>
      <w:pPr>
        <w:ind w:left="1800" w:hanging="360"/>
        <w:tab w:val="num" w:pos="1800"/>
      </w:pPr>
      <w:rPr>
        <w:rFonts w:ascii="Times New Roman" w:hAnsi="Times New Roman" w:cs="Times New Roman" w:eastAsia="Times New Roman"/>
        <w:b/>
        <w:sz w:val="18"/>
        <w:color w:val="000000"/>
      </w:rPr>
    </w:lvl>
    <w:lvl w:ilvl="4">
      <w:numFmt w:val="lowerLetter"/>
      <w:lvlText w:val="%5."/>
      <w:lvlJc w:val="left"/>
      <w:start w:val="1"/>
      <w:pPr>
        <w:ind w:left="3600" w:hanging="360"/>
        <w:tab w:val="num" w:pos="3600"/>
      </w:pPr>
      <w:rPr>
        <w:rFonts w:ascii="Times New Roman" w:hAnsi="Times New Roman" w:cs="Times New Roman" w:eastAsia="Times New Roman"/>
        <w:sz w:val="24"/>
      </w:rPr>
    </w:lvl>
    <w:lvl w:ilvl="5">
      <w:numFmt w:val="lowerRoman"/>
      <w:lvlText w:val="%6."/>
      <w:lvlJc w:val="right"/>
      <w:start w:val="1"/>
      <w:pPr>
        <w:ind w:left="4320" w:hanging="18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lowerLetter"/>
      <w:lvlText w:val="%8."/>
      <w:lvlJc w:val="left"/>
      <w:start w:val="1"/>
      <w:pPr>
        <w:ind w:left="5760" w:hanging="360"/>
        <w:tab w:val="num" w:pos="5760"/>
      </w:pPr>
      <w:rPr>
        <w:rFonts w:ascii="Times New Roman" w:hAnsi="Times New Roman" w:cs="Times New Roman" w:eastAsia="Times New Roman"/>
        <w:sz w:val="24"/>
      </w:rPr>
    </w:lvl>
    <w:lvl w:ilvl="8">
      <w:numFmt w:val="lowerRoman"/>
      <w:lvlText w:val="%9."/>
      <w:lvlJc w:val="right"/>
      <w:start w:val="1"/>
      <w:pPr>
        <w:ind w:left="6480" w:hanging="180"/>
        <w:tab w:val="num" w:pos="6480"/>
      </w:pPr>
      <w:rPr>
        <w:rFonts w:ascii="Times New Roman" w:hAnsi="Times New Roman" w:cs="Times New Roman" w:eastAsia="Times New Roman"/>
        <w:sz w:val="24"/>
      </w:rPr>
    </w:lvl>
  </w:abstractNum>
  <w:abstractNum w:abstractNumId="54">
    <w:multiLevelType w:val="multilevel"/>
    <w:lvl w:ilvl="0">
      <w:numFmt w:val="decimal"/>
      <w:lvlText w:val=""/>
      <w:lvlJc w:val="left"/>
      <w:start w:val="5"/>
      <w:pPr>
        <w:ind w:left="660" w:hanging="660"/>
        <w:tab w:val="num" w:pos="660"/>
      </w:pPr>
      <w:rPr>
        <w:rFonts w:ascii="Times New Roman" w:hAnsi="Times New Roman" w:cs="Times New Roman" w:eastAsia="Times New Roman"/>
        <w:b/>
        <w:sz w:val="24"/>
      </w:rPr>
    </w:lvl>
    <w:lvl w:ilvl="1">
      <w:numFmt w:val="decimal"/>
      <w:lvlText w:val=""/>
      <w:lvlJc w:val="left"/>
      <w:start w:val="0"/>
      <w:pPr>
        <w:ind w:left="0" w:firstLine="0"/>
        <w:tab w:val="num" w:pos="360"/>
      </w:pPr>
      <w:rPr>
        <w:rFonts w:ascii="Times New Roman" w:hAnsi="Times New Roman" w:cs="Times New Roman" w:eastAsia="Times New Roman"/>
        <w:sz w:val="24"/>
      </w:rPr>
    </w:lvl>
    <w:lvl w:ilvl="2">
      <w:numFmt w:val="decimal"/>
      <w:lvlText w:val=""/>
      <w:lvlJc w:val="left"/>
      <w:start w:val="0"/>
      <w:pPr>
        <w:ind w:left="0" w:firstLine="0"/>
        <w:tab w:val="num" w:pos="360"/>
      </w:pPr>
      <w:rPr>
        <w:rFonts w:ascii="Times New Roman" w:hAnsi="Times New Roman" w:cs="Times New Roman" w:eastAsia="Times New Roman"/>
        <w:sz w:val="18"/>
        <w:color w:val="000000"/>
      </w:rPr>
    </w:lvl>
    <w:lvl w:ilvl="3">
      <w:numFmt w:val="decimal"/>
      <w:lvlText w:val=""/>
      <w:lvlJc w:val="left"/>
      <w:start w:val="0"/>
      <w:pPr>
        <w:ind w:left="0" w:firstLine="0"/>
        <w:tab w:val="num" w:pos="360"/>
      </w:pPr>
      <w:rPr>
        <w:rFonts w:ascii="Times New Roman" w:hAnsi="Times New Roman" w:cs="Times New Roman" w:eastAsia="Times New Roman"/>
        <w:sz w:val="18"/>
        <w:color w:val="000000"/>
      </w:rPr>
    </w:lvl>
    <w:lvl w:ilvl="4">
      <w:numFmt w:val="decimal"/>
      <w:lvlText w:val=""/>
      <w:lvlJc w:val="left"/>
      <w:start w:val="0"/>
      <w:pPr>
        <w:ind w:left="0" w:firstLine="0"/>
        <w:tab w:val="num" w:pos="360"/>
      </w:pPr>
      <w:rPr>
        <w:rFonts w:ascii="Times New Roman" w:hAnsi="Times New Roman" w:cs="Times New Roman" w:eastAsia="Times New Roman"/>
        <w:sz w:val="24"/>
      </w:rPr>
    </w:lvl>
    <w:lvl w:ilvl="5">
      <w:numFmt w:val="decimal"/>
      <w:lvlText w:val=""/>
      <w:lvlJc w:val="left"/>
      <w:start w:val="0"/>
      <w:pPr>
        <w:ind w:left="0" w:firstLine="0"/>
        <w:tab w:val="num" w:pos="360"/>
      </w:pPr>
      <w:rPr>
        <w:rFonts w:ascii="Times New Roman" w:hAnsi="Times New Roman" w:cs="Times New Roman" w:eastAsia="Times New Roman"/>
        <w:sz w:val="24"/>
      </w:rPr>
    </w:lvl>
    <w:lvl w:ilvl="6">
      <w:numFmt w:val="decimal"/>
      <w:lvlText w:val=""/>
      <w:lvlJc w:val="left"/>
      <w:start w:val="0"/>
      <w:pPr>
        <w:ind w:left="0" w:firstLine="0"/>
        <w:tab w:val="num" w:pos="360"/>
      </w:pPr>
      <w:rPr>
        <w:rFonts w:ascii="Times New Roman" w:hAnsi="Times New Roman" w:cs="Times New Roman" w:eastAsia="Times New Roman"/>
        <w:sz w:val="24"/>
      </w:rPr>
    </w:lvl>
    <w:lvl w:ilvl="7">
      <w:numFmt w:val="decimal"/>
      <w:lvlText w:val=""/>
      <w:lvlJc w:val="left"/>
      <w:start w:val="0"/>
      <w:pPr>
        <w:ind w:left="0" w:firstLine="0"/>
        <w:tab w:val="num" w:pos="360"/>
      </w:pPr>
      <w:rPr>
        <w:rFonts w:ascii="Times New Roman" w:hAnsi="Times New Roman" w:cs="Times New Roman" w:eastAsia="Times New Roman"/>
        <w:sz w:val="24"/>
      </w:rPr>
    </w:lvl>
    <w:lvl w:ilvl="8">
      <w:numFmt w:val="decimal"/>
      <w:lvlText w:val=""/>
      <w:lvlJc w:val="left"/>
      <w:start w:val="0"/>
      <w:pPr>
        <w:ind w:left="0" w:firstLine="0"/>
        <w:tab w:val="num" w:pos="360"/>
      </w:pPr>
      <w:rPr>
        <w:rFonts w:ascii="Times New Roman" w:hAnsi="Times New Roman" w:cs="Times New Roman" w:eastAsia="Times New Roman"/>
        <w:sz w:val="24"/>
      </w:rPr>
    </w:lvl>
  </w:abstractNum>
  <w:abstractNum w:abstractNumId="55">
    <w:multiLevelType w:val="multilevel"/>
    <w:lvl w:ilvl="0">
      <w:numFmt w:val="decimal"/>
      <w:lvlText w:val=""/>
      <w:lvlJc w:val="left"/>
      <w:start w:val="1"/>
      <w:pPr>
        <w:ind w:left="390" w:hanging="390"/>
        <w:tab w:val="num" w:pos="390"/>
      </w:pPr>
      <w:rPr>
        <w:rFonts w:ascii="Times New Roman" w:hAnsi="Times New Roman" w:cs="Times New Roman" w:eastAsia="Times New Roman"/>
        <w:b/>
        <w:sz w:val="24"/>
      </w:rPr>
    </w:lvl>
    <w:lvl w:ilvl="1">
      <w:numFmt w:val="decimal"/>
      <w:lvlText w:val=""/>
      <w:lvlJc w:val="left"/>
      <w:start w:val="0"/>
      <w:pPr>
        <w:ind w:left="0" w:firstLine="0"/>
        <w:tab w:val="num" w:pos="360"/>
      </w:pPr>
      <w:rPr>
        <w:rFonts w:ascii="Times New Roman" w:hAnsi="Times New Roman" w:cs="Times New Roman" w:eastAsia="Times New Roman"/>
        <w:sz w:val="18"/>
        <w:color w:val="000000"/>
      </w:rPr>
    </w:lvl>
    <w:lvl w:ilvl="2">
      <w:numFmt w:val="decimal"/>
      <w:lvlText w:val=""/>
      <w:lvlJc w:val="left"/>
      <w:start w:val="0"/>
      <w:pPr>
        <w:ind w:left="0" w:firstLine="0"/>
        <w:tab w:val="num" w:pos="360"/>
      </w:pPr>
      <w:rPr>
        <w:rFonts w:ascii="Times New Roman" w:hAnsi="Times New Roman" w:cs="Times New Roman" w:eastAsia="Times New Roman"/>
        <w:sz w:val="24"/>
      </w:rPr>
    </w:lvl>
    <w:lvl w:ilvl="3">
      <w:numFmt w:val="decimal"/>
      <w:lvlText w:val=""/>
      <w:lvlJc w:val="left"/>
      <w:start w:val="0"/>
      <w:pPr>
        <w:ind w:left="0" w:firstLine="0"/>
        <w:tab w:val="num" w:pos="360"/>
      </w:pPr>
      <w:rPr>
        <w:rFonts w:ascii="Times New Roman" w:hAnsi="Times New Roman" w:cs="Times New Roman" w:eastAsia="Times New Roman"/>
        <w:sz w:val="24"/>
      </w:rPr>
    </w:lvl>
    <w:lvl w:ilvl="4">
      <w:numFmt w:val="decimal"/>
      <w:lvlText w:val=""/>
      <w:lvlJc w:val="left"/>
      <w:start w:val="0"/>
      <w:pPr>
        <w:ind w:left="0" w:firstLine="0"/>
        <w:tab w:val="num" w:pos="360"/>
      </w:pPr>
      <w:rPr>
        <w:rFonts w:ascii="Times New Roman" w:hAnsi="Times New Roman" w:cs="Times New Roman" w:eastAsia="Times New Roman"/>
        <w:sz w:val="24"/>
      </w:rPr>
    </w:lvl>
    <w:lvl w:ilvl="5">
      <w:numFmt w:val="decimal"/>
      <w:lvlText w:val=""/>
      <w:lvlJc w:val="left"/>
      <w:start w:val="0"/>
      <w:pPr>
        <w:ind w:left="0" w:firstLine="0"/>
        <w:tab w:val="num" w:pos="360"/>
      </w:pPr>
      <w:rPr>
        <w:rFonts w:ascii="Times New Roman" w:hAnsi="Times New Roman" w:cs="Times New Roman" w:eastAsia="Times New Roman"/>
        <w:sz w:val="24"/>
      </w:rPr>
    </w:lvl>
    <w:lvl w:ilvl="6">
      <w:numFmt w:val="decimal"/>
      <w:lvlText w:val=""/>
      <w:lvlJc w:val="left"/>
      <w:start w:val="0"/>
      <w:pPr>
        <w:ind w:left="0" w:firstLine="0"/>
        <w:tab w:val="num" w:pos="360"/>
      </w:pPr>
      <w:rPr>
        <w:rFonts w:ascii="Times New Roman" w:hAnsi="Times New Roman" w:cs="Times New Roman" w:eastAsia="Times New Roman"/>
        <w:sz w:val="24"/>
      </w:rPr>
    </w:lvl>
    <w:lvl w:ilvl="7">
      <w:numFmt w:val="decimal"/>
      <w:lvlText w:val=""/>
      <w:lvlJc w:val="left"/>
      <w:start w:val="0"/>
      <w:pPr>
        <w:ind w:left="0" w:firstLine="0"/>
        <w:tab w:val="num" w:pos="360"/>
      </w:pPr>
      <w:rPr>
        <w:rFonts w:ascii="Times New Roman" w:hAnsi="Times New Roman" w:cs="Times New Roman" w:eastAsia="Times New Roman"/>
        <w:sz w:val="24"/>
      </w:rPr>
    </w:lvl>
    <w:lvl w:ilvl="8">
      <w:numFmt w:val="decimal"/>
      <w:lvlText w:val=""/>
      <w:lvlJc w:val="left"/>
      <w:start w:val="0"/>
      <w:pPr>
        <w:ind w:left="0" w:firstLine="0"/>
        <w:tab w:val="num" w:pos="360"/>
      </w:pPr>
      <w:rPr>
        <w:rFonts w:ascii="Times New Roman" w:hAnsi="Times New Roman" w:cs="Times New Roman" w:eastAsia="Times New Roman"/>
        <w:sz w:val="24"/>
      </w:rPr>
    </w:lvl>
  </w:abstractNum>
  <w:abstractNum w:abstractNumId="56">
    <w:multiLevelType w:val="multilevel"/>
    <w:lvl w:ilvl="0">
      <w:numFmt w:val="lowerLetter"/>
      <w:lvlText w:val=""/>
      <w:lvlJc w:val="left"/>
      <w:start w:val="1"/>
      <w:pPr>
        <w:ind w:left="1425" w:hanging="345"/>
        <w:tab w:val="num" w:pos="1425"/>
      </w:pPr>
      <w:rPr>
        <w:rFonts w:ascii="Times New Roman" w:hAnsi="Times New Roman" w:cs="Times New Roman" w:eastAsia="Times New Roman"/>
        <w:sz w:val="18"/>
        <w:color w:val="000000"/>
      </w:rPr>
    </w:lvl>
    <w:lvl w:ilvl="1">
      <w:numFmt w:val="lowerLetter"/>
      <w:lvlText w:val="%2."/>
      <w:lvlJc w:val="left"/>
      <w:start w:val="1"/>
      <w:pPr>
        <w:ind w:left="2160" w:hanging="360"/>
        <w:tab w:val="num" w:pos="2160"/>
      </w:pPr>
      <w:rPr>
        <w:rFonts w:ascii="Times New Roman" w:hAnsi="Times New Roman" w:cs="Times New Roman" w:eastAsia="Times New Roman"/>
        <w:sz w:val="24"/>
      </w:rPr>
    </w:lvl>
    <w:lvl w:ilvl="2">
      <w:numFmt w:val="lowerRoman"/>
      <w:lvlText w:val="%3."/>
      <w:lvlJc w:val="right"/>
      <w:start w:val="1"/>
      <w:pPr>
        <w:ind w:left="2880" w:hanging="180"/>
        <w:tab w:val="num" w:pos="2880"/>
      </w:pPr>
      <w:rPr>
        <w:rFonts w:ascii="Times New Roman" w:hAnsi="Times New Roman" w:cs="Times New Roman" w:eastAsia="Times New Roman"/>
        <w:sz w:val="24"/>
      </w:rPr>
    </w:lvl>
    <w:lvl w:ilvl="3">
      <w:numFmt w:val="decimal"/>
      <w:lvlText w:val="%4."/>
      <w:lvlJc w:val="left"/>
      <w:start w:val="1"/>
      <w:pPr>
        <w:ind w:left="3600" w:hanging="360"/>
        <w:tab w:val="num" w:pos="3600"/>
      </w:pPr>
      <w:rPr>
        <w:rFonts w:ascii="Times New Roman" w:hAnsi="Times New Roman" w:cs="Times New Roman" w:eastAsia="Times New Roman"/>
        <w:sz w:val="24"/>
      </w:rPr>
    </w:lvl>
    <w:lvl w:ilvl="4">
      <w:numFmt w:val="lowerLetter"/>
      <w:lvlText w:val="%5."/>
      <w:lvlJc w:val="left"/>
      <w:start w:val="1"/>
      <w:pPr>
        <w:ind w:left="4320" w:hanging="360"/>
        <w:tab w:val="num" w:pos="4320"/>
      </w:pPr>
      <w:rPr>
        <w:rFonts w:ascii="Times New Roman" w:hAnsi="Times New Roman" w:cs="Times New Roman" w:eastAsia="Times New Roman"/>
        <w:sz w:val="24"/>
      </w:rPr>
    </w:lvl>
    <w:lvl w:ilvl="5">
      <w:numFmt w:val="lowerRoman"/>
      <w:lvlText w:val="%6."/>
      <w:lvlJc w:val="right"/>
      <w:start w:val="1"/>
      <w:pPr>
        <w:ind w:left="5040" w:hanging="180"/>
        <w:tab w:val="num" w:pos="5040"/>
      </w:pPr>
      <w:rPr>
        <w:rFonts w:ascii="Times New Roman" w:hAnsi="Times New Roman" w:cs="Times New Roman" w:eastAsia="Times New Roman"/>
        <w:sz w:val="24"/>
      </w:rPr>
    </w:lvl>
    <w:lvl w:ilvl="6">
      <w:numFmt w:val="decimal"/>
      <w:lvlText w:val="%7."/>
      <w:lvlJc w:val="left"/>
      <w:start w:val="1"/>
      <w:pPr>
        <w:ind w:left="5760" w:hanging="360"/>
        <w:tab w:val="num" w:pos="5760"/>
      </w:pPr>
      <w:rPr>
        <w:rFonts w:ascii="Times New Roman" w:hAnsi="Times New Roman" w:cs="Times New Roman" w:eastAsia="Times New Roman"/>
        <w:sz w:val="24"/>
      </w:rPr>
    </w:lvl>
    <w:lvl w:ilvl="7">
      <w:numFmt w:val="lowerLetter"/>
      <w:lvlText w:val="%8."/>
      <w:lvlJc w:val="left"/>
      <w:start w:val="1"/>
      <w:pPr>
        <w:ind w:left="6480" w:hanging="360"/>
        <w:tab w:val="num" w:pos="6480"/>
      </w:pPr>
      <w:rPr>
        <w:rFonts w:ascii="Times New Roman" w:hAnsi="Times New Roman" w:cs="Times New Roman" w:eastAsia="Times New Roman"/>
        <w:sz w:val="24"/>
      </w:rPr>
    </w:lvl>
    <w:lvl w:ilvl="8">
      <w:numFmt w:val="lowerRoman"/>
      <w:lvlText w:val="%9."/>
      <w:lvlJc w:val="right"/>
      <w:start w:val="1"/>
      <w:pPr>
        <w:ind w:left="7200" w:hanging="180"/>
        <w:tab w:val="num" w:pos="7200"/>
      </w:pPr>
      <w:rPr>
        <w:rFonts w:ascii="Times New Roman" w:hAnsi="Times New Roman" w:cs="Times New Roman" w:eastAsia="Times New Roman"/>
        <w:sz w:val="24"/>
      </w:rPr>
    </w:lvl>
  </w:abstractNum>
  <w:abstractNum w:abstractNumId="57">
    <w:multiLevelType w:val="multilevel"/>
    <w:lvl w:ilvl="0">
      <w:numFmt w:val="lowerLetter"/>
      <w:lvlText w:val=""/>
      <w:lvlJc w:val="left"/>
      <w:start w:val="1"/>
      <w:pPr>
        <w:ind w:left="645" w:hanging="360"/>
        <w:tab w:val="num" w:pos="645"/>
      </w:pPr>
      <w:rPr>
        <w:rFonts w:ascii="Times New Roman" w:hAnsi="Times New Roman" w:cs="Times New Roman" w:eastAsia="Times New Roman"/>
        <w:sz w:val="18"/>
        <w:color w:val="000000"/>
      </w:rPr>
    </w:lvl>
    <w:lvl w:ilvl="1">
      <w:numFmt w:val="lowerLetter"/>
      <w:lvlText w:val="%2."/>
      <w:lvlJc w:val="left"/>
      <w:start w:val="1"/>
      <w:pPr>
        <w:ind w:left="1365" w:hanging="360"/>
        <w:tab w:val="num" w:pos="1365"/>
      </w:pPr>
      <w:rPr>
        <w:rFonts w:ascii="Times New Roman" w:hAnsi="Times New Roman" w:cs="Times New Roman" w:eastAsia="Times New Roman"/>
        <w:sz w:val="24"/>
      </w:rPr>
    </w:lvl>
    <w:lvl w:ilvl="2">
      <w:numFmt w:val="lowerRoman"/>
      <w:lvlText w:val="%3."/>
      <w:lvlJc w:val="right"/>
      <w:start w:val="1"/>
      <w:pPr>
        <w:ind w:left="2085" w:hanging="180"/>
        <w:tab w:val="num" w:pos="2085"/>
      </w:pPr>
      <w:rPr>
        <w:rFonts w:ascii="Times New Roman" w:hAnsi="Times New Roman" w:cs="Times New Roman" w:eastAsia="Times New Roman"/>
        <w:sz w:val="24"/>
      </w:rPr>
    </w:lvl>
    <w:lvl w:ilvl="3">
      <w:numFmt w:val="decimal"/>
      <w:lvlText w:val="%4."/>
      <w:lvlJc w:val="left"/>
      <w:start w:val="1"/>
      <w:pPr>
        <w:ind w:left="2805" w:hanging="360"/>
        <w:tab w:val="num" w:pos="2805"/>
      </w:pPr>
      <w:rPr>
        <w:rFonts w:ascii="Times New Roman" w:hAnsi="Times New Roman" w:cs="Times New Roman" w:eastAsia="Times New Roman"/>
        <w:sz w:val="24"/>
      </w:rPr>
    </w:lvl>
    <w:lvl w:ilvl="4">
      <w:numFmt w:val="lowerLetter"/>
      <w:lvlText w:val="%5."/>
      <w:lvlJc w:val="left"/>
      <w:start w:val="1"/>
      <w:pPr>
        <w:ind w:left="3525" w:hanging="360"/>
        <w:tab w:val="num" w:pos="3525"/>
      </w:pPr>
      <w:rPr>
        <w:rFonts w:ascii="Times New Roman" w:hAnsi="Times New Roman" w:cs="Times New Roman" w:eastAsia="Times New Roman"/>
        <w:sz w:val="24"/>
      </w:rPr>
    </w:lvl>
    <w:lvl w:ilvl="5">
      <w:numFmt w:val="lowerRoman"/>
      <w:lvlText w:val="%6."/>
      <w:lvlJc w:val="right"/>
      <w:start w:val="1"/>
      <w:pPr>
        <w:ind w:left="4245" w:hanging="180"/>
        <w:tab w:val="num" w:pos="4245"/>
      </w:pPr>
      <w:rPr>
        <w:rFonts w:ascii="Times New Roman" w:hAnsi="Times New Roman" w:cs="Times New Roman" w:eastAsia="Times New Roman"/>
        <w:sz w:val="24"/>
      </w:rPr>
    </w:lvl>
    <w:lvl w:ilvl="6">
      <w:numFmt w:val="decimal"/>
      <w:lvlText w:val="%7."/>
      <w:lvlJc w:val="left"/>
      <w:start w:val="1"/>
      <w:pPr>
        <w:ind w:left="4965" w:hanging="360"/>
        <w:tab w:val="num" w:pos="4965"/>
      </w:pPr>
      <w:rPr>
        <w:rFonts w:ascii="Times New Roman" w:hAnsi="Times New Roman" w:cs="Times New Roman" w:eastAsia="Times New Roman"/>
        <w:sz w:val="24"/>
      </w:rPr>
    </w:lvl>
    <w:lvl w:ilvl="7">
      <w:numFmt w:val="lowerLetter"/>
      <w:lvlText w:val="%8."/>
      <w:lvlJc w:val="left"/>
      <w:start w:val="1"/>
      <w:pPr>
        <w:ind w:left="5685" w:hanging="360"/>
        <w:tab w:val="num" w:pos="5685"/>
      </w:pPr>
      <w:rPr>
        <w:rFonts w:ascii="Times New Roman" w:hAnsi="Times New Roman" w:cs="Times New Roman" w:eastAsia="Times New Roman"/>
        <w:sz w:val="24"/>
      </w:rPr>
    </w:lvl>
    <w:lvl w:ilvl="8">
      <w:numFmt w:val="lowerRoman"/>
      <w:lvlText w:val="%9."/>
      <w:lvlJc w:val="right"/>
      <w:start w:val="1"/>
      <w:pPr>
        <w:ind w:left="6405" w:hanging="180"/>
        <w:tab w:val="num" w:pos="6405"/>
      </w:pPr>
      <w:rPr>
        <w:rFonts w:ascii="Times New Roman" w:hAnsi="Times New Roman" w:cs="Times New Roman" w:eastAsia="Times New Roman"/>
        <w:sz w:val="24"/>
      </w:rPr>
    </w:lvl>
  </w:abstractNum>
  <w:abstractNum w:abstractNumId="58">
    <w:multiLevelType w:val="multilevel"/>
    <w:lvl w:ilvl="0">
      <w:numFmt w:val="lowerLetter"/>
      <w:lvlText w:val=""/>
      <w:lvlJc w:val="left"/>
      <w:start w:val="1"/>
      <w:pPr>
        <w:ind w:left="1260" w:hanging="240"/>
        <w:tab w:val="num" w:pos="1260"/>
      </w:pPr>
      <w:rPr>
        <w:rFonts w:ascii="Times New Roman" w:hAnsi="Times New Roman" w:cs="Times New Roman" w:eastAsia="Times New Roman"/>
        <w:u w:val="single"/>
        <w:sz w:val="18"/>
        <w:color w:val="000000"/>
      </w:rPr>
    </w:lvl>
    <w:lvl w:ilvl="1">
      <w:numFmt w:val="lowerLetter"/>
      <w:lvlText w:val="%2."/>
      <w:lvlJc w:val="left"/>
      <w:start w:val="1"/>
      <w:pPr>
        <w:ind w:left="2100" w:hanging="360"/>
        <w:tab w:val="num" w:pos="2100"/>
      </w:pPr>
      <w:rPr>
        <w:rFonts w:ascii="Times New Roman" w:hAnsi="Times New Roman" w:cs="Times New Roman" w:eastAsia="Times New Roman"/>
        <w:sz w:val="24"/>
      </w:rPr>
    </w:lvl>
    <w:lvl w:ilvl="2">
      <w:numFmt w:val="lowerRoman"/>
      <w:lvlText w:val="%3."/>
      <w:lvlJc w:val="right"/>
      <w:start w:val="1"/>
      <w:pPr>
        <w:ind w:left="2820" w:hanging="180"/>
        <w:tab w:val="num" w:pos="2820"/>
      </w:pPr>
      <w:rPr>
        <w:rFonts w:ascii="Times New Roman" w:hAnsi="Times New Roman" w:cs="Times New Roman" w:eastAsia="Times New Roman"/>
        <w:sz w:val="24"/>
      </w:rPr>
    </w:lvl>
    <w:lvl w:ilvl="3">
      <w:numFmt w:val="decimal"/>
      <w:lvlText w:val="%4."/>
      <w:lvlJc w:val="left"/>
      <w:start w:val="1"/>
      <w:pPr>
        <w:ind w:left="3540" w:hanging="360"/>
        <w:tab w:val="num" w:pos="3540"/>
      </w:pPr>
      <w:rPr>
        <w:rFonts w:ascii="Times New Roman" w:hAnsi="Times New Roman" w:cs="Times New Roman" w:eastAsia="Times New Roman"/>
        <w:sz w:val="24"/>
      </w:rPr>
    </w:lvl>
    <w:lvl w:ilvl="4">
      <w:numFmt w:val="lowerLetter"/>
      <w:lvlText w:val="%5."/>
      <w:lvlJc w:val="left"/>
      <w:start w:val="1"/>
      <w:pPr>
        <w:ind w:left="4260" w:hanging="360"/>
        <w:tab w:val="num" w:pos="4260"/>
      </w:pPr>
      <w:rPr>
        <w:rFonts w:ascii="Times New Roman" w:hAnsi="Times New Roman" w:cs="Times New Roman" w:eastAsia="Times New Roman"/>
        <w:sz w:val="24"/>
      </w:rPr>
    </w:lvl>
    <w:lvl w:ilvl="5">
      <w:numFmt w:val="lowerRoman"/>
      <w:lvlText w:val="%6."/>
      <w:lvlJc w:val="right"/>
      <w:start w:val="1"/>
      <w:pPr>
        <w:ind w:left="4980" w:hanging="180"/>
        <w:tab w:val="num" w:pos="4980"/>
      </w:pPr>
      <w:rPr>
        <w:rFonts w:ascii="Times New Roman" w:hAnsi="Times New Roman" w:cs="Times New Roman" w:eastAsia="Times New Roman"/>
        <w:sz w:val="24"/>
      </w:rPr>
    </w:lvl>
    <w:lvl w:ilvl="6">
      <w:numFmt w:val="decimal"/>
      <w:lvlText w:val="%7."/>
      <w:lvlJc w:val="left"/>
      <w:start w:val="1"/>
      <w:pPr>
        <w:ind w:left="5700" w:hanging="360"/>
        <w:tab w:val="num" w:pos="5700"/>
      </w:pPr>
      <w:rPr>
        <w:rFonts w:ascii="Times New Roman" w:hAnsi="Times New Roman" w:cs="Times New Roman" w:eastAsia="Times New Roman"/>
        <w:sz w:val="24"/>
      </w:rPr>
    </w:lvl>
    <w:lvl w:ilvl="7">
      <w:numFmt w:val="lowerLetter"/>
      <w:lvlText w:val="%8."/>
      <w:lvlJc w:val="left"/>
      <w:start w:val="1"/>
      <w:pPr>
        <w:ind w:left="6420" w:hanging="360"/>
        <w:tab w:val="num" w:pos="6420"/>
      </w:pPr>
      <w:rPr>
        <w:rFonts w:ascii="Times New Roman" w:hAnsi="Times New Roman" w:cs="Times New Roman" w:eastAsia="Times New Roman"/>
        <w:sz w:val="24"/>
      </w:rPr>
    </w:lvl>
    <w:lvl w:ilvl="8">
      <w:numFmt w:val="lowerRoman"/>
      <w:lvlText w:val="%9."/>
      <w:lvlJc w:val="right"/>
      <w:start w:val="1"/>
      <w:pPr>
        <w:ind w:left="7140" w:hanging="180"/>
        <w:tab w:val="num" w:pos="7140"/>
      </w:pPr>
      <w:rPr>
        <w:rFonts w:ascii="Times New Roman" w:hAnsi="Times New Roman" w:cs="Times New Roman" w:eastAsia="Times New Roman"/>
        <w:sz w:val="24"/>
      </w:rPr>
    </w:lvl>
  </w:abstractNum>
  <w:abstractNum w:abstractNumId="59">
    <w:multiLevelType w:val="multilevel"/>
    <w:lvl w:ilvl="0">
      <w:numFmt w:val="bullet"/>
      <w:lvlText w:val="·"/>
      <w:lvlJc w:val="left"/>
      <w:pPr>
        <w:ind w:left="720" w:firstLine="0"/>
        <w:tab w:val="num" w:pos="720"/>
      </w:pPr>
      <w:rPr>
        <w:rFonts w:ascii="Symbol" w:hAnsi="Symbol" w:cs="Symbol" w:eastAsia="Symbol"/>
      </w:rPr>
    </w:lvl>
    <w:lvl w:ilvl="1">
      <w:numFmt w:val="bullet"/>
      <w:lvlText w:val="o"/>
      <w:lvlJc w:val="left"/>
      <w:pPr>
        <w:ind w:left="1440" w:hanging="360"/>
        <w:tab w:val="num" w:pos="1440"/>
      </w:pPr>
      <w:rPr>
        <w:rFonts w:ascii="Courier New" w:hAnsi="Courier New" w:cs="Courier New" w:eastAsia="Courier New"/>
      </w:rPr>
    </w:lvl>
    <w:lvl w:ilvl="2">
      <w:numFmt w:val="bullet"/>
      <w:lvlText w:val="§"/>
      <w:lvlJc w:val="left"/>
      <w:pPr>
        <w:ind w:left="2160" w:hanging="360"/>
        <w:tab w:val="num" w:pos="2160"/>
      </w:pPr>
      <w:rPr>
        <w:rFonts w:ascii="Wingdings" w:hAnsi="Wingdings" w:cs="Wingdings" w:eastAsia="Wingdings"/>
      </w:rPr>
    </w:lvl>
    <w:lvl w:ilvl="3">
      <w:numFmt w:val="bullet"/>
      <w:lvlText w:val="§"/>
      <w:lvlJc w:val="left"/>
      <w:pPr>
        <w:ind w:left="2880" w:hanging="360"/>
        <w:tab w:val="num" w:pos="2880"/>
      </w:pPr>
      <w:rPr>
        <w:rFonts w:ascii="Wingdings" w:hAnsi="Wingdings" w:cs="Wingdings" w:eastAsia="Wingdings"/>
      </w:rPr>
    </w:lvl>
    <w:lvl w:ilvl="4">
      <w:numFmt w:val="bullet"/>
      <w:lvlText w:val="§"/>
      <w:lvlJc w:val="left"/>
      <w:pPr>
        <w:ind w:left="3600" w:hanging="360"/>
        <w:tab w:val="num" w:pos="3600"/>
      </w:pPr>
      <w:rPr>
        <w:rFonts w:ascii="Wingdings" w:hAnsi="Wingdings" w:cs="Wingdings" w:eastAsia="Wingdings"/>
      </w:rPr>
    </w:lvl>
    <w:lvl w:ilvl="5">
      <w:numFmt w:val="bullet"/>
      <w:lvlText w:val="§"/>
      <w:lvlJc w:val="left"/>
      <w:pPr>
        <w:ind w:left="4320" w:hanging="360"/>
        <w:tab w:val="num" w:pos="4320"/>
      </w:pPr>
      <w:rPr>
        <w:rFonts w:ascii="Wingdings" w:hAnsi="Wingdings" w:cs="Wingdings" w:eastAsia="Wingdings"/>
      </w:rPr>
    </w:lvl>
    <w:lvl w:ilvl="6">
      <w:numFmt w:val="bullet"/>
      <w:lvlText w:val="§"/>
      <w:lvlJc w:val="left"/>
      <w:pPr>
        <w:ind w:left="5040" w:hanging="360"/>
        <w:tab w:val="num" w:pos="5040"/>
      </w:pPr>
      <w:rPr>
        <w:rFonts w:ascii="Wingdings" w:hAnsi="Wingdings" w:cs="Wingdings" w:eastAsia="Wingdings"/>
      </w:rPr>
    </w:lvl>
    <w:lvl w:ilvl="7">
      <w:numFmt w:val="bullet"/>
      <w:lvlText w:val="§"/>
      <w:lvlJc w:val="left"/>
      <w:pPr>
        <w:ind w:left="5760" w:hanging="360"/>
        <w:tab w:val="num" w:pos="5760"/>
      </w:pPr>
      <w:rPr>
        <w:rFonts w:ascii="Wingdings" w:hAnsi="Wingdings" w:cs="Wingdings" w:eastAsia="Wingdings"/>
      </w:rPr>
    </w:lvl>
    <w:lvl w:ilvl="8">
      <w:numFmt w:val="bullet"/>
      <w:lvlText w:val="§"/>
      <w:lvlJc w:val="left"/>
      <w:pPr>
        <w:ind w:left="6480" w:hanging="360"/>
        <w:tab w:val="num" w:pos="6480"/>
      </w:pPr>
      <w:rPr>
        <w:rFonts w:ascii="Wingdings" w:hAnsi="Wingdings" w:cs="Wingdings" w:eastAsia="Wingdings"/>
      </w:rPr>
    </w:lvl>
  </w:abstractNum>
  <w:abstractNum w:abstractNumId="60">
    <w:multiLevelType w:val="singleLevel"/>
    <w:lvl w:ilvl="0">
      <w:numFmt w:val="lowerLetter"/>
      <w:lvlText w:val=""/>
      <w:lvlJc w:val="left"/>
      <w:start w:val="1"/>
      <w:pPr>
        <w:ind w:left="1635" w:hanging="360"/>
        <w:tab w:val="num" w:pos="1635"/>
      </w:pPr>
      <w:rPr>
        <w:rFonts w:ascii="Times New Roman" w:hAnsi="Times New Roman" w:cs="Times New Roman" w:eastAsia="Times New Roman"/>
        <w:sz w:val="18"/>
        <w:color w:val="000000"/>
      </w:rPr>
    </w:lvl>
  </w:abstractNum>
  <w:abstractNum w:abstractNumId="61">
    <w:multiLevelType w:val="multilevel"/>
    <w:lvl w:ilvl="0">
      <w:numFmt w:val="decimal"/>
      <w:lvlText w:val=""/>
      <w:lvlJc w:val="left"/>
      <w:start w:val="1"/>
      <w:pPr>
        <w:ind w:left="360" w:hanging="360"/>
        <w:tab w:val="num" w:pos="360"/>
      </w:pPr>
      <w:rPr>
        <w:rFonts w:ascii="Times New Roman" w:hAnsi="Times New Roman" w:cs="Times New Roman" w:eastAsia="Times New Roman"/>
        <w:b/>
        <w:sz w:val="24"/>
      </w:rPr>
    </w:lvl>
    <w:lvl w:ilvl="1">
      <w:numFmt w:val="decimal"/>
      <w:lvlText w:val=""/>
      <w:lvlJc w:val="left"/>
      <w:start w:val="1"/>
      <w:pPr>
        <w:ind w:left="0" w:firstLine="0"/>
        <w:tab w:val="num" w:pos="0"/>
      </w:pPr>
      <w:rPr>
        <w:rFonts w:ascii="Times New Roman" w:hAnsi="Times New Roman" w:cs="Times New Roman" w:eastAsia="Times New Roman"/>
        <w:b/>
      </w:rPr>
    </w:lvl>
    <w:lvl w:ilvl="2">
      <w:numFmt w:val="decimal"/>
      <w:lvlText w:val=""/>
      <w:lvlJc w:val="left"/>
      <w:start w:val="0"/>
      <w:pPr>
        <w:ind w:left="0" w:firstLine="0"/>
        <w:tab w:val="num" w:pos="360"/>
      </w:pPr>
      <w:rPr>
        <w:rFonts w:ascii="Times New Roman" w:hAnsi="Times New Roman" w:cs="Times New Roman" w:eastAsia="Times New Roman"/>
        <w:sz w:val="24"/>
      </w:rPr>
    </w:lvl>
    <w:lvl w:ilvl="3">
      <w:numFmt w:val="decimal"/>
      <w:lvlText w:val=""/>
      <w:lvlJc w:val="left"/>
      <w:start w:val="0"/>
      <w:pPr>
        <w:ind w:left="0" w:firstLine="0"/>
        <w:tab w:val="num" w:pos="360"/>
      </w:pPr>
      <w:rPr>
        <w:rFonts w:ascii="Times New Roman" w:hAnsi="Times New Roman" w:cs="Times New Roman" w:eastAsia="Times New Roman"/>
        <w:sz w:val="24"/>
      </w:rPr>
    </w:lvl>
    <w:lvl w:ilvl="4">
      <w:numFmt w:val="decimal"/>
      <w:lvlText w:val=""/>
      <w:lvlJc w:val="left"/>
      <w:start w:val="0"/>
      <w:pPr>
        <w:ind w:left="0" w:firstLine="0"/>
        <w:tab w:val="num" w:pos="360"/>
      </w:pPr>
      <w:rPr>
        <w:rFonts w:ascii="Times New Roman" w:hAnsi="Times New Roman" w:cs="Times New Roman" w:eastAsia="Times New Roman"/>
        <w:sz w:val="24"/>
      </w:rPr>
    </w:lvl>
    <w:lvl w:ilvl="5">
      <w:numFmt w:val="decimal"/>
      <w:lvlText w:val=""/>
      <w:lvlJc w:val="left"/>
      <w:start w:val="0"/>
      <w:pPr>
        <w:ind w:left="0" w:firstLine="0"/>
        <w:tab w:val="num" w:pos="360"/>
      </w:pPr>
      <w:rPr>
        <w:rFonts w:ascii="Times New Roman" w:hAnsi="Times New Roman" w:cs="Times New Roman" w:eastAsia="Times New Roman"/>
        <w:sz w:val="24"/>
      </w:rPr>
    </w:lvl>
    <w:lvl w:ilvl="6">
      <w:numFmt w:val="decimal"/>
      <w:lvlText w:val=""/>
      <w:lvlJc w:val="left"/>
      <w:start w:val="0"/>
      <w:pPr>
        <w:ind w:left="0" w:firstLine="0"/>
        <w:tab w:val="num" w:pos="360"/>
      </w:pPr>
      <w:rPr>
        <w:rFonts w:ascii="Times New Roman" w:hAnsi="Times New Roman" w:cs="Times New Roman" w:eastAsia="Times New Roman"/>
        <w:sz w:val="24"/>
      </w:rPr>
    </w:lvl>
    <w:lvl w:ilvl="7">
      <w:numFmt w:val="decimal"/>
      <w:lvlText w:val=""/>
      <w:lvlJc w:val="left"/>
      <w:start w:val="0"/>
      <w:pPr>
        <w:ind w:left="0" w:firstLine="0"/>
        <w:tab w:val="num" w:pos="360"/>
      </w:pPr>
      <w:rPr>
        <w:rFonts w:ascii="Times New Roman" w:hAnsi="Times New Roman" w:cs="Times New Roman" w:eastAsia="Times New Roman"/>
        <w:sz w:val="24"/>
      </w:rPr>
    </w:lvl>
    <w:lvl w:ilvl="8">
      <w:numFmt w:val="decimal"/>
      <w:lvlText w:val=""/>
      <w:lvlJc w:val="left"/>
      <w:start w:val="0"/>
      <w:pPr>
        <w:ind w:left="0" w:firstLine="0"/>
        <w:tab w:val="num" w:pos="360"/>
      </w:pPr>
      <w:rPr>
        <w:rFonts w:ascii="Times New Roman" w:hAnsi="Times New Roman" w:cs="Times New Roman" w:eastAsia="Times New Roman"/>
        <w:sz w:val="24"/>
      </w:rPr>
    </w:lvl>
  </w:abstractNum>
  <w:abstractNum w:abstractNumId="62">
    <w:multiLevelType w:val="hybridMultilevel"/>
    <w:lvl w:ilvl="0">
      <w:numFmt w:val="bullet"/>
      <w:lvlText w:val="·"/>
      <w:lvlJc w:val="left"/>
      <w:pPr>
        <w:ind w:left="0" w:firstLine="0"/>
        <w:tab w:val="num" w:pos="720"/>
      </w:pPr>
      <w:rPr>
        <w:rFonts w:ascii="Symbol" w:hAnsi="Symbol" w:cs="Symbol" w:eastAsia="Symbol"/>
      </w:rPr>
    </w:lvl>
    <w:lvl w:ilvl="1">
      <w:numFmt w:val="decimal"/>
      <w:lvlText w:val="%2."/>
      <w:lvlJc w:val="left"/>
      <w:start w:val="1"/>
      <w:pPr>
        <w:ind w:left="1440" w:hanging="360"/>
        <w:tab w:val="num" w:pos="1440"/>
      </w:pPr>
      <w:rPr>
        <w:rFonts w:ascii="Times New Roman" w:hAnsi="Times New Roman" w:cs="Times New Roman" w:eastAsia="Times New Roman"/>
        <w:sz w:val="24"/>
      </w:rPr>
    </w:lvl>
    <w:lvl w:ilvl="2">
      <w:numFmt w:val="decimal"/>
      <w:lvlText w:val="%3."/>
      <w:lvlJc w:val="left"/>
      <w:start w:val="1"/>
      <w:pPr>
        <w:ind w:left="2160" w:hanging="360"/>
        <w:tab w:val="num" w:pos="2160"/>
      </w:pPr>
      <w:rPr>
        <w:rFonts w:ascii="Times New Roman" w:hAnsi="Times New Roman" w:cs="Times New Roman" w:eastAsia="Times New Roman"/>
        <w:sz w:val="24"/>
      </w:rPr>
    </w:lvl>
    <w:lvl w:ilvl="3">
      <w:numFmt w:val="decimal"/>
      <w:lvlText w:val="%4."/>
      <w:lvlJc w:val="left"/>
      <w:start w:val="1"/>
      <w:pPr>
        <w:ind w:left="2880" w:hanging="360"/>
        <w:tab w:val="num" w:pos="2880"/>
      </w:pPr>
      <w:rPr>
        <w:rFonts w:ascii="Times New Roman" w:hAnsi="Times New Roman" w:cs="Times New Roman" w:eastAsia="Times New Roman"/>
        <w:sz w:val="24"/>
      </w:rPr>
    </w:lvl>
    <w:lvl w:ilvl="4">
      <w:numFmt w:val="decimal"/>
      <w:lvlText w:val="%5."/>
      <w:lvlJc w:val="left"/>
      <w:start w:val="1"/>
      <w:pPr>
        <w:ind w:left="3600" w:hanging="360"/>
        <w:tab w:val="num" w:pos="3600"/>
      </w:pPr>
      <w:rPr>
        <w:rFonts w:ascii="Times New Roman" w:hAnsi="Times New Roman" w:cs="Times New Roman" w:eastAsia="Times New Roman"/>
        <w:sz w:val="24"/>
      </w:rPr>
    </w:lvl>
    <w:lvl w:ilvl="5">
      <w:numFmt w:val="decimal"/>
      <w:lvlText w:val="%6."/>
      <w:lvlJc w:val="left"/>
      <w:start w:val="1"/>
      <w:pPr>
        <w:ind w:left="4320" w:hanging="36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decimal"/>
      <w:lvlText w:val="%8."/>
      <w:lvlJc w:val="left"/>
      <w:start w:val="1"/>
      <w:pPr>
        <w:ind w:left="5760" w:hanging="360"/>
        <w:tab w:val="num" w:pos="5760"/>
      </w:pPr>
      <w:rPr>
        <w:rFonts w:ascii="Times New Roman" w:hAnsi="Times New Roman" w:cs="Times New Roman" w:eastAsia="Times New Roman"/>
        <w:sz w:val="24"/>
      </w:rPr>
    </w:lvl>
    <w:lvl w:ilvl="8">
      <w:numFmt w:val="decimal"/>
      <w:lvlText w:val="%9."/>
      <w:lvlJc w:val="left"/>
      <w:start w:val="1"/>
      <w:pPr>
        <w:ind w:left="6480" w:hanging="360"/>
        <w:tab w:val="num" w:pos="6480"/>
      </w:pPr>
      <w:rPr>
        <w:rFonts w:ascii="Times New Roman" w:hAnsi="Times New Roman" w:cs="Times New Roman" w:eastAsia="Times New Roman"/>
        <w:sz w:val="24"/>
      </w:rPr>
    </w:lvl>
  </w:abstractNum>
  <w:abstractNum w:abstractNumId="63">
    <w:multiLevelType w:val="hybridMultilevel"/>
    <w:lvl w:ilvl="0">
      <w:numFmt w:val="bullet"/>
      <w:lvlText w:val="Ø"/>
      <w:lvlJc w:val="left"/>
      <w:pPr>
        <w:ind w:left="360" w:hanging="360"/>
        <w:tab w:val="num" w:pos="360"/>
      </w:pPr>
      <w:rPr>
        <w:rFonts w:ascii="Wingdings" w:hAnsi="Wingdings" w:cs="Wingdings" w:eastAsia="Wingdings"/>
      </w:rPr>
    </w:lvl>
    <w:lvl w:ilvl="1">
      <w:numFmt w:val="decimal"/>
      <w:lvlText w:val="%2."/>
      <w:lvlJc w:val="left"/>
      <w:start w:val="1"/>
      <w:pPr>
        <w:ind w:left="1440" w:hanging="360"/>
        <w:tab w:val="num" w:pos="1440"/>
      </w:pPr>
      <w:rPr>
        <w:rFonts w:ascii="Times New Roman" w:hAnsi="Times New Roman" w:cs="Times New Roman" w:eastAsia="Times New Roman"/>
        <w:sz w:val="24"/>
      </w:rPr>
    </w:lvl>
    <w:lvl w:ilvl="2">
      <w:numFmt w:val="decimal"/>
      <w:lvlText w:val="%3."/>
      <w:lvlJc w:val="left"/>
      <w:start w:val="1"/>
      <w:pPr>
        <w:ind w:left="2160" w:hanging="360"/>
        <w:tab w:val="num" w:pos="2160"/>
      </w:pPr>
      <w:rPr>
        <w:rFonts w:ascii="Times New Roman" w:hAnsi="Times New Roman" w:cs="Times New Roman" w:eastAsia="Times New Roman"/>
        <w:sz w:val="24"/>
      </w:rPr>
    </w:lvl>
    <w:lvl w:ilvl="3">
      <w:numFmt w:val="decimal"/>
      <w:lvlText w:val="%4."/>
      <w:lvlJc w:val="left"/>
      <w:start w:val="1"/>
      <w:pPr>
        <w:ind w:left="2880" w:hanging="360"/>
        <w:tab w:val="num" w:pos="2880"/>
      </w:pPr>
      <w:rPr>
        <w:rFonts w:ascii="Times New Roman" w:hAnsi="Times New Roman" w:cs="Times New Roman" w:eastAsia="Times New Roman"/>
        <w:sz w:val="24"/>
      </w:rPr>
    </w:lvl>
    <w:lvl w:ilvl="4">
      <w:numFmt w:val="decimal"/>
      <w:lvlText w:val="%5."/>
      <w:lvlJc w:val="left"/>
      <w:start w:val="1"/>
      <w:pPr>
        <w:ind w:left="3600" w:hanging="360"/>
        <w:tab w:val="num" w:pos="3600"/>
      </w:pPr>
      <w:rPr>
        <w:rFonts w:ascii="Times New Roman" w:hAnsi="Times New Roman" w:cs="Times New Roman" w:eastAsia="Times New Roman"/>
        <w:sz w:val="24"/>
      </w:rPr>
    </w:lvl>
    <w:lvl w:ilvl="5">
      <w:numFmt w:val="decimal"/>
      <w:lvlText w:val="%6."/>
      <w:lvlJc w:val="left"/>
      <w:start w:val="1"/>
      <w:pPr>
        <w:ind w:left="4320" w:hanging="36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decimal"/>
      <w:lvlText w:val="%8."/>
      <w:lvlJc w:val="left"/>
      <w:start w:val="1"/>
      <w:pPr>
        <w:ind w:left="5760" w:hanging="360"/>
        <w:tab w:val="num" w:pos="5760"/>
      </w:pPr>
      <w:rPr>
        <w:rFonts w:ascii="Times New Roman" w:hAnsi="Times New Roman" w:cs="Times New Roman" w:eastAsia="Times New Roman"/>
        <w:sz w:val="24"/>
      </w:rPr>
    </w:lvl>
    <w:lvl w:ilvl="8">
      <w:numFmt w:val="decimal"/>
      <w:lvlText w:val="%9."/>
      <w:lvlJc w:val="left"/>
      <w:start w:val="1"/>
      <w:pPr>
        <w:ind w:left="6480" w:hanging="360"/>
        <w:tab w:val="num" w:pos="6480"/>
      </w:pPr>
      <w:rPr>
        <w:rFonts w:ascii="Times New Roman" w:hAnsi="Times New Roman" w:cs="Times New Roman" w:eastAsia="Times New Roman"/>
        <w:sz w:val="24"/>
      </w:rPr>
    </w:lvl>
  </w:abstractNum>
  <w:abstractNum w:abstractNumId="64">
    <w:multiLevelType w:val="multilevel"/>
    <w:lvl w:ilvl="0">
      <w:numFmt w:val="decimal"/>
      <w:lvlText w:val=""/>
      <w:lvlJc w:val="left"/>
      <w:start w:val="1"/>
      <w:pPr>
        <w:ind w:left="360" w:hanging="360"/>
        <w:tab w:val="num" w:pos="360"/>
      </w:pPr>
      <w:rPr>
        <w:rFonts w:ascii="Times New Roman" w:hAnsi="Times New Roman" w:cs="Times New Roman" w:eastAsia="Times New Roman"/>
        <w:b/>
        <w:sz w:val="24"/>
      </w:rPr>
    </w:lvl>
    <w:lvl w:ilvl="1">
      <w:numFmt w:val="decimal"/>
      <w:lvlText w:val=""/>
      <w:lvlJc w:val="left"/>
      <w:start w:val="1"/>
      <w:pPr>
        <w:ind w:left="0" w:firstLine="0"/>
        <w:tab w:val="num" w:pos="0"/>
      </w:pPr>
      <w:rPr>
        <w:rFonts w:ascii="Times New Roman" w:hAnsi="Times New Roman" w:cs="Times New Roman" w:eastAsia="Times New Roman"/>
        <w:b/>
      </w:rPr>
    </w:lvl>
    <w:lvl w:ilvl="2">
      <w:numFmt w:val="decimal"/>
      <w:lvlText w:val=""/>
      <w:lvlJc w:val="left"/>
      <w:start w:val="0"/>
      <w:pPr>
        <w:ind w:left="0" w:firstLine="0"/>
        <w:tab w:val="num" w:pos="360"/>
      </w:pPr>
      <w:rPr>
        <w:rFonts w:ascii="Times New Roman" w:hAnsi="Times New Roman" w:cs="Times New Roman" w:eastAsia="Times New Roman"/>
        <w:sz w:val="24"/>
      </w:rPr>
    </w:lvl>
    <w:lvl w:ilvl="3">
      <w:numFmt w:val="decimal"/>
      <w:lvlText w:val=""/>
      <w:lvlJc w:val="left"/>
      <w:start w:val="0"/>
      <w:pPr>
        <w:ind w:left="0" w:firstLine="0"/>
        <w:tab w:val="num" w:pos="360"/>
      </w:pPr>
      <w:rPr>
        <w:rFonts w:ascii="Times New Roman" w:hAnsi="Times New Roman" w:cs="Times New Roman" w:eastAsia="Times New Roman"/>
        <w:sz w:val="24"/>
      </w:rPr>
    </w:lvl>
    <w:lvl w:ilvl="4">
      <w:numFmt w:val="decimal"/>
      <w:lvlText w:val=""/>
      <w:lvlJc w:val="left"/>
      <w:start w:val="0"/>
      <w:pPr>
        <w:ind w:left="0" w:firstLine="0"/>
        <w:tab w:val="num" w:pos="360"/>
      </w:pPr>
      <w:rPr>
        <w:rFonts w:ascii="Times New Roman" w:hAnsi="Times New Roman" w:cs="Times New Roman" w:eastAsia="Times New Roman"/>
        <w:sz w:val="24"/>
      </w:rPr>
    </w:lvl>
    <w:lvl w:ilvl="5">
      <w:numFmt w:val="decimal"/>
      <w:lvlText w:val=""/>
      <w:lvlJc w:val="left"/>
      <w:start w:val="0"/>
      <w:pPr>
        <w:ind w:left="0" w:firstLine="0"/>
        <w:tab w:val="num" w:pos="360"/>
      </w:pPr>
      <w:rPr>
        <w:rFonts w:ascii="Times New Roman" w:hAnsi="Times New Roman" w:cs="Times New Roman" w:eastAsia="Times New Roman"/>
        <w:sz w:val="24"/>
      </w:rPr>
    </w:lvl>
    <w:lvl w:ilvl="6">
      <w:numFmt w:val="decimal"/>
      <w:lvlText w:val=""/>
      <w:lvlJc w:val="left"/>
      <w:start w:val="0"/>
      <w:pPr>
        <w:ind w:left="0" w:firstLine="0"/>
        <w:tab w:val="num" w:pos="360"/>
      </w:pPr>
      <w:rPr>
        <w:rFonts w:ascii="Times New Roman" w:hAnsi="Times New Roman" w:cs="Times New Roman" w:eastAsia="Times New Roman"/>
        <w:sz w:val="24"/>
      </w:rPr>
    </w:lvl>
    <w:lvl w:ilvl="7">
      <w:numFmt w:val="decimal"/>
      <w:lvlText w:val=""/>
      <w:lvlJc w:val="left"/>
      <w:start w:val="0"/>
      <w:pPr>
        <w:ind w:left="0" w:firstLine="0"/>
        <w:tab w:val="num" w:pos="360"/>
      </w:pPr>
      <w:rPr>
        <w:rFonts w:ascii="Times New Roman" w:hAnsi="Times New Roman" w:cs="Times New Roman" w:eastAsia="Times New Roman"/>
        <w:sz w:val="24"/>
      </w:rPr>
    </w:lvl>
    <w:lvl w:ilvl="8">
      <w:numFmt w:val="decimal"/>
      <w:lvlText w:val=""/>
      <w:lvlJc w:val="left"/>
      <w:start w:val="0"/>
      <w:pPr>
        <w:ind w:left="0" w:firstLine="0"/>
        <w:tab w:val="num" w:pos="360"/>
      </w:pPr>
      <w:rPr>
        <w:rFonts w:ascii="Times New Roman" w:hAnsi="Times New Roman" w:cs="Times New Roman" w:eastAsia="Times New Roman"/>
        <w:sz w:val="24"/>
      </w:rPr>
    </w:lvl>
  </w:abstractNum>
  <w:abstractNum w:abstractNumId="65">
    <w:multiLevelType w:val="hybridMultilevel"/>
    <w:lvl w:ilvl="0">
      <w:numFmt w:val="bullet"/>
      <w:lvlText w:val="·"/>
      <w:lvlJc w:val="left"/>
      <w:pPr>
        <w:ind w:left="0" w:firstLine="0"/>
        <w:tab w:val="num" w:pos="720"/>
      </w:pPr>
      <w:rPr>
        <w:rFonts w:ascii="Symbol" w:hAnsi="Symbol" w:cs="Symbol" w:eastAsia="Symbol"/>
      </w:rPr>
    </w:lvl>
    <w:lvl w:ilvl="1">
      <w:numFmt w:val="decimal"/>
      <w:lvlText w:val="%2."/>
      <w:lvlJc w:val="left"/>
      <w:start w:val="1"/>
      <w:pPr>
        <w:ind w:left="1440" w:hanging="360"/>
        <w:tab w:val="num" w:pos="1440"/>
      </w:pPr>
      <w:rPr>
        <w:rFonts w:ascii="Times New Roman" w:hAnsi="Times New Roman" w:cs="Times New Roman" w:eastAsia="Times New Roman"/>
        <w:sz w:val="24"/>
      </w:rPr>
    </w:lvl>
    <w:lvl w:ilvl="2">
      <w:numFmt w:val="decimal"/>
      <w:lvlText w:val="%3."/>
      <w:lvlJc w:val="left"/>
      <w:start w:val="1"/>
      <w:pPr>
        <w:ind w:left="2160" w:hanging="360"/>
        <w:tab w:val="num" w:pos="2160"/>
      </w:pPr>
      <w:rPr>
        <w:rFonts w:ascii="Times New Roman" w:hAnsi="Times New Roman" w:cs="Times New Roman" w:eastAsia="Times New Roman"/>
        <w:sz w:val="24"/>
      </w:rPr>
    </w:lvl>
    <w:lvl w:ilvl="3">
      <w:numFmt w:val="decimal"/>
      <w:lvlText w:val="%4."/>
      <w:lvlJc w:val="left"/>
      <w:start w:val="1"/>
      <w:pPr>
        <w:ind w:left="2880" w:hanging="360"/>
        <w:tab w:val="num" w:pos="2880"/>
      </w:pPr>
      <w:rPr>
        <w:rFonts w:ascii="Times New Roman" w:hAnsi="Times New Roman" w:cs="Times New Roman" w:eastAsia="Times New Roman"/>
        <w:sz w:val="24"/>
      </w:rPr>
    </w:lvl>
    <w:lvl w:ilvl="4">
      <w:numFmt w:val="decimal"/>
      <w:lvlText w:val="%5."/>
      <w:lvlJc w:val="left"/>
      <w:start w:val="1"/>
      <w:pPr>
        <w:ind w:left="3600" w:hanging="360"/>
        <w:tab w:val="num" w:pos="3600"/>
      </w:pPr>
      <w:rPr>
        <w:rFonts w:ascii="Times New Roman" w:hAnsi="Times New Roman" w:cs="Times New Roman" w:eastAsia="Times New Roman"/>
        <w:sz w:val="24"/>
      </w:rPr>
    </w:lvl>
    <w:lvl w:ilvl="5">
      <w:numFmt w:val="decimal"/>
      <w:lvlText w:val="%6."/>
      <w:lvlJc w:val="left"/>
      <w:start w:val="1"/>
      <w:pPr>
        <w:ind w:left="4320" w:hanging="36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decimal"/>
      <w:lvlText w:val="%8."/>
      <w:lvlJc w:val="left"/>
      <w:start w:val="1"/>
      <w:pPr>
        <w:ind w:left="5760" w:hanging="360"/>
        <w:tab w:val="num" w:pos="5760"/>
      </w:pPr>
      <w:rPr>
        <w:rFonts w:ascii="Times New Roman" w:hAnsi="Times New Roman" w:cs="Times New Roman" w:eastAsia="Times New Roman"/>
        <w:sz w:val="24"/>
      </w:rPr>
    </w:lvl>
    <w:lvl w:ilvl="8">
      <w:numFmt w:val="decimal"/>
      <w:lvlText w:val="%9."/>
      <w:lvlJc w:val="left"/>
      <w:start w:val="1"/>
      <w:pPr>
        <w:ind w:left="6480" w:hanging="360"/>
        <w:tab w:val="num" w:pos="6480"/>
      </w:pPr>
      <w:rPr>
        <w:rFonts w:ascii="Times New Roman" w:hAnsi="Times New Roman" w:cs="Times New Roman" w:eastAsia="Times New Roman"/>
        <w:sz w:val="24"/>
      </w:rPr>
    </w:lvl>
  </w:abstractNum>
  <w:abstractNum w:abstractNumId="66">
    <w:multiLevelType w:val="hybridMultilevel"/>
    <w:lvl w:ilvl="0">
      <w:numFmt w:val="bullet"/>
      <w:lvlText w:val="Ø"/>
      <w:lvlJc w:val="left"/>
      <w:pPr>
        <w:ind w:left="360" w:hanging="360"/>
        <w:tab w:val="num" w:pos="360"/>
      </w:pPr>
      <w:rPr>
        <w:rFonts w:ascii="Wingdings" w:hAnsi="Wingdings" w:cs="Wingdings" w:eastAsia="Wingdings"/>
      </w:rPr>
    </w:lvl>
    <w:lvl w:ilvl="1">
      <w:numFmt w:val="decimal"/>
      <w:lvlText w:val="%2."/>
      <w:lvlJc w:val="left"/>
      <w:start w:val="1"/>
      <w:pPr>
        <w:ind w:left="1440" w:hanging="360"/>
        <w:tab w:val="num" w:pos="1440"/>
      </w:pPr>
      <w:rPr>
        <w:rFonts w:ascii="Times New Roman" w:hAnsi="Times New Roman" w:cs="Times New Roman" w:eastAsia="Times New Roman"/>
        <w:sz w:val="24"/>
      </w:rPr>
    </w:lvl>
    <w:lvl w:ilvl="2">
      <w:numFmt w:val="decimal"/>
      <w:lvlText w:val="%3."/>
      <w:lvlJc w:val="left"/>
      <w:start w:val="1"/>
      <w:pPr>
        <w:ind w:left="2160" w:hanging="360"/>
        <w:tab w:val="num" w:pos="2160"/>
      </w:pPr>
      <w:rPr>
        <w:rFonts w:ascii="Times New Roman" w:hAnsi="Times New Roman" w:cs="Times New Roman" w:eastAsia="Times New Roman"/>
        <w:sz w:val="24"/>
      </w:rPr>
    </w:lvl>
    <w:lvl w:ilvl="3">
      <w:numFmt w:val="decimal"/>
      <w:lvlText w:val="%4."/>
      <w:lvlJc w:val="left"/>
      <w:start w:val="1"/>
      <w:pPr>
        <w:ind w:left="2880" w:hanging="360"/>
        <w:tab w:val="num" w:pos="2880"/>
      </w:pPr>
      <w:rPr>
        <w:rFonts w:ascii="Times New Roman" w:hAnsi="Times New Roman" w:cs="Times New Roman" w:eastAsia="Times New Roman"/>
        <w:sz w:val="24"/>
      </w:rPr>
    </w:lvl>
    <w:lvl w:ilvl="4">
      <w:numFmt w:val="decimal"/>
      <w:lvlText w:val="%5."/>
      <w:lvlJc w:val="left"/>
      <w:start w:val="1"/>
      <w:pPr>
        <w:ind w:left="3600" w:hanging="360"/>
        <w:tab w:val="num" w:pos="3600"/>
      </w:pPr>
      <w:rPr>
        <w:rFonts w:ascii="Times New Roman" w:hAnsi="Times New Roman" w:cs="Times New Roman" w:eastAsia="Times New Roman"/>
        <w:sz w:val="24"/>
      </w:rPr>
    </w:lvl>
    <w:lvl w:ilvl="5">
      <w:numFmt w:val="decimal"/>
      <w:lvlText w:val="%6."/>
      <w:lvlJc w:val="left"/>
      <w:start w:val="1"/>
      <w:pPr>
        <w:ind w:left="4320" w:hanging="36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decimal"/>
      <w:lvlText w:val="%8."/>
      <w:lvlJc w:val="left"/>
      <w:start w:val="1"/>
      <w:pPr>
        <w:ind w:left="5760" w:hanging="360"/>
        <w:tab w:val="num" w:pos="5760"/>
      </w:pPr>
      <w:rPr>
        <w:rFonts w:ascii="Times New Roman" w:hAnsi="Times New Roman" w:cs="Times New Roman" w:eastAsia="Times New Roman"/>
        <w:sz w:val="24"/>
      </w:rPr>
    </w:lvl>
    <w:lvl w:ilvl="8">
      <w:numFmt w:val="decimal"/>
      <w:lvlText w:val="%9."/>
      <w:lvlJc w:val="left"/>
      <w:start w:val="1"/>
      <w:pPr>
        <w:ind w:left="6480" w:hanging="360"/>
        <w:tab w:val="num" w:pos="6480"/>
      </w:pPr>
      <w:rPr>
        <w:rFonts w:ascii="Times New Roman" w:hAnsi="Times New Roman" w:cs="Times New Roman" w:eastAsia="Times New Roman"/>
        <w:sz w:val="24"/>
      </w:rPr>
    </w:lvl>
  </w:abstractNum>
  <w:abstractNum w:abstractNumId="67">
    <w:multiLevelType w:val="multilevel"/>
    <w:lvl w:ilvl="0">
      <w:numFmt w:val="lowerLetter"/>
      <w:lvlText w:val=""/>
      <w:lvlJc w:val="left"/>
      <w:start w:val="1"/>
      <w:pPr>
        <w:ind w:left="720" w:hanging="360"/>
        <w:tab w:val="num" w:pos="720"/>
      </w:pPr>
      <w:rPr>
        <w:rFonts w:ascii="Times New Roman" w:hAnsi="Times New Roman" w:cs="Times New Roman" w:eastAsia="Times New Roman"/>
        <w:b/>
        <w:sz w:val="22"/>
        <w:color w:val="000000"/>
      </w:rPr>
    </w:lvl>
    <w:lvl w:ilvl="1">
      <w:numFmt w:val="lowerLetter"/>
      <w:lvlText w:val="%2."/>
      <w:lvlJc w:val="left"/>
      <w:start w:val="1"/>
      <w:pPr>
        <w:ind w:left="1440" w:hanging="360"/>
        <w:tab w:val="num" w:pos="1440"/>
      </w:pPr>
      <w:rPr>
        <w:rFonts w:ascii="Times New Roman" w:hAnsi="Times New Roman" w:cs="Times New Roman" w:eastAsia="Times New Roman"/>
        <w:sz w:val="24"/>
      </w:rPr>
    </w:lvl>
    <w:lvl w:ilvl="2">
      <w:numFmt w:val="lowerRoman"/>
      <w:lvlText w:val="%3."/>
      <w:lvlJc w:val="right"/>
      <w:start w:val="1"/>
      <w:pPr>
        <w:ind w:left="2160" w:hanging="180"/>
        <w:tab w:val="num" w:pos="2160"/>
      </w:pPr>
      <w:rPr>
        <w:rFonts w:ascii="Times New Roman" w:hAnsi="Times New Roman" w:cs="Times New Roman" w:eastAsia="Times New Roman"/>
        <w:sz w:val="24"/>
      </w:rPr>
    </w:lvl>
    <w:lvl w:ilvl="3">
      <w:numFmt w:val="decimal"/>
      <w:lvlText w:val="%4."/>
      <w:lvlJc w:val="left"/>
      <w:start w:val="1"/>
      <w:pPr>
        <w:ind w:left="2880" w:hanging="360"/>
        <w:tab w:val="num" w:pos="2880"/>
      </w:pPr>
      <w:rPr>
        <w:rFonts w:ascii="Times New Roman" w:hAnsi="Times New Roman" w:cs="Times New Roman" w:eastAsia="Times New Roman"/>
        <w:sz w:val="24"/>
      </w:rPr>
    </w:lvl>
    <w:lvl w:ilvl="4">
      <w:numFmt w:val="lowerLetter"/>
      <w:lvlText w:val="%5."/>
      <w:lvlJc w:val="left"/>
      <w:start w:val="1"/>
      <w:pPr>
        <w:ind w:left="3600" w:hanging="360"/>
        <w:tab w:val="num" w:pos="3600"/>
      </w:pPr>
      <w:rPr>
        <w:rFonts w:ascii="Times New Roman" w:hAnsi="Times New Roman" w:cs="Times New Roman" w:eastAsia="Times New Roman"/>
        <w:sz w:val="24"/>
      </w:rPr>
    </w:lvl>
    <w:lvl w:ilvl="5">
      <w:numFmt w:val="lowerRoman"/>
      <w:lvlText w:val="%6."/>
      <w:lvlJc w:val="right"/>
      <w:start w:val="1"/>
      <w:pPr>
        <w:ind w:left="4320" w:hanging="180"/>
        <w:tab w:val="num" w:pos="4320"/>
      </w:pPr>
      <w:rPr>
        <w:rFonts w:ascii="Times New Roman" w:hAnsi="Times New Roman" w:cs="Times New Roman" w:eastAsia="Times New Roman"/>
        <w:sz w:val="24"/>
      </w:rPr>
    </w:lvl>
    <w:lvl w:ilvl="6">
      <w:numFmt w:val="decimal"/>
      <w:lvlText w:val="%7."/>
      <w:lvlJc w:val="left"/>
      <w:start w:val="1"/>
      <w:pPr>
        <w:ind w:left="5040" w:hanging="360"/>
        <w:tab w:val="num" w:pos="5040"/>
      </w:pPr>
      <w:rPr>
        <w:rFonts w:ascii="Times New Roman" w:hAnsi="Times New Roman" w:cs="Times New Roman" w:eastAsia="Times New Roman"/>
        <w:sz w:val="24"/>
      </w:rPr>
    </w:lvl>
    <w:lvl w:ilvl="7">
      <w:numFmt w:val="lowerLetter"/>
      <w:lvlText w:val="%8."/>
      <w:lvlJc w:val="left"/>
      <w:start w:val="1"/>
      <w:pPr>
        <w:ind w:left="5760" w:hanging="360"/>
        <w:tab w:val="num" w:pos="5760"/>
      </w:pPr>
      <w:rPr>
        <w:rFonts w:ascii="Times New Roman" w:hAnsi="Times New Roman" w:cs="Times New Roman" w:eastAsia="Times New Roman"/>
        <w:sz w:val="24"/>
      </w:rPr>
    </w:lvl>
    <w:lvl w:ilvl="8">
      <w:numFmt w:val="lowerRoman"/>
      <w:lvlText w:val="%9."/>
      <w:lvlJc w:val="right"/>
      <w:start w:val="1"/>
      <w:pPr>
        <w:ind w:left="6480" w:hanging="180"/>
        <w:tab w:val="num" w:pos="6480"/>
      </w:pPr>
      <w:rPr>
        <w:rFonts w:ascii="Times New Roman" w:hAnsi="Times New Roman" w:cs="Times New Roman" w:eastAsia="Times New Roman"/>
        <w:sz w:val="24"/>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w:zoom w:percent="100"/>
  <w:compat>
    <w:compatSetting w:name="compatibilityMode" w:uri="http://schemas.microsoft.com/office/word" w:val="15"/>
  </w:compat>
</w:settings>
</file>

<file path=word/styles.xml><?xml version="1.0" encoding="utf-8"?>
<w:styles xmlns:r="http://schemas.openxmlformats.org/officeDocument/2006/relationships" xmlns:w="http://schemas.openxmlformats.org/wordprocessingml/2006/main">
  <w:docDefaults>
    <w:pPrDefault>
      <w:pPr>
        <w:spacing w:after="0" w:before="0" w:line="240" w:lineRule="auto"/>
        <w:widowControl w:val="0"/>
      </w:pPr>
    </w:pPrDefault>
    <w:rPrDefault>
      <w:rPr>
        <w:rFonts w:ascii="Arial" w:hAnsi="Arial" w:cs="Arial" w:eastAsia="Arial"/>
        <w:sz w:val="20"/>
      </w:rPr>
    </w:rPrDefault>
  </w:docDefaults>
  <w:style w:type="paragraph" w:default="1" w:styleId="0">
    <w:name w:val="Normal"/>
    <w:qFormat/>
  </w:style>
</w:styles>
</file>

<file path=word/_rels/document.xml.rels><?xml version="1.0" encoding="UTF-8" standalone="yes"?>
<Relationships xmlns="http://schemas.openxmlformats.org/package/2006/relationships"><Relationship Id="rIdFT" Type="http://schemas.openxmlformats.org/officeDocument/2006/relationships/fontTable" Target="fontTable.xml"/><Relationship Id="rIdSt" Type="http://schemas.openxmlformats.org/officeDocument/2006/relationships/styles" Target="styles.xml"/><Relationship Id="rIdHF0" Type="http://schemas.openxmlformats.org/officeDocument/2006/relationships/header" Target="header.xml"/><Relationship Id="rIdHF1" Type="http://schemas.openxmlformats.org/officeDocument/2006/relationships/footer" Target="footer.xml"/><Relationship Id="rIdNm" Type="http://schemas.openxmlformats.org/officeDocument/2006/relationships/numbering" Target="numbering.xml"/><Relationship Id="rIdSet" Type="http://schemas.openxmlformats.org/officeDocument/2006/relationships/settings" Target="settings.xml"/><Relationship Id="hrId1" Type="http://schemas.openxmlformats.org/officeDocument/2006/relationships/hyperlink" Target="http://www.bll.org.br/" TargetMode="External"/><Relationship Id="hrId2" Type="http://schemas.openxmlformats.org/officeDocument/2006/relationships/hyperlink" Target="http://www.bll.org.br./" TargetMode="External"/><Relationship Id="hrId3" Type="http://schemas.openxmlformats.org/officeDocument/2006/relationships/hyperlink" Target="http://www.umuarama.pr.gov.br/" TargetMode="External"/><Relationship Id="prId1" Type="http://schemas.openxmlformats.org/officeDocument/2006/relationships/image" Target="media/img2.emf"/><Relationship Id="prId2" Type="http://schemas.openxmlformats.org/officeDocument/2006/relationships/image" Target="media/img3.emf"/><Relationship Id="prId3" Type="http://schemas.openxmlformats.org/officeDocument/2006/relationships/image" Target="media/img4.emf"/><Relationship Id="prId4" Type="http://schemas.openxmlformats.org/officeDocument/2006/relationships/image" Target="media/img5.emf"/><Relationship Id="prId5" Type="http://schemas.openxmlformats.org/officeDocument/2006/relationships/image" Target="media/img6.emf"/><Relationship Id="prId6" Type="http://schemas.openxmlformats.org/officeDocument/2006/relationships/image" Target="media/img7.emf"/><Relationship Id="prId7" Type="http://schemas.openxmlformats.org/officeDocument/2006/relationships/image" Target="media/img8.emf"/><Relationship Id="prId8" Type="http://schemas.openxmlformats.org/officeDocument/2006/relationships/image" Target="media/img9.emf"/><Relationship Id="prId9" Type="http://schemas.openxmlformats.org/officeDocument/2006/relationships/image" Target="media/img10.emf"/><Relationship Id="prId10" Type="http://schemas.openxmlformats.org/officeDocument/2006/relationships/image" Target="media/img11.emf"/><Relationship Id="prId11" Type="http://schemas.openxmlformats.org/officeDocument/2006/relationships/image" Target="media/img12.emf"/><Relationship Id="prId12" Type="http://schemas.openxmlformats.org/officeDocument/2006/relationships/image" Target="media/img13.emf"/><Relationship Id="prId13" Type="http://schemas.openxmlformats.org/officeDocument/2006/relationships/image" Target="media/img14.emf"/><Relationship Id="prId14" Type="http://schemas.openxmlformats.org/officeDocument/2006/relationships/image" Target="media/img15.emf"/><Relationship Id="prId15" Type="http://schemas.openxmlformats.org/officeDocument/2006/relationships/image" Target="media/img16.emf"/><Relationship Id="prId16" Type="http://schemas.openxmlformats.org/officeDocument/2006/relationships/image" Target="media/img17.emf"/><Relationship Id="prId17" Type="http://schemas.openxmlformats.org/officeDocument/2006/relationships/image" Target="media/img18.emf"/><Relationship Id="prId18" Type="http://schemas.openxmlformats.org/officeDocument/2006/relationships/image" Target="media/img19.emf"/><Relationship Id="prId19" Type="http://schemas.openxmlformats.org/officeDocument/2006/relationships/image" Target="media/img20.emf"/><Relationship Id="prId20" Type="http://schemas.openxmlformats.org/officeDocument/2006/relationships/image" Target="media/img21.emf"/><Relationship Id="prId21" Type="http://schemas.openxmlformats.org/officeDocument/2006/relationships/image" Target="media/img22.emf"/><Relationship Id="prId22" Type="http://schemas.openxmlformats.org/officeDocument/2006/relationships/image" Target="media/img23.emf"/><Relationship Id="prId23" Type="http://schemas.openxmlformats.org/officeDocument/2006/relationships/image" Target="media/img24.emf"/><Relationship Id="prId24" Type="http://schemas.openxmlformats.org/officeDocument/2006/relationships/image" Target="media/img25.emf"/><Relationship Id="prId25" Type="http://schemas.openxmlformats.org/officeDocument/2006/relationships/image" Target="media/img26.emf"/><Relationship Id="prId26" Type="http://schemas.openxmlformats.org/officeDocument/2006/relationships/image" Target="media/img27.emf"/><Relationship Id="prId27" Type="http://schemas.openxmlformats.org/officeDocument/2006/relationships/image" Target="media/img28.emf"/><Relationship Id="prId28" Type="http://schemas.openxmlformats.org/officeDocument/2006/relationships/image" Target="media/img29.emf"/><Relationship Id="prId29" Type="http://schemas.openxmlformats.org/officeDocument/2006/relationships/image" Target="media/img30.emf"/><Relationship Id="prId30" Type="http://schemas.openxmlformats.org/officeDocument/2006/relationships/image" Target="media/img31.emf"/><Relationship Id="prId31" Type="http://schemas.openxmlformats.org/officeDocument/2006/relationships/image" Target="media/img32.emf"/><Relationship Id="prId32" Type="http://schemas.openxmlformats.org/officeDocument/2006/relationships/image" Target="media/img33.emf"/><Relationship Id="prId33" Type="http://schemas.openxmlformats.org/officeDocument/2006/relationships/image" Target="media/img34.emf"/><Relationship Id="prId34" Type="http://schemas.openxmlformats.org/officeDocument/2006/relationships/image" Target="media/img35.emf"/><Relationship Id="prId35" Type="http://schemas.openxmlformats.org/officeDocument/2006/relationships/image" Target="media/img36.emf"/><Relationship Id="prId36" Type="http://schemas.openxmlformats.org/officeDocument/2006/relationships/image" Target="media/img37.emf"/><Relationship Id="prId37" Type="http://schemas.openxmlformats.org/officeDocument/2006/relationships/image" Target="media/img38.emf"/><Relationship Id="prId38" Type="http://schemas.openxmlformats.org/officeDocument/2006/relationships/image" Target="media/img39.emf"/><Relationship Id="prId39" Type="http://schemas.openxmlformats.org/officeDocument/2006/relationships/image" Target="media/img40.emf"/><Relationship Id="prId40" Type="http://schemas.openxmlformats.org/officeDocument/2006/relationships/image" Target="media/img41.emf"/><Relationship Id="prId41" Type="http://schemas.openxmlformats.org/officeDocument/2006/relationships/image" Target="media/img42.emf"/><Relationship Id="prId42" Type="http://schemas.openxmlformats.org/officeDocument/2006/relationships/image" Target="media/img43.emf"/><Relationship Id="prId43" Type="http://schemas.openxmlformats.org/officeDocument/2006/relationships/image" Target="media/img44.emf"/><Relationship Id="prId44" Type="http://schemas.openxmlformats.org/officeDocument/2006/relationships/image" Target="media/img45.emf"/><Relationship Id="prId45" Type="http://schemas.openxmlformats.org/officeDocument/2006/relationships/image" Target="media/img46.emf"/><Relationship Id="prId46" Type="http://schemas.openxmlformats.org/officeDocument/2006/relationships/image" Target="media/img47.emf"/><Relationship Id="prId47" Type="http://schemas.openxmlformats.org/officeDocument/2006/relationships/image" Target="media/img48.emf"/><Relationship Id="prId48" Type="http://schemas.openxmlformats.org/officeDocument/2006/relationships/image" Target="media/img49.emf"/><Relationship Id="prId49" Type="http://schemas.openxmlformats.org/officeDocument/2006/relationships/image" Target="media/img50.emf"/><Relationship Id="prId50" Type="http://schemas.openxmlformats.org/officeDocument/2006/relationships/image" Target="media/img51.emf"/><Relationship Id="prId51" Type="http://schemas.openxmlformats.org/officeDocument/2006/relationships/image" Target="media/img52.emf"/><Relationship Id="prId52" Type="http://schemas.openxmlformats.org/officeDocument/2006/relationships/image" Target="media/img53.emf"/><Relationship Id="prId53" Type="http://schemas.openxmlformats.org/officeDocument/2006/relationships/image" Target="media/img54.emf"/><Relationship Id="prId54" Type="http://schemas.openxmlformats.org/officeDocument/2006/relationships/image" Target="media/img55.emf"/><Relationship Id="prId55" Type="http://schemas.openxmlformats.org/officeDocument/2006/relationships/image" Target="media/img56.emf"/><Relationship Id="prId56" Type="http://schemas.openxmlformats.org/officeDocument/2006/relationships/image" Target="media/img57.emf"/><Relationship Id="prId57" Type="http://schemas.openxmlformats.org/officeDocument/2006/relationships/image" Target="media/img58.emf"/><Relationship Id="prId58" Type="http://schemas.openxmlformats.org/officeDocument/2006/relationships/image" Target="media/img59.emf"/><Relationship Id="prId59" Type="http://schemas.openxmlformats.org/officeDocument/2006/relationships/image" Target="media/img60.emf"/><Relationship Id="prId60" Type="http://schemas.openxmlformats.org/officeDocument/2006/relationships/image" Target="media/img61.emf"/><Relationship Id="prId61" Type="http://schemas.openxmlformats.org/officeDocument/2006/relationships/image" Target="media/img62.emf"/><Relationship Id="prId62" Type="http://schemas.openxmlformats.org/officeDocument/2006/relationships/image" Target="media/img63.emf"/><Relationship Id="prId63" Type="http://schemas.openxmlformats.org/officeDocument/2006/relationships/image" Target="media/img64.emf"/><Relationship Id="prId64" Type="http://schemas.openxmlformats.org/officeDocument/2006/relationships/image" Target="media/img65.emf"/><Relationship Id="prId65" Type="http://schemas.openxmlformats.org/officeDocument/2006/relationships/image" Target="media/img66.emf"/><Relationship Id="prId66" Type="http://schemas.openxmlformats.org/officeDocument/2006/relationships/image" Target="media/img67.emf"/><Relationship Id="prId67" Type="http://schemas.openxmlformats.org/officeDocument/2006/relationships/image" Target="media/img68.emf"/><Relationship Id="prId68" Type="http://schemas.openxmlformats.org/officeDocument/2006/relationships/image" Target="media/img69.emf"/></Relationships>
</file>

<file path=word/_rels/header.xml.rels><?xml version="1.0" encoding="UTF-8" standalone="yes"?>
<Relationships xmlns="http://schemas.openxmlformats.org/package/2006/relationships"><Relationship Id="prId1" Type="http://schemas.openxmlformats.org/officeDocument/2006/relationships/image" Target="media/img1.png"/></Relationships>
</file>