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pPr>
        <w:jc w:val="center"/>
        <w:ind w:left="1335" w:right="1335"/>
      </w:pPr>
      <w:r>
        <w:rPr>
          <w:b/>
          <w:u w:val="single"/>
          <w:sz w:val="19"/>
        </w:rPr>
        <w:t/>
      </w:r>
    </w:p>
    <w:p>
      <w:pPr>
        <w:jc w:val="center"/>
        <w:ind w:left="1335" w:right="1335"/>
      </w:pPr>
      <w:r>
        <w:rPr>
          <w:b/>
          <w:u w:val="single"/>
          <w:sz w:val="19"/>
        </w:rPr>
        <w:t>EXCLUSIVA LOCAL/REGIONAL</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8/2025</w:t>
      </w:r>
    </w:p>
    <w:p>
      <w:pPr>
        <w:jc w:val="center"/>
        <w:ind w:left="1335" w:right="1335"/>
        <w:spacing w:before="90"/>
      </w:pPr>
      <w:r>
        <w:rPr>
          <w:b/>
          <w:sz w:val="19"/>
        </w:rPr>
        <w:t>PREGÃO ELETRÔNICO N. 4/2025.</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pPr>
        <w:spacing w:before="15"/>
      </w:pPr>
      <w:r>
        <w:t/>
      </w:r>
    </w:p>
    <w:p>
      <w:pPr>
        <w:jc w:val="center"/>
        <w:ind w:left="180" w:right="1335"/>
        <w:spacing w:before="90"/>
      </w:pPr>
      <w:r>
        <w:drawing>
          <wp:inline distT="0" distB="0" distL="0" distR="0">
            <wp:extent cx="6838950" cy="38100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838950" cy="381000"/>
                    </a:xfrm>
                    <a:prstGeom prst="rect">
                      <a:avLst/>
                    </a:prstGeom>
                  </pic:spPr>
                </pic:pic>
              </a:graphicData>
            </a:graphic>
          </wp:inline>
        </w:drawing>
      </w:r>
    </w:p>
    <w:p>
      <w:pPr>
        <w:jc w:val="both"/>
        <w:ind w:left="165" w:right="210"/>
        <w:spacing w:before="90" w:lineRule="auto" w:line="276"/>
      </w:pPr>
      <w:r>
        <w:t/>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CONTRATAÇÃO DE EMPRESA ESPECIALIZADA EM SERVIÇOS DE TELECOMUNICAÇÕES EM FORNECIMENTO DE LINK DE INTERNET DEDICADO, APTA PARA INTERLIGAÇÕES DE DADOS, VISANDO  ATENDER AS NECESSIDADES DO MUNICÍPIO DE SÃO TOMÉ</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17/02/2025.</w:t>
      </w:r>
    </w:p>
    <w:p>
      <w:r>
        <w:t/>
      </w:r>
    </w:p>
    <w:p>
      <w:pPr>
        <w:numPr>
          <w:ilvl w:val="1"/>
          <w:numId w:val="21"/>
        </w:numPr>
      </w:pPr>
      <w:r/>
      <w:r>
        <w:rPr>
          <w:b/>
          <w:sz w:val="19"/>
        </w:rPr>
        <w:t xml:space="preserve"> ABERTURA E JULGAMENTO DAS PROPOSTAS: </w:t>
      </w:r>
      <w:r>
        <w:rPr>
          <w:rFonts w:ascii="Arial MT" w:hAnsi="Arial MT" w:cs="Arial MT" w:eastAsia="Arial MT"/>
          <w:sz w:val="19"/>
        </w:rPr>
        <w:t>às 09:01 do dia 17/02/2025.</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17/02/2025.</w:t>
      </w:r>
    </w:p>
    <w:p>
      <w:pPr>
        <w:outlineLvl w:val="1"/>
        <w:spacing w:before="150"/>
        <w:numPr>
          <w:ilvl w:val="1"/>
          <w:numId w:val="21"/>
        </w:numPr>
      </w:pPr>
      <w:r/>
      <w:r>
        <w:rPr>
          <w:b/>
          <w:sz w:val="19"/>
        </w:rPr>
        <w:t xml:space="preserve"> CRITÉRIO DE JULGAMENTO: MENOR PREÇO POR ITEM</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r>
        <w:t/>
      </w:r>
    </w:p>
    <w:p>
      <w:pPr>
        <w:jc w:val="both"/>
        <w:ind w:left="165" w:right="210"/>
        <w:spacing w:lineRule="auto" w:line="264"/>
      </w:pPr>
      <w:r>
        <w:rPr>
          <w:b/>
          <w:sz w:val="19"/>
        </w:rPr>
        <w:t>EXCLUSIVO</w:t>
      </w:r>
    </w:p>
    <w:p>
      <w:pPr>
        <w:jc w:val="both"/>
        <w:ind w:left="165" w:right="210"/>
        <w:spacing w:lineRule="auto" w:line="264"/>
      </w:pPr>
      <w:r>
        <w:t/>
      </w:r>
    </w:p>
    <w:p>
      <w:pPr>
        <w:jc w:val="both"/>
        <w:ind w:right="1050"/>
        <w:numPr>
          <w:ilvl w:val="1"/>
          <w:numId w:val="69"/>
        </w:numPr>
      </w:pPr>
      <w:r/>
      <w:r>
        <w:t xml:space="preserve"> Poderão participar desta licitação apenas as microempresas, empresas de pequeno porte e microempreendedores individuais especializados do ramo (objeto contratual previsto no contrato social da empresa) que atendam às condições estabelecidas neste edital.</w:t>
      </w:r>
    </w:p>
    <w:p>
      <w:pPr>
        <w:spacing w:before="30"/>
      </w:pPr>
      <w:r>
        <w:t/>
      </w:r>
    </w:p>
    <w:p>
      <w:pPr>
        <w:jc w:val="both"/>
        <w:ind w:right="825"/>
        <w:spacing w:before="15"/>
        <w:numPr>
          <w:ilvl w:val="2"/>
          <w:numId w:val="69"/>
        </w:numPr>
      </w:pPr>
      <w:r/>
      <w:r>
        <w:rPr>
          <w:b/>
        </w:rPr>
        <w:t>Visando a promoção do desenvolvimento econômico e social no âmbito local, será concedida A exclusividade para proponentes sediadas local e Regionalmente.</w:t>
      </w:r>
    </w:p>
    <w:p>
      <w:pPr>
        <w:spacing w:before="15"/>
      </w:pPr>
      <w:r>
        <w:t/>
      </w:r>
    </w:p>
    <w:p>
      <w:pPr>
        <w:jc w:val="both"/>
        <w:ind w:right="840"/>
        <w:numPr>
          <w:ilvl w:val="2"/>
          <w:numId w:val="69"/>
        </w:numPr>
      </w:pPr>
      <w:r/>
      <w:r>
        <w:rPr>
          <w:b/>
        </w:rPr>
        <w:t xml:space="preserve">A concessão da exclusividade sera aplicada à todas as proponentes que estão sediadas no Município de São Tomé </w:t>
      </w:r>
      <w:r>
        <w:rPr>
          <w:b/>
          <w:sz w:val="18"/>
        </w:rPr>
        <w:t>e empresas sediadas nos Municípios associados à Associação dos Municípios do Médio Noroeste do Estado do Paraná - AMENORTE..</w:t>
      </w:r>
    </w:p>
    <w:p>
      <w:pPr>
        <w:spacing w:before="15"/>
      </w:pPr>
      <w:r>
        <w:t/>
      </w:r>
    </w:p>
    <w:p>
      <w:pPr>
        <w:jc w:val="both"/>
        <w:ind w:right="810"/>
        <w:tabs>
          <w:tab w:val="left" w:pos="10305"/>
        </w:tabs>
        <w:numPr>
          <w:ilvl w:val="2"/>
          <w:numId w:val="69"/>
        </w:numPr>
      </w:pPr>
      <w:r/>
      <w:r>
        <w:rPr>
          <w:b/>
        </w:rPr>
        <w:t xml:space="preserve"> Justificativa DA EXCLUSIVIDADE: Incentivo ao desenvolvimento econômico local e regional, ampliação da eficiência das políticas públicas, incentivo à inovação tecnológica, fomento do desenvolvimento local, através do apoio aos arranjos produtivos locais e associativismo; e estimular o uso do poder de compra do Município, articulando diversos fatores e agentes, em uma ação integrada e abrangente, promovendo assim o desenvolvimento socioeconômico de São Tomé e regional. Para tanto, foi Instituido o programa municipal de fomento ao desenvolvimento socioeconômico local, denominado COMPRA SÃO TOMÉ:</w:t>
      </w:r>
    </w:p>
    <w:p>
      <w:pPr>
        <w:spacing w:before="15"/>
      </w:pPr>
      <w:r>
        <w:t/>
      </w:r>
    </w:p>
    <w:p>
      <w:pPr>
        <w:jc w:val="both"/>
        <w:ind w:right="840"/>
        <w:numPr>
          <w:ilvl w:val="2"/>
          <w:numId w:val="69"/>
        </w:numPr>
      </w:pPr>
      <w:r/>
      <w:r>
        <w:rPr>
          <w:b/>
        </w:rPr>
        <w:t>Considerando que a Lei Complementar nº 123/2006 trouxe em seus dispositivos uma série de instrumentos para o fortalecimento da economia local, assegurando normas gerais relativas ao tratamento diferenciado e favorecido a ser dispensado às microempresas e empresas de pequeno porte;</w:t>
      </w:r>
    </w:p>
    <w:p>
      <w:pPr>
        <w:spacing w:before="15"/>
      </w:pPr>
      <w:r>
        <w:t/>
      </w:r>
    </w:p>
    <w:p>
      <w:pPr>
        <w:jc w:val="both"/>
        <w:ind w:right="840"/>
        <w:spacing w:before="15"/>
        <w:numPr>
          <w:ilvl w:val="2"/>
          <w:numId w:val="69"/>
        </w:numPr>
      </w:pPr>
      <w:r/>
      <w:r>
        <w:rPr>
          <w:b/>
        </w:rPr>
        <w:t>Considerando que o incentivo ao desenvolvimento dos micro, pequenos e médios agentes econômicos é uma das principais ações estratégicas para implementação da Política Municipal de Desenvolvimento Econômico, nos termos do Plano Diretor do Município de São Tomé, Lei Municipal 038, de 05 de Setembro de 2006 e suas alterações;</w:t>
      </w:r>
    </w:p>
    <w:p>
      <w:pPr>
        <w:spacing w:before="15"/>
      </w:pPr>
      <w:r>
        <w:t/>
      </w:r>
    </w:p>
    <w:p>
      <w:pPr>
        <w:jc w:val="both"/>
        <w:ind w:right="840"/>
        <w:numPr>
          <w:ilvl w:val="2"/>
          <w:numId w:val="69"/>
        </w:numPr>
      </w:pPr>
      <w:r/>
      <w:r>
        <w:rPr>
          <w:b/>
        </w:rPr>
        <w:t>Considerando que aproximadamente 98% do total de empresas ativas no Município de São Tomé, são MEI, Micro e Pequenas Empresas, segundo o Departamento Municipal de Tributação; e</w:t>
      </w:r>
    </w:p>
    <w:p>
      <w:pPr>
        <w:spacing w:before="15"/>
      </w:pPr>
      <w:r>
        <w:t/>
      </w:r>
    </w:p>
    <w:p>
      <w:pPr>
        <w:jc w:val="both"/>
        <w:ind w:right="825"/>
        <w:numPr>
          <w:ilvl w:val="2"/>
          <w:numId w:val="69"/>
        </w:numPr>
      </w:pPr>
      <w:r/>
      <w:r>
        <w:rPr>
          <w:b/>
        </w:rPr>
        <w:t>Considerando que o Município, em conjunto com outras instituições governamentais ou não governamentais, deverá criar programas específicos para o desenvolvimento das microempresas e para as empresas de pequeno porte sediadas no Município devidamente justificado. (Prejulgado n º 27 – TCE-PR), nos termos do Decreto Municipal 725 de 16 de Outubro de 2018, 1.000/21 e Lei Complementar Federal n.º 123/2006.</w:t>
      </w:r>
    </w:p>
    <w:p>
      <w:pPr>
        <w:spacing w:before="15"/>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shd w:val="clear" w:color="auto" w:fill="FFFF99"/>
        <w:numPr>
          <w:ilvl w:val="1"/>
          <w:numId w:val="28"/>
        </w:numPr>
      </w:pPr>
      <w:r/>
      <w:r>
        <w:rPr>
          <w:b/>
          <w:sz w:val="19"/>
        </w:rPr>
        <w:t xml:space="preserve"> Qualificação Técnica: </w:t>
      </w:r>
    </w:p>
    <w:p>
      <w:pPr>
        <w:outlineLvl w:val="1"/>
        <w:ind w:left="165"/>
        <w:spacing w:before="120"/>
        <w:shd w:val="clear" w:color="auto" w:fill="FFFF99"/>
      </w:pPr>
      <w:r>
        <w:rPr>
          <w:b/>
          <w:sz w:val="19"/>
        </w:rPr>
        <w:t/>
      </w:r>
    </w:p>
    <w:p>
      <w:pPr>
        <w:jc w:val="both"/>
        <w:ind w:left="195"/>
        <w:shd w:val="clear" w:color="auto" w:fill="FFFF99"/>
      </w:pPr>
      <w:r>
        <w:rPr>
          <w:sz w:val="18"/>
        </w:rPr>
        <w:t xml:space="preserve">6.5.1 Prova de registro </w:t>
      </w:r>
      <w:r>
        <w:rPr>
          <w:b/>
          <w:sz w:val="18"/>
        </w:rPr>
        <w:t>Pessoa Jurídica</w:t>
      </w:r>
      <w:r>
        <w:rPr>
          <w:sz w:val="18"/>
        </w:rPr>
        <w:t xml:space="preserve"> no Conselho Regional de Engenharia e Agronomia-CREA, em plena validade.</w:t>
      </w:r>
    </w:p>
    <w:p>
      <w:pPr>
        <w:jc w:val="both"/>
        <w:ind w:left="195"/>
        <w:shd w:val="clear" w:color="auto" w:fill="FFFF99"/>
      </w:pPr>
      <w:r>
        <w:rPr>
          <w:rFonts w:ascii="Times New Roman" w:hAnsi="Times New Roman" w:cs="Times New Roman" w:eastAsia="Times New Roman"/>
        </w:rPr>
        <w:t/>
      </w:r>
    </w:p>
    <w:p>
      <w:pPr>
        <w:jc w:val="both"/>
        <w:ind w:left="195"/>
        <w:shd w:val="clear" w:color="auto" w:fill="FFFF99"/>
      </w:pPr>
      <w:r>
        <w:rPr>
          <w:sz w:val="18"/>
        </w:rPr>
        <w:t xml:space="preserve">6.5.2  Prova de registro </w:t>
      </w:r>
      <w:r>
        <w:rPr>
          <w:b/>
          <w:sz w:val="18"/>
        </w:rPr>
        <w:t>Pessoa Física</w:t>
      </w:r>
      <w:r>
        <w:rPr>
          <w:sz w:val="18"/>
        </w:rPr>
        <w:t xml:space="preserve"> no Conselho Regional de Engenharia – CREA</w:t>
      </w:r>
      <w:r>
        <w:rPr>
          <w:rFonts w:ascii="Times New Roman" w:hAnsi="Times New Roman" w:cs="Times New Roman" w:eastAsia="Times New Roman"/>
          <w:b/>
          <w:sz w:val="18"/>
        </w:rPr>
        <w:t>,</w:t>
      </w:r>
      <w:r>
        <w:rPr>
          <w:sz w:val="18"/>
        </w:rPr>
        <w:t xml:space="preserve"> em plena validade, de um profissional qualificado, detentor de atestado de responsabilidade técnica por execução de obra ou serviço de características semelhantes, limitadas estas exclusivamente às parcelas de maior relevância e valor significativo do objeto da licitação. (Pessoa esta, que deverá obrigatoriamente constar do quadro técnico da empresa no item anterior).</w:t>
      </w:r>
    </w:p>
    <w:p>
      <w:pPr>
        <w:jc w:val="both"/>
        <w:ind w:left="195"/>
        <w:shd w:val="clear" w:color="auto" w:fill="FFFF99"/>
      </w:pPr>
      <w:r>
        <w:rPr>
          <w:rFonts w:ascii="Times New Roman" w:hAnsi="Times New Roman" w:cs="Times New Roman" w:eastAsia="Times New Roman"/>
        </w:rPr>
        <w:t/>
      </w:r>
    </w:p>
    <w:p>
      <w:pPr>
        <w:jc w:val="both"/>
        <w:ind w:left="195"/>
        <w:shd w:val="clear" w:color="auto" w:fill="FFFF99"/>
      </w:pPr>
      <w:r>
        <w:rPr>
          <w:sz w:val="18"/>
        </w:rPr>
        <w:t>6.5.3 Possuir ponto de Representação no Município;</w:t>
      </w:r>
    </w:p>
    <w:p>
      <w:pPr>
        <w:jc w:val="both"/>
        <w:ind w:left="195"/>
        <w:shd w:val="clear" w:color="auto" w:fill="FFFF99"/>
      </w:pPr>
      <w:r>
        <w:rPr>
          <w:rFonts w:ascii="Times New Roman" w:hAnsi="Times New Roman" w:cs="Times New Roman" w:eastAsia="Times New Roman"/>
        </w:rPr>
        <w:t/>
      </w:r>
    </w:p>
    <w:p>
      <w:pPr>
        <w:jc w:val="both"/>
        <w:ind w:left="195"/>
        <w:shd w:val="clear" w:color="auto" w:fill="FFFF99"/>
      </w:pPr>
      <w:r>
        <w:rPr>
          <w:sz w:val="18"/>
        </w:rPr>
        <w:t>6.5.4 Comprovação de autorização de uso dos Postes da Copel, ou rede própria – garantindo isenção do município quanto a eventuais custas referente ao cabeamento;</w:t>
      </w:r>
    </w:p>
    <w:p>
      <w:pPr>
        <w:jc w:val="both"/>
        <w:ind w:left="195"/>
        <w:shd w:val="clear" w:color="auto" w:fill="FFFF99"/>
      </w:pPr>
      <w:r>
        <w:rPr>
          <w:rFonts w:ascii="Times New Roman" w:hAnsi="Times New Roman" w:cs="Times New Roman" w:eastAsia="Times New Roman"/>
        </w:rPr>
        <w:t/>
      </w:r>
    </w:p>
    <w:p>
      <w:pPr>
        <w:jc w:val="both"/>
        <w:ind w:left="195"/>
        <w:shd w:val="clear" w:color="auto" w:fill="FFFF99"/>
      </w:pPr>
      <w:r>
        <w:rPr>
          <w:sz w:val="18"/>
        </w:rPr>
        <w:t>6.5.5 Comprovação de Capacidade dos Funcionários, através de curso de NR 10 e NR 35, garantindo que o serviço prestado será executado por profissional qualificado;</w:t>
      </w:r>
    </w:p>
    <w:p>
      <w:pPr>
        <w:jc w:val="both"/>
        <w:ind w:left="195"/>
        <w:shd w:val="clear" w:color="auto" w:fill="FFFF99"/>
      </w:pPr>
      <w:r>
        <w:rPr>
          <w:rFonts w:ascii="Times New Roman" w:hAnsi="Times New Roman" w:cs="Times New Roman" w:eastAsia="Times New Roman"/>
        </w:rPr>
        <w:t/>
      </w:r>
    </w:p>
    <w:p>
      <w:pPr>
        <w:jc w:val="both"/>
        <w:ind w:left="195"/>
        <w:shd w:val="clear" w:color="auto" w:fill="FFFF99"/>
      </w:pPr>
      <w:r>
        <w:rPr>
          <w:sz w:val="18"/>
        </w:rPr>
        <w:t xml:space="preserve">6.5.6 </w:t>
      </w:r>
      <w:r>
        <w:rPr>
          <w:b/>
          <w:sz w:val="18"/>
        </w:rPr>
        <w:t xml:space="preserve">Comprovação de Experiência – </w:t>
      </w:r>
      <w:r>
        <w:rPr>
          <w:sz w:val="18"/>
        </w:rPr>
        <w:t>A licitante deverá comprovar através da apresentação de dois (01) atestado de capacidade técnica, que comprove que pessoa Jurídica já prestou serviços semelhantes no que tange o quantitativo e complexidade tecnológica e operacional equivalente ou superior ao objeto da presente licitação, à pessoa jurídica de direito público ou privado, devendo tal documento identificar: a entidade para qual o serviço foi prestado (razão social, endereço e telefone); descrição do serviço e o período em que o mesmo foi prestado; data de emissão; e, nome, cargo e assinatura do responsável pela expedição do documento com firma reconhecida em Cartório.</w:t>
      </w:r>
    </w:p>
    <w:p>
      <w:pPr>
        <w:jc w:val="both"/>
        <w:ind w:left="195"/>
        <w:shd w:val="clear" w:color="auto" w:fill="FFFF99"/>
      </w:pPr>
      <w:r>
        <w:rPr>
          <w:rFonts w:ascii="Times New Roman" w:hAnsi="Times New Roman" w:cs="Times New Roman" w:eastAsia="Times New Roman"/>
        </w:rPr>
        <w:t/>
      </w:r>
    </w:p>
    <w:p>
      <w:pPr>
        <w:jc w:val="both"/>
        <w:ind w:left="195"/>
        <w:shd w:val="clear" w:color="auto" w:fill="FFFF99"/>
      </w:pPr>
      <w:r>
        <w:rPr>
          <w:sz w:val="18"/>
        </w:rPr>
        <w:t>6.5.7 Comprovar que possui autorização/licença da ANATEL para fornecimento deste Objeto;</w:t>
      </w:r>
    </w:p>
    <w:p>
      <w:pPr>
        <w:jc w:val="both"/>
        <w:ind w:left="195"/>
        <w:shd w:val="clear" w:color="auto" w:fill="FFFF99"/>
      </w:pPr>
      <w:r>
        <w:rPr>
          <w:rFonts w:ascii="Times New Roman" w:hAnsi="Times New Roman" w:cs="Times New Roman" w:eastAsia="Times New Roman"/>
        </w:rPr>
        <w:t/>
      </w:r>
    </w:p>
    <w:p>
      <w:pPr>
        <w:jc w:val="both"/>
        <w:ind w:left="195"/>
        <w:shd w:val="clear" w:color="auto" w:fill="FFFF99"/>
      </w:pPr>
      <w:r>
        <w:rPr>
          <w:sz w:val="18"/>
        </w:rPr>
        <w:t>6.5.8 Comprovar disponibilidade de atendimento 24 horas, podendo este ser número de telefone fixo ou móvel, informando nome de quem atendera as demandas, podendo este ser atualizado sempre que necessário;</w:t>
      </w:r>
    </w:p>
    <w:p>
      <w:pPr>
        <w:jc w:val="both"/>
        <w:ind w:left="195"/>
        <w:shd w:val="clear" w:color="auto" w:fill="FFFF99"/>
      </w:pPr>
      <w:r>
        <w:rPr>
          <w:rFonts w:ascii="Times New Roman" w:hAnsi="Times New Roman" w:cs="Times New Roman" w:eastAsia="Times New Roman"/>
        </w:rPr>
        <w:t/>
      </w:r>
    </w:p>
    <w:p>
      <w:pPr>
        <w:jc w:val="both"/>
        <w:ind w:left="195"/>
        <w:shd w:val="clear" w:color="auto" w:fill="FFFF99"/>
      </w:pPr>
      <w:r>
        <w:rPr>
          <w:sz w:val="18"/>
        </w:rPr>
        <w:t>6.5.9 Declaração de que possui capacidade técnica em atender a demanda da PREFEITURA com links de acesso à internet;</w:t>
      </w:r>
    </w:p>
    <w:p>
      <w:pPr>
        <w:jc w:val="both"/>
        <w:ind w:left="195"/>
        <w:shd w:val="clear" w:color="auto" w:fill="FFFF99"/>
      </w:pPr>
      <w:r>
        <w:rPr>
          <w:rFonts w:ascii="Times New Roman" w:hAnsi="Times New Roman" w:cs="Times New Roman" w:eastAsia="Times New Roman"/>
        </w:rPr>
        <w:t/>
      </w:r>
    </w:p>
    <w:p>
      <w:pPr>
        <w:jc w:val="both"/>
        <w:ind w:left="195"/>
        <w:shd w:val="clear" w:color="auto" w:fill="FFFF99"/>
      </w:pPr>
      <w:r>
        <w:rPr>
          <w:sz w:val="18"/>
        </w:rPr>
        <w:t>6.5.10 Declaração de que possuiu veículos e pessoal disponível para atendimento imediato ao Município, após solictação;</w:t>
      </w:r>
    </w:p>
    <w:p>
      <w:pPr>
        <w:jc w:val="both"/>
        <w:ind w:left="195"/>
      </w:pPr>
      <w:r>
        <w:rPr>
          <w:rFonts w:ascii="Times New Roman" w:hAnsi="Times New Roman" w:cs="Times New Roman" w:eastAsia="Times New Roman"/>
        </w:rPr>
        <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400</w:t>
            </w:r>
          </w:p>
        </w:tc>
        <w:tc>
          <w:tcPr>
            <w:tcBorders>
              <w:left w:val="single" w:sz="6" w:color="000000"/>
              <w:top w:val="single" w:sz="6" w:color="000000"/>
              <w:right w:val="single" w:sz="6" w:color="000000"/>
              <w:bottom w:val="single" w:sz="6" w:color="000000"/>
            </w:tcBorders>
          </w:tcPr>
          <w:p>
            <w:r>
              <w:rPr>
                <w:sz w:val="16"/>
              </w:rPr>
              <w:t>04.002.04.122.0002.2012</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3.3.90.40.00.00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410</w:t>
            </w:r>
          </w:p>
        </w:tc>
        <w:tc>
          <w:tcPr>
            <w:tcBorders>
              <w:left w:val="single" w:sz="6" w:color="000000"/>
              <w:top w:val="single" w:sz="6" w:color="000000"/>
              <w:right w:val="single" w:sz="6" w:color="000000"/>
              <w:bottom w:val="single" w:sz="6" w:color="000000"/>
            </w:tcBorders>
          </w:tcPr>
          <w:p>
            <w:r>
              <w:rPr>
                <w:sz w:val="16"/>
              </w:rPr>
              <w:t>04.002.04.122.0002.2012</w:t>
            </w:r>
          </w:p>
        </w:tc>
        <w:tc>
          <w:tcPr>
            <w:tcBorders>
              <w:left w:val="single" w:sz="6" w:color="000000"/>
              <w:top w:val="single" w:sz="6" w:color="000000"/>
              <w:right w:val="single" w:sz="6" w:color="000000"/>
              <w:bottom w:val="single" w:sz="6" w:color="000000"/>
            </w:tcBorders>
          </w:tcPr>
          <w:p>
            <w:r>
              <w:rPr>
                <w:sz w:val="16"/>
              </w:rPr>
              <w:t>511</w:t>
            </w:r>
          </w:p>
        </w:tc>
        <w:tc>
          <w:tcPr>
            <w:tcBorders>
              <w:left w:val="single" w:sz="6" w:color="000000"/>
              <w:top w:val="single" w:sz="6" w:color="000000"/>
              <w:right w:val="single" w:sz="6" w:color="000000"/>
              <w:bottom w:val="single" w:sz="6" w:color="000000"/>
            </w:tcBorders>
          </w:tcPr>
          <w:p>
            <w:r>
              <w:rPr>
                <w:sz w:val="16"/>
              </w:rPr>
              <w:t>3.3.90.40.00.00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420</w:t>
            </w:r>
          </w:p>
        </w:tc>
        <w:tc>
          <w:tcPr>
            <w:tcBorders>
              <w:left w:val="single" w:sz="6" w:color="000000"/>
              <w:top w:val="single" w:sz="6" w:color="000000"/>
              <w:right w:val="single" w:sz="6" w:color="000000"/>
              <w:bottom w:val="single" w:sz="6" w:color="000000"/>
            </w:tcBorders>
          </w:tcPr>
          <w:p>
            <w:r>
              <w:rPr>
                <w:sz w:val="16"/>
              </w:rPr>
              <w:t>04.002.04.122.0002.2012</w:t>
            </w:r>
          </w:p>
        </w:tc>
        <w:tc>
          <w:tcPr>
            <w:tcBorders>
              <w:left w:val="single" w:sz="6" w:color="000000"/>
              <w:top w:val="single" w:sz="6" w:color="000000"/>
              <w:right w:val="single" w:sz="6" w:color="000000"/>
              <w:bottom w:val="single" w:sz="6" w:color="000000"/>
            </w:tcBorders>
          </w:tcPr>
          <w:p>
            <w:r>
              <w:rPr>
                <w:sz w:val="16"/>
              </w:rPr>
              <w:t>1065</w:t>
            </w:r>
          </w:p>
        </w:tc>
        <w:tc>
          <w:tcPr>
            <w:tcBorders>
              <w:left w:val="single" w:sz="6" w:color="000000"/>
              <w:top w:val="single" w:sz="6" w:color="000000"/>
              <w:right w:val="single" w:sz="6" w:color="000000"/>
              <w:bottom w:val="single" w:sz="6" w:color="000000"/>
            </w:tcBorders>
          </w:tcPr>
          <w:p>
            <w:r>
              <w:rPr>
                <w:sz w:val="16"/>
              </w:rPr>
              <w:t>3.3.90.40.00.00</w:t>
            </w:r>
          </w:p>
        </w:tc>
        <w:tc>
          <w:tcPr>
            <w:tcBorders>
              <w:left w:val="single" w:sz="6" w:color="000000"/>
              <w:top w:val="single" w:sz="6" w:color="000000"/>
              <w:right w:val="single" w:sz="6" w:color="000000"/>
              <w:bottom w:val="single" w:sz="6" w:color="000000"/>
            </w:tcBorders>
          </w:tcPr>
          <w:p>
            <w:r>
              <w:rPr>
                <w:sz w:val="16"/>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trinta e um dias de janeiro de 2025.</w:t>
      </w:r>
    </w:p>
    <w:p>
      <w:r>
        <w:t/>
      </w:r>
    </w:p>
    <w:p>
      <w:r>
        <w:t/>
      </w:r>
    </w:p>
    <w:p>
      <w:pPr>
        <w:spacing w:before="15"/>
      </w:pPr>
      <w:r>
        <w:t/>
      </w:r>
    </w:p>
    <w:p>
      <w:pPr>
        <w:jc w:val="center"/>
        <w:outlineLvl w:val="1"/>
        <w:ind w:left="1335" w:right="1335"/>
      </w:pPr>
      <w:r>
        <w:rPr>
          <w:b/>
          <w:sz w:val="19"/>
        </w:rPr>
        <w:t>JOÃO PAULO TRAVASSOS RADDI</w:t>
      </w:r>
    </w:p>
    <w:p>
      <w:pPr>
        <w:jc w:val="center"/>
        <w:ind w:left="1335" w:right="1335"/>
      </w:pPr>
      <w:r>
        <w:rPr>
          <w:rFonts w:ascii="Arial MT" w:hAnsi="Arial MT" w:cs="Arial MT" w:eastAsia="Arial MT"/>
          <w:sz w:val="19"/>
        </w:rPr>
        <w:t>Prefeito Municipal</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8/2025</w:t>
      </w:r>
    </w:p>
    <w:p>
      <w:pPr>
        <w:jc w:val="center"/>
        <w:ind w:left="1335" w:right="1335"/>
        <w:spacing w:before="90"/>
      </w:pPr>
      <w:r>
        <w:rPr>
          <w:b/>
          <w:sz w:val="19"/>
        </w:rPr>
        <w:t>PREGÃO ELETRÔNICO N. 4/2025.</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CONTRATAÇÃO DE EMPRESA ESPECIALIZADA EM SERVIÇOS DE TELECOMUNICAÇÕES EM FORNECIMENTO DE LINK DE INTERNET DEDICADO, APTA PARA INTERLIGAÇÕES DE DADOS, VISANDO  ATENDER AS NECESSIDADES DO MUNICÍPIO DE SÃO TOMÉ, </w:t>
      </w:r>
      <w:r>
        <w:rPr>
          <w:rFonts w:ascii="Arial MT" w:hAnsi="Arial MT" w:cs="Arial MT" w:eastAsia="Arial MT"/>
          <w:sz w:val="19"/>
        </w:rPr>
        <w:t>conforme segue:</w:t>
      </w:r>
    </w:p>
    <w:p>
      <w:pPr>
        <w:spacing w:before="15"/>
      </w:pPr>
      <w:r>
        <w:t/>
      </w:r>
    </w:p>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8"/>
              </w:rP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rPr>
                <w:sz w:val="18"/>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8"/>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8"/>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8"/>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8"/>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8"/>
              </w:rPr>
              <w:t>Preço máximo total</w:t>
            </w:r>
          </w:p>
        </w:tc>
      </w:tr>
      <w:tr>
        <w:tc>
          <w:tcPr>
            <w:tcBorders>
              <w:left w:val="single" w:sz="6" w:color="000000"/>
              <w:top w:val="single" w:sz="6" w:color="000000"/>
              <w:right w:val="single" w:sz="6" w:color="000000"/>
              <w:bottom w:val="single" w:sz="6" w:color="000000"/>
            </w:tcBorders>
          </w:tcPr>
          <w:p>
            <w:r>
              <w:rPr>
                <w:sz w:val="18"/>
              </w:rPr>
              <w:t>1</w:t>
            </w:r>
          </w:p>
        </w:tc>
        <w:tc>
          <w:tcPr>
            <w:tcBorders>
              <w:left w:val="single" w:sz="6" w:color="000000"/>
              <w:top w:val="single" w:sz="6" w:color="000000"/>
              <w:right w:val="single" w:sz="6" w:color="000000"/>
              <w:bottom w:val="single" w:sz="6" w:color="000000"/>
            </w:tcBorders>
          </w:tcPr>
          <w:p>
            <w:r>
              <w:rPr>
                <w:sz w:val="18"/>
              </w:rPr>
              <w:t xml:space="preserve">PONTOS DE ATENDIMENTO DE INTERNET COM LINK DEDICADO NOS DEPARTAMENTOS    </w:t>
            </w:r>
          </w:p>
        </w:tc>
        <w:tc>
          <w:tcPr>
            <w:tcBorders>
              <w:left w:val="single" w:sz="6" w:color="000000"/>
              <w:top w:val="single" w:sz="6" w:color="000000"/>
              <w:right w:val="single" w:sz="6" w:color="000000"/>
              <w:bottom w:val="single" w:sz="6" w:color="000000"/>
            </w:tcBorders>
          </w:tcPr>
          <w:p>
            <w:r>
              <w:rPr>
                <w:sz w:val="18"/>
              </w:rPr>
              <w:t>12,00</w:t>
            </w:r>
          </w:p>
        </w:tc>
        <w:tc>
          <w:tcPr>
            <w:tcBorders>
              <w:left w:val="single" w:sz="6" w:color="000000"/>
              <w:top w:val="single" w:sz="6" w:color="000000"/>
              <w:right w:val="single" w:sz="6" w:color="000000"/>
              <w:bottom w:val="single" w:sz="6" w:color="000000"/>
            </w:tcBorders>
          </w:tcPr>
          <w:p>
            <w:r>
              <w:rPr>
                <w:sz w:val="18"/>
              </w:rPr>
              <w:t>UNI</w:t>
            </w:r>
          </w:p>
        </w:tc>
        <w:tc>
          <w:tcPr>
            <w:tcBorders>
              <w:left w:val="single" w:sz="6" w:color="000000"/>
              <w:top w:val="single" w:sz="6" w:color="000000"/>
              <w:right w:val="single" w:sz="6" w:color="000000"/>
              <w:bottom w:val="single" w:sz="6" w:color="000000"/>
            </w:tcBorders>
          </w:tcPr>
          <w:p>
            <w:r>
              <w:rPr>
                <w:sz w:val="18"/>
              </w:rPr>
              <w:t>8.980,00</w:t>
            </w:r>
          </w:p>
        </w:tc>
        <w:tc>
          <w:tcPr>
            <w:tcBorders>
              <w:left w:val="single" w:sz="6" w:color="000000"/>
              <w:top w:val="single" w:sz="6" w:color="000000"/>
              <w:right w:val="single" w:sz="6" w:color="000000"/>
              <w:bottom w:val="single" w:sz="6" w:color="000000"/>
            </w:tcBorders>
          </w:tcPr>
          <w:p>
            <w:r>
              <w:rPr>
                <w:sz w:val="18"/>
              </w:rPr>
              <w:t>107.760,00</w:t>
            </w:r>
          </w:p>
        </w:tc>
      </w:tr>
      <w:tr>
        <w:tc>
          <w:tcPr>
            <w:tcBorders>
              <w:left w:val="single" w:sz="6" w:color="000000"/>
              <w:top w:val="single" w:sz="6" w:color="000000"/>
              <w:right w:val="single" w:sz="6" w:color="000000"/>
              <w:bottom w:val="single" w:sz="6" w:color="000000"/>
            </w:tcBorders>
          </w:tcPr>
          <w:p>
            <w:r>
              <w:rPr>
                <w:sz w:val="18"/>
              </w:rPr>
              <w:t>2</w:t>
            </w:r>
          </w:p>
        </w:tc>
        <w:tc>
          <w:tcPr>
            <w:tcBorders>
              <w:left w:val="single" w:sz="6" w:color="000000"/>
              <w:top w:val="single" w:sz="6" w:color="000000"/>
              <w:right w:val="single" w:sz="6" w:color="000000"/>
              <w:bottom w:val="single" w:sz="6" w:color="000000"/>
            </w:tcBorders>
          </w:tcPr>
          <w:p>
            <w:r>
              <w:rPr>
                <w:sz w:val="18"/>
              </w:rPr>
              <w:t xml:space="preserve">PONTOS DE ATENDIMENTO DE INTERNET PARA CAMERAS DE MONITORAMENTO   </w:t>
            </w:r>
          </w:p>
        </w:tc>
        <w:tc>
          <w:tcPr>
            <w:tcBorders>
              <w:left w:val="single" w:sz="6" w:color="000000"/>
              <w:top w:val="single" w:sz="6" w:color="000000"/>
              <w:right w:val="single" w:sz="6" w:color="000000"/>
              <w:bottom w:val="single" w:sz="6" w:color="000000"/>
            </w:tcBorders>
          </w:tcPr>
          <w:p>
            <w:r>
              <w:rPr>
                <w:sz w:val="18"/>
              </w:rPr>
              <w:t>12,00</w:t>
            </w:r>
          </w:p>
        </w:tc>
        <w:tc>
          <w:tcPr>
            <w:tcBorders>
              <w:left w:val="single" w:sz="6" w:color="000000"/>
              <w:top w:val="single" w:sz="6" w:color="000000"/>
              <w:right w:val="single" w:sz="6" w:color="000000"/>
              <w:bottom w:val="single" w:sz="6" w:color="000000"/>
            </w:tcBorders>
          </w:tcPr>
          <w:p>
            <w:r>
              <w:rPr>
                <w:sz w:val="18"/>
              </w:rPr>
              <w:t>UNI</w:t>
            </w:r>
          </w:p>
        </w:tc>
        <w:tc>
          <w:tcPr>
            <w:tcBorders>
              <w:left w:val="single" w:sz="6" w:color="000000"/>
              <w:top w:val="single" w:sz="6" w:color="000000"/>
              <w:right w:val="single" w:sz="6" w:color="000000"/>
              <w:bottom w:val="single" w:sz="6" w:color="000000"/>
            </w:tcBorders>
          </w:tcPr>
          <w:p>
            <w:r>
              <w:rPr>
                <w:sz w:val="18"/>
              </w:rPr>
              <w:t>6.400,00</w:t>
            </w:r>
          </w:p>
        </w:tc>
        <w:tc>
          <w:tcPr>
            <w:tcBorders>
              <w:left w:val="single" w:sz="6" w:color="000000"/>
              <w:top w:val="single" w:sz="6" w:color="000000"/>
              <w:right w:val="single" w:sz="6" w:color="000000"/>
              <w:bottom w:val="single" w:sz="6" w:color="000000"/>
            </w:tcBorders>
          </w:tcPr>
          <w:p>
            <w:r>
              <w:rPr>
                <w:sz w:val="18"/>
              </w:rPr>
              <w:t>76.800,00</w:t>
            </w:r>
          </w:p>
        </w:tc>
      </w:tr>
      <w:tr>
        <w:tc>
          <w:tcPr>
            <w:gridSpan w:val="5"/>
            <w:tcBorders>
              <w:left w:val="single" w:sz="6" w:color="000000"/>
              <w:top w:val="single" w:sz="6" w:color="000000"/>
              <w:right w:val="single" w:sz="6" w:color="000000"/>
              <w:bottom w:val="single" w:sz="6" w:color="000000"/>
            </w:tcBorders>
          </w:tcPr>
          <w:p>
            <w:r>
              <w:rPr>
                <w:sz w:val="18"/>
              </w:rPr>
              <w:t/>
            </w:r>
          </w:p>
          <w:p>
            <w:r>
              <w:rPr>
                <w:sz w:val="18"/>
              </w:rPr>
              <w:t>TOTAL</w:t>
            </w:r>
          </w:p>
        </w:tc>
        <w:tc>
          <w:tcPr>
            <w:tcBorders>
              <w:left w:val="single" w:sz="6" w:color="000000"/>
              <w:top w:val="single" w:sz="6" w:color="000000"/>
              <w:right w:val="single" w:sz="6" w:color="000000"/>
              <w:bottom w:val="single" w:sz="6" w:color="000000"/>
            </w:tcBorders>
          </w:tcPr>
          <w:p>
            <w:r>
              <w:rPr>
                <w:sz w:val="18"/>
              </w:rPr>
              <w:t/>
            </w:r>
          </w:p>
          <w:p>
            <w:r>
              <w:rPr>
                <w:sz w:val="18"/>
              </w:rPr>
              <w:t>184.560,00</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R$ 184.560,00 </w:t>
      </w:r>
      <w:r>
        <w:rPr>
          <w:rFonts w:ascii="Arial MT" w:hAnsi="Arial MT" w:cs="Arial MT" w:eastAsia="Arial MT"/>
          <w:b/>
          <w:sz w:val="19"/>
        </w:rPr>
        <w:t>(Cento e Oitenta e Quatro Mil, Quinhentos e Sessenta Reais)</w:t>
      </w:r>
      <w:r>
        <w:rPr>
          <w:rFonts w:ascii="Arial MT" w:hAnsi="Arial MT" w:cs="Arial MT" w:eastAsia="Arial MT"/>
          <w:sz w:val="19"/>
        </w:rPr>
        <w:t>, conforme custos unitários apostos na tabela acima.</w:t>
      </w:r>
    </w:p>
    <w:p>
      <w:pPr>
        <w:jc w:val="both"/>
        <w:ind w:left="225"/>
      </w:pPr>
      <w:r>
        <w:rPr>
          <w:b/>
          <w:sz w:val="18"/>
        </w:rPr>
        <w:t xml:space="preserve">1.5 - </w:t>
      </w:r>
      <w:r>
        <w:rPr>
          <w:sz w:val="18"/>
        </w:rPr>
        <w:t>Todos os procedimentos e equipamentos utilizados na prestação de serviços devem estar de acordo com as normas técnicas e com a legislação em vigor. Os equipamentos de telecomunicações, em especial, devem atender todas as normas estabelecidas pela ANATEL, inclusive quanto à homologação;</w:t>
      </w:r>
    </w:p>
    <w:p>
      <w:pPr>
        <w:jc w:val="both"/>
        <w:ind w:left="225"/>
      </w:pPr>
      <w:r>
        <w:rPr>
          <w:sz w:val="18"/>
        </w:rPr>
        <w:t>6 Manter escritório de assistência técnica e funcionário no território do Município de São Tomé, para atendimento aos munícipes e Prefeitura Municipal;</w:t>
      </w:r>
    </w:p>
    <w:p>
      <w:pPr>
        <w:jc w:val="both"/>
      </w:pPr>
      <w:r>
        <w:rPr>
          <w:rFonts w:ascii="Times New Roman" w:hAnsi="Times New Roman" w:cs="Times New Roman" w:eastAsia="Times New Roman"/>
        </w:rPr>
        <w:t/>
      </w:r>
    </w:p>
    <w:p>
      <w:pPr>
        <w:ind w:left="255"/>
        <w:spacing w:before="15"/>
      </w:pPr>
      <w:r>
        <w:rPr>
          <w:b/>
        </w:rPr>
        <w:t>DO SUPORTE TÉCNICO</w:t>
      </w:r>
    </w:p>
    <w:p>
      <w:pPr>
        <w:spacing w:before="15"/>
      </w:pPr>
      <w:r>
        <w:rPr>
          <w:rFonts w:ascii="Times New Roman" w:hAnsi="Times New Roman" w:cs="Times New Roman" w:eastAsia="Times New Roman"/>
        </w:rPr>
        <w:t/>
      </w:r>
    </w:p>
    <w:p>
      <w:pPr>
        <w:jc w:val="both"/>
        <w:ind w:left="165"/>
        <w:spacing w:before="15"/>
      </w:pPr>
      <w:r>
        <w:t>- A contratada deve garantir a prestação de um serviço continuo, vinte e quatro (24) horas por dia e sete (7) dias por semana, à exceção dos casos de interrupção programada previamente acordados com a Administração desta municipalidade;</w:t>
      </w:r>
    </w:p>
    <w:p>
      <w:pPr>
        <w:jc w:val="both"/>
        <w:ind w:left="165"/>
        <w:spacing w:before="15"/>
      </w:pPr>
      <w:r>
        <w:t>- A contratada deve efetuar manutenções corretivas, sempre que solicitadas, atendendo as chamadas em um prazo máximo de 6 horas efetuando as correções no prazo máximo de 24 horas, ambas contadas a partir do registro da chamada;</w:t>
      </w:r>
    </w:p>
    <w:p>
      <w:pPr>
        <w:jc w:val="both"/>
        <w:ind w:left="165"/>
        <w:spacing w:before="15"/>
      </w:pPr>
      <w:r>
        <w:t>- A contratada deverá disponibilizar um canal de contato a com o Departamento de Administração do município de Jardim Alegre, para o suporte técnico necessário, durante todo o período de vigência deste contrato;</w:t>
      </w:r>
    </w:p>
    <w:p>
      <w:pPr>
        <w:jc w:val="both"/>
        <w:ind w:left="165"/>
        <w:spacing w:before="15"/>
      </w:pPr>
      <w:r>
        <w:t>- Como suporte técnico entende-se a disponibilização de pessoal técnico especializado para instalação das infraestruturas de telefonia e comunicação de dados, para configuração e manutenção dos roteadores, para suporte as ferramentas de administração que acompanha a solução ofertada, bem com a disponibilização de pessoal técnico para registro e atendimento dos chamados de manutenção corretiva.</w:t>
      </w:r>
    </w:p>
    <w:p>
      <w:pPr>
        <w:jc w:val="both"/>
        <w:ind w:left="165"/>
        <w:spacing w:before="15"/>
      </w:pPr>
      <w:r>
        <w:rPr>
          <w:rFonts w:ascii="Times New Roman" w:hAnsi="Times New Roman" w:cs="Times New Roman" w:eastAsia="Times New Roman"/>
        </w:rPr>
        <w:t/>
      </w:r>
    </w:p>
    <w:p>
      <w:pPr>
        <w:spacing w:before="15"/>
      </w:pPr>
      <w:r>
        <w:drawing>
          <wp:inline distT="0" distB="0" distL="0" distR="0">
            <wp:extent cx="0" cy="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0" cy="0"/>
                    </a:xfrm>
                    <a:prstGeom prst="rect">
                      <a:avLst/>
                    </a:prstGeom>
                  </pic:spPr>
                </pic:pic>
              </a:graphicData>
            </a:graphic>
          </wp:inline>
        </w:drawing>
      </w:r>
    </w:p>
    <w:p>
      <w:pPr>
        <w:ind w:left="225"/>
        <w:spacing w:before="90" w:lineRule="auto" w:line="264"/>
      </w:pPr>
      <w:r>
        <w:drawing>
          <wp:inline distT="0" distB="0" distL="0" distR="0">
            <wp:extent cx="6791325" cy="3619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9675"/>
      </w:tblGrid>
      <w:tr>
        <w:tc>
          <w:tcPr>
            <w:shd w:val="clear" w:color="auto" w:fill="FFFFFF"/>
          </w:tcPr>
          <w:p>
            <w:r>
              <w:t>Justificativa solicitação de material/serviço</w:t>
            </w:r>
          </w:p>
        </w:tc>
      </w:tr>
      <w:tr>
        <w:tc>
          <w:tcPr>
            <w:shd w:val="clear" w:color="auto" w:fill="C0C0C0"/>
          </w:tcPr>
          <w:p>
            <w:r>
              <w:t>Justificativa</w:t>
            </w:r>
          </w:p>
        </w:tc>
      </w:tr>
      <w:tr>
        <w:tc>
          <w:tcPr>
            <w:shd w:val="clear" w:color="auto" w:fill="FFFFFF"/>
          </w:tcPr>
          <w:p>
            <w:r>
              <w:t>Faz- se necessário a aquisição de internet, pois ela tem por objetivo atender as necessidades do município.</w:t>
            </w:r>
          </w:p>
        </w:tc>
      </w:tr>
    </w:tbl>
    <w:p>
      <w:pPr>
        <w:ind w:left="225"/>
        <w:spacing w:before="90" w:lineRule="auto" w:line="264"/>
      </w:pPr>
      <w:r>
        <w:t/>
      </w:r>
    </w:p>
    <w:p>
      <w:pPr>
        <w:spacing w:before="15"/>
      </w:pPr>
      <w:r>
        <w:drawing>
          <wp:inline distT="0" distB="0" distL="0" distR="0">
            <wp:extent cx="69246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6858000" cy="361950"/>
                    </a:xfrm>
                    <a:prstGeom prst="rect">
                      <a:avLst/>
                    </a:prstGeom>
                  </pic:spPr>
                </pic:pic>
              </a:graphicData>
            </a:graphic>
          </wp:inline>
        </w:drawing>
      </w:r>
    </w:p>
    <w:p>
      <w:pPr>
        <w:spacing w:before="15"/>
      </w:pPr>
      <w:r>
        <w:t/>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rFonts w:ascii="Arial MT" w:hAnsi="Arial MT" w:cs="Arial MT" w:eastAsia="Arial MT"/>
          <w:sz w:val="19"/>
        </w:rPr>
        <w:t xml:space="preserve">A entrega deverá ocorrer em até </w:t>
      </w:r>
      <w:r>
        <w:rPr>
          <w:rFonts w:ascii="Arial MT" w:hAnsi="Arial MT" w:cs="Arial MT" w:eastAsia="Arial MT"/>
          <w:b/>
          <w:sz w:val="19"/>
        </w:rPr>
        <w:t>10 (dez) dias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02 (dois) dias úteis,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 xml:space="preserve">Recebida a Nota Fiscal ou documento de cobrança equivalente, correrá o prazo de </w:t>
      </w:r>
      <w:r>
        <w:rPr>
          <w:rFonts w:ascii="Arial MT" w:hAnsi="Arial MT" w:cs="Arial MT" w:eastAsia="Arial MT"/>
          <w:b/>
          <w:sz w:val="19"/>
        </w:rPr>
        <w:t>15</w:t>
      </w:r>
      <w:r>
        <w:rPr>
          <w:b/>
          <w:sz w:val="19"/>
        </w:rPr>
        <w:t xml:space="preserve"> (quinze)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rPr>
        <w:t>30 (trinta) dias,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400</w:t>
            </w:r>
          </w:p>
        </w:tc>
        <w:tc>
          <w:tcPr>
            <w:tcBorders>
              <w:left w:val="single" w:sz="6" w:color="000000"/>
              <w:top w:val="single" w:sz="6" w:color="000000"/>
              <w:right w:val="single" w:sz="6" w:color="000000"/>
              <w:bottom w:val="single" w:sz="6" w:color="000000"/>
            </w:tcBorders>
          </w:tcPr>
          <w:p>
            <w:r>
              <w:rPr>
                <w:sz w:val="16"/>
              </w:rPr>
              <w:t>04.002.04.122.0002.2012</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3.3.90.40.00.00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410</w:t>
            </w:r>
          </w:p>
        </w:tc>
        <w:tc>
          <w:tcPr>
            <w:tcBorders>
              <w:left w:val="single" w:sz="6" w:color="000000"/>
              <w:top w:val="single" w:sz="6" w:color="000000"/>
              <w:right w:val="single" w:sz="6" w:color="000000"/>
              <w:bottom w:val="single" w:sz="6" w:color="000000"/>
            </w:tcBorders>
          </w:tcPr>
          <w:p>
            <w:r>
              <w:rPr>
                <w:sz w:val="16"/>
              </w:rPr>
              <w:t>04.002.04.122.0002.2012</w:t>
            </w:r>
          </w:p>
        </w:tc>
        <w:tc>
          <w:tcPr>
            <w:tcBorders>
              <w:left w:val="single" w:sz="6" w:color="000000"/>
              <w:top w:val="single" w:sz="6" w:color="000000"/>
              <w:right w:val="single" w:sz="6" w:color="000000"/>
              <w:bottom w:val="single" w:sz="6" w:color="000000"/>
            </w:tcBorders>
          </w:tcPr>
          <w:p>
            <w:r>
              <w:rPr>
                <w:sz w:val="16"/>
              </w:rPr>
              <w:t>511</w:t>
            </w:r>
          </w:p>
        </w:tc>
        <w:tc>
          <w:tcPr>
            <w:tcBorders>
              <w:left w:val="single" w:sz="6" w:color="000000"/>
              <w:top w:val="single" w:sz="6" w:color="000000"/>
              <w:right w:val="single" w:sz="6" w:color="000000"/>
              <w:bottom w:val="single" w:sz="6" w:color="000000"/>
            </w:tcBorders>
          </w:tcPr>
          <w:p>
            <w:r>
              <w:rPr>
                <w:sz w:val="16"/>
              </w:rPr>
              <w:t>3.3.90.40.00.00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420</w:t>
            </w:r>
          </w:p>
        </w:tc>
        <w:tc>
          <w:tcPr>
            <w:tcBorders>
              <w:left w:val="single" w:sz="6" w:color="000000"/>
              <w:top w:val="single" w:sz="6" w:color="000000"/>
              <w:right w:val="single" w:sz="6" w:color="000000"/>
              <w:bottom w:val="single" w:sz="6" w:color="000000"/>
            </w:tcBorders>
          </w:tcPr>
          <w:p>
            <w:r>
              <w:rPr>
                <w:sz w:val="16"/>
              </w:rPr>
              <w:t>04.002.04.122.0002.2012</w:t>
            </w:r>
          </w:p>
        </w:tc>
        <w:tc>
          <w:tcPr>
            <w:tcBorders>
              <w:left w:val="single" w:sz="6" w:color="000000"/>
              <w:top w:val="single" w:sz="6" w:color="000000"/>
              <w:right w:val="single" w:sz="6" w:color="000000"/>
              <w:bottom w:val="single" w:sz="6" w:color="000000"/>
            </w:tcBorders>
          </w:tcPr>
          <w:p>
            <w:r>
              <w:rPr>
                <w:sz w:val="16"/>
              </w:rPr>
              <w:t>1065</w:t>
            </w:r>
          </w:p>
        </w:tc>
        <w:tc>
          <w:tcPr>
            <w:tcBorders>
              <w:left w:val="single" w:sz="6" w:color="000000"/>
              <w:top w:val="single" w:sz="6" w:color="000000"/>
              <w:right w:val="single" w:sz="6" w:color="000000"/>
              <w:bottom w:val="single" w:sz="6" w:color="000000"/>
            </w:tcBorders>
          </w:tcPr>
          <w:p>
            <w:r>
              <w:rPr>
                <w:sz w:val="16"/>
              </w:rPr>
              <w:t>3.3.90.40.00.00</w:t>
            </w:r>
          </w:p>
        </w:tc>
        <w:tc>
          <w:tcPr>
            <w:tcBorders>
              <w:left w:val="single" w:sz="6" w:color="000000"/>
              <w:top w:val="single" w:sz="6" w:color="000000"/>
              <w:right w:val="single" w:sz="6" w:color="000000"/>
              <w:bottom w:val="single" w:sz="6" w:color="000000"/>
            </w:tcBorders>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8.5 Qualificação Técnica:</w:t>
      </w:r>
    </w:p>
    <w:p>
      <w:pPr>
        <w:outlineLvl w:val="1"/>
        <w:ind w:left="1050" w:right="90" w:hanging="30"/>
        <w:spacing w:before="120"/>
      </w:pPr>
      <w:r>
        <w:rPr>
          <w:b/>
          <w:sz w:val="18"/>
        </w:rPr>
        <w:t/>
      </w:r>
    </w:p>
    <w:p>
      <w:pPr>
        <w:jc w:val="both"/>
        <w:ind w:left="990"/>
      </w:pPr>
      <w:r>
        <w:rPr>
          <w:sz w:val="18"/>
        </w:rPr>
        <w:t xml:space="preserve">a) Prova de registro </w:t>
      </w:r>
      <w:r>
        <w:rPr>
          <w:b/>
          <w:sz w:val="18"/>
        </w:rPr>
        <w:t>Pessoa Jurídica</w:t>
      </w:r>
      <w:r>
        <w:rPr>
          <w:sz w:val="18"/>
        </w:rPr>
        <w:t xml:space="preserve"> no Conselho Regional de Engenharia e Agronomia-CREA, em plena validade.</w:t>
      </w:r>
    </w:p>
    <w:p>
      <w:pPr>
        <w:jc w:val="both"/>
        <w:ind w:left="990"/>
      </w:pPr>
      <w:r>
        <w:rPr>
          <w:rFonts w:ascii="Times New Roman" w:hAnsi="Times New Roman" w:cs="Times New Roman" w:eastAsia="Times New Roman"/>
        </w:rPr>
        <w:t/>
      </w:r>
    </w:p>
    <w:p>
      <w:pPr>
        <w:jc w:val="both"/>
        <w:ind w:left="990"/>
      </w:pPr>
      <w:r>
        <w:rPr>
          <w:sz w:val="18"/>
        </w:rPr>
        <w:t xml:space="preserve">b) Prova de registro </w:t>
      </w:r>
      <w:r>
        <w:rPr>
          <w:b/>
          <w:sz w:val="18"/>
        </w:rPr>
        <w:t>Pessoa Física</w:t>
      </w:r>
      <w:r>
        <w:rPr>
          <w:sz w:val="18"/>
        </w:rPr>
        <w:t xml:space="preserve"> no Conselho Regional de Engenharia – CREA</w:t>
      </w:r>
      <w:r>
        <w:rPr>
          <w:rFonts w:ascii="Times New Roman" w:hAnsi="Times New Roman" w:cs="Times New Roman" w:eastAsia="Times New Roman"/>
          <w:b/>
          <w:sz w:val="18"/>
        </w:rPr>
        <w:t>,</w:t>
      </w:r>
      <w:r>
        <w:rPr>
          <w:sz w:val="18"/>
        </w:rPr>
        <w:t xml:space="preserve"> em plena validade, de um profissional qualificado, detentor de atestado de responsabilidade técnica por execução de obra ou serviço de características semelhantes, limitadas estas exclusivamente às parcelas de maior relevância e valor significativo do objeto da licitação. (Pessoa esta, que deverá obrigatoriamente constar do quadro técnico da empresa no item anterior).</w:t>
      </w:r>
    </w:p>
    <w:p>
      <w:pPr>
        <w:jc w:val="both"/>
        <w:ind w:left="990"/>
      </w:pPr>
      <w:r>
        <w:rPr>
          <w:rFonts w:ascii="Times New Roman" w:hAnsi="Times New Roman" w:cs="Times New Roman" w:eastAsia="Times New Roman"/>
        </w:rPr>
        <w:t/>
      </w:r>
    </w:p>
    <w:p>
      <w:pPr>
        <w:jc w:val="both"/>
        <w:ind w:left="990"/>
      </w:pPr>
      <w:r>
        <w:rPr>
          <w:sz w:val="18"/>
        </w:rPr>
        <w:t xml:space="preserve">c) </w:t>
      </w:r>
      <w:r>
        <w:rPr>
          <w:b/>
          <w:sz w:val="18"/>
        </w:rPr>
        <w:t xml:space="preserve">Comprovação de Experiência – </w:t>
      </w:r>
      <w:r>
        <w:rPr>
          <w:sz w:val="18"/>
        </w:rPr>
        <w:t>A licitante deverá comprovar através da apresentação de dois (01) atestado de capacidade técnica, que comprove que pessoa Jurídica já prestou serviços semelhantes no que tange o quantitativo e complexidade tecnológica e operacional equivalente ou superior ao objeto da presente licitação, à pessoa jurídica de direito público ou privado, devendo tal documento identificar: a entidade para qual o serviço foi prestado (razão social, endereço e telefone); descrição do serviço e o período em que o mesmo foi prestado; data de emissão; e, nome, cargo e assinatura do responsável pela expedição do documento com firma reconhecida em Cartório.</w:t>
      </w:r>
    </w:p>
    <w:p>
      <w:pPr>
        <w:jc w:val="both"/>
        <w:ind w:left="990"/>
      </w:pPr>
      <w:r>
        <w:rPr>
          <w:rFonts w:ascii="Times New Roman" w:hAnsi="Times New Roman" w:cs="Times New Roman" w:eastAsia="Times New Roman"/>
        </w:rPr>
        <w:t/>
      </w:r>
    </w:p>
    <w:p>
      <w:pPr>
        <w:jc w:val="both"/>
        <w:ind w:left="990"/>
      </w:pPr>
      <w:r>
        <w:rPr>
          <w:sz w:val="18"/>
        </w:rPr>
        <w:t>d) Comprovação de possuir Licença da ANATEL (SCM) para fornecimento do sinal de internet, ou comprovação de possuir contrato com empresa que possua a referida licença da ANATEL (SCM) que permita o fornecimento do sinal de internet e telefonia;</w:t>
      </w:r>
    </w:p>
    <w:p>
      <w:pPr>
        <w:jc w:val="both"/>
        <w:ind w:left="990"/>
      </w:pPr>
      <w:r>
        <w:rPr>
          <w:rFonts w:ascii="Times New Roman" w:hAnsi="Times New Roman" w:cs="Times New Roman" w:eastAsia="Times New Roman"/>
        </w:rPr>
        <w:t/>
      </w:r>
    </w:p>
    <w:p>
      <w:pPr>
        <w:jc w:val="both"/>
        <w:ind w:left="990"/>
      </w:pPr>
      <w:r>
        <w:rPr>
          <w:sz w:val="18"/>
        </w:rPr>
        <w:t>e) Documento de outorga da Anatel informando que a licitante é autorizada a comercializar serviços de acesso à Internet;</w:t>
      </w:r>
    </w:p>
    <w:p>
      <w:pPr>
        <w:jc w:val="both"/>
        <w:ind w:left="990"/>
      </w:pPr>
      <w:r>
        <w:rPr>
          <w:rFonts w:ascii="Times New Roman" w:hAnsi="Times New Roman" w:cs="Times New Roman" w:eastAsia="Times New Roman"/>
        </w:rPr>
        <w:t/>
      </w:r>
    </w:p>
    <w:p>
      <w:pPr>
        <w:jc w:val="both"/>
        <w:ind w:left="990"/>
      </w:pPr>
      <w:r>
        <w:rPr>
          <w:sz w:val="18"/>
        </w:rPr>
        <w:t>f) Declaração de que possui capacidade técnica em atender a demanda da PREFEITURA com links de acesso à internet;</w:t>
      </w:r>
    </w:p>
    <w:p>
      <w:pPr>
        <w:jc w:val="both"/>
        <w:ind w:left="990"/>
      </w:pPr>
      <w:r>
        <w:rPr>
          <w:rFonts w:ascii="Times New Roman" w:hAnsi="Times New Roman" w:cs="Times New Roman" w:eastAsia="Times New Roman"/>
        </w:rPr>
        <w:t/>
      </w:r>
    </w:p>
    <w:p>
      <w:pPr>
        <w:jc w:val="both"/>
        <w:ind w:left="990"/>
      </w:pPr>
      <w:r>
        <w:rPr>
          <w:sz w:val="18"/>
        </w:rPr>
        <w:t>g) Contrato de aluguel (com firma reconhecida) ou escritura de imóvel para comprovação da manuntenção de escritório de assistência técnica no Município de São Tomé, com no mínimo 12 (doze) meses de vigência;</w:t>
      </w:r>
    </w:p>
    <w:p>
      <w:pPr>
        <w:jc w:val="both"/>
        <w:ind w:left="990"/>
      </w:pPr>
      <w:r>
        <w:rPr>
          <w:rFonts w:ascii="Times New Roman" w:hAnsi="Times New Roman" w:cs="Times New Roman" w:eastAsia="Times New Roman"/>
        </w:rPr>
        <w:t/>
      </w:r>
    </w:p>
    <w:p>
      <w:pPr>
        <w:jc w:val="both"/>
        <w:ind w:left="990"/>
      </w:pPr>
      <w:r>
        <w:rPr>
          <w:sz w:val="18"/>
        </w:rPr>
        <w:t>h) Declaração de que possuiu veículos e pessoal disponível para atendimento imediato ao Município, após solictação;</w:t>
      </w:r>
    </w:p>
    <w:p>
      <w:pPr>
        <w:jc w:val="both"/>
        <w:ind w:left="990"/>
      </w:pPr>
      <w:r>
        <w:rPr>
          <w:rFonts w:ascii="Times New Roman" w:hAnsi="Times New Roman" w:cs="Times New Roman" w:eastAsia="Times New Roman"/>
        </w:rPr>
        <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4/2025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8/2025</w:t>
      </w:r>
    </w:p>
    <w:p>
      <w:pPr>
        <w:jc w:val="center"/>
        <w:ind w:left="1335" w:right="1335"/>
        <w:spacing w:before="90"/>
      </w:pPr>
      <w:r>
        <w:rPr>
          <w:b/>
          <w:sz w:val="19"/>
        </w:rPr>
        <w:t>PREGÃO ELETRÔNICO N. 4/2025.</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_/2024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70" name="Pic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emf"/>
                    <pic:cNvPicPr/>
                  </pic:nvPicPr>
                  <pic:blipFill>
                    <a:blip r:embed="prId69"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8/2025</w:t>
      </w:r>
    </w:p>
    <w:p>
      <w:pPr>
        <w:jc w:val="center"/>
        <w:ind w:left="1335" w:right="1335"/>
        <w:spacing w:before="90"/>
      </w:pPr>
      <w:r>
        <w:rPr>
          <w:b/>
          <w:sz w:val="19"/>
        </w:rPr>
        <w:t>PREGÃO ELETRÔNICO N. 4/2025.</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4/2025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***/2024</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JOÃO PAULO TRAVASSOS RADDI</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/2024,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CONTRATAÇÃO DE EMPRESA ESPECIALIZADA EM SERVIÇOS DE TELECOMUNICAÇÕES EM FORNECIMENTO DE LINK DE INTERNET DEDICADO, APTA PARA INTERLIGAÇÕES DE DADOS, VISANDO  ATENDER AS NECESSIDADES DO MUNICÍPIO DE SÃO TOMÉ,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_/2024.</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2024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2024</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/2024 e o Contrato  nº 000/2024.</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2024</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400</w:t>
            </w:r>
          </w:p>
        </w:tc>
        <w:tc>
          <w:tcPr>
            <w:tcBorders>
              <w:left w:val="single" w:sz="6" w:color="000000"/>
              <w:top w:val="single" w:sz="6" w:color="000000"/>
              <w:right w:val="single" w:sz="6" w:color="000000"/>
              <w:bottom w:val="single" w:sz="6" w:color="000000"/>
            </w:tcBorders>
          </w:tcPr>
          <w:p>
            <w:r>
              <w:rPr>
                <w:sz w:val="16"/>
              </w:rPr>
              <w:t>04.002.04.122.0002.2012</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3.3.90.40.00.00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410</w:t>
            </w:r>
          </w:p>
        </w:tc>
        <w:tc>
          <w:tcPr>
            <w:tcBorders>
              <w:left w:val="single" w:sz="6" w:color="000000"/>
              <w:top w:val="single" w:sz="6" w:color="000000"/>
              <w:right w:val="single" w:sz="6" w:color="000000"/>
              <w:bottom w:val="single" w:sz="6" w:color="000000"/>
            </w:tcBorders>
          </w:tcPr>
          <w:p>
            <w:r>
              <w:rPr>
                <w:sz w:val="16"/>
              </w:rPr>
              <w:t>04.002.04.122.0002.2012</w:t>
            </w:r>
          </w:p>
        </w:tc>
        <w:tc>
          <w:tcPr>
            <w:tcBorders>
              <w:left w:val="single" w:sz="6" w:color="000000"/>
              <w:top w:val="single" w:sz="6" w:color="000000"/>
              <w:right w:val="single" w:sz="6" w:color="000000"/>
              <w:bottom w:val="single" w:sz="6" w:color="000000"/>
            </w:tcBorders>
          </w:tcPr>
          <w:p>
            <w:r>
              <w:rPr>
                <w:sz w:val="16"/>
              </w:rPr>
              <w:t>511</w:t>
            </w:r>
          </w:p>
        </w:tc>
        <w:tc>
          <w:tcPr>
            <w:tcBorders>
              <w:left w:val="single" w:sz="6" w:color="000000"/>
              <w:top w:val="single" w:sz="6" w:color="000000"/>
              <w:right w:val="single" w:sz="6" w:color="000000"/>
              <w:bottom w:val="single" w:sz="6" w:color="000000"/>
            </w:tcBorders>
          </w:tcPr>
          <w:p>
            <w:r>
              <w:rPr>
                <w:sz w:val="16"/>
              </w:rPr>
              <w:t>3.3.90.40.00.00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2025</w:t>
            </w:r>
          </w:p>
        </w:tc>
        <w:tc>
          <w:tcPr>
            <w:tcBorders>
              <w:left w:val="single" w:sz="6" w:color="000000"/>
              <w:top w:val="single" w:sz="6" w:color="000000"/>
              <w:right w:val="single" w:sz="6" w:color="000000"/>
              <w:bottom w:val="single" w:sz="6" w:color="000000"/>
            </w:tcBorders>
          </w:tcPr>
          <w:p>
            <w:r>
              <w:rPr>
                <w:sz w:val="16"/>
              </w:rPr>
              <w:t>420</w:t>
            </w:r>
          </w:p>
        </w:tc>
        <w:tc>
          <w:tcPr>
            <w:tcBorders>
              <w:left w:val="single" w:sz="6" w:color="000000"/>
              <w:top w:val="single" w:sz="6" w:color="000000"/>
              <w:right w:val="single" w:sz="6" w:color="000000"/>
              <w:bottom w:val="single" w:sz="6" w:color="000000"/>
            </w:tcBorders>
          </w:tcPr>
          <w:p>
            <w:r>
              <w:rPr>
                <w:sz w:val="16"/>
              </w:rPr>
              <w:t>04.002.04.122.0002.2012</w:t>
            </w:r>
          </w:p>
        </w:tc>
        <w:tc>
          <w:tcPr>
            <w:tcBorders>
              <w:left w:val="single" w:sz="6" w:color="000000"/>
              <w:top w:val="single" w:sz="6" w:color="000000"/>
              <w:right w:val="single" w:sz="6" w:color="000000"/>
              <w:bottom w:val="single" w:sz="6" w:color="000000"/>
            </w:tcBorders>
          </w:tcPr>
          <w:p>
            <w:r>
              <w:rPr>
                <w:sz w:val="16"/>
              </w:rPr>
              <w:t>1065</w:t>
            </w:r>
          </w:p>
        </w:tc>
        <w:tc>
          <w:tcPr>
            <w:tcBorders>
              <w:left w:val="single" w:sz="6" w:color="000000"/>
              <w:top w:val="single" w:sz="6" w:color="000000"/>
              <w:right w:val="single" w:sz="6" w:color="000000"/>
              <w:bottom w:val="single" w:sz="6" w:color="000000"/>
            </w:tcBorders>
          </w:tcPr>
          <w:p>
            <w:r>
              <w:rPr>
                <w:sz w:val="16"/>
              </w:rPr>
              <w:t>3.3.90.40.00.00</w:t>
            </w:r>
          </w:p>
        </w:tc>
        <w:tc>
          <w:tcPr>
            <w:tcBorders>
              <w:left w:val="single" w:sz="6" w:color="000000"/>
              <w:top w:val="single" w:sz="6" w:color="000000"/>
              <w:right w:val="single" w:sz="6" w:color="000000"/>
              <w:bottom w:val="single" w:sz="6" w:color="000000"/>
            </w:tcBorders>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4</w:t>
      </w:r>
      <w:r>
        <w:rPr>
          <w:rFonts w:ascii="Arial MT" w:hAnsi="Arial MT" w:cs="Arial MT" w:eastAsia="Arial MT"/>
          <w:sz w:val="19"/>
        </w:rPr>
        <w:t>/2025.</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9"/>
        </w:rPr>
        <w:t xml:space="preserve">- </w:t>
      </w:r>
      <w:r>
        <w:rPr>
          <w:rFonts w:ascii="Arial MT" w:hAnsi="Arial MT" w:cs="Arial MT" w:eastAsia="Arial MT"/>
          <w:sz w:val="19"/>
        </w:rPr>
        <w:t>A entrega deverá ocorrer em até 10 (dez) dias úteis,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 02 (dois) dias úteis,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pPr>
        <w:jc w:val="both"/>
        <w:ind w:right="210"/>
        <w:spacing w:before="120" w:lineRule="auto" w:line="276"/>
        <w:tabs>
          <w:tab w:val="left" w:pos="690"/>
        </w:tabs>
        <w:numPr>
          <w:ilvl w:val="0"/>
          <w:numId w:val="30"/>
        </w:numPr>
      </w:pPr>
      <w:r/>
      <w:r>
        <w:rPr>
          <w:b/>
          <w:sz w:val="19"/>
        </w:rPr>
        <w:t xml:space="preserve">- </w:t>
      </w:r>
      <w:r>
        <w:rPr>
          <w:rFonts w:ascii="Arial MT" w:hAnsi="Arial MT" w:cs="Arial MT" w:eastAsia="Arial MT"/>
          <w:sz w:val="19"/>
        </w:rPr>
        <w:t>O recebimento definitivo ocorrerá no prazo de 10 (dez) dias,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4/2025,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2024.</w:t>
      </w:r>
    </w:p>
    <w:p>
      <w:pPr>
        <w:spacing w:before="15"/>
      </w:pPr>
      <w:r>
        <w:t/>
      </w:r>
    </w:p>
    <w:p>
      <w:pPr>
        <w:jc w:val="center"/>
        <w:outlineLvl w:val="1"/>
        <w:ind w:left="1350" w:right="1335"/>
        <w:spacing w:before="90"/>
      </w:pPr>
      <w:r>
        <w:rPr>
          <w:b/>
          <w:sz w:val="19"/>
        </w:rPr>
        <w:t>JOÃO PAULO TRAVASSOS RADDI</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Arial">
    <w:charset w:val="00"/>
  </w:font>
  <w:font w:name="Times New Roman">
    <w:charset w:val="01"/>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7000875" cy="103822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7000875" cy="103822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2"/>
      <w:pPr>
        <w:ind w:left="270" w:hanging="465"/>
        <w:tab w:val="num" w:pos="270"/>
      </w:pPr>
      <w:rPr>
        <w:sz w:val="24"/>
      </w:rPr>
    </w:lvl>
    <w:lvl w:ilvl="1">
      <w:numFmt w:val="decimal"/>
      <w:lvlText w:val="%1.%2"/>
      <w:lvlJc w:val="left"/>
      <w:start w:val="1"/>
      <w:pPr>
        <w:ind w:left="270" w:firstLine="0"/>
        <w:tab w:val="num" w:pos="270"/>
      </w:pPr>
      <w:rPr>
        <w:b/>
      </w:rPr>
    </w:lvl>
    <w:lvl w:ilvl="2">
      <w:numFmt w:val="decimal"/>
      <w:lvlText w:val="%1.%2.%3"/>
      <w:lvlJc w:val="left"/>
      <w:start w:val="1"/>
      <w:pPr>
        <w:ind w:left="270" w:firstLine="0"/>
        <w:tab w:val="num" w:pos="270"/>
      </w:pPr>
      <w:rPr>
        <w:b/>
        <w:sz w:val="18"/>
      </w:rPr>
    </w:lvl>
    <w:lvl w:ilvl="3">
      <w:numFmt w:val="bullet"/>
      <w:lvlText w:val="•"/>
      <w:lvlJc w:val="left"/>
      <w:pPr>
        <w:ind w:left="3540" w:hanging="510"/>
        <w:tab w:val="num" w:pos="3540"/>
      </w:pPr>
      <w:rPr>
        <w:sz w:val="24"/>
      </w:rPr>
    </w:lvl>
    <w:lvl w:ilvl="4">
      <w:numFmt w:val="bullet"/>
      <w:lvlText w:val="•"/>
      <w:lvlJc w:val="left"/>
      <w:pPr>
        <w:ind w:left="4635" w:hanging="510"/>
        <w:tab w:val="num" w:pos="4635"/>
      </w:pPr>
      <w:rPr>
        <w:sz w:val="24"/>
      </w:rPr>
    </w:lvl>
    <w:lvl w:ilvl="5">
      <w:numFmt w:val="bullet"/>
      <w:lvlText w:val="•"/>
      <w:lvlJc w:val="left"/>
      <w:pPr>
        <w:ind w:left="5715" w:hanging="510"/>
        <w:tab w:val="num" w:pos="5715"/>
      </w:pPr>
      <w:rPr>
        <w:sz w:val="24"/>
      </w:rPr>
    </w:lvl>
    <w:lvl w:ilvl="6">
      <w:numFmt w:val="bullet"/>
      <w:lvlText w:val="•"/>
      <w:lvlJc w:val="left"/>
      <w:pPr>
        <w:ind w:left="6810" w:hanging="510"/>
        <w:tab w:val="num" w:pos="6810"/>
      </w:pPr>
      <w:rPr>
        <w:sz w:val="24"/>
      </w:rPr>
    </w:lvl>
    <w:lvl w:ilvl="7">
      <w:numFmt w:val="bullet"/>
      <w:lvlText w:val="•"/>
      <w:lvlJc w:val="left"/>
      <w:pPr>
        <w:ind w:left="7905" w:hanging="510"/>
        <w:tab w:val="num" w:pos="7905"/>
      </w:pPr>
      <w:rPr>
        <w:sz w:val="24"/>
      </w:rPr>
    </w:lvl>
    <w:lvl w:ilvl="8">
      <w:numFmt w:val="bullet"/>
      <w:lvlText w:val="•"/>
      <w:lvlJc w:val="left"/>
      <w:pPr>
        <w:ind w:left="8985" w:hanging="510"/>
        <w:tab w:val="num" w:pos="8985"/>
      </w:pPr>
      <w:rPr>
        <w:sz w:val="24"/>
      </w:rPr>
    </w:lvl>
  </w:abstractNum>
  <w:abstractNum w:abstractNumId="6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7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 Id="prId69" Type="http://schemas.openxmlformats.org/officeDocument/2006/relationships/image" Target="media/img70.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