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96/2025</w:t>
      </w:r>
    </w:p>
    <w:p>
      <w:pPr>
        <w:jc w:val="center"/>
        <w:ind w:left="1335" w:right="1335"/>
        <w:spacing w:before="90"/>
      </w:pPr>
      <w:r>
        <w:rPr>
          <w:b/>
          <w:sz w:val="19"/>
        </w:rPr>
        <w:t>PREGÃO ELETRÔNICO N. 56/2025.</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Especializada pata Realização de Passeio Turístico com os Idosos do Serviço de Convivência e Fortalecimento de Vínculos até  a Cidade de Curitiba Morretes – PR conforme Deliberação Incentivo Projeto Viaja Mais 60 - Fase II Del. 034/2024</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01/10/2025.</w:t>
      </w:r>
    </w:p>
    <w:p>
      <w:r>
        <w:t/>
      </w:r>
    </w:p>
    <w:p>
      <w:pPr>
        <w:numPr>
          <w:ilvl w:val="1"/>
          <w:numId w:val="21"/>
        </w:numPr>
      </w:pPr>
      <w:r/>
      <w:r>
        <w:rPr>
          <w:b/>
          <w:sz w:val="19"/>
        </w:rPr>
        <w:t xml:space="preserve"> ABERTURA E JULGAMENTO DAS PROPOSTAS:</w:t>
      </w:r>
      <w:r>
        <w:rPr>
          <w:rFonts w:ascii="Arial MT" w:hAnsi="Arial MT" w:cs="Arial MT" w:eastAsia="Arial MT"/>
          <w:sz w:val="19"/>
        </w:rPr>
        <w:t xml:space="preserve"> às 09:01 do dia 01/10/2025.</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01/10/2025.</w:t>
      </w:r>
    </w:p>
    <w:p>
      <w:pPr>
        <w:outlineLvl w:val="1"/>
        <w:spacing w:before="150"/>
        <w:numPr>
          <w:ilvl w:val="1"/>
          <w:numId w:val="21"/>
        </w:numPr>
      </w:pPr>
      <w:r/>
      <w:r>
        <w:rPr>
          <w:b/>
          <w:sz w:val="19"/>
        </w:rPr>
        <w:t xml:space="preserve"> CRITÉRIO DE JULGAMENTO: MENOR PREÇO POR LOTE</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EXCLUSIVO</w:t>
      </w:r>
    </w:p>
    <w:p>
      <w:pPr>
        <w:jc w:val="both"/>
        <w:ind w:left="165" w:right="210"/>
        <w:spacing w:lineRule="auto" w:line="264"/>
      </w:pPr>
      <w:r>
        <w:rPr>
          <w:b/>
          <w:sz w:val="19"/>
        </w:rPr>
        <w:t/>
      </w:r>
    </w:p>
    <w:p>
      <w:pPr>
        <w:jc w:val="both"/>
        <w:ind w:left="165" w:right="210"/>
        <w:spacing w:lineRule="auto" w:line="264"/>
      </w:pPr>
      <w:r>
        <w:rPr>
          <w:b/>
          <w:sz w:val="19"/>
        </w:rPr>
        <w:t xml:space="preserve">2.1 </w:t>
      </w:r>
      <w:r>
        <w:rPr>
          <w:rFonts w:ascii="Arial MT" w:hAnsi="Arial MT" w:cs="Arial MT" w:eastAsia="Arial MT"/>
          <w:sz w:val="19"/>
        </w:rPr>
        <w:t>Poderão participar desta licitação apenas as microempresas, empresas de pequeno porte e microempreendedores individuais especializados do ramo (objeto contratual previsto no contrato social da empresa) que atendam às condições estabelecidas neste edital.</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w:t>
      </w:r>
    </w:p>
    <w:p>
      <w:pPr>
        <w:outlineLvl w:val="1"/>
        <w:ind w:left="165"/>
        <w:spacing w:before="120" w:lineRule="auto" w:line="120"/>
      </w:pPr>
      <w:r>
        <w:rPr>
          <w:b/>
          <w:sz w:val="19"/>
        </w:rPr>
        <w:t xml:space="preserve"> </w:t>
      </w:r>
    </w:p>
    <w:p>
      <w:pPr>
        <w:jc w:val="both"/>
        <w:widowControl/>
        <w:ind w:left="495"/>
        <w:spacing w:after="165" w:lineRule="auto" w:line="256"/>
      </w:pPr>
      <w:r>
        <w:t xml:space="preserve">a) Apresentação de atestado(s) de capacidade técnica em nome da licitante, passado por pessoa jurídica de direito público ou privado, comprovando aptidão para o desempenho de atividade compatível e pertinente com o objeto da presente licitação. </w:t>
      </w:r>
    </w:p>
    <w:p>
      <w:pPr>
        <w:jc w:val="both"/>
        <w:widowControl/>
        <w:ind w:left="495"/>
        <w:spacing w:after="165" w:lineRule="auto" w:line="256"/>
      </w:pPr>
      <w:r>
        <w:t xml:space="preserve">I. O(s) atestado(s) para ser(em) válido(s) deverá(ão) conter: </w:t>
      </w:r>
    </w:p>
    <w:p>
      <w:pPr>
        <w:jc w:val="both"/>
        <w:widowControl/>
        <w:ind w:left="495"/>
        <w:spacing w:after="165" w:lineRule="auto" w:line="256"/>
      </w:pPr>
      <w:r>
        <w:t xml:space="preserve">● Razão social, CNPJ, endereço completo e telefone da pessoa jurídica de direito público ou privado que forneceu o(s) atestado(s), bem como o nome e o cargo do responsável que o(s) assinar; </w:t>
      </w:r>
    </w:p>
    <w:p>
      <w:pPr>
        <w:jc w:val="both"/>
        <w:widowControl/>
        <w:ind w:left="495"/>
        <w:spacing w:after="165" w:lineRule="auto" w:line="256"/>
      </w:pPr>
      <w:r>
        <w:t xml:space="preserve">● Para atestado(s) emitido(s) por pessoa jurídica de direito privado: Indicação do objeto fornecido, constando a descrição completa do produto/serviço, prazos de execução, quantidades fornecidas e grau de satisfação; </w:t>
      </w:r>
    </w:p>
    <w:p>
      <w:pPr>
        <w:jc w:val="both"/>
        <w:widowControl/>
        <w:ind w:left="495"/>
        <w:spacing w:after="165" w:lineRule="auto" w:line="256"/>
      </w:pPr>
      <w:r>
        <w:t xml:space="preserve">● Para atestado(s) emitido(s) por pessoa jurídica de direito público: Indicação do objeto fornecido constando: a descrição completa do produto/serviço, prazos de execução, quantidades fornecidas e grau de satisfação; número da licitação e contrato/Ata caso o fornecimento seja decorrente de licitação; </w:t>
      </w:r>
    </w:p>
    <w:p>
      <w:pPr>
        <w:jc w:val="both"/>
        <w:widowControl/>
        <w:ind w:left="495"/>
        <w:spacing w:after="165" w:lineRule="auto" w:line="256"/>
      </w:pPr>
      <w:r>
        <w:t xml:space="preserve">II. O licitante deve disponibilizar todas as informações necessárias à comprovação da legitimidade do atestado solicitado, apresentando, caso solicitado pelo pregoeiro (a), dentre outros documentos, cópia do contrato que deu suporte à contratação, endereço atual da contratante e local em que foram prestados os serviços. </w:t>
      </w:r>
    </w:p>
    <w:p>
      <w:pPr>
        <w:jc w:val="both"/>
        <w:widowControl/>
        <w:ind w:left="495"/>
        <w:spacing w:after="165" w:lineRule="auto" w:line="256"/>
      </w:pPr>
      <w:r>
        <w:t xml:space="preserve">III. O objeto do(s) atestado(s) deve ser compatível com objeto do contrato social da licitante, conforme Acordão 2939/2021 do TCU. </w:t>
      </w:r>
    </w:p>
    <w:p>
      <w:pPr>
        <w:jc w:val="both"/>
        <w:widowControl/>
        <w:ind w:left="4380"/>
        <w:spacing w:after="165" w:lineRule="auto" w:line="256"/>
      </w:pPr>
      <w:r>
        <w:t xml:space="preserve">“Não são considerados válidos para fins de habilitação atestados de prestação de serviços incompatíveis com as atividades econômicas previstas no contrato social do licitante. Os atestados devem não apenas demonstrar uma situação de fato, mas, necessariamente, uma situação fática que tenha ocorrido em conformidade com a lei e com o contrato social. (TCU, Acordão 2939/2021, Plenário, Representação, Relator Ministro Walton Alencar Rodrigues)”. </w:t>
      </w:r>
    </w:p>
    <w:p>
      <w:pPr>
        <w:jc w:val="both"/>
        <w:widowControl/>
        <w:ind w:left="495"/>
        <w:spacing w:after="165" w:lineRule="auto" w:line="256"/>
      </w:pPr>
      <w:r>
        <w:t>b) Certificado de registro concedido pelo Ministério do Turismo, conforme previsto no art. 229 da Lei n. 11.771, de 17 de setembro de 2008, e ao artigo 1810 do Decreto n. 7.381/2010.</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a execução dos serviços</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1612</w:t>
            </w:r>
          </w:p>
        </w:tc>
        <w:tc>
          <w:tcPr>
            <w:shd w:val="clear" w:color="auto" w:fill="FFFFFF"/>
          </w:tcPr>
          <w:p>
            <w:r>
              <w:rPr>
                <w:sz w:val="16"/>
              </w:rPr>
              <w:t>07.002.08.244.0005.2044</w:t>
            </w:r>
          </w:p>
        </w:tc>
        <w:tc>
          <w:tcPr>
            <w:shd w:val="clear" w:color="auto" w:fill="FFFFFF"/>
          </w:tcPr>
          <w:p>
            <w:r>
              <w:rPr>
                <w:sz w:val="16"/>
              </w:rPr>
              <w:t>956</w:t>
            </w:r>
          </w:p>
        </w:tc>
        <w:tc>
          <w:tcPr>
            <w:shd w:val="clear" w:color="auto" w:fill="FFFFFF"/>
          </w:tcPr>
          <w:p>
            <w:r>
              <w:rPr>
                <w:sz w:val="16"/>
              </w:rPr>
              <w:t>3.3.90.39.00.00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1880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3.3.90.39.00.00</w:t>
            </w:r>
          </w:p>
        </w:tc>
        <w:tc>
          <w:tcPr>
            <w:shd w:val="clear" w:color="auto" w:fill="FFFFFF"/>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17 de setembro de 2025.</w:t>
      </w:r>
    </w:p>
    <w:p>
      <w:r>
        <w:t/>
      </w:r>
    </w:p>
    <w:p>
      <w:r>
        <w:t/>
      </w:r>
    </w:p>
    <w:p>
      <w:pPr>
        <w:spacing w:before="15"/>
      </w:pPr>
      <w:r>
        <w:t/>
      </w:r>
    </w:p>
    <w:p>
      <w:pPr>
        <w:jc w:val="center"/>
        <w:outlineLvl w:val="1"/>
        <w:ind w:left="1335" w:right="1335"/>
      </w:pPr>
      <w:r>
        <w:rPr>
          <w:b/>
          <w:sz w:val="19"/>
        </w:rPr>
        <w:t>JOÃO PAULO TRAVASSOS RADDI</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96/2025</w:t>
      </w:r>
    </w:p>
    <w:p>
      <w:pPr>
        <w:jc w:val="center"/>
        <w:ind w:left="1335" w:right="1335"/>
        <w:spacing w:before="90"/>
      </w:pPr>
      <w:r>
        <w:rPr>
          <w:b/>
          <w:sz w:val="19"/>
        </w:rPr>
        <w:t>PREGÃO ELETRÔNICO N. 56/2025.</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Especializada pata Realização de Passeio Turístico com os Idosos do Serviço de Convivência e Fortalecimento de Vínculos até  a Cidade de Curitiba Morretes – PR conforme Deliberação Incentivo Projeto Viaja Mais 60 - Fase II Del. 034/2024,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1005"/>
        <w:gridCol w:w="3180"/>
        <w:gridCol w:w="1005"/>
        <w:gridCol w:w="1260"/>
        <w:gridCol w:w="1275"/>
        <w:gridCol w:w="1905"/>
      </w:tblGrid>
      <w:tr>
        <w:tc>
          <w:tcPr>
            <w:gridSpan w:val="6"/>
            <w:shd w:val="clear" w:color="auto" w:fill="FFFFFF"/>
          </w:tcPr>
          <w:p>
            <w:r>
              <w:rPr>
                <w:sz w:val="16"/>
              </w:rPr>
              <w:t>Lote: 1 - Lote 001</w:t>
            </w:r>
          </w:p>
        </w:tc>
      </w:tr>
      <w:tr>
        <w:tc>
          <w:tcPr>
            <w:tcW w:w="400" w:type="pct"/>
            <w:shd w:val="clear" w:color="auto" w:fill="C0C0C0"/>
          </w:tcPr>
          <w:p>
            <w:r>
              <w:rPr>
                <w:sz w:val="16"/>
              </w:rPr>
              <w:t>Item</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pPr>
              <w:jc w:val="both"/>
            </w:pPr>
            <w:r>
              <w:rPr>
                <w:sz w:val="16"/>
              </w:rPr>
              <w:t xml:space="preserve">VIAGEM E TURISMO PELO PROGRAMA VIAJA MAIS 60 ÔNIBUS TIPO DOUBLE DECK??DISPONIBILIZAR:????AR CONDICIONADO, COM REGULAGEM INDIVIDUAL NAS POLTRONAS, 3 GELADEIRAS ELÉTRICAS, SENDO DUAS NO PISO SUPERIOR E UMA NO PISO INFERIOR????WC, EQUIPADO COM PAPEL TOALHA E SABONETE LÍQUIDO, 05 MONITORES DE TV, WI-FI, DVD, MICROFONE????ÁGUA PARA OS PASSAGEIROS DURANTE TODA A VIAGEM DE IDA E VOLTA????POLTRONAS RECLINÁVEIS COM CINTO DE SEGURANÇA E ENCOSTO DE PERNAS????SEGURO PARA TODOS OS PASSAGEIROS DURANTE A VIAGEM DENTRO DO ÔNIBUS, NÃO PODENDO SER INFERIOR A TRÊS MILHÕES DE REAIS. MOTORISTAS UNIFORMIZADOS????OS VEÍCULOS DEVERÃO TER CAPACIDADE MÍNIMA DE 54 (CINQUENTA E QUATRO) LUGARES, SENDO UM ÔNIBUS DE 54 LUGARES, POLTRONAS EM COURO, 3 EIXOS, ELEVADOR PARA CADEIRANTE.????O VEÍCULO QUE SERÁ UTILIZADO PARA O TRANSPORTE DEVERÁ POSSUIR NO MÁXIMO 03 (TRÊS) ANOS DE USO, SENDO UM VEÍCULO MODELO: MARCOPOLO G8, MARCA: SCANIA.??A LICITANTE CONTRATADA DEVERÁ DISPONIBILIZAR VEÍCULO COM ACESSIBILIDADE TOTAL PARA AS PESSOAS PORTADORAS DE DEFICIÊNCIA OU COM MOBILIDADE REDUZIDA????NO DIA DA LICITAÇÃO A EMPRESA PARTICIPANTE DEVERÁ COMPROVAR ATRAVÉS DO DOCUMENTO CRLV QUE O VEÍCULO UTILIZADO ESTÁ NO NOME DA EMPRESA QUE ESTÁ PARTICIPANDO, NÃO PODENDO SER FRETADO DE TERCEIROS.                                                                                                  DO ROTEIRO INCLUSO ????TRANSPORTE COM ÔNIBUS DE SÃO TOMÉ A CURITIBA E MORRETES.????DOIS ALMOÇOS CONTENDO OS SEGUINTES REQUISITOS: ARROZ, FEIJÃO, DOIS TIPOS DE CARNES, 3 TIPOS DE SALADAS, UM REFOGADO, UM TIPO DE MASSA. UM JANTAR EM UMA PIZZARIA????DOIS CAFÉS DA MANHÃ COM OS SEGUINTES REQUISITOS: DOIS TIPOS DE PÃO, BOLACHA CASEIRA, PRESUNTO, MUSSARELA, MARGARINA, DOCE DE LEITE, GELÉIA, GRANOLA, DOIS TIPOS DE FRUTAS, CAFÉ, CHÁ, IOGURTE, LEITE, DOIS TIPOS DE BOLOS.????UMA PERNOITE EM HOTEL 3 ESTRELAS PRÓXIMO AO SHOPPING ESTAÇÃO, SENDO QUARTOS DUPLOS E TRIPLOS.????VISITA AO PARQUE TANGUÁ, VISITA AO JARDIM BOTÂNICO, VISITA EM SANTA FELICIDADE NA VINÍCOLA????PASSAPORTE PARA DESCIDA DE TREM NA SERRA CATARINENSE DE CURITIBA A MORRETES, NA CLASSE TURÍSTICA, CONTENDO UM KIT LANCHE COM REFRIGERANTE.????  </w:t>
            </w:r>
          </w:p>
        </w:tc>
        <w:tc>
          <w:tcPr>
            <w:shd w:val="clear" w:color="auto" w:fill="FFFFFF"/>
          </w:tcPr>
          <w:p>
            <w:r>
              <w:rPr>
                <w:sz w:val="16"/>
              </w:rPr>
              <w:t>44,00</w:t>
            </w:r>
          </w:p>
        </w:tc>
        <w:tc>
          <w:tcPr>
            <w:shd w:val="clear" w:color="auto" w:fill="FFFFFF"/>
          </w:tcPr>
          <w:p>
            <w:r>
              <w:rPr>
                <w:sz w:val="16"/>
              </w:rPr>
              <w:t>UNI</w:t>
            </w:r>
          </w:p>
        </w:tc>
        <w:tc>
          <w:tcPr>
            <w:shd w:val="clear" w:color="auto" w:fill="FFFFFF"/>
          </w:tcPr>
          <w:p>
            <w:r>
              <w:rPr>
                <w:sz w:val="16"/>
              </w:rPr>
              <w:t>1.210,00</w:t>
            </w:r>
          </w:p>
        </w:tc>
        <w:tc>
          <w:tcPr>
            <w:shd w:val="clear" w:color="auto" w:fill="FFFFFF"/>
          </w:tcPr>
          <w:p>
            <w:r>
              <w:rPr>
                <w:sz w:val="16"/>
              </w:rPr>
              <w:t>53.240,00</w:t>
            </w:r>
          </w:p>
        </w:tc>
      </w:tr>
      <w:tr>
        <w:tc>
          <w:tcPr>
            <w:gridSpan w:val="5"/>
            <w:shd w:val="clear" w:color="auto" w:fill="FFFFFF"/>
          </w:tcPr>
          <w:p>
            <w:r>
              <w:rPr>
                <w:sz w:val="16"/>
              </w:rPr>
              <w:t/>
            </w:r>
          </w:p>
          <w:p>
            <w:r>
              <w:rPr>
                <w:sz w:val="16"/>
              </w:rPr>
              <w:t>TOTAL</w:t>
            </w:r>
          </w:p>
        </w:tc>
        <w:tc>
          <w:tcPr>
            <w:shd w:val="clear" w:color="auto" w:fill="FFFFFF"/>
          </w:tcPr>
          <w:p>
            <w:r>
              <w:rPr>
                <w:sz w:val="16"/>
              </w:rPr>
              <w:t/>
            </w:r>
          </w:p>
          <w:p>
            <w:r>
              <w:rPr>
                <w:sz w:val="16"/>
              </w:rPr>
              <w:t>53.240,00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R$ 53.240,00 </w:t>
      </w:r>
      <w:r>
        <w:rPr>
          <w:rFonts w:ascii="Arial MT" w:hAnsi="Arial MT" w:cs="Arial MT" w:eastAsia="Arial MT"/>
          <w:b/>
          <w:sz w:val="19"/>
        </w:rPr>
        <w:t>(Cinqüenta e Três Mil, Duzentos e Quarenta Reais)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30"/>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A presente contratação visa a promoção e fomento ao turismo, lazer, cultura e direitos da população idosa, conforme determina a deliberação n°024/2023 – Paraná Viaja Mais 60 - do Conselho Estadual dos Direitos da Pessoa Idosa (CEDI/PR).</w:t>
            </w:r>
          </w:p>
          <w:p>
            <w:r>
              <w:t>O envelhecimento populacional é o grande desafio do século e traz em seu bojo a exigência de transformações rápidas e significativas nas políticas públicas para atender as demandas que esse novo contexto exige.</w:t>
            </w:r>
          </w:p>
          <w:p>
            <w:r>
              <w:t>A Secretaria da Mulher, Igualdade Racial e Pessoa Idosa em parceria com a Secretaria de Estado do Turismo (SETU) e o Conselho Estadual dos Direitos da Pessoa Idosa (CEDIPI-PR), numa junção de esforços e em atendimento às legislações vigentes como Estatuto da Pessoa Idosa (lei 10.741/2003) e o 2º Plano Estadual dos Direitos da Pessoa Idosa do Paraná, criaram o projeto Viaja Mais 60 Paraná, com o objetivo de efetivar os direitos fundamentais de promoção à cultura e ao lazer, por meio do turismo social e acessível para pessoas idosas.</w:t>
            </w:r>
          </w:p>
          <w:p>
            <w:r>
              <w:t>Conforme a deliberação n°24/2023 do CEDI/PR cita em seu 9° artigo: “Art. 9º. os recursos poderão ser utilizados para cobrir os itens de despesas correntes relativos a custeio, que justifiquem o desenvolvimento de ações de promoção e fomento ao turismo, lazer, cultura e garantia de direitos da pessoa</w:t>
            </w:r>
          </w:p>
          <w:p>
            <w:r>
              <w:t>idosa, para municípios do estado do paraná a serem utilizados exclusivamente para a população idosa.”</w:t>
            </w:r>
          </w:p>
          <w:p>
            <w:r>
              <w:t>Em função disto, faz-se necessário o processo de contratação de empresa especializada no</w:t>
            </w:r>
          </w:p>
          <w:p>
            <w:r>
              <w:t>fornecimento de viagem turística para idosos, a fim de promover e fomentar o turismo, lazer, cultura e direitos da população idosa.</w:t>
            </w:r>
          </w:p>
          <w:p>
            <w:r>
              <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numPr>
          <w:ilvl w:val="1"/>
          <w:numId w:val="6"/>
        </w:numPr>
      </w:pPr>
      <w:r/>
      <w:r>
        <w:t xml:space="preserve">A execução da prestação do serviço será no endereço/local indicado pela Secretaria responsável, constante da requisição/ordem de serviço que será enviada. </w:t>
      </w:r>
    </w:p>
    <w:p>
      <w:pPr>
        <w:jc w:val="both"/>
        <w:ind w:left="240"/>
      </w:pPr>
      <w:r>
        <w:rPr>
          <w:b/>
        </w:rPr>
        <w:t>O prazo de execução é conforme cronograma de viagem determinado pela CONTRATANTE de acordo com a disponibilidade da CONTRATADA, sendo:</w:t>
      </w:r>
    </w:p>
    <w:p>
      <w:pPr>
        <w:jc w:val="both"/>
        <w:ind w:left="240"/>
      </w:pPr>
      <w:r>
        <w:rPr>
          <w:b/>
        </w:rPr>
        <w:t>Saída: dia 14/10/2025 às 22:00 Horas - São Tomé/PR 87220-000.</w:t>
      </w:r>
    </w:p>
    <w:p>
      <w:pPr>
        <w:jc w:val="both"/>
        <w:ind w:left="240"/>
      </w:pPr>
      <w:r>
        <w:rPr>
          <w:b/>
        </w:rPr>
        <w:t>Retorno: dia 16/10/2025 às 17:00 horas – Morretes/PR</w:t>
      </w:r>
    </w:p>
    <w:p>
      <w:pPr>
        <w:jc w:val="both"/>
        <w:ind w:left="240"/>
      </w:pPr>
      <w:r>
        <w:rPr>
          <w:b/>
        </w:rPr>
        <w:t>Destino: Curitiba e Morretes.</w:t>
      </w:r>
    </w:p>
    <w:p>
      <w:pPr>
        <w:jc w:val="both"/>
        <w:ind w:right="210"/>
        <w:spacing w:lineRule="auto" w:line="276"/>
        <w:numPr>
          <w:ilvl w:val="1"/>
          <w:numId w:val="6"/>
        </w:numPr>
      </w:pPr>
      <w:r/>
      <w:r>
        <w:rPr>
          <w:rFonts w:ascii="Arial MT" w:hAnsi="Arial MT" w:cs="Arial MT" w:eastAsia="Arial MT"/>
          <w:sz w:val="19"/>
        </w:rPr>
        <w:t xml:space="preserve">A execução dos serviços deverá ocorrer em até </w:t>
      </w:r>
      <w:r>
        <w:rPr>
          <w:rFonts w:ascii="Arial MT" w:hAnsi="Arial MT" w:cs="Arial MT" w:eastAsia="Arial MT"/>
          <w:b/>
          <w:sz w:val="19"/>
        </w:rPr>
        <w:t>conforme cronograma acima</w:t>
      </w:r>
      <w:r>
        <w:rPr>
          <w:rFonts w:ascii="Arial MT" w:hAnsi="Arial MT" w:cs="Arial MT" w:eastAsia="Arial MT"/>
          <w:sz w:val="19"/>
        </w:rPr>
        <w:t>,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execuçao dos serviços na data assinalada, a empresa deverá comunicar as razões respectivas com pelo menos 05 (cinco)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 xml:space="preserve">Recebida a Nota Fiscal ou documento de cobrança equivalente, correrá o prazo de </w:t>
      </w:r>
      <w:r>
        <w:rPr>
          <w:rFonts w:ascii="Arial MT" w:hAnsi="Arial MT" w:cs="Arial MT" w:eastAsia="Arial MT"/>
          <w:b/>
          <w:sz w:val="19"/>
        </w:rPr>
        <w:t>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O pagamento será efetuado no prazo de até</w:t>
      </w:r>
      <w:r>
        <w:rPr>
          <w:b/>
          <w:sz w:val="19"/>
        </w:rPr>
        <w:t xml:space="preserve"> 30 (trinta) dias, após a execução dos serviços.</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1612</w:t>
            </w:r>
          </w:p>
        </w:tc>
        <w:tc>
          <w:tcPr>
            <w:shd w:val="clear" w:color="auto" w:fill="FFFFFF"/>
          </w:tcPr>
          <w:p>
            <w:r>
              <w:rPr>
                <w:sz w:val="16"/>
              </w:rPr>
              <w:t>07.002.08.244.0005.2044</w:t>
            </w:r>
          </w:p>
        </w:tc>
        <w:tc>
          <w:tcPr>
            <w:shd w:val="clear" w:color="auto" w:fill="FFFFFF"/>
          </w:tcPr>
          <w:p>
            <w:r>
              <w:rPr>
                <w:sz w:val="16"/>
              </w:rPr>
              <w:t>956</w:t>
            </w:r>
          </w:p>
        </w:tc>
        <w:tc>
          <w:tcPr>
            <w:shd w:val="clear" w:color="auto" w:fill="FFFFFF"/>
          </w:tcPr>
          <w:p>
            <w:r>
              <w:rPr>
                <w:sz w:val="16"/>
              </w:rPr>
              <w:t>3.3.90.39.00.00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1880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3.3.90.39.00.00</w:t>
            </w:r>
          </w:p>
        </w:tc>
        <w:tc>
          <w:tcPr>
            <w:shd w:val="clear" w:color="auto" w:fill="FFFFFF"/>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jc w:val="both"/>
        <w:widowControl/>
        <w:ind w:left="1020"/>
        <w:spacing w:after="165" w:lineRule="auto" w:line="256"/>
      </w:pPr>
      <w:r>
        <w:t xml:space="preserve">a) Apresentação de atestado(s) de capacidade técnica em nome da licitante, passado por pessoa jurídica de direito público ou privado, comprovando aptidão para o desempenho de atividade compatível e pertinente com o objeto da presente licitação. </w:t>
      </w:r>
    </w:p>
    <w:p>
      <w:pPr>
        <w:jc w:val="both"/>
        <w:widowControl/>
        <w:ind w:left="1020"/>
        <w:spacing w:after="165" w:lineRule="auto" w:line="256"/>
      </w:pPr>
      <w:r>
        <w:t xml:space="preserve">I. O(s) atestado(s) para ser(em) válido(s) deverá(ão) conter: </w:t>
      </w:r>
    </w:p>
    <w:p>
      <w:pPr>
        <w:jc w:val="both"/>
        <w:widowControl/>
        <w:ind w:left="1020"/>
        <w:spacing w:after="165" w:lineRule="auto" w:line="256"/>
      </w:pPr>
      <w:r>
        <w:t xml:space="preserve">● Razão social, CNPJ, endereço completo e telefone da pessoa jurídica de direito público ou privado que forneceu o(s) atestado(s), bem como o nome e o cargo do responsável que o(s) assinar; </w:t>
      </w:r>
    </w:p>
    <w:p>
      <w:pPr>
        <w:jc w:val="both"/>
        <w:widowControl/>
        <w:ind w:left="1020"/>
        <w:spacing w:after="165" w:lineRule="auto" w:line="256"/>
      </w:pPr>
      <w:r>
        <w:t xml:space="preserve">● Para atestado(s) emitido(s) por pessoa jurídica de direito privado: Indicação do objeto fornecido, constando a descrição completa do produto/serviço, prazos de execução, quantidades fornecidas e grau de satisfação; </w:t>
      </w:r>
    </w:p>
    <w:p>
      <w:pPr>
        <w:jc w:val="both"/>
        <w:widowControl/>
        <w:ind w:left="1020"/>
        <w:spacing w:after="165" w:lineRule="auto" w:line="256"/>
      </w:pPr>
      <w:r>
        <w:t xml:space="preserve">● Para atestado(s) emitido(s) por pessoa jurídica de direito público: Indicação do objeto fornecido constando: a descrição completa do produto/serviço, prazos de execução, quantidades fornecidas e grau de satisfação; número da licitação e contrato/Ata caso o fornecimento seja decorrente de licitação; </w:t>
      </w:r>
    </w:p>
    <w:p>
      <w:pPr>
        <w:jc w:val="both"/>
        <w:widowControl/>
        <w:ind w:left="1020"/>
        <w:spacing w:after="165" w:lineRule="auto" w:line="256"/>
      </w:pPr>
      <w:r>
        <w:t xml:space="preserve">II. O licitante deve disponibilizar todas as informações necessárias à comprovação da legitimidade do atestado solicitado, apresentando, caso solicitado pelo pregoeiro (a), dentre outros documentos, cópia do contrato que deu suporte à contratação, endereço atual da contratante e local em que foram prestados os serviços. </w:t>
      </w:r>
    </w:p>
    <w:p>
      <w:pPr>
        <w:jc w:val="both"/>
        <w:widowControl/>
        <w:ind w:left="1020"/>
        <w:spacing w:after="165" w:lineRule="auto" w:line="256"/>
      </w:pPr>
      <w:r>
        <w:t xml:space="preserve">III. O objeto do(s) atestado(s) deve ser compatível com objeto do contrato social da licitante, conforme Acordão 2939/2021 do TCU. </w:t>
      </w:r>
    </w:p>
    <w:p>
      <w:pPr>
        <w:jc w:val="both"/>
        <w:widowControl/>
        <w:ind w:left="1020"/>
        <w:spacing w:after="165" w:lineRule="auto" w:line="256"/>
      </w:pPr>
      <w:r>
        <w:t xml:space="preserve">“Não são considerados válidos para fins de habilitação atestados de prestação de serviços incompatíveis com as atividades econômicas previstas no contrato social do licitante. Os atestados devem não apenas demonstrar uma situação de fato, mas, necessariamente, uma situação fática que tenha ocorrido em conformidade com a lei e com o contrato social. (TCU, Acordão 2939/2021, Plenário, Representação, Relator Ministro Walton Alencar Rodrigues)”. </w:t>
      </w:r>
    </w:p>
    <w:p>
      <w:pPr>
        <w:jc w:val="both"/>
        <w:widowControl/>
        <w:ind w:left="1020"/>
        <w:spacing w:after="165" w:lineRule="auto" w:line="256"/>
      </w:pPr>
      <w:r>
        <w:t>b) Certificado de registro concedido pelo Ministério do Turismo, conforme previsto no art. 229 da Lei n. 11.771, de 17 de setembro de 2008, e ao artigo 1810 do Decreto n. 7.381/2010.</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56/2025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96/2025</w:t>
      </w:r>
    </w:p>
    <w:p>
      <w:pPr>
        <w:jc w:val="center"/>
        <w:ind w:left="1335" w:right="1335"/>
        <w:spacing w:before="90"/>
      </w:pPr>
      <w:r>
        <w:rPr>
          <w:b/>
          <w:sz w:val="19"/>
        </w:rPr>
        <w:t>PREGÃO ELETRÔNICO N. 56/2025.</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_/2025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96/2025</w:t>
      </w:r>
    </w:p>
    <w:p>
      <w:pPr>
        <w:jc w:val="center"/>
        <w:ind w:left="1335" w:right="1335"/>
        <w:spacing w:before="90"/>
      </w:pPr>
      <w:r>
        <w:rPr>
          <w:b/>
          <w:sz w:val="19"/>
        </w:rPr>
        <w:t>PREGÃO ELETRÔNICO N. 56/2025.</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56/2025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***/2025</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JOÃO PAULO TRAVASSOS RADDI</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/2025,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2025,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Especializada pata Realização de Passeio Turístico com os Idosos do Serviço de Convivência e Fortalecimento de Vínculos até  a Cidade de Curitiba Morretes – PR conforme Deliberação Incentivo Projeto Viaja Mais 60 - Fase II Del. 034/2025,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_/2025.</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2025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2025</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/2025 e o Contrato  nº 000/2025.</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2025</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2025</w:t>
            </w:r>
          </w:p>
        </w:tc>
        <w:tc>
          <w:tcPr>
            <w:shd w:val="clear" w:color="auto" w:fill="FFFFFF"/>
          </w:tcPr>
          <w:p>
            <w:r>
              <w:rPr>
                <w:sz w:val="16"/>
              </w:rPr>
              <w:t>1612</w:t>
            </w:r>
          </w:p>
        </w:tc>
        <w:tc>
          <w:tcPr>
            <w:shd w:val="clear" w:color="auto" w:fill="FFFFFF"/>
          </w:tcPr>
          <w:p>
            <w:r>
              <w:rPr>
                <w:sz w:val="16"/>
              </w:rPr>
              <w:t>07.002.08.244.0005.2044</w:t>
            </w:r>
          </w:p>
        </w:tc>
        <w:tc>
          <w:tcPr>
            <w:shd w:val="clear" w:color="auto" w:fill="FFFFFF"/>
          </w:tcPr>
          <w:p>
            <w:r>
              <w:rPr>
                <w:sz w:val="16"/>
              </w:rPr>
              <w:t>956</w:t>
            </w:r>
          </w:p>
        </w:tc>
        <w:tc>
          <w:tcPr>
            <w:shd w:val="clear" w:color="auto" w:fill="FFFFFF"/>
          </w:tcPr>
          <w:p>
            <w:r>
              <w:rPr>
                <w:sz w:val="16"/>
              </w:rPr>
              <w:t>3.3.90.39.00.00</w:t>
            </w:r>
          </w:p>
        </w:tc>
        <w:tc>
          <w:tcPr>
            <w:shd w:val="clear" w:color="auto" w:fill="FFFFFF"/>
          </w:tcPr>
          <w:p>
            <w:r>
              <w:rPr>
                <w:sz w:val="16"/>
              </w:rPr>
              <w:t>Do Exercício</w:t>
            </w:r>
          </w:p>
        </w:tc>
      </w:tr>
      <w:tr>
        <w:tc>
          <w:tcPr>
            <w:shd w:val="clear" w:color="auto" w:fill="FFFFFF"/>
          </w:tcPr>
          <w:p>
            <w:r>
              <w:rPr>
                <w:sz w:val="16"/>
              </w:rPr>
              <w:t>2025</w:t>
            </w:r>
          </w:p>
        </w:tc>
        <w:tc>
          <w:tcPr>
            <w:shd w:val="clear" w:color="auto" w:fill="FFFFFF"/>
          </w:tcPr>
          <w:p>
            <w:r>
              <w:rPr>
                <w:sz w:val="16"/>
              </w:rPr>
              <w:t>1880</w:t>
            </w:r>
          </w:p>
        </w:tc>
        <w:tc>
          <w:tcPr>
            <w:shd w:val="clear" w:color="auto" w:fill="FFFFFF"/>
          </w:tcPr>
          <w:p>
            <w:r>
              <w:rPr>
                <w:sz w:val="16"/>
              </w:rPr>
              <w:t>07.003.08.244.0006.2050</w:t>
            </w:r>
          </w:p>
        </w:tc>
        <w:tc>
          <w:tcPr>
            <w:shd w:val="clear" w:color="auto" w:fill="FFFFFF"/>
          </w:tcPr>
          <w:p>
            <w:r>
              <w:rPr>
                <w:sz w:val="16"/>
              </w:rPr>
              <w:t>934</w:t>
            </w:r>
          </w:p>
        </w:tc>
        <w:tc>
          <w:tcPr>
            <w:shd w:val="clear" w:color="auto" w:fill="FFFFFF"/>
          </w:tcPr>
          <w:p>
            <w:r>
              <w:rPr>
                <w:sz w:val="16"/>
              </w:rPr>
              <w:t>3.3.90.39.00.00</w:t>
            </w:r>
          </w:p>
        </w:tc>
        <w:tc>
          <w:tcPr>
            <w:shd w:val="clear" w:color="auto" w:fill="FFFFFF"/>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56</w:t>
      </w:r>
      <w:r>
        <w:rPr>
          <w:rFonts w:ascii="Arial MT" w:hAnsi="Arial MT" w:cs="Arial MT" w:eastAsia="Arial MT"/>
          <w:sz w:val="19"/>
        </w:rPr>
        <w:t>/2025.</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 </w:t>
      </w:r>
      <w:r>
        <w:t xml:space="preserve">A execução da prestação do serviço será no endereço/local indicado pela Secretaria responsável, constante da requisição/ordem de serviço que será enviada. </w:t>
      </w:r>
    </w:p>
    <w:p>
      <w:pPr>
        <w:jc w:val="both"/>
        <w:ind w:left="240"/>
      </w:pPr>
      <w:r>
        <w:rPr>
          <w:b/>
        </w:rPr>
        <w:t>O prazo de execução é conforme cronograma de viagem determinado pela CONTRATANTE de acordo com a disponibilidade da CONTRATADA, sendo:</w:t>
      </w:r>
    </w:p>
    <w:p>
      <w:pPr>
        <w:jc w:val="both"/>
        <w:ind w:left="240"/>
      </w:pPr>
      <w:r>
        <w:rPr>
          <w:b/>
        </w:rPr>
        <w:t>Saída: dia 14/10/2025 às 22:00 Horas - São Tomé/PR 87220-000.</w:t>
      </w:r>
    </w:p>
    <w:p>
      <w:pPr>
        <w:jc w:val="both"/>
        <w:ind w:left="240"/>
      </w:pPr>
      <w:r>
        <w:rPr>
          <w:b/>
        </w:rPr>
        <w:t>Retorno: dia 16/10/2025 às 17:00 horas – Morretes/PR</w:t>
      </w:r>
    </w:p>
    <w:p>
      <w:pPr>
        <w:jc w:val="both"/>
        <w:ind w:left="240"/>
      </w:pPr>
      <w:r>
        <w:rPr>
          <w:b/>
        </w:rPr>
        <w:t>Destino: Curitiba e Morretes.</w:t>
      </w:r>
    </w:p>
    <w:p>
      <w:pPr>
        <w:jc w:val="both"/>
        <w:ind w:left="240"/>
      </w:pPr>
      <w:r>
        <w:rPr>
          <w:rFonts w:ascii="Arial MT" w:hAnsi="Arial MT" w:cs="Arial MT" w:eastAsia="Arial MT"/>
          <w:sz w:val="19"/>
        </w:rPr>
        <w:t xml:space="preserve">II - A execução dos serviços deverá ocorrer em até </w:t>
      </w:r>
      <w:r>
        <w:rPr>
          <w:rFonts w:ascii="Arial MT" w:hAnsi="Arial MT" w:cs="Arial MT" w:eastAsia="Arial MT"/>
          <w:b/>
          <w:sz w:val="19"/>
        </w:rPr>
        <w:t>conforme cronograma acima</w:t>
      </w:r>
      <w:r>
        <w:rPr>
          <w:rFonts w:ascii="Arial MT" w:hAnsi="Arial MT" w:cs="Arial MT" w:eastAsia="Arial MT"/>
          <w:sz w:val="19"/>
        </w:rPr>
        <w:t>, mediante requisição formalizada pelo Município, correndo por conta da licitante vencedora contratada as despesas de seguros, transportes, tributos, encargos trabalhistas e previdenciários decorrentes da execução do objeto da licitação.</w:t>
      </w:r>
    </w:p>
    <w:p>
      <w:pPr>
        <w:jc w:val="both"/>
        <w:ind w:left="225" w:right="210"/>
        <w:spacing w:before="120" w:lineRule="auto" w:line="276"/>
      </w:pPr>
      <w:r>
        <w:rPr>
          <w:rFonts w:ascii="Arial MT" w:hAnsi="Arial MT" w:cs="Arial MT" w:eastAsia="Arial MT"/>
          <w:sz w:val="19"/>
        </w:rPr>
        <w:t>III - Caso não seja possível execuçao dos serviços na data assinalada, a empresa deverá comunicar as razões respectivas com pelo menos 05 (cinco) dias de antecedência para que qualquer pleito de prorrogação de prazo seja analisado, ressalvadas situações de caso fortuito e força maior.</w:t>
      </w:r>
    </w:p>
    <w:p>
      <w:pPr>
        <w:jc w:val="both"/>
        <w:ind w:left="225" w:right="210"/>
        <w:spacing w:before="105" w:lineRule="auto" w:line="276"/>
      </w:pPr>
      <w:r>
        <w:rPr>
          <w:rFonts w:ascii="Arial MT" w:hAnsi="Arial MT" w:cs="Arial MT" w:eastAsia="Arial MT"/>
          <w:sz w:val="19"/>
        </w:rPr>
        <w:t>IV - O prazo de garantia contratual dos bens, complementar à garantia legal, será de, no mínimo, 12 (doze) meses, contados a partir do primeiro dia útil subsequente à data do recebimento definitivo do objeto.</w:t>
      </w:r>
    </w:p>
    <w:p>
      <w:pPr>
        <w:jc w:val="both"/>
        <w:ind w:left="225" w:right="210"/>
        <w:spacing w:before="120" w:lineRule="auto" w:line="276"/>
        <w:tabs>
          <w:tab w:val="left" w:pos="570"/>
        </w:tabs>
      </w:pPr>
      <w:r>
        <w:rPr>
          <w:rFonts w:ascii="Arial MT" w:hAnsi="Arial MT" w:cs="Arial MT" w:eastAsia="Arial MT"/>
          <w:sz w:val="19"/>
        </w:rPr>
        <w:t>V - Caso o prazo da garantia oferecida pelo fabricante seja inferior ao estabelecido nesta cláusula, o fornecedor deverá complementar a garantia do bem ofertado pelo período restante.</w:t>
      </w:r>
    </w:p>
    <w:p>
      <w:pPr>
        <w:jc w:val="both"/>
        <w:ind w:left="225" w:right="210"/>
        <w:spacing w:before="120" w:lineRule="auto" w:line="276"/>
      </w:pPr>
      <w:r>
        <w:rPr>
          <w:rFonts w:ascii="Arial MT" w:hAnsi="Arial MT" w:cs="Arial MT" w:eastAsia="Arial MT"/>
          <w:sz w:val="19"/>
        </w:rPr>
        <w:t>VI - A garantia abrange a realização da manutenção corretiva dos bens pelo próprio Contratado, ou, se for o caso, por meio de assistência técnica autorizada, de acordo com as normas técnicas específicas.</w:t>
      </w:r>
    </w:p>
    <w:p>
      <w:pPr>
        <w:jc w:val="both"/>
        <w:ind w:left="225" w:right="210"/>
        <w:spacing w:before="120" w:lineRule="auto" w:line="276"/>
        <w:tabs>
          <w:tab w:val="left" w:pos="675"/>
        </w:tabs>
      </w:pPr>
      <w:r>
        <w:rPr>
          <w:rFonts w:ascii="Arial MT" w:hAnsi="Arial MT" w:cs="Arial MT" w:eastAsia="Arial MT"/>
          <w:sz w:val="19"/>
        </w:rPr>
        <w:t>VII - Entende-se por manutenção corretiva aquela destinada a corrigir os defeitos apresentados pelos bens, compreendendo a substituição de peças, a realização de ajustes, reparos e correções necessárias.</w:t>
      </w:r>
    </w:p>
    <w:p>
      <w:pPr>
        <w:jc w:val="both"/>
        <w:ind w:left="225" w:right="210"/>
        <w:spacing w:before="120" w:lineRule="auto" w:line="276"/>
        <w:tabs>
          <w:tab w:val="left" w:pos="675"/>
        </w:tabs>
      </w:pPr>
      <w:r>
        <w:rPr>
          <w:rFonts w:ascii="Arial MT" w:hAnsi="Arial MT" w:cs="Arial MT" w:eastAsia="Arial MT"/>
          <w:sz w:val="19"/>
        </w:rPr>
        <w:t>VIII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left="225" w:right="210"/>
        <w:spacing w:before="105" w:lineRule="auto" w:line="276"/>
        <w:tabs>
          <w:tab w:val="left" w:pos="750"/>
        </w:tabs>
      </w:pPr>
      <w:r>
        <w:rPr>
          <w:rFonts w:ascii="Arial MT" w:hAnsi="Arial MT" w:cs="Arial MT" w:eastAsia="Arial MT"/>
          <w:sz w:val="19"/>
        </w:rPr>
        <w:t>IX - Prazo indicado no subitem anterior, durante seu transcurso, poderá ser prorrogado uma única vez, por igual período, mediante solicitação escrita e justificada do Contratado, aceita pelo Contratante.</w:t>
      </w:r>
    </w:p>
    <w:p>
      <w:pPr>
        <w:jc w:val="both"/>
        <w:ind w:left="225" w:right="210"/>
        <w:spacing w:before="120" w:lineRule="auto" w:line="276"/>
        <w:tabs>
          <w:tab w:val="left" w:pos="660"/>
        </w:tabs>
      </w:pPr>
      <w:r>
        <w:rPr>
          <w:rFonts w:ascii="Arial MT" w:hAnsi="Arial MT" w:cs="Arial MT" w:eastAsia="Arial MT"/>
          <w:sz w:val="19"/>
        </w:rPr>
        <w:t>X -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left="225" w:right="210"/>
        <w:spacing w:before="120" w:lineRule="auto" w:line="276"/>
        <w:tabs>
          <w:tab w:val="left" w:pos="660"/>
        </w:tabs>
      </w:pPr>
      <w:r>
        <w:rPr>
          <w:rFonts w:ascii="Arial MT" w:hAnsi="Arial MT" w:cs="Arial MT" w:eastAsia="Arial MT"/>
          <w:sz w:val="19"/>
        </w:rPr>
        <w:t>XI -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left="225" w:right="210"/>
        <w:spacing w:before="120" w:lineRule="auto" w:line="276"/>
        <w:tabs>
          <w:tab w:val="left" w:pos="705"/>
        </w:tabs>
      </w:pPr>
      <w:r>
        <w:rPr>
          <w:rFonts w:ascii="Arial MT" w:hAnsi="Arial MT" w:cs="Arial MT" w:eastAsia="Arial MT"/>
          <w:sz w:val="19"/>
        </w:rPr>
        <w:t>XII -  O custo referente ao transporte dos equipamentos cobertos pela garantia será de responsabilidade do Contratado.</w:t>
      </w:r>
    </w:p>
    <w:p>
      <w:pPr>
        <w:jc w:val="both"/>
        <w:ind w:left="225" w:right="210"/>
        <w:spacing w:before="120" w:lineRule="auto" w:line="276"/>
        <w:tabs>
          <w:tab w:val="left" w:pos="645"/>
        </w:tabs>
      </w:pPr>
      <w:r>
        <w:rPr>
          <w:rFonts w:ascii="Arial MT" w:hAnsi="Arial MT" w:cs="Arial MT" w:eastAsia="Arial MT"/>
          <w:sz w:val="19"/>
        </w:rPr>
        <w:t>XIII -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left="225" w:right="210"/>
        <w:spacing w:before="120" w:lineRule="auto" w:line="276"/>
        <w:tabs>
          <w:tab w:val="left" w:pos="645"/>
        </w:tabs>
      </w:pPr>
      <w:r>
        <w:rPr>
          <w:rFonts w:ascii="Arial MT" w:hAnsi="Arial MT" w:cs="Arial MT" w:eastAsia="Arial MT"/>
          <w:sz w:val="19"/>
        </w:rPr>
        <w:t>XIX -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left="225" w:right="210"/>
        <w:spacing w:before="120" w:lineRule="auto" w:line="264"/>
        <w:tabs>
          <w:tab w:val="left" w:pos="645"/>
        </w:tabs>
      </w:pPr>
      <w:r>
        <w:rPr>
          <w:rFonts w:ascii="Arial MT" w:hAnsi="Arial MT" w:cs="Arial MT" w:eastAsia="Arial MT"/>
          <w:sz w:val="19"/>
        </w:rPr>
        <w:t>XX Para as contratações decorrentes de despesas cujos valores não ultrapassem o limite de que trata o inciso II do art. 75 da Lei nº 14.133, de 2021, o prazo máximo para o recebimento definitivo será de até 10 (dez) dias úteis.</w:t>
      </w:r>
    </w:p>
    <w:p>
      <w:pPr>
        <w:jc w:val="both"/>
        <w:ind w:left="225" w:right="210"/>
        <w:spacing w:before="120" w:lineRule="auto" w:line="276"/>
        <w:tabs>
          <w:tab w:val="left" w:pos="675"/>
        </w:tabs>
      </w:pPr>
      <w:r>
        <w:rPr>
          <w:rFonts w:ascii="Arial MT" w:hAnsi="Arial MT" w:cs="Arial MT" w:eastAsia="Arial MT"/>
          <w:sz w:val="19"/>
        </w:rPr>
        <w:t>XXI -  O prazo para recebimento definitivo poderá ser excepcionalmente prorrogado, de forma justificada, por igual período, quando houver necessidade de diligências para a aferição do atendimento das exigências contratuais.</w:t>
      </w:r>
    </w:p>
    <w:p>
      <w:pPr>
        <w:jc w:val="both"/>
        <w:ind w:left="225" w:right="210"/>
        <w:spacing w:before="120" w:lineRule="auto" w:line="276"/>
        <w:tabs>
          <w:tab w:val="left" w:pos="675"/>
        </w:tabs>
      </w:pPr>
      <w:r>
        <w:rPr>
          <w:rFonts w:ascii="Arial MT" w:hAnsi="Arial MT" w:cs="Arial MT" w:eastAsia="Arial MT"/>
          <w:sz w:val="19"/>
        </w:rPr>
        <w:t>XXII -  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56/2025,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2025.</w:t>
      </w:r>
    </w:p>
    <w:p>
      <w:pPr>
        <w:spacing w:before="15"/>
      </w:pPr>
      <w:r>
        <w:t/>
      </w:r>
    </w:p>
    <w:p>
      <w:pPr>
        <w:jc w:val="center"/>
        <w:outlineLvl w:val="1"/>
        <w:ind w:left="1350" w:right="1335"/>
        <w:spacing w:before="90"/>
      </w:pPr>
      <w:r>
        <w:rPr>
          <w:b/>
          <w:sz w:val="19"/>
        </w:rPr>
        <w:t>JOÃO PAULO TRAVASSOS RADDI</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Times New Roman">
    <w:charset w:val="01"/>
  </w:font>
  <w:font w:name="Calibri">
    <w:charset w:val="00"/>
  </w:font>
  <w:font w:name="Arial">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7000875" cy="103822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7000875" cy="103822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