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18054" w14:textId="77777777" w:rsidR="00FE6E1C" w:rsidRPr="00FE6E1C" w:rsidRDefault="00FE6E1C" w:rsidP="00FE6E1C">
      <w:pPr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>RESPOSTA À IMPUGNAÇÃO AO EDITAL</w:t>
      </w:r>
      <w:r w:rsidRPr="00FE6E1C">
        <w:rPr>
          <w:rFonts w:ascii="Times New Roman" w:hAnsi="Times New Roman" w:cs="Times New Roman"/>
          <w:sz w:val="24"/>
          <w:szCs w:val="24"/>
        </w:rPr>
        <w:br/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Pregão Eletrônico nº 09/2026</w:t>
      </w:r>
      <w:r w:rsidRPr="00FE6E1C">
        <w:rPr>
          <w:rFonts w:ascii="Times New Roman" w:hAnsi="Times New Roman" w:cs="Times New Roman"/>
          <w:sz w:val="24"/>
          <w:szCs w:val="24"/>
        </w:rPr>
        <w:br/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Processo Licitatório nº 13/2026</w:t>
      </w:r>
    </w:p>
    <w:p w14:paraId="5D050C87" w14:textId="77777777" w:rsidR="00FE6E1C" w:rsidRPr="00FE6E1C" w:rsidRDefault="00FE6E1C" w:rsidP="00FE6E1C">
      <w:pPr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Impugnante: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Casa Hospitalar Ibiporã Ltda.</w:t>
      </w:r>
      <w:r w:rsidRPr="00FE6E1C">
        <w:rPr>
          <w:rFonts w:ascii="Times New Roman" w:hAnsi="Times New Roman" w:cs="Times New Roman"/>
          <w:sz w:val="24"/>
          <w:szCs w:val="24"/>
        </w:rPr>
        <w:br/>
        <w:t>CNPJ: 10.769.989/0001-56</w:t>
      </w:r>
    </w:p>
    <w:p w14:paraId="25BE741B" w14:textId="3DEBE265" w:rsidR="00FE6E1C" w:rsidRDefault="002D565D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 </w:t>
      </w:r>
      <w:r w:rsidR="00FE6E1C" w:rsidRPr="00FE6E1C">
        <w:rPr>
          <w:rFonts w:ascii="Times New Roman" w:hAnsi="Times New Roman" w:cs="Times New Roman"/>
          <w:sz w:val="24"/>
          <w:szCs w:val="24"/>
        </w:rPr>
        <w:t xml:space="preserve">Pregoeiro do Município de Planaltina do Paraná, no uso de suas atribuições legais, passa a analisar a impugnação apresentada pela empresa </w:t>
      </w:r>
      <w:r w:rsidR="00FE6E1C" w:rsidRPr="00FE6E1C">
        <w:rPr>
          <w:rFonts w:ascii="Times New Roman" w:hAnsi="Times New Roman" w:cs="Times New Roman"/>
          <w:b/>
          <w:bCs/>
          <w:sz w:val="24"/>
          <w:szCs w:val="24"/>
        </w:rPr>
        <w:t>Casa Hospitalar Ibiporã Ltda.</w:t>
      </w:r>
      <w:r w:rsidR="00FE6E1C" w:rsidRPr="00FE6E1C">
        <w:rPr>
          <w:rFonts w:ascii="Times New Roman" w:hAnsi="Times New Roman" w:cs="Times New Roman"/>
          <w:sz w:val="24"/>
          <w:szCs w:val="24"/>
        </w:rPr>
        <w:t>, referente ao Edital do Pregão Eletrônico nº 09/2026, nos seguintes termos.</w:t>
      </w:r>
    </w:p>
    <w:p w14:paraId="69804956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23D19E" w14:textId="77777777" w:rsidR="00FE6E1C" w:rsidRPr="00FE6E1C" w:rsidRDefault="00FE6E1C" w:rsidP="00FE6E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>1. DA TEMPESTIVIDADE</w:t>
      </w:r>
    </w:p>
    <w:p w14:paraId="0B2D78BD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>Nos termos do art. 164 da Lei nº 14.133/2021, qualquer pessoa é parte legítima para impugnar edital de licitação por irregularidade na aplicação da lei, devendo protocolar o pedido até 03 (três) dias úteis antes da data de abertura do certame.</w:t>
      </w:r>
    </w:p>
    <w:p w14:paraId="6A7D9212" w14:textId="77777777" w:rsid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Verifica-se que a impugnação foi apresentada dentro do prazo legal, razão pela qual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é conhecida</w:t>
      </w:r>
      <w:r w:rsidRPr="00FE6E1C">
        <w:rPr>
          <w:rFonts w:ascii="Times New Roman" w:hAnsi="Times New Roman" w:cs="Times New Roman"/>
          <w:sz w:val="24"/>
          <w:szCs w:val="24"/>
        </w:rPr>
        <w:t>, passando-se à análise do mérito.</w:t>
      </w:r>
    </w:p>
    <w:p w14:paraId="4A073AED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09F4F6" w14:textId="77777777" w:rsidR="00FE6E1C" w:rsidRPr="00FE6E1C" w:rsidRDefault="00FE6E1C" w:rsidP="00FE6E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>2. DO OBJETO DA IMPUGNAÇÃO</w:t>
      </w:r>
    </w:p>
    <w:p w14:paraId="760739A3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A empresa impugnante sustenta, em síntese, que as especificações técnicas constantes no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Anexo I – Termo de Referência</w:t>
      </w:r>
      <w:r w:rsidRPr="00FE6E1C">
        <w:rPr>
          <w:rFonts w:ascii="Times New Roman" w:hAnsi="Times New Roman" w:cs="Times New Roman"/>
          <w:sz w:val="24"/>
          <w:szCs w:val="24"/>
        </w:rPr>
        <w:t xml:space="preserve">, especialmente quanto aos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itens 19 (Cardioversor) e 20 (Desfibrilador Externo Automático – DEA)</w:t>
      </w:r>
      <w:r w:rsidRPr="00FE6E1C">
        <w:rPr>
          <w:rFonts w:ascii="Times New Roman" w:hAnsi="Times New Roman" w:cs="Times New Roman"/>
          <w:sz w:val="24"/>
          <w:szCs w:val="24"/>
        </w:rPr>
        <w:t>, conteriam características excessivamente específicas que, quando analisadas em conjunto, poderiam restringir a competitividade do certame.</w:t>
      </w:r>
    </w:p>
    <w:p w14:paraId="0E3B0BDE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>Argumenta ainda que o conjunto das especificações poderia reproduzir características técnicas de modelos específicos disponíveis no mercado, o que, em tese, poderia limitar a participação de outros fabricantes ou fornecedores aptos a atender às necessidades da Administração.</w:t>
      </w:r>
    </w:p>
    <w:p w14:paraId="0A430703" w14:textId="77777777" w:rsid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>Diante disso, requer a revisão das especificações técnicas dos referidos itens, com a adoção de parâmetros mais amplos e funcionais, de forma a ampliar a competitividade do certame.</w:t>
      </w:r>
    </w:p>
    <w:p w14:paraId="676500F5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0AE5D2" w14:textId="77777777" w:rsidR="00FE6E1C" w:rsidRPr="00FE6E1C" w:rsidRDefault="00FE6E1C" w:rsidP="00FE6E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>3. DA MANIFESTAÇÃO DA SECRETARIA MUNICIPAL DE SAÚDE</w:t>
      </w:r>
    </w:p>
    <w:p w14:paraId="451F7A36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>Considerando que as especificações técnicas constantes no Termo de Referência são de natureza técnica e foram elaboradas pela Secretaria Municipal de Saúde, a impugnação foi encaminhada à referida pasta para análise.</w:t>
      </w:r>
    </w:p>
    <w:p w14:paraId="63A04A0C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Por meio do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Memorando nº 042/2026 – SMS</w:t>
      </w:r>
      <w:r w:rsidRPr="00FE6E1C">
        <w:rPr>
          <w:rFonts w:ascii="Times New Roman" w:hAnsi="Times New Roman" w:cs="Times New Roman"/>
          <w:sz w:val="24"/>
          <w:szCs w:val="24"/>
        </w:rPr>
        <w:t xml:space="preserve">, a Secretaria Municipal de Saúde manifestou-se no sentido de que, após análise técnica da impugnação apresentada,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 xml:space="preserve">verificou-se que alguns requisitos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constantes nas especificações dos itens 19 e 20 podem, de fato, restringir a competitividade do certame</w:t>
      </w:r>
      <w:r w:rsidRPr="00FE6E1C">
        <w:rPr>
          <w:rFonts w:ascii="Times New Roman" w:hAnsi="Times New Roman" w:cs="Times New Roman"/>
          <w:sz w:val="24"/>
          <w:szCs w:val="24"/>
        </w:rPr>
        <w:t>, por apresentarem características excessivamente específicas.</w:t>
      </w:r>
    </w:p>
    <w:p w14:paraId="1745A5CC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A Secretaria destacou ainda que, à luz dos princípios que regem as contratações públicas, especialmente os princípios da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isonomia, competitividade, economicidade e seleção da proposta mais vantajosa</w:t>
      </w:r>
      <w:r w:rsidRPr="00FE6E1C">
        <w:rPr>
          <w:rFonts w:ascii="Times New Roman" w:hAnsi="Times New Roman" w:cs="Times New Roman"/>
          <w:sz w:val="24"/>
          <w:szCs w:val="24"/>
        </w:rPr>
        <w:t xml:space="preserve">, previstos na Lei nº 14.133/2021, entende ser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pertinente o acolhimento da impugnação</w:t>
      </w:r>
      <w:r w:rsidRPr="00FE6E1C">
        <w:rPr>
          <w:rFonts w:ascii="Times New Roman" w:hAnsi="Times New Roman" w:cs="Times New Roman"/>
          <w:sz w:val="24"/>
          <w:szCs w:val="24"/>
        </w:rPr>
        <w:t>, com a consequente revisão e adequação das especificações técnicas dos itens mencionados.</w:t>
      </w:r>
    </w:p>
    <w:p w14:paraId="65F64B1D" w14:textId="77777777" w:rsid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Assim, a área técnica responsável informou que procederá à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revisão dos descritivos técnicos</w:t>
      </w:r>
      <w:r w:rsidRPr="00FE6E1C">
        <w:rPr>
          <w:rFonts w:ascii="Times New Roman" w:hAnsi="Times New Roman" w:cs="Times New Roman"/>
          <w:sz w:val="24"/>
          <w:szCs w:val="24"/>
        </w:rPr>
        <w:t xml:space="preserve">, de modo a ampliar a competitividade do certame, preservando, contudo, os requisitos mínimos necessários para garantir a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qualidade, segurança e eficiência dos equipamentos destinados aos serviços de saúde do Município</w:t>
      </w:r>
      <w:r w:rsidRPr="00FE6E1C">
        <w:rPr>
          <w:rFonts w:ascii="Times New Roman" w:hAnsi="Times New Roman" w:cs="Times New Roman"/>
          <w:sz w:val="24"/>
          <w:szCs w:val="24"/>
        </w:rPr>
        <w:t>.</w:t>
      </w:r>
    </w:p>
    <w:p w14:paraId="1A901577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B97CB0" w14:textId="77777777" w:rsidR="00FE6E1C" w:rsidRPr="00FE6E1C" w:rsidRDefault="00FE6E1C" w:rsidP="00FE6E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>4. DA ANÁLISE</w:t>
      </w:r>
    </w:p>
    <w:p w14:paraId="3BF15417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Nos termos da Lei nº 14.133/2021, a Administração Pública deve estruturar seus procedimentos licitatórios observando, entre outros, os princípios da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isonomia, competitividade, julgamento objetivo e seleção da proposta mais vantajosa</w:t>
      </w:r>
      <w:r w:rsidRPr="00FE6E1C">
        <w:rPr>
          <w:rFonts w:ascii="Times New Roman" w:hAnsi="Times New Roman" w:cs="Times New Roman"/>
          <w:sz w:val="24"/>
          <w:szCs w:val="24"/>
        </w:rPr>
        <w:t>.</w:t>
      </w:r>
    </w:p>
    <w:p w14:paraId="3433BC44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>Nesse sentido, a elaboração das especificações técnicas deve buscar atender às necessidades da Administração sem impor restrições indevidas à participação de potenciais fornecedores, salvo quando devidamente justificadas por razões técnicas.</w:t>
      </w:r>
    </w:p>
    <w:p w14:paraId="3FCA423D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No presente caso, considerando a manifestação técnica da Secretaria Municipal de Saúde — unidade responsável pela definição das especificações dos equipamentos — verificou-se a conveniência administrativa de proceder à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revisão dos descritivos dos itens 19 e 20</w:t>
      </w:r>
      <w:r w:rsidRPr="00FE6E1C">
        <w:rPr>
          <w:rFonts w:ascii="Times New Roman" w:hAnsi="Times New Roman" w:cs="Times New Roman"/>
          <w:sz w:val="24"/>
          <w:szCs w:val="24"/>
        </w:rPr>
        <w:t>, com o objetivo de ampliar a competitividade do certame, sem prejuízo da qualidade e segurança dos equipamentos a serem adquiridos.</w:t>
      </w:r>
    </w:p>
    <w:p w14:paraId="4D5BE737" w14:textId="77777777" w:rsid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Tal medida encontra respaldo nos princípios da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razoabilidade, competitividade e economicidade</w:t>
      </w:r>
      <w:r w:rsidRPr="00FE6E1C">
        <w:rPr>
          <w:rFonts w:ascii="Times New Roman" w:hAnsi="Times New Roman" w:cs="Times New Roman"/>
          <w:sz w:val="24"/>
          <w:szCs w:val="24"/>
        </w:rPr>
        <w:t>, contribuindo para ampliar a disputa entre fornecedores e possibilitar à Administração a obtenção da proposta mais vantajosa.</w:t>
      </w:r>
    </w:p>
    <w:p w14:paraId="662A32BB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859D5F" w14:textId="77777777" w:rsidR="00FE6E1C" w:rsidRPr="00FE6E1C" w:rsidRDefault="00FE6E1C" w:rsidP="00FE6E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>5. DA DECISÃO</w:t>
      </w:r>
    </w:p>
    <w:p w14:paraId="37F2E62E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Diante do exposto,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DECIDE-SE PELO ACOLHIMENTO DA IMPUGNAÇÃO</w:t>
      </w:r>
      <w:r w:rsidRPr="00FE6E1C">
        <w:rPr>
          <w:rFonts w:ascii="Times New Roman" w:hAnsi="Times New Roman" w:cs="Times New Roman"/>
          <w:sz w:val="24"/>
          <w:szCs w:val="24"/>
        </w:rPr>
        <w:t xml:space="preserve">, nos termos da manifestação técnica da Secretaria Municipal de Saúde, para fins de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revisão das especificações técnicas constantes nos itens 19 (Cardioversor) e 20 (Desfibrilador Externo Automático – DEA)</w:t>
      </w:r>
      <w:r w:rsidRPr="00FE6E1C">
        <w:rPr>
          <w:rFonts w:ascii="Times New Roman" w:hAnsi="Times New Roman" w:cs="Times New Roman"/>
          <w:sz w:val="24"/>
          <w:szCs w:val="24"/>
        </w:rPr>
        <w:t xml:space="preserve"> do Termo de Referência.</w:t>
      </w:r>
    </w:p>
    <w:p w14:paraId="7C75540A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lastRenderedPageBreak/>
        <w:t xml:space="preserve">Em razão da necessidade de adequação do edital, será promovida a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retificação do instrumento convocatório</w:t>
      </w:r>
      <w:r w:rsidRPr="00FE6E1C">
        <w:rPr>
          <w:rFonts w:ascii="Times New Roman" w:hAnsi="Times New Roman" w:cs="Times New Roman"/>
          <w:sz w:val="24"/>
          <w:szCs w:val="24"/>
        </w:rPr>
        <w:t xml:space="preserve">, com a posterior </w:t>
      </w:r>
      <w:r w:rsidRPr="00FE6E1C">
        <w:rPr>
          <w:rFonts w:ascii="Times New Roman" w:hAnsi="Times New Roman" w:cs="Times New Roman"/>
          <w:b/>
          <w:bCs/>
          <w:sz w:val="24"/>
          <w:szCs w:val="24"/>
        </w:rPr>
        <w:t>republicação do edital e reabertura dos prazos legais</w:t>
      </w:r>
      <w:r w:rsidRPr="00FE6E1C">
        <w:rPr>
          <w:rFonts w:ascii="Times New Roman" w:hAnsi="Times New Roman" w:cs="Times New Roman"/>
          <w:sz w:val="24"/>
          <w:szCs w:val="24"/>
        </w:rPr>
        <w:t>, nos termos da legislação vigente.</w:t>
      </w:r>
    </w:p>
    <w:p w14:paraId="19261DCD" w14:textId="77777777" w:rsidR="00FE6E1C" w:rsidRPr="00FE6E1C" w:rsidRDefault="00FE6E1C" w:rsidP="00FE6E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>6. DA PUBLICIDADE</w:t>
      </w:r>
    </w:p>
    <w:p w14:paraId="6651F65F" w14:textId="77777777" w:rsid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>A presente decisão será disponibilizada no portal eletrônico utilizado para a realização do certame, bem como juntada aos autos do processo licitatório, para conhecimento de todos os interessados.</w:t>
      </w:r>
    </w:p>
    <w:p w14:paraId="381CEC1A" w14:textId="77777777" w:rsidR="00FE6E1C" w:rsidRPr="00FE6E1C" w:rsidRDefault="00FE6E1C" w:rsidP="00FE6E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721B43" w14:textId="77777777" w:rsidR="00FE6E1C" w:rsidRDefault="00FE6E1C" w:rsidP="00FE6E1C">
      <w:pPr>
        <w:jc w:val="right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sz w:val="24"/>
          <w:szCs w:val="24"/>
        </w:rPr>
        <w:t xml:space="preserve">Planaltina do Paraná – PR, </w:t>
      </w:r>
      <w:r w:rsidRPr="00FE6E1C">
        <w:rPr>
          <w:rFonts w:ascii="Times New Roman" w:hAnsi="Times New Roman" w:cs="Times New Roman"/>
          <w:sz w:val="24"/>
          <w:szCs w:val="24"/>
        </w:rPr>
        <w:t xml:space="preserve">10 </w:t>
      </w:r>
      <w:r w:rsidRPr="00FE6E1C">
        <w:rPr>
          <w:rFonts w:ascii="Times New Roman" w:hAnsi="Times New Roman" w:cs="Times New Roman"/>
          <w:sz w:val="24"/>
          <w:szCs w:val="24"/>
        </w:rPr>
        <w:t>de março de 2026.</w:t>
      </w:r>
    </w:p>
    <w:p w14:paraId="656D9FBF" w14:textId="77777777" w:rsidR="00FE6E1C" w:rsidRDefault="00FE6E1C" w:rsidP="00FE6E1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75CE307" w14:textId="77777777" w:rsidR="00FE6E1C" w:rsidRDefault="00FE6E1C" w:rsidP="00FE6E1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417D032" w14:textId="318E4ECF" w:rsidR="00FE6E1C" w:rsidRPr="00FE6E1C" w:rsidRDefault="00FE6E1C" w:rsidP="00FE6E1C">
      <w:pPr>
        <w:jc w:val="center"/>
        <w:rPr>
          <w:rFonts w:ascii="Times New Roman" w:hAnsi="Times New Roman" w:cs="Times New Roman"/>
          <w:sz w:val="24"/>
          <w:szCs w:val="24"/>
        </w:rPr>
      </w:pPr>
      <w:r w:rsidRPr="00FE6E1C">
        <w:rPr>
          <w:rFonts w:ascii="Times New Roman" w:hAnsi="Times New Roman" w:cs="Times New Roman"/>
          <w:b/>
          <w:bCs/>
          <w:sz w:val="24"/>
          <w:szCs w:val="24"/>
        </w:rPr>
        <w:t xml:space="preserve">Fábio de Jesus </w:t>
      </w:r>
      <w:proofErr w:type="spellStart"/>
      <w:r w:rsidRPr="00FE6E1C">
        <w:rPr>
          <w:rFonts w:ascii="Times New Roman" w:hAnsi="Times New Roman" w:cs="Times New Roman"/>
          <w:b/>
          <w:bCs/>
          <w:sz w:val="24"/>
          <w:szCs w:val="24"/>
        </w:rPr>
        <w:t>Tinóz</w:t>
      </w:r>
      <w:proofErr w:type="spellEnd"/>
      <w:r w:rsidRPr="00FE6E1C">
        <w:rPr>
          <w:rFonts w:ascii="Times New Roman" w:hAnsi="Times New Roman" w:cs="Times New Roman"/>
          <w:sz w:val="24"/>
          <w:szCs w:val="24"/>
        </w:rPr>
        <w:br/>
        <w:t>Pregoeiro</w:t>
      </w:r>
    </w:p>
    <w:sectPr w:rsidR="00FE6E1C" w:rsidRPr="00FE6E1C" w:rsidSect="00FE6E1C">
      <w:headerReference w:type="default" r:id="rId6"/>
      <w:footerReference w:type="default" r:id="rId7"/>
      <w:pgSz w:w="11906" w:h="16838"/>
      <w:pgMar w:top="1417" w:right="991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45F21" w14:textId="77777777" w:rsidR="00245F22" w:rsidRDefault="00245F22" w:rsidP="00FE6E1C">
      <w:pPr>
        <w:spacing w:after="0" w:line="240" w:lineRule="auto"/>
      </w:pPr>
      <w:r>
        <w:separator/>
      </w:r>
    </w:p>
  </w:endnote>
  <w:endnote w:type="continuationSeparator" w:id="0">
    <w:p w14:paraId="0B9C6A4B" w14:textId="77777777" w:rsidR="00245F22" w:rsidRDefault="00245F22" w:rsidP="00FE6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@MS Mincho">
    <w:altName w:val="@MS Gothic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C278B" w14:textId="77777777" w:rsidR="00FE6E1C" w:rsidRPr="001E6D1F" w:rsidRDefault="00FE6E1C" w:rsidP="00FE6E1C">
    <w:pPr>
      <w:spacing w:line="184" w:lineRule="exact"/>
      <w:ind w:left="20"/>
      <w:jc w:val="right"/>
      <w:rPr>
        <w:rFonts w:ascii="Times New Roman" w:hAnsi="Times New Roman" w:cs="Times New Roman"/>
        <w:b/>
        <w:sz w:val="16"/>
      </w:rPr>
    </w:pPr>
    <w:r w:rsidRPr="001E6D1F">
      <w:rPr>
        <w:rFonts w:ascii="Times New Roman" w:hAnsi="Times New Roman" w:cs="Times New Roman"/>
        <w:sz w:val="20"/>
        <w:szCs w:val="20"/>
      </w:rPr>
      <w:t xml:space="preserve">Página 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begin"/>
    </w:r>
    <w:r w:rsidRPr="001E6D1F">
      <w:rPr>
        <w:rFonts w:ascii="Times New Roman" w:hAnsi="Times New Roman" w:cs="Times New Roman"/>
        <w:b/>
        <w:bCs/>
        <w:sz w:val="20"/>
        <w:szCs w:val="20"/>
      </w:rPr>
      <w:instrText>PAGE</w:instrTex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separate"/>
    </w:r>
    <w:r>
      <w:rPr>
        <w:rFonts w:ascii="Times New Roman" w:hAnsi="Times New Roman" w:cs="Times New Roman"/>
        <w:b/>
        <w:bCs/>
        <w:sz w:val="20"/>
        <w:szCs w:val="20"/>
      </w:rPr>
      <w:t>1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end"/>
    </w:r>
    <w:r w:rsidRPr="001E6D1F">
      <w:rPr>
        <w:rFonts w:ascii="Times New Roman" w:hAnsi="Times New Roman" w:cs="Times New Roman"/>
        <w:sz w:val="20"/>
        <w:szCs w:val="20"/>
      </w:rPr>
      <w:t xml:space="preserve"> de 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begin"/>
    </w:r>
    <w:r w:rsidRPr="001E6D1F">
      <w:rPr>
        <w:rFonts w:ascii="Times New Roman" w:hAnsi="Times New Roman" w:cs="Times New Roman"/>
        <w:b/>
        <w:bCs/>
        <w:sz w:val="20"/>
        <w:szCs w:val="20"/>
      </w:rPr>
      <w:instrText>NUMPAGES</w:instrTex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separate"/>
    </w:r>
    <w:r>
      <w:rPr>
        <w:rFonts w:ascii="Times New Roman" w:hAnsi="Times New Roman" w:cs="Times New Roman"/>
        <w:b/>
        <w:bCs/>
        <w:sz w:val="20"/>
        <w:szCs w:val="20"/>
      </w:rPr>
      <w:t>75</w:t>
    </w:r>
    <w:r w:rsidRPr="001E6D1F">
      <w:rPr>
        <w:rFonts w:ascii="Times New Roman" w:hAnsi="Times New Roman" w:cs="Times New Roman"/>
        <w:b/>
        <w:bCs/>
        <w:sz w:val="20"/>
        <w:szCs w:val="20"/>
      </w:rPr>
      <w:fldChar w:fldCharType="end"/>
    </w:r>
  </w:p>
  <w:p w14:paraId="21DB08E9" w14:textId="77777777" w:rsidR="00FE6E1C" w:rsidRDefault="00FE6E1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D96DF" w14:textId="77777777" w:rsidR="00245F22" w:rsidRDefault="00245F22" w:rsidP="00FE6E1C">
      <w:pPr>
        <w:spacing w:after="0" w:line="240" w:lineRule="auto"/>
      </w:pPr>
      <w:r>
        <w:separator/>
      </w:r>
    </w:p>
  </w:footnote>
  <w:footnote w:type="continuationSeparator" w:id="0">
    <w:p w14:paraId="564D6D3E" w14:textId="77777777" w:rsidR="00245F22" w:rsidRDefault="00245F22" w:rsidP="00FE6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6C2AA" w14:textId="0B68C1E4" w:rsidR="00FE6E1C" w:rsidRPr="001E6D1F" w:rsidRDefault="00FE6E1C" w:rsidP="00FE6E1C">
    <w:pPr>
      <w:pStyle w:val="Cabealho"/>
    </w:pPr>
    <w:r w:rsidRPr="001E6D1F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50AD5B7" wp14:editId="21A65037">
              <wp:simplePos x="0" y="0"/>
              <wp:positionH relativeFrom="column">
                <wp:posOffset>1243965</wp:posOffset>
              </wp:positionH>
              <wp:positionV relativeFrom="paragraph">
                <wp:posOffset>-878205</wp:posOffset>
              </wp:positionV>
              <wp:extent cx="4970145" cy="2247900"/>
              <wp:effectExtent l="0" t="0" r="20955" b="19050"/>
              <wp:wrapNone/>
              <wp:docPr id="16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0145" cy="2247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45366D" w14:textId="77777777" w:rsidR="00FE6E1C" w:rsidRPr="001E6D1F" w:rsidRDefault="00FE6E1C" w:rsidP="00FE6E1C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30"/>
                              <w:szCs w:val="30"/>
                            </w:rPr>
                          </w:pPr>
                        </w:p>
                        <w:p w14:paraId="0E45C0B4" w14:textId="77777777" w:rsidR="00FE6E1C" w:rsidRPr="001E6D1F" w:rsidRDefault="00FE6E1C" w:rsidP="00FE6E1C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24FE6959" w14:textId="77777777" w:rsidR="00FE6E1C" w:rsidRPr="001E6D1F" w:rsidRDefault="00FE6E1C" w:rsidP="00FE6E1C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/>
                            </w:rPr>
                            <w:t>PREFEITURA MUNICIPAL DE PLANALTINA DO PARANÁ</w:t>
                          </w:r>
                        </w:p>
                        <w:p w14:paraId="4F1C3866" w14:textId="77777777" w:rsidR="00FE6E1C" w:rsidRPr="001E6D1F" w:rsidRDefault="00FE6E1C" w:rsidP="00FE6E1C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  <w:spacing w:val="30"/>
                            </w:rPr>
                            <w:t>PODER EXECUTIVO</w:t>
                          </w:r>
                        </w:p>
                        <w:p w14:paraId="08AC7C52" w14:textId="77777777" w:rsidR="00FE6E1C" w:rsidRPr="001E6D1F" w:rsidRDefault="00FE6E1C" w:rsidP="00FE6E1C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Praça Giácomo Madalozzo </w:t>
                          </w:r>
                          <w:proofErr w:type="gramStart"/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>234  –</w:t>
                          </w:r>
                          <w:proofErr w:type="gramEnd"/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  Centro – Caixa Postal 0011 – CEP 87860-000</w:t>
                          </w:r>
                        </w:p>
                        <w:p w14:paraId="5C2A1268" w14:textId="77777777" w:rsidR="00FE6E1C" w:rsidRPr="001E6D1F" w:rsidRDefault="00FE6E1C" w:rsidP="00FE6E1C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Fone/Fax (44) 3435-1221 / 3435-1222 </w:t>
                          </w:r>
                        </w:p>
                        <w:p w14:paraId="5510F799" w14:textId="77777777" w:rsidR="00FE6E1C" w:rsidRPr="001E6D1F" w:rsidRDefault="00FE6E1C" w:rsidP="00FE6E1C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1E6D1F">
                            <w:rPr>
                              <w:rFonts w:ascii="Times New Roman" w:hAnsi="Times New Roman" w:cs="Times New Roman"/>
                              <w:bCs/>
                            </w:rPr>
                            <w:t>C.N.P.J. 75.461.442/0001-34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0AD5B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7.95pt;margin-top:-69.15pt;width:391.35pt;height:17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h4EwIAACwEAAAOAAAAZHJzL2Uyb0RvYy54bWysU9tu2zAMfR+wfxD0vtgJkqUx4hRdugwD&#10;ugvQ7QNkWY6FyaJGKbGzrx8lp2nQvRXTg0CK1BF5eLS+HTrDjgq9Blvy6STnTFkJtbb7kv/8sXt3&#10;w5kPwtbCgFUlPynPbzdv36x7V6gZtGBqhYxArC96V/I2BFdkmZet6oSfgFOWgg1gJwK5uM9qFD2h&#10;dyab5fn7rAesHYJU3tPp/Rjkm4TfNEqGb03jVWCm5FRbSDumvYp7tlmLYo/CtVqeyxCvqKIT2tKj&#10;F6h7EQQ7oP4HqtMSwUMTJhK6DJpGS5V6oG6m+YtuHlvhVOqFyPHuQpP/f7Dy6/HRfUcWhg8w0ABT&#10;E949gPzlmYVtK+xe3SFC3ypR08PTSFnWO1+cr0aqfeEjSNV/gZqGLA4BEtDQYBdZoT4ZodMAThfS&#10;1RCYpMP5aplP5wvOJMVms/lylaexZKJ4uu7Qh08KOhaNkiNNNcGL44MPsRxRPKXE1zwYXe+0McnB&#10;fbU1yI6CFLBLK3XwIs1Y1pd8tZgtRgZeAdHpQFI2uiv5TR7XKK7I20dbJ6EFoc1oU8nGnomM3I0s&#10;hqEaKDESWkF9IkoRRsnSFyOjBfzDWU9yLbn/fRCoODOfLY1lNZ3Po76TM18sZ+TgdaS6jggrCark&#10;gbPR3IbxTxwc6n1LL41CsHBHo2x0Ivm5qnPdJMnE/fn7RM1f+ynr+ZNv/gIAAP//AwBQSwMEFAAG&#10;AAgAAAAhAKhuErPhAAAADAEAAA8AAABkcnMvZG93bnJldi54bWxMj0FvgkAQhe9N+h8206SXRhcw&#10;KlAWY0wbz9peelthBFJ2FthVsL/e6ak9vsyX977JNpNpxRUH11hSEM4DEEiFLRuqFHx+vM9iEM5r&#10;KnVrCRXc0MEmf3zIdFrakQ54PfpKcAm5VCuove9SKV1Ro9Fubjskvp3tYLTnOFSyHPTI5aaVURCs&#10;pNEN8UKtO9zVWHwfL0aBHd9uxmIfRC9fP2a/2/aHc9Qr9fw0bV9BeJz8Hwy/+qwOOTud7IVKJ1rO&#10;yTJhVMEsXMQLEIwk63gF4qQgCpdrkHkm/z+R3wEAAP//AwBQSwECLQAUAAYACAAAACEAtoM4kv4A&#10;AADhAQAAEwAAAAAAAAAAAAAAAAAAAAAAW0NvbnRlbnRfVHlwZXNdLnhtbFBLAQItABQABgAIAAAA&#10;IQA4/SH/1gAAAJQBAAALAAAAAAAAAAAAAAAAAC8BAABfcmVscy8ucmVsc1BLAQItABQABgAIAAAA&#10;IQAzNah4EwIAACwEAAAOAAAAAAAAAAAAAAAAAC4CAABkcnMvZTJvRG9jLnhtbFBLAQItABQABgAI&#10;AAAAIQCobhKz4QAAAAwBAAAPAAAAAAAAAAAAAAAAAG0EAABkcnMvZG93bnJldi54bWxQSwUGAAAA&#10;AAQABADzAAAAewUAAAAA&#10;" strokecolor="white">
              <v:textbox>
                <w:txbxContent>
                  <w:p w14:paraId="2445366D" w14:textId="77777777" w:rsidR="00FE6E1C" w:rsidRPr="001E6D1F" w:rsidRDefault="00FE6E1C" w:rsidP="00FE6E1C">
                    <w:pPr>
                      <w:jc w:val="center"/>
                      <w:rPr>
                        <w:rFonts w:ascii="@MS Mincho" w:hAnsi="@MS Mincho" w:cs="@MS Mincho"/>
                        <w:b/>
                        <w:sz w:val="30"/>
                        <w:szCs w:val="30"/>
                      </w:rPr>
                    </w:pPr>
                  </w:p>
                  <w:p w14:paraId="0E45C0B4" w14:textId="77777777" w:rsidR="00FE6E1C" w:rsidRPr="001E6D1F" w:rsidRDefault="00FE6E1C" w:rsidP="00FE6E1C">
                    <w:pPr>
                      <w:jc w:val="center"/>
                      <w:rPr>
                        <w:rFonts w:ascii="@MS Mincho" w:hAnsi="@MS Mincho" w:cs="@MS Mincho"/>
                        <w:b/>
                        <w:sz w:val="28"/>
                        <w:szCs w:val="28"/>
                      </w:rPr>
                    </w:pPr>
                  </w:p>
                  <w:p w14:paraId="24FE6959" w14:textId="77777777" w:rsidR="00FE6E1C" w:rsidRPr="001E6D1F" w:rsidRDefault="00FE6E1C" w:rsidP="00FE6E1C">
                    <w:pPr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  <w:r w:rsidRPr="001E6D1F">
                      <w:rPr>
                        <w:rFonts w:ascii="Times New Roman" w:hAnsi="Times New Roman" w:cs="Times New Roman"/>
                        <w:b/>
                      </w:rPr>
                      <w:t>PREFEITURA MUNICIPAL DE PLANALTINA DO PARANÁ</w:t>
                    </w:r>
                  </w:p>
                  <w:p w14:paraId="4F1C3866" w14:textId="77777777" w:rsidR="00FE6E1C" w:rsidRPr="001E6D1F" w:rsidRDefault="00FE6E1C" w:rsidP="00FE6E1C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  <w:spacing w:val="30"/>
                      </w:rPr>
                      <w:t>PODER EXECUTIVO</w:t>
                    </w:r>
                  </w:p>
                  <w:p w14:paraId="08AC7C52" w14:textId="77777777" w:rsidR="00FE6E1C" w:rsidRPr="001E6D1F" w:rsidRDefault="00FE6E1C" w:rsidP="00FE6E1C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 xml:space="preserve">Praça Giácomo Madalozzo </w:t>
                    </w:r>
                    <w:proofErr w:type="gramStart"/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>234  –</w:t>
                    </w:r>
                    <w:proofErr w:type="gramEnd"/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 xml:space="preserve">  Centro – Caixa Postal 0011 – CEP 87860-000</w:t>
                    </w:r>
                  </w:p>
                  <w:p w14:paraId="5C2A1268" w14:textId="77777777" w:rsidR="00FE6E1C" w:rsidRPr="001E6D1F" w:rsidRDefault="00FE6E1C" w:rsidP="00FE6E1C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 xml:space="preserve">Fone/Fax (44) 3435-1221 / 3435-1222 </w:t>
                    </w:r>
                  </w:p>
                  <w:p w14:paraId="5510F799" w14:textId="77777777" w:rsidR="00FE6E1C" w:rsidRPr="001E6D1F" w:rsidRDefault="00FE6E1C" w:rsidP="00FE6E1C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1E6D1F">
                      <w:rPr>
                        <w:rFonts w:ascii="Times New Roman" w:hAnsi="Times New Roman" w:cs="Times New Roman"/>
                        <w:bCs/>
                      </w:rPr>
                      <w:t>C.N.P.J. 75.461.442/0001-34</w:t>
                    </w:r>
                  </w:p>
                </w:txbxContent>
              </v:textbox>
            </v:shape>
          </w:pict>
        </mc:Fallback>
      </mc:AlternateContent>
    </w:r>
    <w:r w:rsidRPr="001E6D1F">
      <w:rPr>
        <w:noProof/>
        <w:lang w:eastAsia="pt-BR"/>
      </w:rPr>
      <w:drawing>
        <wp:inline distT="0" distB="0" distL="0" distR="0" wp14:anchorId="1BB5B09D" wp14:editId="06D9F34A">
          <wp:extent cx="1285875" cy="1200150"/>
          <wp:effectExtent l="0" t="0" r="9525" b="0"/>
          <wp:docPr id="1508253727" name="Imagem 1" descr="BRASÃ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B459FB" w14:textId="77777777" w:rsidR="00FE6E1C" w:rsidRDefault="00FE6E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E1C"/>
    <w:rsid w:val="00160624"/>
    <w:rsid w:val="0021648A"/>
    <w:rsid w:val="00245F22"/>
    <w:rsid w:val="002D565D"/>
    <w:rsid w:val="007A0DAE"/>
    <w:rsid w:val="00AB7E88"/>
    <w:rsid w:val="00D16CED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65B47"/>
  <w15:chartTrackingRefBased/>
  <w15:docId w15:val="{D8943683-00D4-4435-A6A3-32AE735C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6E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6E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6E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6E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6E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6E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6E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6E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6E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6E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6E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6E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6E1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6E1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6E1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6E1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6E1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6E1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6E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6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6E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6E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6E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6E1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6E1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6E1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6E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6E1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6E1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E6E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6E1C"/>
  </w:style>
  <w:style w:type="paragraph" w:styleId="Rodap">
    <w:name w:val="footer"/>
    <w:basedOn w:val="Normal"/>
    <w:link w:val="RodapChar"/>
    <w:uiPriority w:val="99"/>
    <w:unhideWhenUsed/>
    <w:rsid w:val="00FE6E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6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760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2026-03-10T13:47:00Z</dcterms:created>
  <dcterms:modified xsi:type="dcterms:W3CDTF">2026-03-10T13:58:00Z</dcterms:modified>
</cp:coreProperties>
</file>