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p14">
  <w:body>
    <!-- Modified by docx4j 11.1.0 (Apache licensed) using REFERENCE JAXB in Azul Systems, Inc. Java 11.0.23 on Linux -->
    <w:p w:rsidR="00BE6DD0" w:rsidRDefault="00BE6DD0">
      <w:pPr>
        <w:jc w:val="both"/>
        <w:rPr>
          <w:rFonts w:hint="eastAsia"/>
          <w:b/>
          <w:bCs/>
        </w:rPr>
      </w:pPr>
    </w:p>
    <w:p w:rsidR="00BE6DD0" w:rsidRDefault="00BA5775">
      <w:pPr>
        <w:jc w:val="both"/>
        <w:rPr>
          <w:rFonts w:hint="eastAsia"/>
        </w:rPr>
      </w:pPr>
      <w:r>
        <w:rPr>
          <w:b/>
          <w:bCs/>
        </w:rPr>
        <w:t xml:space="preserve">Concorrência</w:t>
      </w:r>
      <w:r>
        <w:rPr>
          <w:b/>
          <w:bCs/>
        </w:rPr>
        <w:t xml:space="preserve"> </w:t>
      </w:r>
      <w:r>
        <w:rPr>
          <w:b/>
          <w:bCs/>
        </w:rPr>
        <w:t xml:space="preserve">&lt;SEM_VALOR&gt;</w:t>
      </w:r>
      <w:r>
        <w:rPr>
          <w:b/>
          <w:bCs/>
        </w:rPr>
        <w:t xml:space="preserve">: </w:t>
      </w:r>
      <w:r>
        <w:t xml:space="preserve">CC01/2026</w:t>
      </w:r>
    </w:p>
    <w:p w:rsidR="00BE6DD0" w:rsidRDefault="00BA5775">
      <w:pPr>
        <w:jc w:val="both"/>
        <w:rPr>
          <w:rFonts w:hint="eastAsia"/>
        </w:rPr>
      </w:pPr>
      <w:r>
        <w:rPr>
          <w:b/>
          <w:bCs/>
        </w:rPr>
        <w:t xml:space="preserve">EMISSÃO: </w:t>
      </w:r>
      <w:r>
        <w:t xml:space="preserve">21/01/2026</w:t>
      </w:r>
    </w:p>
    <w:p w:rsidR="00BE6DD0" w:rsidRDefault="00BE6DD0">
      <w:pPr>
        <w:jc w:val="both"/>
        <w:rPr>
          <w:rFonts w:hint="eastAsia"/>
        </w:rPr>
      </w:pPr>
    </w:p>
    <w:p w:rsidR="00BE6DD0" w:rsidRDefault="00BA5775">
      <w:pPr>
        <w:jc w:val="both"/>
        <w:rPr>
          <w:rFonts w:hint="eastAsia"/>
        </w:rPr>
      </w:pPr>
      <w:r>
        <w:rPr>
          <w:b/>
          <w:bCs/>
        </w:rPr>
        <w:t xml:space="preserve">OBJETO: </w:t>
      </w:r>
      <w:r>
        <w:t xml:space="preserve">Contratação de empresa especializada para execução de obra de Pavimentação de Estrada Rural em Concreto Betuminoso Usinado a Quente (CBUQ), com área de 46.428,76 m², incluindo serviços preliminares, terraplenagem, drenagem, base e sub-base, revestimento, sinalização de trânsito, ensaios tecnológicos e placa de comunicação visual, nos termos da tabela abaixo, conforme condições e exigências estabelecidas neste instrumento.</w:t>
      </w:r>
    </w:p>
    <w:p w:rsidR="00BE6DD0" w:rsidRDefault="00BE6DD0">
      <w:pPr>
        <w:jc w:val="both"/>
        <w:rPr>
          <w:rFonts w:hint="eastAsia"/>
        </w:rPr>
      </w:pPr>
    </w:p>
    <w:p w:rsidR="00BE6DD0" w:rsidRDefault="00BE6DD0">
      <w:pPr>
        <w:jc w:val="both"/>
        <w:rPr>
          <w:rFonts w:hint="eastAsia"/>
        </w:rPr>
      </w:pPr>
    </w:p>
    <w:p w:rsidR="00BE6DD0" w:rsidRDefault="00BA5775">
      <w:pPr>
        <w:jc w:val="center"/>
        <w:rPr>
          <w:rStyle w:val="nfaseforte"/>
          <w:rFonts w:hint="eastAsia"/>
          <w:u w:val="single"/>
        </w:rPr>
      </w:pPr>
      <w:r>
        <w:rPr>
          <w:rStyle w:val="nfaseforte"/>
          <w:u w:val="single"/>
        </w:rPr>
        <w:t>ITENS ADJUDICADOS POR FORNECEDOR</w:t>
      </w:r>
    </w:p>
    <w:p w:rsidR="00BE6DD0" w:rsidRDefault="00BE6DD0">
      <w:pPr>
        <w:jc w:val="both"/>
        <w:rPr>
          <w:rFonts w:hint="eastAsia"/>
        </w:rPr>
      </w:pPr>
    </w:p>
    <w:p w:rsidR="00BE6DD0" w:rsidRDefault="00BE6DD0">
      <w:pPr>
        <w:jc w:val="both"/>
        <w:rPr>
          <w:rFonts w:hint="eastAsia"/>
          <w:sz w:val="20"/>
          <w:szCs w:val="20"/>
        </w:rPr>
      </w:pPr>
    </w:p>
    <w:p w:rsidR="00BE6DD0" w:rsidRDefault="00BA5775">
      <w:pPr>
        <w:jc w:val="both"/>
        <w:rPr>
          <w:rFonts w:hint="eastAsia"/>
        </w:rPr>
      </w:pPr>
      <w:r>
        <w:rPr>
          <w:sz w:val="20"/>
          <w:szCs w:val="20"/>
        </w:rPr>
        <w:t>Itens Adjudicados por Fornecedor</w:t>
      </w:r>
    </w:p>
    <w:p w:rsidR="00BE6DD0" w:rsidRDefault="00BE6DD0">
      <w:pPr>
        <w:jc w:val="both"/>
        <w:rPr>
          <w:rFonts w:hint="eastAsia"/>
          <w:sz w:val="20"/>
          <w:szCs w:val="20"/>
        </w:rPr>
      </w:pPr>
    </w:p>
    <w:p>
      <w:r>
        <w:rPr>
          <w:sz w:val="20"/>
        </w:rPr>
        <w:t xml:space="preserve"/>
      </w:r>
      <w:r>
        <w:rPr>
          <w:b/>
          <w:sz w:val="20"/>
        </w:rPr>
        <w:t xml:space="preserve">
6428 - MINERPAV LTDA (46.782.494/0001-04)</w:t>
      </w:r>
    </w:p>
    <w:tbl>
      <w:tblPr>
        <w:tblStyle w:val="TableGrid"/>
        <w:tblW w:type="auto" w:w="0"/>
        <w:tblLook w:val="04A0"/>
      </w:tblPr>
      <w:tblGrid>
        <w:gridCol w:w="900"/>
        <w:gridCol w:w="4286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  <w:sz w:val="20"/>
              </w:rPr>
              <w:t xml:space="preserve">Item</w:t>
            </w:r>
          </w:p>
        </w:tc>
        <w:tc>
          <w:tcPr>
            <w:tcW w:type="dxa" w:w="428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  <w:sz w:val="20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  <w:sz w:val="20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  <w:sz w:val="20"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  <w:sz w:val="20"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  <w:sz w:val="20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type="dxa" w:w="428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18861 - Pavimentação asfáltica Conciolandia até Mundo Novo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UNI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9.932.034,02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9.932.034,02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  <w:sz w:val="20"/>
              </w:rPr>
              <w:t xml:space="preserve">Total (R$):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9.932.034,02</w:t>
            </w:r>
          </w:p>
        </w:tc>
      </w:tr>
    </w:tbl>
    <w:p w:rsidR="00BE6DD0" w:rsidRDefault="00BE6DD0">
      <w:pPr>
        <w:jc w:val="both"/>
        <w:rPr>
          <w:rFonts w:hint="eastAsia"/>
          <w:sz w:val="20"/>
          <w:szCs w:val="20"/>
        </w:rPr>
      </w:pPr>
    </w:p>
    <w:p w:rsidR="00BE6DD0" w:rsidRDefault="00BA5775">
      <w:pPr>
        <w:jc w:val="both"/>
        <w:rPr>
          <w:rFonts w:hint="eastAsia"/>
          <w:sz w:val="20"/>
          <w:szCs w:val="20"/>
        </w:rPr>
      </w:pPr>
      <w:r>
        <w:rPr>
          <w:sz w:val="20"/>
          <w:szCs w:val="20"/>
        </w:rPr>
        <w:t>------------------------------------------------------------------------------------------------------------------------</w:t>
      </w:r>
    </w:p>
    <w:p w:rsidR="00BE6DD0" w:rsidRDefault="00BE6DD0">
      <w:pPr>
        <w:jc w:val="both"/>
        <w:rPr>
          <w:rFonts w:hint="eastAsia"/>
          <w:sz w:val="20"/>
          <w:szCs w:val="20"/>
        </w:rPr>
      </w:pPr>
    </w:p>
    <w:p w:rsidR="00BE6DD0" w:rsidRDefault="00BA5775">
      <w:pPr>
        <w:jc w:val="both"/>
        <w:rPr>
          <w:rFonts w:hint="eastAsia"/>
        </w:rPr>
      </w:pPr>
      <w:r>
        <w:rPr>
          <w:sz w:val="20"/>
          <w:szCs w:val="20"/>
        </w:rPr>
        <w:t>Fornecedores Vencedores por Itens</w:t>
      </w:r>
    </w:p>
    <w:p w:rsidR="00BE6DD0" w:rsidRDefault="00BE6DD0">
      <w:pPr>
        <w:jc w:val="both"/>
        <w:rPr>
          <w:rFonts w:hint="eastAsia"/>
          <w:sz w:val="20"/>
          <w:szCs w:val="20"/>
        </w:rPr>
      </w:pPr>
    </w:p>
    <w:tbl>
      <w:tblPr>
        <w:tblStyle w:val="TableGrid"/>
        <w:tblW w:type="auto" w:w="0"/>
        <w:tblLook w:val="04A0"/>
      </w:tblPr>
      <w:tblGrid>
        <w:gridCol w:w="4474"/>
        <w:gridCol w:w="4130"/>
        <w:gridCol w:w="1032"/>
      </w:tblGrid>
      <w:tr>
        <w:trPr/>
        <w:tc>
          <w:tcPr>
            <w:tcW w:type="dxa" w:w="447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  <w:sz w:val="20"/>
              </w:rPr>
              <w:t xml:space="preserve">Fornecedor</w:t>
            </w:r>
          </w:p>
        </w:tc>
        <w:tc>
          <w:tcPr>
            <w:tcW w:type="dxa" w:w="413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  <w:sz w:val="20"/>
              </w:rPr>
              <w:t xml:space="preserve">Menor valor (R$)</w:t>
            </w:r>
          </w:p>
        </w:tc>
        <w:tc>
          <w:tcPr>
            <w:tcW w:type="dxa" w:w="103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  <w:sz w:val="20"/>
              </w:rPr>
              <w:t xml:space="preserve">Valor negociado (R$)</w:t>
            </w:r>
          </w:p>
        </w:tc>
      </w:tr>
      <w:tr>
        <w:trPr/>
        <w:tc>
          <w:tcPr>
            <w:tcW w:type="dxa" w:w="447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MINERPAV LTDA</w:t>
            </w:r>
          </w:p>
        </w:tc>
        <w:tc>
          <w:tcPr>
            <w:tcW w:type="dxa" w:w="413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9.932.034,02</w:t>
            </w:r>
          </w:p>
        </w:tc>
        <w:tc>
          <w:tcPr>
            <w:tcW w:type="dxa" w:w="103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- </w:t>
            </w:r>
          </w:p>
        </w:tc>
      </w:tr>
    </w:tbl>
    <w:sectPr w:rsidR="00BE6DD0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5775" w:rsidRDefault="00BA5775">
      <w:pPr>
        <w:rPr>
          <w:rFonts w:hint="eastAsia"/>
        </w:rPr>
      </w:pPr>
      <w:r>
        <w:separator/>
      </w:r>
    </w:p>
  </w:endnote>
  <w:endnote w:type="continuationSeparator" w:id="0">
    <w:p w:rsidR="00BA5775" w:rsidRDefault="00BA577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="0035283B" w:rsidRDefault="0035283B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="00BE6DD0" w:rsidRDefault="00BE6DD0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="0035283B" w:rsidRDefault="0035283B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5775" w:rsidRDefault="00BA5775">
      <w:pPr>
        <w:rPr>
          <w:rFonts w:hint="eastAsia"/>
        </w:rPr>
      </w:pPr>
      <w:r>
        <w:separator/>
      </w:r>
    </w:p>
  </w:footnote>
  <w:footnote w:type="continuationSeparator" w:id="0">
    <w:p w:rsidR="00BA5775" w:rsidRDefault="00BA577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="0035283B" w:rsidRDefault="0035283B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tbl>
    <w:tblPr>
      <w:tblW w:w="11339" w:type="dxa"/>
      <w:tblInd w:w="-844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3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BE6DD0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BE6DD0" w:rsidRDefault="00BA5775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2" behindDoc="true" locked="false" layoutInCell="true" allowOverlap="true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1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BE6DD0" w:rsidRDefault="00BA5775">
          <w:pPr>
            <w:rPr>
              <w:rFonts w:hint="eastAsia"/>
            </w:rPr>
          </w:pPr>
          <w:r>
            <w:rPr>
              <w:b/>
              <w:bCs/>
              <w:sz w:val="30"/>
              <w:szCs w:val="30"/>
            </w:rPr>
            <w:t xml:space="preserve">Prefeitura Municipal de Pérola d'Oeste</w:t>
          </w:r>
        </w:p>
        <w:p w:rsidR="00BE6DD0" w:rsidRDefault="00BA5775">
          <w:pPr>
            <w:tabs>
              <w:tab w:val="left" w:pos="3969"/>
            </w:tabs>
            <w:rPr>
              <w:rFonts w:hint="eastAsia"/>
            </w:rPr>
          </w:pPr>
          <w:r>
            <w:t xml:space="preserve">Rua Presidente Costa e Silva</w:t>
          </w:r>
          <w:r>
            <w:t xml:space="preserve">, </w:t>
          </w:r>
          <w:r>
            <w:t xml:space="preserve">290</w:t>
          </w:r>
          <w:r>
            <w:t xml:space="preserve"> - </w:t>
          </w:r>
          <w:r>
            <w:t xml:space="preserve">Centro</w:t>
          </w:r>
        </w:p>
        <w:p w:rsidR="00BE6DD0" w:rsidRDefault="00BA5775">
          <w:pPr>
            <w:tabs>
              <w:tab w:val="left" w:pos="3969"/>
            </w:tabs>
            <w:rPr>
              <w:rFonts w:hint="eastAsia"/>
            </w:rPr>
          </w:pPr>
          <w:r>
            <w:t xml:space="preserve">85.740-000</w:t>
          </w:r>
          <w:r>
            <w:t xml:space="preserve"> - </w:t>
          </w:r>
          <w:r>
            <w:t xml:space="preserve">Pérola d'Oeste</w:t>
          </w:r>
          <w:r>
            <w:t xml:space="preserve"> - </w:t>
          </w:r>
          <w:r>
            <w:t xml:space="preserve">Paraná</w:t>
          </w:r>
        </w:p>
        <w:p w:rsidR="00BE6DD0" w:rsidRDefault="00BA5775">
          <w:pPr>
            <w:tabs>
              <w:tab w:val="left" w:pos="3969"/>
            </w:tabs>
            <w:rPr>
              <w:rFonts w:hint="eastAsia"/>
            </w:rPr>
          </w:pPr>
          <w:r>
            <w:t xml:space="preserve">75.924.290/0001-69</w:t>
          </w:r>
          <w:r>
            <w:t xml:space="preserve">          </w:t>
          </w:r>
          <w:r>
            <w:t xml:space="preserve">&lt;SEM_VALOR&gt;</w:t>
          </w:r>
        </w:p>
        <w:p w:rsidR="00BE6DD0" w:rsidRDefault="00BA5775">
          <w:pPr>
            <w:tabs>
              <w:tab w:val="left" w:pos="3969"/>
            </w:tabs>
            <w:rPr>
              <w:rFonts w:hint="eastAsia"/>
            </w:rPr>
          </w:pPr>
          <w:r>
            <w:t xml:space="preserve">&lt;SEM_VALOR&gt;</w:t>
          </w:r>
          <w:r>
            <w:t xml:space="preserve">          </w:t>
          </w:r>
          <w:r>
            <w:t xml:space="preserve">&lt;SEM_VALOR&gt;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BE6DD0" w:rsidRDefault="0035283B">
          <w:pPr>
            <w:pStyle w:val="Contedodatabela"/>
            <w:rPr>
              <w:rFonts w:hint="eastAsia"/>
            </w:rPr>
          </w:pPr>
          <w:bookmarkStart w:name="_GoBack" w:id="0"/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25273" cy="1123950"/>
                <wp:effectExtent l="0" t="0" r="0" b="0"/>
                <wp:docPr id="3" name="Imagem 3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3" name="unnamed.jpg"/>
                        <pic:cNvPicPr/>
                      </pic:nvPicPr>
                      <pic:blipFill>
                        <a:blip cstate="print"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41591" cy="114183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End w:id="0"/>
        </w:p>
      </w:tc>
    </w:tr>
  </w:tbl>
  <w:p w:rsidR="00BE6DD0" w:rsidRDefault="00BE6DD0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="0035283B" w:rsidRDefault="0035283B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E6DD0"/>
    <w:rsid w:val="0035283B"/>
    <w:rsid w:val="00BA5775"/>
    <w:rsid w:val="00BE6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4CD5DF13-A76E-4345-B7BD-93154E56B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152CDC"/>
    <w:rPr>
      <w:color w:val="00000A"/>
      <w:sz w:val="24"/>
      <w:szCs w:val="21"/>
    </w:rPr>
  </w:style>
  <w:style w:type="character" w:customStyle="1" w:styleId="nfaseforte">
    <w:name w:val="Ênfase forte"/>
    <w:qFormat/>
    <w:rPr>
      <w:b/>
      <w:bCs/>
    </w:rPr>
  </w:style>
  <w:style w:type="character" w:customStyle="1" w:styleId="TextodebaloChar">
    <w:name w:val="Texto de balão Char"/>
    <w:basedOn w:val="Fontepargpadro"/>
    <w:qFormat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152CDC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qFormat/>
    <w:rPr>
      <w:rFonts w:ascii="Tahoma" w:hAnsi="Tahoma"/>
      <w:sz w:val="16"/>
      <w:szCs w:val="14"/>
    </w:rPr>
  </w:style>
  <w:style w:type="paragraph" w:customStyle="1" w:styleId="Normal0">
    <w:name w:val="[Normal]"/>
    <w:qFormat/>
    <w:pPr>
      <w:widowControl w:val="0"/>
      <w:suppressAutoHyphens/>
      <w:overflowPunct w:val="0"/>
    </w:pPr>
    <w:rPr>
      <w:rFonts w:ascii="Arial" w:eastAsia="Calibri" w:hAnsi="Arial"/>
      <w:color w:val="00000A"/>
      <w:kern w:val="0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jpe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3250</TotalTime>
  <Pages>1</Pages>
  <Words>74</Words>
  <Characters>400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Luiz Fernando</cp:lastModifiedBy>
  <cp:revision>24</cp:revision>
  <dcterms:created xsi:type="dcterms:W3CDTF">2018-01-23T13:52:00Z</dcterms:created>
  <dcterms:modified xsi:type="dcterms:W3CDTF">2021-03-10T12:16:00Z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