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15A" w:rsidRPr="00177898" w:rsidRDefault="00BE715A">
      <w:pPr>
        <w:spacing w:before="60"/>
        <w:jc w:val="center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spacing w:before="60"/>
        <w:jc w:val="center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color w:val="1A1A1A"/>
          <w:sz w:val="20"/>
          <w:szCs w:val="20"/>
        </w:rPr>
        <w:t>TERMO DE REFERÊNCIA</w:t>
      </w:r>
    </w:p>
    <w:p w:rsidR="00BE715A" w:rsidRPr="008A672D" w:rsidRDefault="00F972A4">
      <w:pPr>
        <w:spacing w:before="60"/>
        <w:jc w:val="center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i/>
          <w:iCs/>
          <w:color w:val="555555"/>
          <w:sz w:val="20"/>
          <w:szCs w:val="20"/>
        </w:rPr>
        <w:t>(Art. 6º, inciso XXIII, alíneas 'a' a 'j', da Lei nº 14.133/2021</w:t>
      </w:r>
      <w:proofErr w:type="gramStart"/>
      <w:r w:rsidRPr="008A672D">
        <w:rPr>
          <w:rFonts w:ascii="Bookman Old Style" w:hAnsi="Bookman Old Style"/>
          <w:i/>
          <w:iCs/>
          <w:color w:val="555555"/>
          <w:sz w:val="20"/>
          <w:szCs w:val="20"/>
        </w:rPr>
        <w:t>)</w:t>
      </w:r>
      <w:proofErr w:type="gramEnd"/>
    </w:p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INTRODUÇÃO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O presente Termo de Referência tem por finalidade estabelecer as condições técnicas, comerciais e administrativas para a contratação de empresa especializada </w:t>
      </w:r>
      <w:r w:rsidR="001F2691" w:rsidRPr="008A672D">
        <w:rPr>
          <w:rFonts w:ascii="Bookman Old Style" w:hAnsi="Bookman Old Style"/>
          <w:sz w:val="20"/>
          <w:szCs w:val="20"/>
        </w:rPr>
        <w:t xml:space="preserve">para apresentação artística, show de banda na festa do Padroeiro </w:t>
      </w:r>
      <w:r w:rsidRPr="008A672D">
        <w:rPr>
          <w:rFonts w:ascii="Bookman Old Style" w:hAnsi="Bookman Old Style"/>
          <w:sz w:val="20"/>
          <w:szCs w:val="20"/>
        </w:rPr>
        <w:t xml:space="preserve">do Município de Santo Antônio do Sudoeste – PR, a ser </w:t>
      </w:r>
      <w:proofErr w:type="gramStart"/>
      <w:r w:rsidRPr="008A672D">
        <w:rPr>
          <w:rFonts w:ascii="Bookman Old Style" w:hAnsi="Bookman Old Style"/>
          <w:sz w:val="20"/>
          <w:szCs w:val="20"/>
        </w:rPr>
        <w:t>realizada por meio de Dispensa Eletrônica, com fulcro no art. 75, inciso II, da Lei</w:t>
      </w:r>
      <w:proofErr w:type="gramEnd"/>
      <w:r w:rsidRPr="008A672D">
        <w:rPr>
          <w:rFonts w:ascii="Bookman Old Style" w:hAnsi="Bookman Old Style"/>
          <w:sz w:val="20"/>
          <w:szCs w:val="20"/>
        </w:rPr>
        <w:t xml:space="preserve"> nº 14.133/2021. A contratação está vinculada ao Convênio nº 0311/2026, celebrado com a Secretaria de Estado do Turismo do Paraná (SETU/PR), conforme Protocolo nº 25.544.718-1, visando o fomento ao turismo religioso e cultural do município.</w:t>
      </w:r>
    </w:p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1. DEFINIÇÃO DO OBJETO (Art. 6º, inciso XXIII, alínea 'a'</w:t>
      </w:r>
      <w:proofErr w:type="gramStart"/>
      <w:r w:rsidRPr="008A672D">
        <w:rPr>
          <w:rFonts w:ascii="Bookman Old Style" w:hAnsi="Bookman Old Style"/>
          <w:sz w:val="20"/>
          <w:szCs w:val="20"/>
        </w:rPr>
        <w:t>)</w:t>
      </w:r>
      <w:proofErr w:type="gramEnd"/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Contratação de empresa especializada </w:t>
      </w:r>
      <w:r w:rsidR="001F2691" w:rsidRPr="008A672D">
        <w:rPr>
          <w:rFonts w:ascii="Bookman Old Style" w:hAnsi="Bookman Old Style"/>
          <w:sz w:val="20"/>
          <w:szCs w:val="20"/>
        </w:rPr>
        <w:t xml:space="preserve">para apresentação artística, show </w:t>
      </w:r>
      <w:r w:rsidR="00177898">
        <w:rPr>
          <w:rFonts w:ascii="Bookman Old Style" w:hAnsi="Bookman Old Style"/>
          <w:sz w:val="20"/>
          <w:szCs w:val="20"/>
        </w:rPr>
        <w:t xml:space="preserve">de banda na festa do Padroeiro </w:t>
      </w:r>
      <w:r w:rsidR="001F2691" w:rsidRPr="008A672D">
        <w:rPr>
          <w:rFonts w:ascii="Bookman Old Style" w:hAnsi="Bookman Old Style"/>
          <w:sz w:val="20"/>
          <w:szCs w:val="20"/>
        </w:rPr>
        <w:t>do Município de Santo Antônio do Sudoeste – PR</w:t>
      </w:r>
      <w:r w:rsidRPr="008A672D">
        <w:rPr>
          <w:rFonts w:ascii="Bookman Old Style" w:hAnsi="Bookman Old Style"/>
          <w:sz w:val="20"/>
          <w:szCs w:val="20"/>
        </w:rPr>
        <w:t>, a ser realizado no</w:t>
      </w:r>
      <w:r w:rsidR="001F2691" w:rsidRPr="008A672D">
        <w:rPr>
          <w:rFonts w:ascii="Bookman Old Style" w:hAnsi="Bookman Old Style"/>
          <w:sz w:val="20"/>
          <w:szCs w:val="20"/>
        </w:rPr>
        <w:t>s dias</w:t>
      </w:r>
      <w:r w:rsidRPr="008A672D">
        <w:rPr>
          <w:rFonts w:ascii="Bookman Old Style" w:hAnsi="Bookman Old Style"/>
          <w:sz w:val="20"/>
          <w:szCs w:val="20"/>
        </w:rPr>
        <w:t xml:space="preserve"> período de </w:t>
      </w:r>
      <w:r w:rsidR="009C166D" w:rsidRPr="008A672D">
        <w:rPr>
          <w:rFonts w:ascii="Bookman Old Style" w:hAnsi="Bookman Old Style"/>
          <w:b/>
          <w:bCs/>
          <w:sz w:val="20"/>
          <w:szCs w:val="20"/>
        </w:rPr>
        <w:t xml:space="preserve">03,04,05,06 e </w:t>
      </w:r>
      <w:r w:rsidRPr="008A672D">
        <w:rPr>
          <w:rFonts w:ascii="Bookman Old Style" w:hAnsi="Bookman Old Style"/>
          <w:b/>
          <w:bCs/>
          <w:sz w:val="20"/>
          <w:szCs w:val="20"/>
        </w:rPr>
        <w:t>14 de junho de 2026</w:t>
      </w:r>
      <w:r w:rsidRPr="008A672D">
        <w:rPr>
          <w:rFonts w:ascii="Bookman Old Style" w:hAnsi="Bookman Old Style"/>
          <w:sz w:val="20"/>
          <w:szCs w:val="20"/>
        </w:rPr>
        <w:t>, conforme especificações constantes neste Termo de Referência e no Plano de Trabalho do Convênio nº 0311/2026.</w:t>
      </w:r>
    </w:p>
    <w:p w:rsidR="00BE715A" w:rsidRPr="008A672D" w:rsidRDefault="00F972A4">
      <w:pPr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PRAZO CONTRATUAL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Vigência de </w:t>
      </w:r>
      <w:proofErr w:type="gramStart"/>
      <w:r w:rsidRPr="008A672D">
        <w:rPr>
          <w:rFonts w:ascii="Bookman Old Style" w:hAnsi="Bookman Old Style"/>
          <w:b/>
          <w:bCs/>
          <w:sz w:val="20"/>
          <w:szCs w:val="20"/>
        </w:rPr>
        <w:t>3</w:t>
      </w:r>
      <w:proofErr w:type="gramEnd"/>
      <w:r w:rsidRPr="008A672D">
        <w:rPr>
          <w:rFonts w:ascii="Bookman Old Style" w:hAnsi="Bookman Old Style"/>
          <w:b/>
          <w:bCs/>
          <w:sz w:val="20"/>
          <w:szCs w:val="20"/>
        </w:rPr>
        <w:t xml:space="preserve"> (três) meses</w:t>
      </w:r>
      <w:r w:rsidRPr="008A672D">
        <w:rPr>
          <w:rFonts w:ascii="Bookman Old Style" w:hAnsi="Bookman Old Style"/>
          <w:sz w:val="20"/>
          <w:szCs w:val="20"/>
        </w:rPr>
        <w:t xml:space="preserve"> a partir da assinatura do contrato. </w:t>
      </w:r>
    </w:p>
    <w:p w:rsidR="00BE715A" w:rsidRPr="008A672D" w:rsidRDefault="00F972A4">
      <w:pPr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DESCRIÇÃO DETALHADA DO OBJETO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O objeto está consolidado em lote único, conforme tabela a seguir:</w:t>
      </w:r>
    </w:p>
    <w:tbl>
      <w:tblPr>
        <w:tblW w:w="9649" w:type="dxa"/>
        <w:tblInd w:w="134" w:type="dxa"/>
        <w:tblBorders>
          <w:top w:val="single" w:sz="1" w:space="0" w:color="D1D5DB"/>
          <w:left w:val="single" w:sz="1" w:space="0" w:color="D1D5DB"/>
          <w:bottom w:val="single" w:sz="1" w:space="0" w:color="D1D5DB"/>
          <w:right w:val="single" w:sz="1" w:space="0" w:color="D1D5DB"/>
          <w:insideH w:val="single" w:sz="1" w:space="0" w:color="D1D5DB"/>
          <w:insideV w:val="single" w:sz="1" w:space="0" w:color="D1D5DB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9"/>
        <w:gridCol w:w="284"/>
        <w:gridCol w:w="425"/>
        <w:gridCol w:w="1276"/>
        <w:gridCol w:w="1842"/>
        <w:gridCol w:w="1276"/>
        <w:gridCol w:w="992"/>
        <w:gridCol w:w="1418"/>
        <w:gridCol w:w="1417"/>
      </w:tblGrid>
      <w:tr w:rsidR="008A672D" w:rsidRPr="008A672D" w:rsidTr="00F211F0">
        <w:tc>
          <w:tcPr>
            <w:tcW w:w="719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Lote</w:t>
            </w:r>
          </w:p>
        </w:tc>
        <w:tc>
          <w:tcPr>
            <w:tcW w:w="709" w:type="dxa"/>
            <w:gridSpan w:val="2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Item</w:t>
            </w:r>
          </w:p>
        </w:tc>
        <w:tc>
          <w:tcPr>
            <w:tcW w:w="1276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Código do produto/serviço</w:t>
            </w:r>
          </w:p>
        </w:tc>
        <w:tc>
          <w:tcPr>
            <w:tcW w:w="1842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Nome do produto/serviço</w:t>
            </w:r>
          </w:p>
        </w:tc>
        <w:tc>
          <w:tcPr>
            <w:tcW w:w="1276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Quantidade</w:t>
            </w:r>
          </w:p>
        </w:tc>
        <w:tc>
          <w:tcPr>
            <w:tcW w:w="992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Unidade</w:t>
            </w:r>
          </w:p>
        </w:tc>
        <w:tc>
          <w:tcPr>
            <w:tcW w:w="141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Preço estimado unitário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Preço máximo total</w:t>
            </w:r>
          </w:p>
        </w:tc>
      </w:tr>
      <w:tr w:rsidR="008A672D" w:rsidRPr="008A672D" w:rsidTr="00F211F0">
        <w:tc>
          <w:tcPr>
            <w:tcW w:w="719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proofErr w:type="gramStart"/>
            <w:r w:rsidRPr="008A672D">
              <w:rPr>
                <w:rFonts w:ascii="Bookman Old Style" w:hAnsi="Bookman Old Style"/>
                <w:sz w:val="16"/>
                <w:szCs w:val="20"/>
              </w:rPr>
              <w:t>1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proofErr w:type="gramStart"/>
            <w:r w:rsidRPr="008A672D">
              <w:rPr>
                <w:rFonts w:ascii="Bookman Old Style" w:hAnsi="Bookman Old Style"/>
                <w:sz w:val="16"/>
                <w:szCs w:val="20"/>
              </w:rPr>
              <w:t>1</w:t>
            </w:r>
            <w:proofErr w:type="gramEnd"/>
          </w:p>
        </w:tc>
        <w:tc>
          <w:tcPr>
            <w:tcW w:w="1276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211F0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>
              <w:rPr>
                <w:rFonts w:ascii="Bookman Old Style" w:hAnsi="Bookman Old Style"/>
                <w:sz w:val="16"/>
                <w:szCs w:val="20"/>
              </w:rPr>
              <w:t>30097</w:t>
            </w:r>
          </w:p>
        </w:tc>
        <w:tc>
          <w:tcPr>
            <w:tcW w:w="1842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65207D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 xml:space="preserve">Apresentação Artística </w:t>
            </w:r>
            <w:r w:rsidR="0065207D" w:rsidRPr="008A672D">
              <w:rPr>
                <w:rFonts w:ascii="Bookman Old Style" w:hAnsi="Bookman Old Style"/>
                <w:sz w:val="16"/>
                <w:szCs w:val="20"/>
              </w:rPr>
              <w:t xml:space="preserve">de banda Show na FESTA DO PADROEIRO SANTO ANTONIO DE PADUA nos dias </w:t>
            </w:r>
            <w:proofErr w:type="gramStart"/>
            <w:r w:rsidR="0065207D" w:rsidRPr="008A672D">
              <w:rPr>
                <w:rFonts w:ascii="Bookman Old Style" w:hAnsi="Bookman Old Style"/>
                <w:sz w:val="16"/>
                <w:szCs w:val="20"/>
              </w:rPr>
              <w:t>3,</w:t>
            </w:r>
            <w:proofErr w:type="gramEnd"/>
            <w:r w:rsidR="0065207D" w:rsidRPr="008A672D">
              <w:rPr>
                <w:rFonts w:ascii="Bookman Old Style" w:hAnsi="Bookman Old Style"/>
                <w:sz w:val="16"/>
                <w:szCs w:val="20"/>
              </w:rPr>
              <w:t>4,5,6 e 14 de junho de 2026.</w:t>
            </w:r>
          </w:p>
        </w:tc>
        <w:tc>
          <w:tcPr>
            <w:tcW w:w="1276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proofErr w:type="gramStart"/>
            <w:r w:rsidRPr="008A672D">
              <w:rPr>
                <w:rFonts w:ascii="Bookman Old Style" w:hAnsi="Bookman Old Style"/>
                <w:sz w:val="16"/>
                <w:szCs w:val="20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SERV</w:t>
            </w:r>
          </w:p>
        </w:tc>
        <w:tc>
          <w:tcPr>
            <w:tcW w:w="141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65207D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 xml:space="preserve">R$ </w:t>
            </w:r>
            <w:r w:rsidR="0065207D" w:rsidRPr="008A672D">
              <w:rPr>
                <w:rFonts w:ascii="Bookman Old Style" w:hAnsi="Bookman Old Style"/>
                <w:sz w:val="16"/>
                <w:szCs w:val="20"/>
              </w:rPr>
              <w:t>60</w:t>
            </w:r>
            <w:r w:rsidRPr="008A672D">
              <w:rPr>
                <w:rFonts w:ascii="Bookman Old Style" w:hAnsi="Bookman Old Style"/>
                <w:sz w:val="16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65207D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 xml:space="preserve">R$ </w:t>
            </w:r>
            <w:r w:rsidR="0065207D" w:rsidRPr="008A672D">
              <w:rPr>
                <w:rFonts w:ascii="Bookman Old Style" w:hAnsi="Bookman Old Style"/>
                <w:sz w:val="16"/>
                <w:szCs w:val="20"/>
              </w:rPr>
              <w:t>60</w:t>
            </w:r>
            <w:r w:rsidRPr="008A672D">
              <w:rPr>
                <w:rFonts w:ascii="Bookman Old Style" w:hAnsi="Bookman Old Style"/>
                <w:sz w:val="16"/>
                <w:szCs w:val="20"/>
              </w:rPr>
              <w:t>.000,00</w:t>
            </w:r>
          </w:p>
        </w:tc>
      </w:tr>
      <w:tr w:rsidR="00BE715A" w:rsidRPr="008A672D" w:rsidTr="00F211F0">
        <w:tc>
          <w:tcPr>
            <w:tcW w:w="1003" w:type="dxa"/>
            <w:gridSpan w:val="2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1F2691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 xml:space="preserve">VALOR </w:t>
            </w:r>
          </w:p>
        </w:tc>
        <w:tc>
          <w:tcPr>
            <w:tcW w:w="8646" w:type="dxa"/>
            <w:gridSpan w:val="7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211F0" w:rsidP="00F211F0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16"/>
                <w:szCs w:val="20"/>
              </w:rPr>
              <w:t xml:space="preserve"> </w:t>
            </w:r>
            <w:r w:rsidR="001F2691"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 xml:space="preserve">                                                                                                           </w:t>
            </w:r>
            <w:r>
              <w:rPr>
                <w:rFonts w:ascii="Bookman Old Style" w:hAnsi="Bookman Old Style"/>
                <w:b/>
                <w:bCs/>
                <w:sz w:val="16"/>
                <w:szCs w:val="20"/>
              </w:rPr>
              <w:t xml:space="preserve">            </w:t>
            </w:r>
            <w:r w:rsidR="001F2691"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 xml:space="preserve">           </w:t>
            </w: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R$ 60.000,00</w:t>
            </w:r>
            <w:r w:rsidR="001F2691"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 xml:space="preserve">                  </w:t>
            </w:r>
            <w:r>
              <w:rPr>
                <w:rFonts w:ascii="Bookman Old Style" w:hAnsi="Bookman Old Style"/>
                <w:b/>
                <w:bCs/>
                <w:sz w:val="16"/>
                <w:szCs w:val="20"/>
              </w:rPr>
              <w:t xml:space="preserve">                  </w:t>
            </w:r>
          </w:p>
        </w:tc>
      </w:tr>
    </w:tbl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lastRenderedPageBreak/>
        <w:t>2. FUNDAMENTAÇÃO DA CONTRATAÇÃO (Art. 6º, inciso XXIII, alínea 'b'</w:t>
      </w:r>
      <w:proofErr w:type="gramStart"/>
      <w:r w:rsidRPr="008A672D">
        <w:rPr>
          <w:rFonts w:ascii="Bookman Old Style" w:hAnsi="Bookman Old Style"/>
          <w:sz w:val="20"/>
          <w:szCs w:val="20"/>
        </w:rPr>
        <w:t>)</w:t>
      </w:r>
      <w:proofErr w:type="gramEnd"/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A contratação está diretamente vinculada ao Convênio nº 0311/2026 firmado com a SETU/PR, cujo objeto é o fomento ao turismo religioso e cultural regional. O evento “Dia do Padroeiro” é tradicional no município, atrai visitantes de toda a região e gera impacto positivo no comércio local, na rede hoteleira e na gastronomia. A realização deste evento promove o lazer para a comunidade, valoriza as tradições locais e fortalece a identidade cultural de Santo Antônio do Sudoeste. A dispensa eletrônica justifica-se pelo valor global da contratação (R$ </w:t>
      </w:r>
      <w:r w:rsidR="009C166D" w:rsidRPr="008A672D">
        <w:rPr>
          <w:rFonts w:ascii="Bookman Old Style" w:hAnsi="Bookman Old Style"/>
          <w:sz w:val="20"/>
          <w:szCs w:val="20"/>
        </w:rPr>
        <w:t>60.000</w:t>
      </w:r>
      <w:r w:rsidRPr="008A672D">
        <w:rPr>
          <w:rFonts w:ascii="Bookman Old Style" w:hAnsi="Bookman Old Style"/>
          <w:sz w:val="20"/>
          <w:szCs w:val="20"/>
        </w:rPr>
        <w:t>,00), enquadrado no art. 75, inciso II, da Lei nº 14.133/2021, e pela necessidade de celeridade na contratação para cumprimento do cronograma do convênio.</w:t>
      </w:r>
    </w:p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3. </w:t>
      </w:r>
      <w:proofErr w:type="gramStart"/>
      <w:r w:rsidRPr="008A672D">
        <w:rPr>
          <w:rFonts w:ascii="Bookman Old Style" w:hAnsi="Bookman Old Style"/>
          <w:sz w:val="20"/>
          <w:szCs w:val="20"/>
        </w:rPr>
        <w:t>DESCRIÇÃO DA SOLUÇÃO COMO UM TODO CONSIDERADO</w:t>
      </w:r>
      <w:proofErr w:type="gramEnd"/>
      <w:r w:rsidRPr="008A672D">
        <w:rPr>
          <w:rFonts w:ascii="Bookman Old Style" w:hAnsi="Bookman Old Style"/>
          <w:sz w:val="20"/>
          <w:szCs w:val="20"/>
        </w:rPr>
        <w:t xml:space="preserve"> O CICLO DE VIDA DO OBJETO E ESPECIFICAÇÃO DO PRODUTO (Art. 6º, inciso XXIII, alínea 'c')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A solução proposta abrange todas as etapas necessárias para a realização do evento, integrando planejamento, execução e encerramento, considerando o ciclo de vida do objeto: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Fase 1 – Planejamento e Divulgação:</w:t>
      </w:r>
      <w:r w:rsidRPr="008A672D">
        <w:rPr>
          <w:rFonts w:ascii="Bookman Old Style" w:hAnsi="Bookman Old Style"/>
          <w:sz w:val="20"/>
          <w:szCs w:val="20"/>
        </w:rPr>
        <w:t xml:space="preserve"> Elaboração de cronograma, criação de identidade visual, produção de vídeo institucional e campanhas de mídia digital para redes sociais.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Fase 2 – Montagem e Estruturação:</w:t>
      </w:r>
      <w:r w:rsidRPr="008A672D">
        <w:rPr>
          <w:rFonts w:ascii="Bookman Old Style" w:hAnsi="Bookman Old Style"/>
          <w:sz w:val="20"/>
          <w:szCs w:val="20"/>
        </w:rPr>
        <w:t xml:space="preserve"> Instalação de painel de LED, montagem de palco, sonorização, iluminação, mobiliário e demais equipamentos de apoio, com equipe técnica treinada.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Fase 3 – Realização das Apresentações Artísticas e Cobertura:</w:t>
      </w:r>
      <w:r w:rsidRPr="008A672D">
        <w:rPr>
          <w:rFonts w:ascii="Bookman Old Style" w:hAnsi="Bookman Old Style"/>
          <w:sz w:val="20"/>
          <w:szCs w:val="20"/>
        </w:rPr>
        <w:t xml:space="preserve"> Execução de shows e apresentações culturais, cobertura fotográfica e filmagem completa do evento.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Fase 4 – Desmontagem, Limpeza e Relatório Final:</w:t>
      </w:r>
      <w:r w:rsidRPr="008A672D">
        <w:rPr>
          <w:rFonts w:ascii="Bookman Old Style" w:hAnsi="Bookman Old Style"/>
          <w:sz w:val="20"/>
          <w:szCs w:val="20"/>
        </w:rPr>
        <w:t xml:space="preserve"> Desmontagem de toda a estrutura, limpeza do local, e entrega de relatório final com registros audiovisuais e prestação de contas dos serviços executados.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Especificação do produto: serviços técnicos especializados em produção de eventos, com fornecimento de equipamentos e pessoal qualificado, conforme </w:t>
      </w:r>
      <w:proofErr w:type="spellStart"/>
      <w:r w:rsidRPr="008A672D">
        <w:rPr>
          <w:rFonts w:ascii="Bookman Old Style" w:hAnsi="Bookman Old Style"/>
          <w:sz w:val="20"/>
          <w:szCs w:val="20"/>
        </w:rPr>
        <w:t>itemização</w:t>
      </w:r>
      <w:proofErr w:type="spellEnd"/>
      <w:r w:rsidRPr="008A672D">
        <w:rPr>
          <w:rFonts w:ascii="Bookman Old Style" w:hAnsi="Bookman Old Style"/>
          <w:sz w:val="20"/>
          <w:szCs w:val="20"/>
        </w:rPr>
        <w:t xml:space="preserve"> da tabela do objeto.</w:t>
      </w:r>
    </w:p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4. REQUISITOS DA CONTRATAÇÃO (Art. 6º, inciso XXIII, alínea 'd'</w:t>
      </w:r>
      <w:proofErr w:type="gramStart"/>
      <w:r w:rsidRPr="008A672D">
        <w:rPr>
          <w:rFonts w:ascii="Bookman Old Style" w:hAnsi="Bookman Old Style"/>
          <w:sz w:val="20"/>
          <w:szCs w:val="20"/>
        </w:rPr>
        <w:t>)</w:t>
      </w:r>
      <w:proofErr w:type="gramEnd"/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A contratada deverá atender aos seguintes requisitos mínimos de habilitação: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Habilitação jurídica:</w:t>
      </w:r>
      <w:r w:rsidRPr="008A672D">
        <w:rPr>
          <w:rFonts w:ascii="Bookman Old Style" w:hAnsi="Bookman Old Style"/>
          <w:sz w:val="20"/>
          <w:szCs w:val="20"/>
        </w:rPr>
        <w:t xml:space="preserve"> Registro comercial, ato constitutivo, inscrição no CNPJ.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Regularidade fiscal, social e trabalhista:</w:t>
      </w:r>
      <w:r w:rsidRPr="008A672D">
        <w:rPr>
          <w:rFonts w:ascii="Bookman Old Style" w:hAnsi="Bookman Old Style"/>
          <w:sz w:val="20"/>
          <w:szCs w:val="20"/>
        </w:rPr>
        <w:t xml:space="preserve"> Certidão Conjunta da Receita Federal e da Procuradoria-Geral da Fazenda Nacional, Certidão de Débitos Trabalhistas (CNDT), Certidão de regularidade do FGTS (CRF) e comprovação de regularidade com a Fazenda Estadual e Municipal.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Qualificação técnica:</w:t>
      </w:r>
      <w:r w:rsidRPr="008A672D">
        <w:rPr>
          <w:rFonts w:ascii="Bookman Old Style" w:hAnsi="Bookman Old Style"/>
          <w:sz w:val="20"/>
          <w:szCs w:val="20"/>
        </w:rPr>
        <w:t xml:space="preserve"> Comprovação de capacidade técnica para execução de objeto similar, mediante apresentação de atestado(s) de fornecimento ou prestação de serviços de organização de eventos, com porte e complexidade compatíveis.</w:t>
      </w:r>
    </w:p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  <w:bookmarkStart w:id="0" w:name="_GoBack"/>
      <w:bookmarkEnd w:id="0"/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lastRenderedPageBreak/>
        <w:t>5. MODELO DE EXECUÇÃO DO OBJETO (Art. 6º, inciso XXIII, alínea 'e'</w:t>
      </w:r>
      <w:proofErr w:type="gramStart"/>
      <w:r w:rsidRPr="008A672D">
        <w:rPr>
          <w:rFonts w:ascii="Bookman Old Style" w:hAnsi="Bookman Old Style"/>
          <w:sz w:val="20"/>
          <w:szCs w:val="20"/>
        </w:rPr>
        <w:t>)</w:t>
      </w:r>
      <w:proofErr w:type="gramEnd"/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Os serviços serão prestados de forma indireta, sob o regime de empreitada por preço global, de acordo com o cronograma de execução aprovado pela Administração. A contratada deverá cumprir rigorosamente o prazo de execução de </w:t>
      </w:r>
      <w:proofErr w:type="gramStart"/>
      <w:r w:rsidR="009C166D" w:rsidRPr="008A672D">
        <w:rPr>
          <w:rFonts w:ascii="Bookman Old Style" w:hAnsi="Bookman Old Style"/>
          <w:b/>
          <w:bCs/>
          <w:sz w:val="20"/>
          <w:szCs w:val="20"/>
        </w:rPr>
        <w:t>03,</w:t>
      </w:r>
      <w:proofErr w:type="gramEnd"/>
      <w:r w:rsidR="009C166D" w:rsidRPr="008A672D">
        <w:rPr>
          <w:rFonts w:ascii="Bookman Old Style" w:hAnsi="Bookman Old Style"/>
          <w:b/>
          <w:bCs/>
          <w:sz w:val="20"/>
          <w:szCs w:val="20"/>
        </w:rPr>
        <w:t>04,05,06 e 14 de junho de 2026</w:t>
      </w:r>
      <w:r w:rsidRPr="008A672D">
        <w:rPr>
          <w:rFonts w:ascii="Bookman Old Style" w:hAnsi="Bookman Old Style"/>
          <w:sz w:val="20"/>
          <w:szCs w:val="20"/>
        </w:rPr>
        <w:t>, com montagem prévia e desmontagem posterior.</w:t>
      </w:r>
    </w:p>
    <w:p w:rsidR="00BE715A" w:rsidRPr="008A672D" w:rsidRDefault="00F972A4">
      <w:pPr>
        <w:rPr>
          <w:rFonts w:ascii="Bookman Old Style" w:hAnsi="Bookman Old Style"/>
          <w:b/>
          <w:sz w:val="20"/>
          <w:szCs w:val="20"/>
        </w:rPr>
      </w:pPr>
      <w:r w:rsidRPr="008A672D">
        <w:rPr>
          <w:rFonts w:ascii="Bookman Old Style" w:hAnsi="Bookman Old Style"/>
          <w:b/>
          <w:sz w:val="20"/>
          <w:szCs w:val="20"/>
        </w:rPr>
        <w:t>5.1. OBRIGAÇÕES DA CONTRATADA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Executar os serviços conforme descrição detalhada do objeto, utilizando materiais e equipamentos de qualidade, em conformidade com as normas técnicas aplicáveis.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Garantir a segurança do evento, inclusive com a contratação de seguro de responsabilidade civil, se exigido.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Manter equipe técnica qualificada para operação de equipamentos.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Obrigação essencial para prestação de contas:</w:t>
      </w:r>
      <w:r w:rsidRPr="008A672D">
        <w:rPr>
          <w:rFonts w:ascii="Bookman Old Style" w:hAnsi="Bookman Old Style"/>
          <w:sz w:val="20"/>
          <w:szCs w:val="20"/>
        </w:rPr>
        <w:t xml:space="preserve"> Emitir a Nota Fiscal (NF) com a descrição dos itens de forma </w:t>
      </w:r>
      <w:r w:rsidRPr="008A672D">
        <w:rPr>
          <w:rFonts w:ascii="Bookman Old Style" w:hAnsi="Bookman Old Style"/>
          <w:b/>
          <w:bCs/>
          <w:sz w:val="20"/>
          <w:szCs w:val="20"/>
        </w:rPr>
        <w:t>idêntica</w:t>
      </w:r>
      <w:r w:rsidRPr="008A672D">
        <w:rPr>
          <w:rFonts w:ascii="Bookman Old Style" w:hAnsi="Bookman Old Style"/>
          <w:sz w:val="20"/>
          <w:szCs w:val="20"/>
        </w:rPr>
        <w:t xml:space="preserve"> ao Plano de Trabalho do Convênio nº 0311/2026, discriminando os serviços e valores exatamente como constam na tabela do objeto deste TR, </w:t>
      </w:r>
      <w:proofErr w:type="gramStart"/>
      <w:r w:rsidRPr="008A672D">
        <w:rPr>
          <w:rFonts w:ascii="Bookman Old Style" w:hAnsi="Bookman Old Style"/>
          <w:sz w:val="20"/>
          <w:szCs w:val="20"/>
        </w:rPr>
        <w:t>sob pena</w:t>
      </w:r>
      <w:proofErr w:type="gramEnd"/>
      <w:r w:rsidRPr="008A672D">
        <w:rPr>
          <w:rFonts w:ascii="Bookman Old Style" w:hAnsi="Bookman Old Style"/>
          <w:sz w:val="20"/>
          <w:szCs w:val="20"/>
        </w:rPr>
        <w:t xml:space="preserve"> de glosa pelo Sistema de Informação e Transparência do Tribunal de Contas do Estado do Paraná (SIT/TCE-PR).</w:t>
      </w:r>
    </w:p>
    <w:p w:rsidR="00BE715A" w:rsidRPr="008A672D" w:rsidRDefault="00BE715A" w:rsidP="003F160E">
      <w:pPr>
        <w:pStyle w:val="PargrafodaLista"/>
        <w:spacing w:before="40" w:after="40"/>
        <w:ind w:left="720"/>
        <w:rPr>
          <w:rFonts w:ascii="Bookman Old Style" w:hAnsi="Bookman Old Style"/>
          <w:sz w:val="20"/>
          <w:szCs w:val="20"/>
        </w:rPr>
      </w:pPr>
    </w:p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6. MODELO DE GESTÃO DO CONTRATO (Art. 6º, inciso XXIII, alínea 'f'</w:t>
      </w:r>
      <w:proofErr w:type="gramStart"/>
      <w:r w:rsidRPr="008A672D">
        <w:rPr>
          <w:rFonts w:ascii="Bookman Old Style" w:hAnsi="Bookman Old Style"/>
          <w:sz w:val="20"/>
          <w:szCs w:val="20"/>
        </w:rPr>
        <w:t>)</w:t>
      </w:r>
      <w:proofErr w:type="gramEnd"/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A gestão e fiscalização do contrato serão exercidas pelos seguintes servidores designados pela Administração Municipal, conforme dados extraídos do Convênio nº 0311/2026: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GESTOR DO CONTRATO:</w:t>
      </w:r>
      <w:r w:rsidRPr="008A672D">
        <w:rPr>
          <w:rFonts w:ascii="Bookman Old Style" w:hAnsi="Bookman Old Style"/>
          <w:sz w:val="20"/>
          <w:szCs w:val="20"/>
        </w:rPr>
        <w:t xml:space="preserve"> </w:t>
      </w:r>
      <w:r w:rsidR="00745F4E">
        <w:rPr>
          <w:rFonts w:ascii="Bookman Old Style" w:hAnsi="Bookman Old Style"/>
          <w:b/>
          <w:sz w:val="20"/>
          <w:szCs w:val="20"/>
        </w:rPr>
        <w:t>CRISTINA BONFLEUR</w:t>
      </w:r>
      <w:r w:rsidR="009C166D" w:rsidRPr="008A672D">
        <w:rPr>
          <w:rFonts w:ascii="Bookman Old Style" w:hAnsi="Bookman Old Style"/>
          <w:sz w:val="20"/>
          <w:szCs w:val="20"/>
        </w:rPr>
        <w:t xml:space="preserve"> 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b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FISCAL DO CONTRATO:</w:t>
      </w:r>
      <w:r w:rsidRPr="008A672D">
        <w:rPr>
          <w:rFonts w:ascii="Bookman Old Style" w:hAnsi="Bookman Old Style"/>
          <w:sz w:val="20"/>
          <w:szCs w:val="20"/>
        </w:rPr>
        <w:t xml:space="preserve"> </w:t>
      </w:r>
      <w:r w:rsidR="00745F4E">
        <w:rPr>
          <w:rFonts w:ascii="Bookman Old Style" w:hAnsi="Bookman Old Style"/>
          <w:b/>
          <w:sz w:val="20"/>
          <w:szCs w:val="20"/>
        </w:rPr>
        <w:t>ANDREIA ALINE BONAN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O gestor será responsável pelo acompanhamento global da execução, e o fiscal realizará a verificação in loco da conformidade dos serviços prestados, emitindo </w:t>
      </w:r>
      <w:proofErr w:type="spellStart"/>
      <w:r w:rsidRPr="008A672D">
        <w:rPr>
          <w:rFonts w:ascii="Bookman Old Style" w:hAnsi="Bookman Old Style"/>
          <w:sz w:val="20"/>
          <w:szCs w:val="20"/>
        </w:rPr>
        <w:t>atestos</w:t>
      </w:r>
      <w:proofErr w:type="spellEnd"/>
      <w:r w:rsidRPr="008A672D">
        <w:rPr>
          <w:rFonts w:ascii="Bookman Old Style" w:hAnsi="Bookman Old Style"/>
          <w:sz w:val="20"/>
          <w:szCs w:val="20"/>
        </w:rPr>
        <w:t xml:space="preserve"> e relatórios de medição.</w:t>
      </w:r>
    </w:p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7. CRITÉRIOS DE MEDIÇÃO E DE PAGAMENTO (Art. 6º, inciso XXIII, alínea 'g'</w:t>
      </w:r>
      <w:proofErr w:type="gramStart"/>
      <w:r w:rsidRPr="008A672D">
        <w:rPr>
          <w:rFonts w:ascii="Bookman Old Style" w:hAnsi="Bookman Old Style"/>
          <w:sz w:val="20"/>
          <w:szCs w:val="20"/>
        </w:rPr>
        <w:t>)</w:t>
      </w:r>
      <w:proofErr w:type="gramEnd"/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A medição será realizada após a conclusão integral do evento, mediante apresentação de relatório de execução e comprovação da realização de todos os itens contratados. O fiscal do contrato emitirá o ateste de conformidade.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A liquidação ocorrerá em até </w:t>
      </w:r>
      <w:r w:rsidRPr="008A672D">
        <w:rPr>
          <w:rFonts w:ascii="Bookman Old Style" w:hAnsi="Bookman Old Style"/>
          <w:b/>
          <w:bCs/>
          <w:sz w:val="20"/>
          <w:szCs w:val="20"/>
        </w:rPr>
        <w:t>10 (dez) dias úteis</w:t>
      </w:r>
      <w:r w:rsidRPr="008A672D">
        <w:rPr>
          <w:rFonts w:ascii="Bookman Old Style" w:hAnsi="Bookman Old Style"/>
          <w:sz w:val="20"/>
          <w:szCs w:val="20"/>
        </w:rPr>
        <w:t xml:space="preserve"> após o ateste, e o pagamento será efetuado em até </w:t>
      </w:r>
      <w:r w:rsidRPr="008A672D">
        <w:rPr>
          <w:rFonts w:ascii="Bookman Old Style" w:hAnsi="Bookman Old Style"/>
          <w:b/>
          <w:bCs/>
          <w:sz w:val="20"/>
          <w:szCs w:val="20"/>
        </w:rPr>
        <w:t>30 (trinta) dias úteis</w:t>
      </w:r>
      <w:r w:rsidRPr="008A672D">
        <w:rPr>
          <w:rFonts w:ascii="Bookman Old Style" w:hAnsi="Bookman Old Style"/>
          <w:sz w:val="20"/>
          <w:szCs w:val="20"/>
        </w:rPr>
        <w:t xml:space="preserve"> da data de liquidação, desde que a contratada apresente: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Nota Fiscal com descrição idêntica ao Plano de Trabalho do Convênio (conforme item 5.1);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Certidões negativas de débitos (federal, estadual, municipal, trabalhista e FGTS);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Comprovante de regularidade junto ao INSS (quando aplicável).</w:t>
      </w:r>
    </w:p>
    <w:p w:rsidR="00BE715A" w:rsidRPr="008A672D" w:rsidRDefault="00F972A4">
      <w:pPr>
        <w:spacing w:before="6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lastRenderedPageBreak/>
        <w:t>Atenção:</w:t>
      </w:r>
      <w:r w:rsidRPr="008A672D">
        <w:rPr>
          <w:rFonts w:ascii="Bookman Old Style" w:hAnsi="Bookman Old Style"/>
          <w:sz w:val="20"/>
          <w:szCs w:val="20"/>
        </w:rPr>
        <w:t xml:space="preserve"> A não observância da obrigação de emitir NF idêntica ao Plano de Trabalho implicará a suspensão do pagamento até a regularização, podendo acarretar multa contratual.</w:t>
      </w:r>
    </w:p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8. FORMA E CRITÉRIOS DE SELEÇÃO DO FORNECEDOR (Art. 6º, inciso XXIII, alínea 'h'</w:t>
      </w:r>
      <w:proofErr w:type="gramStart"/>
      <w:r w:rsidRPr="008A672D">
        <w:rPr>
          <w:rFonts w:ascii="Bookman Old Style" w:hAnsi="Bookman Old Style"/>
          <w:sz w:val="20"/>
          <w:szCs w:val="20"/>
        </w:rPr>
        <w:t>)</w:t>
      </w:r>
      <w:proofErr w:type="gramEnd"/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A seleção do fornecedor dar-se-á por meio de </w:t>
      </w:r>
      <w:r w:rsidRPr="008A672D">
        <w:rPr>
          <w:rFonts w:ascii="Bookman Old Style" w:hAnsi="Bookman Old Style"/>
          <w:b/>
          <w:bCs/>
          <w:sz w:val="20"/>
          <w:szCs w:val="20"/>
        </w:rPr>
        <w:t>Dispensa de Licitação na forma Eletrônica</w:t>
      </w:r>
      <w:r w:rsidRPr="008A672D">
        <w:rPr>
          <w:rFonts w:ascii="Bookman Old Style" w:hAnsi="Bookman Old Style"/>
          <w:sz w:val="20"/>
          <w:szCs w:val="20"/>
        </w:rPr>
        <w:t xml:space="preserve">, com base no art. 75, inciso II, da Lei nº 14.133/2021. O critério de julgamento será o </w:t>
      </w:r>
      <w:r w:rsidRPr="008A672D">
        <w:rPr>
          <w:rFonts w:ascii="Bookman Old Style" w:hAnsi="Bookman Old Style"/>
          <w:b/>
          <w:bCs/>
          <w:sz w:val="20"/>
          <w:szCs w:val="20"/>
        </w:rPr>
        <w:t>Menor Preço Global do Lote</w:t>
      </w:r>
      <w:r w:rsidRPr="008A672D">
        <w:rPr>
          <w:rFonts w:ascii="Bookman Old Style" w:hAnsi="Bookman Old Style"/>
          <w:sz w:val="20"/>
          <w:szCs w:val="20"/>
        </w:rPr>
        <w:t>, observadas as condições de habilitação e as especificações deste Termo de Referência.</w:t>
      </w:r>
    </w:p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9. ESTIMATIVAS DO VALOR DA CONTRATAÇÃO (Art. 6º, inciso XXIII, alínea 'i'</w:t>
      </w:r>
      <w:proofErr w:type="gramStart"/>
      <w:r w:rsidRPr="008A672D">
        <w:rPr>
          <w:rFonts w:ascii="Bookman Old Style" w:hAnsi="Bookman Old Style"/>
          <w:sz w:val="20"/>
          <w:szCs w:val="20"/>
        </w:rPr>
        <w:t>)</w:t>
      </w:r>
      <w:proofErr w:type="gramEnd"/>
    </w:p>
    <w:p w:rsidR="00BE715A" w:rsidRPr="008A672D" w:rsidRDefault="00F972A4" w:rsidP="009C166D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 xml:space="preserve">O valor total estimado da contratação é de </w:t>
      </w:r>
      <w:r w:rsidRPr="008A672D">
        <w:rPr>
          <w:rFonts w:ascii="Bookman Old Style" w:hAnsi="Bookman Old Style"/>
          <w:b/>
          <w:bCs/>
          <w:sz w:val="20"/>
          <w:szCs w:val="20"/>
        </w:rPr>
        <w:t xml:space="preserve">R$ </w:t>
      </w:r>
      <w:r w:rsidR="009C166D" w:rsidRPr="008A672D">
        <w:rPr>
          <w:rFonts w:ascii="Bookman Old Style" w:hAnsi="Bookman Old Style"/>
          <w:b/>
          <w:bCs/>
          <w:sz w:val="20"/>
          <w:szCs w:val="20"/>
        </w:rPr>
        <w:t>60.000</w:t>
      </w:r>
      <w:r w:rsidRPr="008A672D">
        <w:rPr>
          <w:rFonts w:ascii="Bookman Old Style" w:hAnsi="Bookman Old Style"/>
          <w:b/>
          <w:bCs/>
          <w:sz w:val="20"/>
          <w:szCs w:val="20"/>
        </w:rPr>
        <w:t>,00 (</w:t>
      </w:r>
      <w:r w:rsidR="009C166D" w:rsidRPr="008A672D">
        <w:rPr>
          <w:rFonts w:ascii="Bookman Old Style" w:hAnsi="Bookman Old Style"/>
          <w:b/>
          <w:bCs/>
          <w:sz w:val="20"/>
          <w:szCs w:val="20"/>
        </w:rPr>
        <w:t>Sessenta mil</w:t>
      </w:r>
      <w:r w:rsidRPr="008A672D">
        <w:rPr>
          <w:rFonts w:ascii="Bookman Old Style" w:hAnsi="Bookman Old Style"/>
          <w:b/>
          <w:bCs/>
          <w:sz w:val="20"/>
          <w:szCs w:val="20"/>
        </w:rPr>
        <w:t xml:space="preserve"> reais)</w:t>
      </w:r>
      <w:r w:rsidRPr="008A672D">
        <w:rPr>
          <w:rFonts w:ascii="Bookman Old Style" w:hAnsi="Bookman Old Style"/>
          <w:sz w:val="20"/>
          <w:szCs w:val="20"/>
        </w:rPr>
        <w:t>, conforme detalhado na tabela do objeto. O valor foi calculado com base nos preços referenciais constantes do Plano de Trabalho do Convênio nº 0311/2026, complementado por pesquisa de mercado realizada pela Secretaria Municipal de Turismo e Cultura, consoante o disposto no art. 23, §1º, da Lei nº 14.133/2021.</w:t>
      </w: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10. ADEQUAÇÃO ORÇAMENTÁRIA (Art. 6º, inciso XXIII, alínea 'j'</w:t>
      </w:r>
      <w:proofErr w:type="gramStart"/>
      <w:r w:rsidRPr="008A672D">
        <w:rPr>
          <w:rFonts w:ascii="Bookman Old Style" w:hAnsi="Bookman Old Style"/>
          <w:sz w:val="20"/>
          <w:szCs w:val="20"/>
        </w:rPr>
        <w:t>)</w:t>
      </w:r>
      <w:proofErr w:type="gramEnd"/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As despesas correrão à conta das seguintes dotações orçamentárias, conforme Convênio nº 0311/2026: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Repasse SETU/PR (Concedente):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Unidade Orçamentária: 03700.3702.23.695.21.8376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Natureza de Despesa: 3340.4101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Fonte de Recursos: 500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b/>
          <w:bCs/>
          <w:sz w:val="20"/>
          <w:szCs w:val="20"/>
        </w:rPr>
        <w:t>Contrapartida do Município: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Classificação Funcional: 23.695.2201.2-052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Natureza de Despesa: 3.3.90.30.00.00 e 3.3.90.39.00.00</w:t>
      </w:r>
    </w:p>
    <w:p w:rsidR="00BE715A" w:rsidRPr="008A672D" w:rsidRDefault="00F972A4">
      <w:pPr>
        <w:pStyle w:val="PargrafodaLista"/>
        <w:numPr>
          <w:ilvl w:val="0"/>
          <w:numId w:val="1"/>
        </w:numPr>
        <w:spacing w:before="40" w:after="40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Fonte de Recursos: 000</w:t>
      </w:r>
    </w:p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8A672D" w:rsidRDefault="00F972A4">
      <w:pPr>
        <w:pStyle w:val="Ttulo3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11. DA MATRIZ DE RISCOS</w:t>
      </w:r>
    </w:p>
    <w:p w:rsidR="00BE715A" w:rsidRPr="008A672D" w:rsidRDefault="00F972A4">
      <w:pPr>
        <w:spacing w:before="60"/>
        <w:jc w:val="both"/>
        <w:rPr>
          <w:rFonts w:ascii="Bookman Old Style" w:hAnsi="Bookman Old Style"/>
          <w:sz w:val="20"/>
          <w:szCs w:val="20"/>
        </w:rPr>
      </w:pPr>
      <w:r w:rsidRPr="008A672D">
        <w:rPr>
          <w:rFonts w:ascii="Bookman Old Style" w:hAnsi="Bookman Old Style"/>
          <w:sz w:val="20"/>
          <w:szCs w:val="20"/>
        </w:rPr>
        <w:t>Apresenta-se a seguir a matriz de riscos identificados para a execução do objeto, conforme exigência do art. 22, §1º, da Lei nº 14.133/2021:</w:t>
      </w:r>
    </w:p>
    <w:tbl>
      <w:tblPr>
        <w:tblW w:w="9791" w:type="dxa"/>
        <w:tblInd w:w="134" w:type="dxa"/>
        <w:tblBorders>
          <w:top w:val="single" w:sz="1" w:space="0" w:color="D1D5DB"/>
          <w:left w:val="single" w:sz="1" w:space="0" w:color="D1D5DB"/>
          <w:bottom w:val="single" w:sz="1" w:space="0" w:color="D1D5DB"/>
          <w:right w:val="single" w:sz="1" w:space="0" w:color="D1D5DB"/>
          <w:insideH w:val="single" w:sz="1" w:space="0" w:color="D1D5DB"/>
          <w:insideV w:val="single" w:sz="1" w:space="0" w:color="D1D5DB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851"/>
        <w:gridCol w:w="1134"/>
        <w:gridCol w:w="1417"/>
        <w:gridCol w:w="993"/>
        <w:gridCol w:w="850"/>
        <w:gridCol w:w="1418"/>
        <w:gridCol w:w="1134"/>
        <w:gridCol w:w="1417"/>
      </w:tblGrid>
      <w:tr w:rsidR="00BE715A" w:rsidRPr="008A672D" w:rsidTr="00177898">
        <w:tc>
          <w:tcPr>
            <w:tcW w:w="57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Nº</w:t>
            </w:r>
          </w:p>
        </w:tc>
        <w:tc>
          <w:tcPr>
            <w:tcW w:w="85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Risco</w:t>
            </w:r>
          </w:p>
        </w:tc>
        <w:tc>
          <w:tcPr>
            <w:tcW w:w="1134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Descrição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Probabilidade</w:t>
            </w:r>
          </w:p>
        </w:tc>
        <w:tc>
          <w:tcPr>
            <w:tcW w:w="993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Impacto</w:t>
            </w:r>
          </w:p>
        </w:tc>
        <w:tc>
          <w:tcPr>
            <w:tcW w:w="850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Nível</w:t>
            </w:r>
          </w:p>
        </w:tc>
        <w:tc>
          <w:tcPr>
            <w:tcW w:w="141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Classificação</w:t>
            </w:r>
          </w:p>
        </w:tc>
        <w:tc>
          <w:tcPr>
            <w:tcW w:w="1134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Alocação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 w:rsidP="008A672D">
            <w:pPr>
              <w:spacing w:before="80" w:after="8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b/>
                <w:bCs/>
                <w:sz w:val="16"/>
                <w:szCs w:val="20"/>
              </w:rPr>
              <w:t>Medidas mitigadoras</w:t>
            </w:r>
          </w:p>
        </w:tc>
      </w:tr>
      <w:tr w:rsidR="00BE715A" w:rsidRPr="008A672D" w:rsidTr="00177898">
        <w:tc>
          <w:tcPr>
            <w:tcW w:w="57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proofErr w:type="gramStart"/>
            <w:r w:rsidRPr="008A672D">
              <w:rPr>
                <w:rFonts w:ascii="Bookman Old Style" w:hAnsi="Bookman Old Style"/>
                <w:sz w:val="16"/>
                <w:szCs w:val="20"/>
              </w:rPr>
              <w:t>1</w:t>
            </w:r>
            <w:proofErr w:type="gramEnd"/>
          </w:p>
        </w:tc>
        <w:tc>
          <w:tcPr>
            <w:tcW w:w="85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 xml:space="preserve">Atraso na </w:t>
            </w:r>
            <w:r w:rsidRPr="008A672D">
              <w:rPr>
                <w:rFonts w:ascii="Bookman Old Style" w:hAnsi="Bookman Old Style"/>
                <w:sz w:val="16"/>
                <w:szCs w:val="20"/>
              </w:rPr>
              <w:lastRenderedPageBreak/>
              <w:t>montagem da estrutura</w:t>
            </w:r>
          </w:p>
        </w:tc>
        <w:tc>
          <w:tcPr>
            <w:tcW w:w="1134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lastRenderedPageBreak/>
              <w:t xml:space="preserve">Não conclusão </w:t>
            </w:r>
            <w:r w:rsidRPr="008A672D">
              <w:rPr>
                <w:rFonts w:ascii="Bookman Old Style" w:hAnsi="Bookman Old Style"/>
                <w:sz w:val="16"/>
                <w:szCs w:val="20"/>
              </w:rPr>
              <w:lastRenderedPageBreak/>
              <w:t>da montagem até o início do evento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lastRenderedPageBreak/>
              <w:t>Média</w:t>
            </w:r>
          </w:p>
        </w:tc>
        <w:tc>
          <w:tcPr>
            <w:tcW w:w="993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Alto</w:t>
            </w:r>
          </w:p>
        </w:tc>
        <w:tc>
          <w:tcPr>
            <w:tcW w:w="850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Alto</w:t>
            </w:r>
          </w:p>
        </w:tc>
        <w:tc>
          <w:tcPr>
            <w:tcW w:w="141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Operacional</w:t>
            </w:r>
          </w:p>
        </w:tc>
        <w:tc>
          <w:tcPr>
            <w:tcW w:w="1134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Contratada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 xml:space="preserve">Exigir cronograma </w:t>
            </w:r>
            <w:r w:rsidRPr="008A672D">
              <w:rPr>
                <w:rFonts w:ascii="Bookman Old Style" w:hAnsi="Bookman Old Style"/>
                <w:sz w:val="16"/>
                <w:szCs w:val="20"/>
              </w:rPr>
              <w:lastRenderedPageBreak/>
              <w:t>detalhado, previsão de multa por atraso, vistoria prévia.</w:t>
            </w:r>
          </w:p>
        </w:tc>
      </w:tr>
      <w:tr w:rsidR="00BE715A" w:rsidRPr="008A672D" w:rsidTr="00177898">
        <w:tc>
          <w:tcPr>
            <w:tcW w:w="57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proofErr w:type="gramStart"/>
            <w:r w:rsidRPr="008A672D">
              <w:rPr>
                <w:rFonts w:ascii="Bookman Old Style" w:hAnsi="Bookman Old Style"/>
                <w:sz w:val="16"/>
                <w:szCs w:val="20"/>
              </w:rPr>
              <w:lastRenderedPageBreak/>
              <w:t>2</w:t>
            </w:r>
            <w:proofErr w:type="gramEnd"/>
          </w:p>
        </w:tc>
        <w:tc>
          <w:tcPr>
            <w:tcW w:w="85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Falha nos equipamentos de som/luz</w:t>
            </w:r>
          </w:p>
        </w:tc>
        <w:tc>
          <w:tcPr>
            <w:tcW w:w="1134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Defeito em equipamentos durante as apresentações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Média</w:t>
            </w:r>
          </w:p>
        </w:tc>
        <w:tc>
          <w:tcPr>
            <w:tcW w:w="993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Alto</w:t>
            </w:r>
          </w:p>
        </w:tc>
        <w:tc>
          <w:tcPr>
            <w:tcW w:w="850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Alto</w:t>
            </w:r>
          </w:p>
        </w:tc>
        <w:tc>
          <w:tcPr>
            <w:tcW w:w="141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Técnico</w:t>
            </w:r>
          </w:p>
        </w:tc>
        <w:tc>
          <w:tcPr>
            <w:tcW w:w="1134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Contratada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Exigir manutenção preventiva, backup de equipamentos, equipe técnica de reserva.</w:t>
            </w:r>
          </w:p>
        </w:tc>
      </w:tr>
      <w:tr w:rsidR="00BE715A" w:rsidRPr="008A672D" w:rsidTr="00177898">
        <w:tc>
          <w:tcPr>
            <w:tcW w:w="57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proofErr w:type="gramStart"/>
            <w:r w:rsidRPr="008A672D">
              <w:rPr>
                <w:rFonts w:ascii="Bookman Old Style" w:hAnsi="Bookman Old Style"/>
                <w:sz w:val="16"/>
                <w:szCs w:val="20"/>
              </w:rPr>
              <w:t>3</w:t>
            </w:r>
            <w:proofErr w:type="gramEnd"/>
          </w:p>
        </w:tc>
        <w:tc>
          <w:tcPr>
            <w:tcW w:w="85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Condições climáticas adversas</w:t>
            </w:r>
          </w:p>
        </w:tc>
        <w:tc>
          <w:tcPr>
            <w:tcW w:w="1134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Chuva ou ventos fortes impossibilitando atividades ao ar livre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Média</w:t>
            </w:r>
          </w:p>
        </w:tc>
        <w:tc>
          <w:tcPr>
            <w:tcW w:w="993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Médio</w:t>
            </w:r>
          </w:p>
        </w:tc>
        <w:tc>
          <w:tcPr>
            <w:tcW w:w="850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Médio</w:t>
            </w:r>
          </w:p>
        </w:tc>
        <w:tc>
          <w:tcPr>
            <w:tcW w:w="141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Ambiental</w:t>
            </w:r>
          </w:p>
        </w:tc>
        <w:tc>
          <w:tcPr>
            <w:tcW w:w="1134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Compartilhado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Prever plano de contingência (toldos, local coberto alternativo) e cláusula de reprogramação.</w:t>
            </w:r>
          </w:p>
        </w:tc>
      </w:tr>
      <w:tr w:rsidR="00BE715A" w:rsidRPr="008A672D" w:rsidTr="00177898">
        <w:tc>
          <w:tcPr>
            <w:tcW w:w="57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proofErr w:type="gramStart"/>
            <w:r w:rsidRPr="008A672D">
              <w:rPr>
                <w:rFonts w:ascii="Bookman Old Style" w:hAnsi="Bookman Old Style"/>
                <w:sz w:val="16"/>
                <w:szCs w:val="20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Divergência na emissão da Nota Fiscal em relação ao Plano de Trabalho</w:t>
            </w:r>
          </w:p>
        </w:tc>
        <w:tc>
          <w:tcPr>
            <w:tcW w:w="1134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NF com descrição genérica ou diferente do convênio, gerando glosa no SIT/</w:t>
            </w:r>
            <w:proofErr w:type="gramStart"/>
            <w:r w:rsidRPr="008A672D">
              <w:rPr>
                <w:rFonts w:ascii="Bookman Old Style" w:hAnsi="Bookman Old Style"/>
                <w:sz w:val="16"/>
                <w:szCs w:val="20"/>
              </w:rPr>
              <w:t>TCE-PR</w:t>
            </w:r>
            <w:proofErr w:type="gramEnd"/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Baixa</w:t>
            </w:r>
          </w:p>
        </w:tc>
        <w:tc>
          <w:tcPr>
            <w:tcW w:w="993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Muito Alto</w:t>
            </w:r>
          </w:p>
        </w:tc>
        <w:tc>
          <w:tcPr>
            <w:tcW w:w="850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Alto</w:t>
            </w:r>
          </w:p>
        </w:tc>
        <w:tc>
          <w:tcPr>
            <w:tcW w:w="141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Administrativo/Financeiro</w:t>
            </w:r>
          </w:p>
        </w:tc>
        <w:tc>
          <w:tcPr>
            <w:tcW w:w="1134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Contratada</w:t>
            </w:r>
          </w:p>
        </w:tc>
        <w:tc>
          <w:tcPr>
            <w:tcW w:w="1417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:rsidR="00BE715A" w:rsidRPr="008A672D" w:rsidRDefault="00F972A4">
            <w:pPr>
              <w:spacing w:before="60" w:after="60"/>
              <w:rPr>
                <w:rFonts w:ascii="Bookman Old Style" w:hAnsi="Bookman Old Style"/>
                <w:sz w:val="16"/>
                <w:szCs w:val="20"/>
              </w:rPr>
            </w:pPr>
            <w:r w:rsidRPr="008A672D">
              <w:rPr>
                <w:rFonts w:ascii="Bookman Old Style" w:hAnsi="Bookman Old Style"/>
                <w:sz w:val="16"/>
                <w:szCs w:val="20"/>
              </w:rPr>
              <w:t>Incluir obrigação contratual expressa (item 5.1), reter pagamento até correção, aplicar multa.</w:t>
            </w:r>
          </w:p>
        </w:tc>
      </w:tr>
    </w:tbl>
    <w:p w:rsidR="00BE715A" w:rsidRPr="008A672D" w:rsidRDefault="00BE715A">
      <w:pPr>
        <w:pBdr>
          <w:bottom w:val="single" w:sz="6" w:space="0" w:color="CCCCCC"/>
        </w:pBdr>
        <w:spacing w:before="200" w:after="200"/>
        <w:rPr>
          <w:rFonts w:ascii="Bookman Old Style" w:hAnsi="Bookman Old Style"/>
          <w:sz w:val="20"/>
          <w:szCs w:val="20"/>
        </w:rPr>
      </w:pPr>
    </w:p>
    <w:p w:rsidR="00BE715A" w:rsidRPr="00177898" w:rsidRDefault="00F972A4">
      <w:pPr>
        <w:spacing w:before="60"/>
        <w:jc w:val="center"/>
        <w:rPr>
          <w:rFonts w:ascii="Bookman Old Style" w:hAnsi="Bookman Old Style"/>
          <w:sz w:val="20"/>
          <w:szCs w:val="20"/>
        </w:rPr>
      </w:pPr>
      <w:r w:rsidRPr="00177898">
        <w:rPr>
          <w:rFonts w:ascii="Bookman Old Style" w:hAnsi="Bookman Old Style"/>
          <w:sz w:val="20"/>
          <w:szCs w:val="20"/>
        </w:rPr>
        <w:t>Santo Antônio do Sudoeste – Paraná, 27 de maio de 2026.</w:t>
      </w:r>
    </w:p>
    <w:p w:rsidR="00BE715A" w:rsidRPr="008A672D" w:rsidRDefault="00BE715A">
      <w:pPr>
        <w:jc w:val="center"/>
        <w:rPr>
          <w:rFonts w:ascii="Bookman Old Style" w:hAnsi="Bookman Old Style"/>
          <w:sz w:val="20"/>
          <w:szCs w:val="20"/>
        </w:rPr>
      </w:pPr>
    </w:p>
    <w:p w:rsidR="00BE715A" w:rsidRDefault="00CF37F4" w:rsidP="008A672D">
      <w:pPr>
        <w:spacing w:before="60"/>
        <w:jc w:val="center"/>
        <w:rPr>
          <w:rFonts w:ascii="Bookman Old Style" w:hAnsi="Bookman Old Style"/>
          <w:b/>
          <w:sz w:val="20"/>
          <w:szCs w:val="20"/>
        </w:rPr>
      </w:pPr>
      <w:r w:rsidRPr="00CF37F4">
        <w:rPr>
          <w:rFonts w:ascii="Bookman Old Style" w:hAnsi="Bookman Old Style"/>
          <w:b/>
          <w:sz w:val="20"/>
          <w:szCs w:val="20"/>
        </w:rPr>
        <w:t>CRISTINA BONFLEUR</w:t>
      </w:r>
    </w:p>
    <w:p w:rsidR="00CF37F4" w:rsidRPr="008A672D" w:rsidRDefault="00CF37F4" w:rsidP="008A672D">
      <w:pPr>
        <w:spacing w:before="60"/>
        <w:jc w:val="center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Gestor</w:t>
      </w:r>
    </w:p>
    <w:sectPr w:rsidR="00CF37F4" w:rsidRPr="008A672D" w:rsidSect="008A672D">
      <w:headerReference w:type="default" r:id="rId8"/>
      <w:pgSz w:w="11906" w:h="16838"/>
      <w:pgMar w:top="1440" w:right="1080" w:bottom="144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F4E" w:rsidRDefault="00745F4E" w:rsidP="008A672D">
      <w:pPr>
        <w:spacing w:after="0" w:line="240" w:lineRule="auto"/>
      </w:pPr>
      <w:r>
        <w:separator/>
      </w:r>
    </w:p>
  </w:endnote>
  <w:endnote w:type="continuationSeparator" w:id="0">
    <w:p w:rsidR="00745F4E" w:rsidRDefault="00745F4E" w:rsidP="008A6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F4E" w:rsidRDefault="00745F4E" w:rsidP="008A672D">
      <w:pPr>
        <w:spacing w:after="0" w:line="240" w:lineRule="auto"/>
      </w:pPr>
      <w:r>
        <w:separator/>
      </w:r>
    </w:p>
  </w:footnote>
  <w:footnote w:type="continuationSeparator" w:id="0">
    <w:p w:rsidR="00745F4E" w:rsidRDefault="00745F4E" w:rsidP="008A6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F4E" w:rsidRDefault="00745F4E" w:rsidP="00745F4E">
    <w:pPr>
      <w:jc w:val="center"/>
      <w:rPr>
        <w:rFonts w:ascii="Bookman Old Style" w:hAnsi="Bookman Old Style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B7A26E3" wp14:editId="2832BB37">
          <wp:simplePos x="0" y="0"/>
          <wp:positionH relativeFrom="column">
            <wp:posOffset>35560</wp:posOffset>
          </wp:positionH>
          <wp:positionV relativeFrom="paragraph">
            <wp:posOffset>-83820</wp:posOffset>
          </wp:positionV>
          <wp:extent cx="932815" cy="847725"/>
          <wp:effectExtent l="0" t="0" r="635" b="9525"/>
          <wp:wrapNone/>
          <wp:docPr id="1" name="Imagem 1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hAnsi="Bookman Old Style"/>
        <w:b/>
      </w:rPr>
      <w:t>MUNICÍPIO DE SANTO ANTONIO DO SUDOESTE</w:t>
    </w:r>
  </w:p>
  <w:p w:rsidR="00745F4E" w:rsidRDefault="00745F4E" w:rsidP="00745F4E">
    <w:pPr>
      <w:jc w:val="center"/>
      <w:rPr>
        <w:rFonts w:ascii="Bookman Old Style" w:hAnsi="Bookman Old Style"/>
      </w:rPr>
    </w:pPr>
    <w:r>
      <w:rPr>
        <w:rFonts w:ascii="Bookman Old Style" w:hAnsi="Bookman Old Style"/>
      </w:rPr>
      <w:t>ESTADO DO PARANÁ</w:t>
    </w:r>
  </w:p>
  <w:p w:rsidR="00745F4E" w:rsidRDefault="00745F4E" w:rsidP="00745F4E">
    <w:pPr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w w:val="105"/>
        <w:sz w:val="16"/>
      </w:rPr>
      <w:t>Avenida Brasil,</w:t>
    </w:r>
    <w:r>
      <w:rPr>
        <w:rFonts w:ascii="Bookman Old Style" w:hAnsi="Bookman Old Style"/>
        <w:spacing w:val="-24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1431</w:t>
    </w:r>
    <w:r>
      <w:rPr>
        <w:rFonts w:ascii="Bookman Old Style" w:hAnsi="Bookman Old Style"/>
        <w:spacing w:val="-21"/>
        <w:w w:val="105"/>
        <w:sz w:val="16"/>
      </w:rPr>
      <w:t xml:space="preserve"> </w:t>
    </w:r>
    <w:r>
      <w:rPr>
        <w:rFonts w:ascii="Bookman Old Style" w:hAnsi="Bookman Old Style"/>
        <w:w w:val="110"/>
        <w:sz w:val="16"/>
      </w:rPr>
      <w:t>–centro–</w:t>
    </w:r>
    <w:r>
      <w:rPr>
        <w:rFonts w:ascii="Bookman Old Style" w:hAnsi="Bookman Old Style"/>
        <w:spacing w:val="-23"/>
        <w:w w:val="110"/>
        <w:sz w:val="16"/>
      </w:rPr>
      <w:t xml:space="preserve"> </w:t>
    </w:r>
    <w:r>
      <w:rPr>
        <w:rFonts w:ascii="Bookman Old Style" w:hAnsi="Bookman Old Style"/>
        <w:w w:val="105"/>
        <w:sz w:val="16"/>
      </w:rPr>
      <w:t>CEP</w:t>
    </w:r>
    <w:r>
      <w:rPr>
        <w:rFonts w:ascii="Bookman Old Style" w:hAnsi="Bookman Old Style"/>
        <w:spacing w:val="-23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85.710-</w:t>
    </w:r>
    <w:proofErr w:type="gramStart"/>
    <w:r>
      <w:rPr>
        <w:rFonts w:ascii="Bookman Old Style" w:hAnsi="Bookman Old Style"/>
        <w:w w:val="105"/>
        <w:sz w:val="16"/>
      </w:rPr>
      <w:t>000</w:t>
    </w:r>
    <w:proofErr w:type="gramEnd"/>
  </w:p>
  <w:p w:rsidR="00745F4E" w:rsidRDefault="00745F4E" w:rsidP="00745F4E">
    <w:pPr>
      <w:tabs>
        <w:tab w:val="center" w:pos="5042"/>
        <w:tab w:val="left" w:pos="8910"/>
      </w:tabs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sz w:val="16"/>
      </w:rPr>
      <w:t>CNPJ 75.927.582/0001-55</w:t>
    </w:r>
  </w:p>
  <w:p w:rsidR="00745F4E" w:rsidRDefault="00745F4E" w:rsidP="00745F4E">
    <w:pPr>
      <w:jc w:val="center"/>
    </w:pPr>
    <w:r>
      <w:rPr>
        <w:rFonts w:ascii="Bookman Old Style" w:hAnsi="Bookman Old Style"/>
        <w:sz w:val="16"/>
      </w:rPr>
      <w:t xml:space="preserve">E-mail: </w:t>
    </w:r>
    <w:hyperlink r:id="rId2" w:history="1">
      <w:r>
        <w:rPr>
          <w:rStyle w:val="Hyperlink"/>
          <w:rFonts w:ascii="Bookman Old Style" w:eastAsiaTheme="majorEastAsia" w:hAnsi="Bookman Old Style"/>
          <w:sz w:val="16"/>
        </w:rPr>
        <w:t xml:space="preserve">licitacao1@pmsas.pr.gov.br </w:t>
      </w:r>
    </w:hyperlink>
    <w:r>
      <w:rPr>
        <w:rStyle w:val="Hyperlink"/>
        <w:rFonts w:ascii="Bookman Old Style" w:eastAsiaTheme="majorEastAsia" w:hAnsi="Bookman Old Style"/>
        <w:sz w:val="16"/>
      </w:rPr>
      <w:t xml:space="preserve"> </w:t>
    </w:r>
    <w:r>
      <w:rPr>
        <w:rFonts w:ascii="Bookman Old Style" w:hAnsi="Bookman Old Style"/>
        <w:sz w:val="16"/>
      </w:rPr>
      <w:t>– Telefone: (46) 3563-8000</w:t>
    </w:r>
  </w:p>
  <w:p w:rsidR="00745F4E" w:rsidRDefault="00745F4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7F1"/>
    <w:multiLevelType w:val="hybridMultilevel"/>
    <w:tmpl w:val="640A740E"/>
    <w:lvl w:ilvl="0" w:tplc="C17AEA8A">
      <w:start w:val="1"/>
      <w:numFmt w:val="bullet"/>
      <w:lvlText w:val="●"/>
      <w:lvlJc w:val="left"/>
      <w:pPr>
        <w:ind w:left="720" w:hanging="360"/>
      </w:pPr>
    </w:lvl>
    <w:lvl w:ilvl="1" w:tplc="59FEDCE6">
      <w:start w:val="1"/>
      <w:numFmt w:val="bullet"/>
      <w:lvlText w:val="○"/>
      <w:lvlJc w:val="left"/>
      <w:pPr>
        <w:ind w:left="1440" w:hanging="360"/>
      </w:pPr>
    </w:lvl>
    <w:lvl w:ilvl="2" w:tplc="1B722F44">
      <w:start w:val="1"/>
      <w:numFmt w:val="bullet"/>
      <w:lvlText w:val="■"/>
      <w:lvlJc w:val="left"/>
      <w:pPr>
        <w:ind w:left="2160" w:hanging="360"/>
      </w:pPr>
    </w:lvl>
    <w:lvl w:ilvl="3" w:tplc="91B2CF92">
      <w:start w:val="1"/>
      <w:numFmt w:val="bullet"/>
      <w:lvlText w:val="●"/>
      <w:lvlJc w:val="left"/>
      <w:pPr>
        <w:ind w:left="2880" w:hanging="360"/>
      </w:pPr>
    </w:lvl>
    <w:lvl w:ilvl="4" w:tplc="CD3ABD02">
      <w:start w:val="1"/>
      <w:numFmt w:val="bullet"/>
      <w:lvlText w:val="○"/>
      <w:lvlJc w:val="left"/>
      <w:pPr>
        <w:ind w:left="3600" w:hanging="360"/>
      </w:pPr>
    </w:lvl>
    <w:lvl w:ilvl="5" w:tplc="9912AFBC">
      <w:start w:val="1"/>
      <w:numFmt w:val="bullet"/>
      <w:lvlText w:val="■"/>
      <w:lvlJc w:val="left"/>
      <w:pPr>
        <w:ind w:left="4320" w:hanging="360"/>
      </w:pPr>
    </w:lvl>
    <w:lvl w:ilvl="6" w:tplc="4386F048">
      <w:start w:val="1"/>
      <w:numFmt w:val="bullet"/>
      <w:lvlText w:val="●"/>
      <w:lvlJc w:val="left"/>
      <w:pPr>
        <w:ind w:left="5040" w:hanging="360"/>
      </w:pPr>
    </w:lvl>
    <w:lvl w:ilvl="7" w:tplc="B7F22F48">
      <w:start w:val="1"/>
      <w:numFmt w:val="bullet"/>
      <w:lvlText w:val="●"/>
      <w:lvlJc w:val="left"/>
      <w:pPr>
        <w:ind w:left="5760" w:hanging="360"/>
      </w:pPr>
    </w:lvl>
    <w:lvl w:ilvl="8" w:tplc="53C66434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3A836C70"/>
    <w:multiLevelType w:val="hybridMultilevel"/>
    <w:tmpl w:val="B7A492BA"/>
    <w:lvl w:ilvl="0" w:tplc="68749C42">
      <w:start w:val="1"/>
      <w:numFmt w:val="decimal"/>
      <w:lvlText w:val="%1."/>
      <w:lvlJc w:val="left"/>
      <w:pPr>
        <w:ind w:left="720" w:hanging="360"/>
      </w:pPr>
    </w:lvl>
    <w:lvl w:ilvl="1" w:tplc="13F89506">
      <w:numFmt w:val="decimal"/>
      <w:lvlText w:val=""/>
      <w:lvlJc w:val="left"/>
    </w:lvl>
    <w:lvl w:ilvl="2" w:tplc="B53C6BBC">
      <w:numFmt w:val="decimal"/>
      <w:lvlText w:val=""/>
      <w:lvlJc w:val="left"/>
    </w:lvl>
    <w:lvl w:ilvl="3" w:tplc="71EAACD6">
      <w:numFmt w:val="decimal"/>
      <w:lvlText w:val=""/>
      <w:lvlJc w:val="left"/>
    </w:lvl>
    <w:lvl w:ilvl="4" w:tplc="3B988294">
      <w:numFmt w:val="decimal"/>
      <w:lvlText w:val=""/>
      <w:lvlJc w:val="left"/>
    </w:lvl>
    <w:lvl w:ilvl="5" w:tplc="F8742094">
      <w:numFmt w:val="decimal"/>
      <w:lvlText w:val=""/>
      <w:lvlJc w:val="left"/>
    </w:lvl>
    <w:lvl w:ilvl="6" w:tplc="540A7132">
      <w:numFmt w:val="decimal"/>
      <w:lvlText w:val=""/>
      <w:lvlJc w:val="left"/>
    </w:lvl>
    <w:lvl w:ilvl="7" w:tplc="F70E8B9A">
      <w:numFmt w:val="decimal"/>
      <w:lvlText w:val=""/>
      <w:lvlJc w:val="left"/>
    </w:lvl>
    <w:lvl w:ilvl="8" w:tplc="3A1CBA18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E715A"/>
    <w:rsid w:val="00177898"/>
    <w:rsid w:val="001F2691"/>
    <w:rsid w:val="003F160E"/>
    <w:rsid w:val="0065207D"/>
    <w:rsid w:val="00745F4E"/>
    <w:rsid w:val="008A672D"/>
    <w:rsid w:val="009C166D"/>
    <w:rsid w:val="00B8428F"/>
    <w:rsid w:val="00BE715A"/>
    <w:rsid w:val="00CF37F4"/>
    <w:rsid w:val="00F211F0"/>
    <w:rsid w:val="00F9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spacing w:before="480" w:after="240"/>
      <w:outlineLvl w:val="0"/>
    </w:pPr>
    <w:rPr>
      <w:b/>
      <w:bCs/>
      <w:sz w:val="52"/>
      <w:szCs w:val="52"/>
    </w:rPr>
  </w:style>
  <w:style w:type="paragraph" w:styleId="Ttulo2">
    <w:name w:val="heading 2"/>
    <w:qFormat/>
    <w:pPr>
      <w:spacing w:before="360" w:after="180"/>
      <w:outlineLvl w:val="1"/>
    </w:pPr>
    <w:rPr>
      <w:b/>
      <w:bCs/>
      <w:sz w:val="36"/>
      <w:szCs w:val="36"/>
    </w:rPr>
  </w:style>
  <w:style w:type="paragraph" w:styleId="Ttulo3">
    <w:name w:val="heading 3"/>
    <w:qFormat/>
    <w:pPr>
      <w:spacing w:before="240"/>
      <w:outlineLvl w:val="2"/>
    </w:pPr>
    <w:rPr>
      <w:b/>
      <w:bCs/>
      <w:sz w:val="28"/>
      <w:szCs w:val="28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8A67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672D"/>
  </w:style>
  <w:style w:type="paragraph" w:styleId="Rodap">
    <w:name w:val="footer"/>
    <w:basedOn w:val="Normal"/>
    <w:link w:val="RodapChar"/>
    <w:uiPriority w:val="99"/>
    <w:unhideWhenUsed/>
    <w:rsid w:val="008A67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67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spacing w:before="480" w:after="240"/>
      <w:outlineLvl w:val="0"/>
    </w:pPr>
    <w:rPr>
      <w:b/>
      <w:bCs/>
      <w:sz w:val="52"/>
      <w:szCs w:val="52"/>
    </w:rPr>
  </w:style>
  <w:style w:type="paragraph" w:styleId="Ttulo2">
    <w:name w:val="heading 2"/>
    <w:qFormat/>
    <w:pPr>
      <w:spacing w:before="360" w:after="180"/>
      <w:outlineLvl w:val="1"/>
    </w:pPr>
    <w:rPr>
      <w:b/>
      <w:bCs/>
      <w:sz w:val="36"/>
      <w:szCs w:val="36"/>
    </w:rPr>
  </w:style>
  <w:style w:type="paragraph" w:styleId="Ttulo3">
    <w:name w:val="heading 3"/>
    <w:qFormat/>
    <w:pPr>
      <w:spacing w:before="240"/>
      <w:outlineLvl w:val="2"/>
    </w:pPr>
    <w:rPr>
      <w:b/>
      <w:bCs/>
      <w:sz w:val="28"/>
      <w:szCs w:val="28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8A67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672D"/>
  </w:style>
  <w:style w:type="paragraph" w:styleId="Rodap">
    <w:name w:val="footer"/>
    <w:basedOn w:val="Normal"/>
    <w:link w:val="RodapChar"/>
    <w:uiPriority w:val="99"/>
    <w:unhideWhenUsed/>
    <w:rsid w:val="008A67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6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1@pmsas.pr.gov.br%2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1488</Words>
  <Characters>8038</Characters>
  <Application>Microsoft Office Word</Application>
  <DocSecurity>0</DocSecurity>
  <Lines>66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Licitação</cp:lastModifiedBy>
  <cp:revision>8</cp:revision>
  <dcterms:created xsi:type="dcterms:W3CDTF">2026-05-27T19:53:00Z</dcterms:created>
  <dcterms:modified xsi:type="dcterms:W3CDTF">2026-05-28T17:14:00Z</dcterms:modified>
</cp:coreProperties>
</file>