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7F1" w:rsidRPr="00851B29" w:rsidRDefault="00187E01" w:rsidP="00B134B3">
      <w:pPr>
        <w:spacing w:before="60"/>
        <w:jc w:val="center"/>
        <w:rPr>
          <w:rFonts w:ascii="Bookman Old Style" w:hAnsi="Bookman Old Style"/>
          <w:sz w:val="20"/>
          <w:szCs w:val="20"/>
        </w:rPr>
      </w:pPr>
      <w:r w:rsidRPr="00851B29">
        <w:rPr>
          <w:rFonts w:ascii="Bookman Old Style" w:hAnsi="Bookman Old Style"/>
          <w:b/>
          <w:bCs/>
          <w:color w:val="1A1A1A"/>
          <w:sz w:val="20"/>
          <w:szCs w:val="20"/>
        </w:rPr>
        <w:t>TERMO DE REFERÊNCIA</w:t>
      </w:r>
    </w:p>
    <w:p w:rsidR="006657F1" w:rsidRPr="00851B29" w:rsidRDefault="00187E01" w:rsidP="00851B29">
      <w:pPr>
        <w:spacing w:before="60"/>
        <w:jc w:val="center"/>
        <w:rPr>
          <w:rFonts w:ascii="Bookman Old Style" w:hAnsi="Bookman Old Style"/>
          <w:sz w:val="20"/>
          <w:szCs w:val="20"/>
        </w:rPr>
      </w:pPr>
      <w:r w:rsidRPr="00851B29">
        <w:rPr>
          <w:rFonts w:ascii="Bookman Old Style" w:hAnsi="Bookman Old Style"/>
          <w:sz w:val="20"/>
          <w:szCs w:val="20"/>
        </w:rPr>
        <w:t>Art. 6º, inciso XXIII, alíneas 'a' a 'j', da Lei nº 14.133/2021.</w:t>
      </w:r>
    </w:p>
    <w:p w:rsidR="006657F1" w:rsidRPr="00851B29" w:rsidRDefault="00187E01">
      <w:pPr>
        <w:pStyle w:val="Ttulo2"/>
        <w:rPr>
          <w:rFonts w:ascii="Bookman Old Style" w:hAnsi="Bookman Old Style"/>
          <w:sz w:val="20"/>
          <w:szCs w:val="20"/>
        </w:rPr>
      </w:pPr>
      <w:r w:rsidRPr="00851B29">
        <w:rPr>
          <w:rFonts w:ascii="Bookman Old Style" w:hAnsi="Bookman Old Style"/>
          <w:sz w:val="20"/>
          <w:szCs w:val="20"/>
        </w:rPr>
        <w:t>INTRODUÇÃO</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sz w:val="20"/>
          <w:szCs w:val="20"/>
        </w:rPr>
        <w:t xml:space="preserve">A Festa do Padroeiro </w:t>
      </w:r>
      <w:r w:rsidRPr="00851B29">
        <w:rPr>
          <w:rFonts w:ascii="Bookman Old Style" w:hAnsi="Bookman Old Style"/>
          <w:b/>
          <w:bCs/>
          <w:sz w:val="20"/>
          <w:szCs w:val="20"/>
        </w:rPr>
        <w:t>Santo Antônio de Pádua</w:t>
      </w:r>
      <w:r w:rsidRPr="00851B29">
        <w:rPr>
          <w:rFonts w:ascii="Bookman Old Style" w:hAnsi="Bookman Old Style"/>
          <w:sz w:val="20"/>
          <w:szCs w:val="20"/>
        </w:rPr>
        <w:t xml:space="preserve"> constitui o mais relevante evento cultural e religioso do Município de </w:t>
      </w:r>
      <w:r w:rsidRPr="00851B29">
        <w:rPr>
          <w:rFonts w:ascii="Bookman Old Style" w:hAnsi="Bookman Old Style"/>
          <w:b/>
          <w:bCs/>
          <w:sz w:val="20"/>
          <w:szCs w:val="20"/>
        </w:rPr>
        <w:t>Santo Antônio do Sudoeste/PR</w:t>
      </w:r>
      <w:r w:rsidRPr="00851B29">
        <w:rPr>
          <w:rFonts w:ascii="Bookman Old Style" w:hAnsi="Bookman Old Style"/>
          <w:sz w:val="20"/>
          <w:szCs w:val="20"/>
        </w:rPr>
        <w:t xml:space="preserve">, reunindo anualmente milhares de fiéis, turistas e moradores em celebrações que incluem missas campais, shows artísticos, apresentações culturais e atividades de confraternização. Para garantir a ampla visibilidade e a participação do público em todas as atrações, especialmente nos momentos de grande concentração, torna-se indispensável </w:t>
      </w:r>
      <w:proofErr w:type="gramStart"/>
      <w:r w:rsidRPr="00851B29">
        <w:rPr>
          <w:rFonts w:ascii="Bookman Old Style" w:hAnsi="Bookman Old Style"/>
          <w:sz w:val="20"/>
          <w:szCs w:val="20"/>
        </w:rPr>
        <w:t>a</w:t>
      </w:r>
      <w:proofErr w:type="gramEnd"/>
      <w:r w:rsidRPr="00851B29">
        <w:rPr>
          <w:rFonts w:ascii="Bookman Old Style" w:hAnsi="Bookman Old Style"/>
          <w:sz w:val="20"/>
          <w:szCs w:val="20"/>
        </w:rPr>
        <w:t xml:space="preserve"> utilização de recursos visuais de alta tecnologia, notadamente painéis de LED de grande porte, capazes de transmitir em tempo real as imagens das celebrações e apresentações com nitidez e alcance adequados.</w:t>
      </w:r>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sz w:val="20"/>
          <w:szCs w:val="20"/>
        </w:rPr>
        <w:t xml:space="preserve">A presente contratação está vinculada ao </w:t>
      </w:r>
      <w:r w:rsidRPr="00851B29">
        <w:rPr>
          <w:rFonts w:ascii="Bookman Old Style" w:hAnsi="Bookman Old Style"/>
          <w:b/>
          <w:bCs/>
          <w:sz w:val="20"/>
          <w:szCs w:val="20"/>
        </w:rPr>
        <w:t>Convênio nº 0311/2026</w:t>
      </w:r>
      <w:r w:rsidRPr="00851B29">
        <w:rPr>
          <w:rFonts w:ascii="Bookman Old Style" w:hAnsi="Bookman Old Style"/>
          <w:sz w:val="20"/>
          <w:szCs w:val="20"/>
        </w:rPr>
        <w:t xml:space="preserve">, firmado entre este Município e a </w:t>
      </w:r>
      <w:r w:rsidRPr="00851B29">
        <w:rPr>
          <w:rFonts w:ascii="Bookman Old Style" w:hAnsi="Bookman Old Style"/>
          <w:b/>
          <w:bCs/>
          <w:sz w:val="20"/>
          <w:szCs w:val="20"/>
        </w:rPr>
        <w:t>Secretaria de Estado do Turismo do Paraná (SETU/PR)</w:t>
      </w:r>
      <w:r w:rsidRPr="00851B29">
        <w:rPr>
          <w:rFonts w:ascii="Bookman Old Style" w:hAnsi="Bookman Old Style"/>
          <w:sz w:val="20"/>
          <w:szCs w:val="20"/>
        </w:rPr>
        <w:t xml:space="preserve">, por meio do programa </w:t>
      </w:r>
      <w:r w:rsidRPr="00851B29">
        <w:rPr>
          <w:rFonts w:ascii="Bookman Old Style" w:hAnsi="Bookman Old Style"/>
          <w:b/>
          <w:bCs/>
          <w:sz w:val="20"/>
          <w:szCs w:val="20"/>
        </w:rPr>
        <w:t>"Paraná Mais Eventos"</w:t>
      </w:r>
      <w:r w:rsidRPr="00851B29">
        <w:rPr>
          <w:rFonts w:ascii="Bookman Old Style" w:hAnsi="Bookman Old Style"/>
          <w:sz w:val="20"/>
          <w:szCs w:val="20"/>
        </w:rPr>
        <w:t>, conforme Protocolo nº 25.554.718-1. O Termo de Referência ora elaborado atende aos requisitos do art. 6º, inciso XXIII, da Lei nº 14.133/2021, e subsidiará o procedimento licitatório para a escolha da proposta mais vantajosa à Administração Pública.</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1. DEFINIÇÃO DO OBJETO (Art. 6º, inciso XXIII, alínea 'a',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1.1.</w:t>
      </w:r>
      <w:r w:rsidRPr="00851B29">
        <w:rPr>
          <w:rFonts w:ascii="Bookman Old Style" w:hAnsi="Bookman Old Style"/>
          <w:sz w:val="20"/>
          <w:szCs w:val="20"/>
        </w:rPr>
        <w:t xml:space="preserve"> Constitui objeto do presente Termo de Referência </w:t>
      </w:r>
      <w:proofErr w:type="gramStart"/>
      <w:r w:rsidRPr="00851B29">
        <w:rPr>
          <w:rFonts w:ascii="Bookman Old Style" w:hAnsi="Bookman Old Style"/>
          <w:sz w:val="20"/>
          <w:szCs w:val="20"/>
        </w:rPr>
        <w:t>a</w:t>
      </w:r>
      <w:proofErr w:type="gramEnd"/>
      <w:r w:rsidRPr="00851B29">
        <w:rPr>
          <w:rFonts w:ascii="Bookman Old Style" w:hAnsi="Bookman Old Style"/>
          <w:sz w:val="20"/>
          <w:szCs w:val="20"/>
        </w:rPr>
        <w:t xml:space="preserve"> </w:t>
      </w:r>
      <w:r w:rsidRPr="00851B29">
        <w:rPr>
          <w:rFonts w:ascii="Bookman Old Style" w:hAnsi="Bookman Old Style"/>
          <w:b/>
          <w:bCs/>
          <w:sz w:val="20"/>
          <w:szCs w:val="20"/>
        </w:rPr>
        <w:t>contratação de empresa especializada para o fornecimento (locação, transporte, montagem, operação, desmontagem e suporte técnico) de painel de LED</w:t>
      </w:r>
      <w:r w:rsidRPr="00851B29">
        <w:rPr>
          <w:rFonts w:ascii="Bookman Old Style" w:hAnsi="Bookman Old Style"/>
          <w:sz w:val="20"/>
          <w:szCs w:val="20"/>
        </w:rPr>
        <w:t xml:space="preserve">, totalizando </w:t>
      </w:r>
      <w:r w:rsidRPr="00851B29">
        <w:rPr>
          <w:rFonts w:ascii="Bookman Old Style" w:hAnsi="Bookman Old Style"/>
          <w:b/>
          <w:bCs/>
          <w:sz w:val="20"/>
          <w:szCs w:val="20"/>
        </w:rPr>
        <w:t>30 metros quadrados (m²)</w:t>
      </w:r>
      <w:r w:rsidRPr="00851B29">
        <w:rPr>
          <w:rFonts w:ascii="Bookman Old Style" w:hAnsi="Bookman Old Style"/>
          <w:sz w:val="20"/>
          <w:szCs w:val="20"/>
        </w:rPr>
        <w:t xml:space="preserve"> de área útil de exibição, destinado à </w:t>
      </w:r>
      <w:r w:rsidRPr="00851B29">
        <w:rPr>
          <w:rFonts w:ascii="Bookman Old Style" w:hAnsi="Bookman Old Style"/>
          <w:b/>
          <w:bCs/>
          <w:sz w:val="20"/>
          <w:szCs w:val="20"/>
        </w:rPr>
        <w:t>Festa do Padroeiro Santo Antônio de Pádua</w:t>
      </w:r>
      <w:r w:rsidRPr="00851B29">
        <w:rPr>
          <w:rFonts w:ascii="Bookman Old Style" w:hAnsi="Bookman Old Style"/>
          <w:sz w:val="20"/>
          <w:szCs w:val="20"/>
        </w:rPr>
        <w:t xml:space="preserve">, a realizar-se nos dias </w:t>
      </w:r>
      <w:r w:rsidRPr="00851B29">
        <w:rPr>
          <w:rFonts w:ascii="Bookman Old Style" w:hAnsi="Bookman Old Style"/>
          <w:b/>
          <w:bCs/>
          <w:sz w:val="20"/>
          <w:szCs w:val="20"/>
        </w:rPr>
        <w:t>3, 4, 5, 6 e 14 de junho de 2026</w:t>
      </w:r>
      <w:r w:rsidRPr="00851B29">
        <w:rPr>
          <w:rFonts w:ascii="Bookman Old Style" w:hAnsi="Bookman Old Style"/>
          <w:sz w:val="20"/>
          <w:szCs w:val="20"/>
        </w:rPr>
        <w:t>, no Município de Santo Antônio do Sudoeste/PR.</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1.2. Prazo contratual:</w:t>
      </w:r>
      <w:r w:rsidRPr="00851B29">
        <w:rPr>
          <w:rFonts w:ascii="Bookman Old Style" w:hAnsi="Bookman Old Style"/>
          <w:sz w:val="20"/>
          <w:szCs w:val="20"/>
        </w:rPr>
        <w:t xml:space="preserve"> A vigência do contrato terá início na data de sua assinatura e se estenderá até o recebimento definitivo do objeto, com prazo de execução estrito aos dias do evento (3, 4, 5, 6 e 14 de junho de 2026). A montagem dos equipamentos deverá estar concluída e testada até o dia </w:t>
      </w:r>
      <w:r w:rsidRPr="00851B29">
        <w:rPr>
          <w:rFonts w:ascii="Bookman Old Style" w:hAnsi="Bookman Old Style"/>
          <w:b/>
          <w:bCs/>
          <w:sz w:val="20"/>
          <w:szCs w:val="20"/>
        </w:rPr>
        <w:t>2 de junho de 2026</w:t>
      </w:r>
      <w:r w:rsidRPr="00851B29">
        <w:rPr>
          <w:rFonts w:ascii="Bookman Old Style" w:hAnsi="Bookman Old Style"/>
          <w:sz w:val="20"/>
          <w:szCs w:val="20"/>
        </w:rPr>
        <w:t xml:space="preserve">, </w:t>
      </w:r>
      <w:proofErr w:type="gramStart"/>
      <w:r w:rsidRPr="00851B29">
        <w:rPr>
          <w:rFonts w:ascii="Bookman Old Style" w:hAnsi="Bookman Old Style"/>
          <w:sz w:val="20"/>
          <w:szCs w:val="20"/>
        </w:rPr>
        <w:t>sob pena</w:t>
      </w:r>
      <w:proofErr w:type="gramEnd"/>
      <w:r w:rsidRPr="00851B29">
        <w:rPr>
          <w:rFonts w:ascii="Bookman Old Style" w:hAnsi="Bookman Old Style"/>
          <w:sz w:val="20"/>
          <w:szCs w:val="20"/>
        </w:rPr>
        <w:t xml:space="preserve"> de aplicação das sanções contratuais.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1.3. Tabela descritiva do objeto:</w:t>
      </w:r>
    </w:p>
    <w:tbl>
      <w:tblPr>
        <w:tblW w:w="9791" w:type="dxa"/>
        <w:tblInd w:w="134" w:type="dxa"/>
        <w:tblBorders>
          <w:top w:val="single" w:sz="1" w:space="0" w:color="D1D5DB"/>
          <w:left w:val="single" w:sz="1" w:space="0" w:color="D1D5DB"/>
          <w:bottom w:val="single" w:sz="1" w:space="0" w:color="D1D5DB"/>
          <w:right w:val="single" w:sz="1" w:space="0" w:color="D1D5DB"/>
          <w:insideH w:val="single" w:sz="1" w:space="0" w:color="D1D5DB"/>
          <w:insideV w:val="single" w:sz="1" w:space="0" w:color="D1D5DB"/>
        </w:tblBorders>
        <w:tblLayout w:type="fixed"/>
        <w:tblCellMar>
          <w:left w:w="10" w:type="dxa"/>
          <w:right w:w="10" w:type="dxa"/>
        </w:tblCellMar>
        <w:tblLook w:val="04A0" w:firstRow="1" w:lastRow="0" w:firstColumn="1" w:lastColumn="0" w:noHBand="0" w:noVBand="1"/>
      </w:tblPr>
      <w:tblGrid>
        <w:gridCol w:w="719"/>
        <w:gridCol w:w="284"/>
        <w:gridCol w:w="708"/>
        <w:gridCol w:w="2835"/>
        <w:gridCol w:w="1418"/>
        <w:gridCol w:w="992"/>
        <w:gridCol w:w="1418"/>
        <w:gridCol w:w="1417"/>
      </w:tblGrid>
      <w:tr w:rsidR="00797B36" w:rsidRPr="00851B29" w:rsidTr="00436432">
        <w:tc>
          <w:tcPr>
            <w:tcW w:w="719"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Item</w:t>
            </w:r>
          </w:p>
        </w:tc>
        <w:tc>
          <w:tcPr>
            <w:tcW w:w="992" w:type="dxa"/>
            <w:gridSpan w:val="2"/>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Código do produto/serviço</w:t>
            </w:r>
          </w:p>
        </w:tc>
        <w:tc>
          <w:tcPr>
            <w:tcW w:w="2835"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Nome do produto/serviço</w:t>
            </w:r>
          </w:p>
        </w:tc>
        <w:tc>
          <w:tcPr>
            <w:tcW w:w="1418"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Quantidade</w:t>
            </w:r>
          </w:p>
        </w:tc>
        <w:tc>
          <w:tcPr>
            <w:tcW w:w="992"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Unidade</w:t>
            </w:r>
          </w:p>
        </w:tc>
        <w:tc>
          <w:tcPr>
            <w:tcW w:w="1418"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Preço estimado unitário</w:t>
            </w:r>
          </w:p>
        </w:tc>
        <w:tc>
          <w:tcPr>
            <w:tcW w:w="1417"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797B36">
            <w:pPr>
              <w:spacing w:before="80" w:after="80"/>
              <w:rPr>
                <w:rFonts w:ascii="Bookman Old Style" w:hAnsi="Bookman Old Style"/>
                <w:sz w:val="16"/>
                <w:szCs w:val="20"/>
              </w:rPr>
            </w:pPr>
            <w:r w:rsidRPr="00851B29">
              <w:rPr>
                <w:rFonts w:ascii="Bookman Old Style" w:hAnsi="Bookman Old Style"/>
                <w:b/>
                <w:bCs/>
                <w:sz w:val="16"/>
                <w:szCs w:val="20"/>
              </w:rPr>
              <w:t>Preço máximo total</w:t>
            </w:r>
          </w:p>
        </w:tc>
      </w:tr>
      <w:tr w:rsidR="00851B29" w:rsidRPr="00851B29" w:rsidTr="00436432">
        <w:tc>
          <w:tcPr>
            <w:tcW w:w="71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20"/>
              </w:rPr>
            </w:pPr>
            <w:r w:rsidRPr="00851B29">
              <w:rPr>
                <w:rFonts w:ascii="Bookman Old Style" w:hAnsi="Bookman Old Style"/>
                <w:sz w:val="16"/>
                <w:szCs w:val="20"/>
              </w:rPr>
              <w:t>01</w:t>
            </w:r>
          </w:p>
        </w:tc>
        <w:tc>
          <w:tcPr>
            <w:tcW w:w="992" w:type="dxa"/>
            <w:gridSpan w:val="2"/>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B134B3">
            <w:pPr>
              <w:spacing w:before="60" w:after="60"/>
              <w:rPr>
                <w:rFonts w:ascii="Bookman Old Style" w:hAnsi="Bookman Old Style"/>
                <w:sz w:val="16"/>
                <w:szCs w:val="20"/>
              </w:rPr>
            </w:pPr>
            <w:r>
              <w:rPr>
                <w:rFonts w:ascii="Bookman Old Style" w:hAnsi="Bookman Old Style"/>
                <w:sz w:val="16"/>
                <w:szCs w:val="20"/>
              </w:rPr>
              <w:t>30100</w:t>
            </w:r>
          </w:p>
        </w:tc>
        <w:tc>
          <w:tcPr>
            <w:tcW w:w="2835"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B134B3" w:rsidP="00937C2D">
            <w:pPr>
              <w:spacing w:before="60" w:after="60"/>
              <w:jc w:val="both"/>
              <w:rPr>
                <w:rFonts w:ascii="Bookman Old Style" w:hAnsi="Bookman Old Style"/>
                <w:sz w:val="16"/>
                <w:szCs w:val="20"/>
              </w:rPr>
            </w:pPr>
            <w:r>
              <w:rPr>
                <w:rFonts w:ascii="Bookman Old Style" w:hAnsi="Bookman Old Style"/>
                <w:sz w:val="16"/>
                <w:szCs w:val="20"/>
              </w:rPr>
              <w:t xml:space="preserve">Locação, transporte, montagem, </w:t>
            </w:r>
            <w:r w:rsidR="00187E01" w:rsidRPr="00851B29">
              <w:rPr>
                <w:rFonts w:ascii="Bookman Old Style" w:hAnsi="Bookman Old Style"/>
                <w:sz w:val="16"/>
                <w:szCs w:val="20"/>
              </w:rPr>
              <w:t>desmontagem e assistência técnica de painéis de LED cabeamento estruturado e distribuição elétrica segura, totalizando 30m</w:t>
            </w:r>
            <w:proofErr w:type="gramStart"/>
            <w:r w:rsidR="00187E01" w:rsidRPr="00851B29">
              <w:rPr>
                <w:rFonts w:ascii="Bookman Old Style" w:hAnsi="Bookman Old Style"/>
                <w:sz w:val="16"/>
                <w:szCs w:val="20"/>
              </w:rPr>
              <w:t>²</w:t>
            </w:r>
            <w:proofErr w:type="gramEnd"/>
            <w:r w:rsidR="00187E01" w:rsidRPr="00851B29">
              <w:rPr>
                <w:rFonts w:ascii="Bookman Old Style" w:hAnsi="Bookman Old Style"/>
                <w:sz w:val="16"/>
                <w:szCs w:val="20"/>
              </w:rPr>
              <w:t xml:space="preserve"> de área útil, para atendimento exclusivo da Festa do Padroeiro Santo Antônio de Pádua nos dias 3, 4, 5, 6 e 14 de junho de 2026.</w:t>
            </w:r>
          </w:p>
        </w:tc>
        <w:tc>
          <w:tcPr>
            <w:tcW w:w="1418"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20"/>
              </w:rPr>
            </w:pPr>
            <w:proofErr w:type="gramStart"/>
            <w:r w:rsidRPr="00851B29">
              <w:rPr>
                <w:rFonts w:ascii="Bookman Old Style" w:hAnsi="Bookman Old Style"/>
                <w:sz w:val="16"/>
                <w:szCs w:val="20"/>
              </w:rPr>
              <w:t>1</w:t>
            </w:r>
            <w:proofErr w:type="gramEnd"/>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20"/>
              </w:rPr>
            </w:pPr>
            <w:r w:rsidRPr="00851B29">
              <w:rPr>
                <w:rFonts w:ascii="Bookman Old Style" w:hAnsi="Bookman Old Style"/>
                <w:sz w:val="16"/>
                <w:szCs w:val="20"/>
              </w:rPr>
              <w:t>SERV</w:t>
            </w:r>
          </w:p>
        </w:tc>
        <w:tc>
          <w:tcPr>
            <w:tcW w:w="1418"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rsidP="00797B36">
            <w:pPr>
              <w:spacing w:before="60" w:after="60"/>
              <w:rPr>
                <w:rFonts w:ascii="Bookman Old Style" w:hAnsi="Bookman Old Style"/>
                <w:sz w:val="16"/>
                <w:szCs w:val="20"/>
              </w:rPr>
            </w:pPr>
            <w:r w:rsidRPr="00851B29">
              <w:rPr>
                <w:rFonts w:ascii="Bookman Old Style" w:hAnsi="Bookman Old Style"/>
                <w:sz w:val="16"/>
                <w:szCs w:val="20"/>
              </w:rPr>
              <w:t xml:space="preserve">R$ </w:t>
            </w:r>
            <w:r w:rsidR="00797B36" w:rsidRPr="00851B29">
              <w:rPr>
                <w:rFonts w:ascii="Bookman Old Style" w:hAnsi="Bookman Old Style"/>
                <w:sz w:val="16"/>
                <w:szCs w:val="20"/>
              </w:rPr>
              <w:t>19.5</w:t>
            </w:r>
            <w:r w:rsidRPr="00851B29">
              <w:rPr>
                <w:rFonts w:ascii="Bookman Old Style" w:hAnsi="Bookman Old Style"/>
                <w:sz w:val="16"/>
                <w:szCs w:val="20"/>
              </w:rPr>
              <w:t>00,00</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rsidP="00797B36">
            <w:pPr>
              <w:spacing w:before="60" w:after="60"/>
              <w:rPr>
                <w:rFonts w:ascii="Bookman Old Style" w:hAnsi="Bookman Old Style"/>
                <w:sz w:val="16"/>
                <w:szCs w:val="20"/>
              </w:rPr>
            </w:pPr>
            <w:r w:rsidRPr="00851B29">
              <w:rPr>
                <w:rFonts w:ascii="Bookman Old Style" w:hAnsi="Bookman Old Style"/>
                <w:sz w:val="16"/>
                <w:szCs w:val="20"/>
              </w:rPr>
              <w:t xml:space="preserve">R$ </w:t>
            </w:r>
            <w:r w:rsidR="00797B36" w:rsidRPr="00851B29">
              <w:rPr>
                <w:rFonts w:ascii="Bookman Old Style" w:hAnsi="Bookman Old Style"/>
                <w:sz w:val="16"/>
                <w:szCs w:val="20"/>
              </w:rPr>
              <w:t>19.5</w:t>
            </w:r>
            <w:r w:rsidRPr="00851B29">
              <w:rPr>
                <w:rFonts w:ascii="Bookman Old Style" w:hAnsi="Bookman Old Style"/>
                <w:sz w:val="16"/>
                <w:szCs w:val="20"/>
              </w:rPr>
              <w:t>00,00</w:t>
            </w:r>
          </w:p>
        </w:tc>
      </w:tr>
      <w:tr w:rsidR="006657F1" w:rsidRPr="00851B29" w:rsidTr="00436432">
        <w:tc>
          <w:tcPr>
            <w:tcW w:w="1003" w:type="dxa"/>
            <w:gridSpan w:val="2"/>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20"/>
              </w:rPr>
            </w:pPr>
            <w:r w:rsidRPr="00851B29">
              <w:rPr>
                <w:rFonts w:ascii="Bookman Old Style" w:hAnsi="Bookman Old Style"/>
                <w:b/>
                <w:bCs/>
                <w:sz w:val="16"/>
                <w:szCs w:val="20"/>
              </w:rPr>
              <w:lastRenderedPageBreak/>
              <w:t>TOTAL</w:t>
            </w:r>
          </w:p>
        </w:tc>
        <w:tc>
          <w:tcPr>
            <w:tcW w:w="8788" w:type="dxa"/>
            <w:gridSpan w:val="6"/>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346F98" w:rsidP="00797B36">
            <w:pPr>
              <w:spacing w:before="60" w:after="60"/>
              <w:rPr>
                <w:rFonts w:ascii="Bookman Old Style" w:hAnsi="Bookman Old Style"/>
                <w:sz w:val="16"/>
                <w:szCs w:val="20"/>
              </w:rPr>
            </w:pPr>
            <w:r>
              <w:rPr>
                <w:rFonts w:ascii="Bookman Old Style" w:hAnsi="Bookman Old Style"/>
                <w:b/>
                <w:bCs/>
                <w:sz w:val="16"/>
                <w:szCs w:val="20"/>
              </w:rPr>
              <w:t xml:space="preserve">                                                                                                              </w:t>
            </w:r>
            <w:r w:rsidR="00436432">
              <w:rPr>
                <w:rFonts w:ascii="Bookman Old Style" w:hAnsi="Bookman Old Style"/>
                <w:b/>
                <w:bCs/>
                <w:sz w:val="16"/>
                <w:szCs w:val="20"/>
              </w:rPr>
              <w:t xml:space="preserve">                    </w:t>
            </w:r>
            <w:r>
              <w:rPr>
                <w:rFonts w:ascii="Bookman Old Style" w:hAnsi="Bookman Old Style"/>
                <w:b/>
                <w:bCs/>
                <w:sz w:val="16"/>
                <w:szCs w:val="20"/>
              </w:rPr>
              <w:t xml:space="preserve">   </w:t>
            </w:r>
            <w:r w:rsidR="00187E01" w:rsidRPr="00851B29">
              <w:rPr>
                <w:rFonts w:ascii="Bookman Old Style" w:hAnsi="Bookman Old Style"/>
                <w:b/>
                <w:bCs/>
                <w:sz w:val="16"/>
                <w:szCs w:val="20"/>
              </w:rPr>
              <w:t xml:space="preserve">R$ </w:t>
            </w:r>
            <w:r w:rsidR="00797B36" w:rsidRPr="00851B29">
              <w:rPr>
                <w:rFonts w:ascii="Bookman Old Style" w:hAnsi="Bookman Old Style"/>
                <w:b/>
                <w:bCs/>
                <w:sz w:val="16"/>
                <w:szCs w:val="20"/>
              </w:rPr>
              <w:t>19.5</w:t>
            </w:r>
            <w:r w:rsidR="00187E01" w:rsidRPr="00851B29">
              <w:rPr>
                <w:rFonts w:ascii="Bookman Old Style" w:hAnsi="Bookman Old Style"/>
                <w:b/>
                <w:bCs/>
                <w:sz w:val="16"/>
                <w:szCs w:val="20"/>
              </w:rPr>
              <w:t>00,00</w:t>
            </w:r>
          </w:p>
        </w:tc>
      </w:tr>
    </w:tbl>
    <w:p w:rsidR="006657F1" w:rsidRPr="00851B29" w:rsidRDefault="00187E01" w:rsidP="00797B36">
      <w:pPr>
        <w:spacing w:before="60"/>
        <w:rPr>
          <w:rFonts w:ascii="Bookman Old Style" w:hAnsi="Bookman Old Style"/>
          <w:sz w:val="20"/>
          <w:szCs w:val="20"/>
        </w:rPr>
      </w:pPr>
      <w:r w:rsidRPr="00851B29">
        <w:rPr>
          <w:rFonts w:ascii="Bookman Old Style" w:hAnsi="Bookman Old Style"/>
          <w:b/>
          <w:bCs/>
          <w:sz w:val="20"/>
          <w:szCs w:val="20"/>
        </w:rPr>
        <w:t>Nota:</w:t>
      </w:r>
      <w:r w:rsidRPr="00851B29">
        <w:rPr>
          <w:rFonts w:ascii="Bookman Old Style" w:hAnsi="Bookman Old Style"/>
          <w:sz w:val="20"/>
          <w:szCs w:val="20"/>
        </w:rPr>
        <w:t xml:space="preserve"> O valor estimado de </w:t>
      </w:r>
      <w:r w:rsidRPr="00851B29">
        <w:rPr>
          <w:rFonts w:ascii="Bookman Old Style" w:hAnsi="Bookman Old Style"/>
          <w:b/>
          <w:sz w:val="20"/>
          <w:szCs w:val="20"/>
        </w:rPr>
        <w:t>R$</w:t>
      </w:r>
      <w:r w:rsidRPr="00851B29">
        <w:rPr>
          <w:rFonts w:ascii="Bookman Old Style" w:hAnsi="Bookman Old Style"/>
          <w:sz w:val="20"/>
          <w:szCs w:val="20"/>
        </w:rPr>
        <w:t xml:space="preserve"> </w:t>
      </w:r>
      <w:r w:rsidR="00797B36" w:rsidRPr="00851B29">
        <w:rPr>
          <w:rFonts w:ascii="Bookman Old Style" w:hAnsi="Bookman Old Style"/>
          <w:b/>
          <w:bCs/>
          <w:sz w:val="20"/>
          <w:szCs w:val="20"/>
        </w:rPr>
        <w:t>19.500,00</w:t>
      </w:r>
      <w:r w:rsidR="00797B36" w:rsidRPr="00851B29">
        <w:rPr>
          <w:rFonts w:ascii="Bookman Old Style" w:hAnsi="Bookman Old Style"/>
          <w:sz w:val="20"/>
          <w:szCs w:val="20"/>
        </w:rPr>
        <w:t xml:space="preserve"> </w:t>
      </w:r>
      <w:r w:rsidRPr="00851B29">
        <w:rPr>
          <w:rFonts w:ascii="Bookman Old Style" w:hAnsi="Bookman Old Style"/>
          <w:sz w:val="20"/>
          <w:szCs w:val="20"/>
        </w:rPr>
        <w:t>(</w:t>
      </w:r>
      <w:r w:rsidR="00797B36" w:rsidRPr="00851B29">
        <w:rPr>
          <w:rFonts w:ascii="Bookman Old Style" w:hAnsi="Bookman Old Style"/>
          <w:sz w:val="20"/>
          <w:szCs w:val="20"/>
        </w:rPr>
        <w:t>Dezenove mil e quinhentos reais</w:t>
      </w:r>
      <w:r w:rsidRPr="00851B29">
        <w:rPr>
          <w:rFonts w:ascii="Bookman Old Style" w:hAnsi="Bookman Old Style"/>
          <w:sz w:val="20"/>
          <w:szCs w:val="20"/>
        </w:rPr>
        <w:t>) é compatível com o Convênio nº 0311/2026 e com as pesquisas de mercado realizadas, conforme memória de cálculo constante nos autos do processo administrativo.</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2. FUNDAMENTAÇÃO DA CONTRATAÇÃO (Art. 6º, inciso XXIII, alínea 'b',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2.1.</w:t>
      </w:r>
      <w:r w:rsidRPr="00851B29">
        <w:rPr>
          <w:rFonts w:ascii="Bookman Old Style" w:hAnsi="Bookman Old Style"/>
          <w:sz w:val="20"/>
          <w:szCs w:val="20"/>
        </w:rPr>
        <w:t xml:space="preserve"> A contratação proposta encontra fundamento no interesse público, na valorização da cultura e religiosidade locais e no fomento ao turismo regional. A Festa do Padroeiro Santo Antônio de Pádua atrai expressivo contingente de visitantes, estimado em mais de 15 mil pessoas nos dias de maior movimento, gerando impacto econômico positivo para o comércio, a hotelaria e a gastronomia do município e de cidades circunvizinhas.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2.2.</w:t>
      </w:r>
      <w:r w:rsidRPr="00851B29">
        <w:rPr>
          <w:rFonts w:ascii="Bookman Old Style" w:hAnsi="Bookman Old Style"/>
          <w:sz w:val="20"/>
          <w:szCs w:val="20"/>
        </w:rPr>
        <w:t xml:space="preserve"> A utilização de painéis de LED de alta definição (resolução </w:t>
      </w:r>
      <w:proofErr w:type="gramStart"/>
      <w:r w:rsidRPr="00851B29">
        <w:rPr>
          <w:rFonts w:ascii="Bookman Old Style" w:hAnsi="Bookman Old Style"/>
          <w:sz w:val="20"/>
          <w:szCs w:val="20"/>
        </w:rPr>
        <w:t>P3.</w:t>
      </w:r>
      <w:proofErr w:type="gramEnd"/>
      <w:r w:rsidRPr="00851B29">
        <w:rPr>
          <w:rFonts w:ascii="Bookman Old Style" w:hAnsi="Bookman Old Style"/>
          <w:sz w:val="20"/>
          <w:szCs w:val="20"/>
        </w:rPr>
        <w:t xml:space="preserve">91, brilho mínimo de 5.000 </w:t>
      </w:r>
      <w:proofErr w:type="spellStart"/>
      <w:r w:rsidRPr="00851B29">
        <w:rPr>
          <w:rFonts w:ascii="Bookman Old Style" w:hAnsi="Bookman Old Style"/>
          <w:sz w:val="20"/>
          <w:szCs w:val="20"/>
        </w:rPr>
        <w:t>nits</w:t>
      </w:r>
      <w:proofErr w:type="spellEnd"/>
      <w:r w:rsidRPr="00851B29">
        <w:rPr>
          <w:rFonts w:ascii="Bookman Old Style" w:hAnsi="Bookman Old Style"/>
          <w:sz w:val="20"/>
          <w:szCs w:val="20"/>
        </w:rPr>
        <w:t>) é indispensável para democratizar o acesso visual a todas as atrações, especialmente as missas campais e os shows que ocorrem em palco distante ou em horários de grande aglomeração. Ademais, os painéis servirão como canal de comunicação institucional para veiculação de mensagens de utilidade pública, orientações de segurança, programação do evento e informações turísticas, contribuindo para a organização e a segurança do evento.</w:t>
      </w:r>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b/>
          <w:bCs/>
          <w:sz w:val="20"/>
          <w:szCs w:val="20"/>
        </w:rPr>
        <w:t>2.3.</w:t>
      </w:r>
      <w:r w:rsidRPr="00851B29">
        <w:rPr>
          <w:rFonts w:ascii="Bookman Old Style" w:hAnsi="Bookman Old Style"/>
          <w:sz w:val="20"/>
          <w:szCs w:val="20"/>
        </w:rPr>
        <w:t xml:space="preserve"> A presente contratação está alinhada às diretrizes do </w:t>
      </w:r>
      <w:r w:rsidRPr="00851B29">
        <w:rPr>
          <w:rFonts w:ascii="Bookman Old Style" w:hAnsi="Bookman Old Style"/>
          <w:b/>
          <w:bCs/>
          <w:sz w:val="20"/>
          <w:szCs w:val="20"/>
        </w:rPr>
        <w:t>Convênio nº 0311/2026</w:t>
      </w:r>
      <w:r w:rsidRPr="00851B29">
        <w:rPr>
          <w:rFonts w:ascii="Bookman Old Style" w:hAnsi="Bookman Old Style"/>
          <w:sz w:val="20"/>
          <w:szCs w:val="20"/>
        </w:rPr>
        <w:t xml:space="preserve"> e ao Plano de Trabalho aprovado pela SETU/PR, que prevê a realização de eventos de grande porte como instrumento de desenvolvimento turístico e cultural do Estado do Paraná.</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3. DESCRIÇÃO DA SOLUÇÃO COMO UM TODO, CONSIDERADO O CICLO DE VIDA DO OBJETO E ESPECIFICAÇÃO DO PRODUTO (Art. 6º, inciso XXIII, alínea 'c',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3.1. Ciclo de vida do objeto:</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sz w:val="20"/>
          <w:szCs w:val="20"/>
        </w:rPr>
        <w:t>A solução abrange as seguintes fases: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a) Planejamento:</w:t>
      </w:r>
      <w:r w:rsidRPr="00851B29">
        <w:rPr>
          <w:rFonts w:ascii="Bookman Old Style" w:hAnsi="Bookman Old Style"/>
          <w:sz w:val="20"/>
          <w:szCs w:val="20"/>
        </w:rPr>
        <w:t xml:space="preserve"> Definição técnica dos equipamentos, elaboração do projeto de montagem estrutural, análise de capacidade elétrica e logística de transporte.</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b) Seleção do Fornecedor:</w:t>
      </w:r>
      <w:r w:rsidRPr="00851B29">
        <w:rPr>
          <w:rFonts w:ascii="Bookman Old Style" w:hAnsi="Bookman Old Style"/>
          <w:sz w:val="20"/>
          <w:szCs w:val="20"/>
        </w:rPr>
        <w:t xml:space="preserve"> Processo licitatório na modalidade Pregão Eletrônico, critério menor preço global.</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c) Mobilização e Montagem:</w:t>
      </w:r>
      <w:r w:rsidRPr="00851B29">
        <w:rPr>
          <w:rFonts w:ascii="Bookman Old Style" w:hAnsi="Bookman Old Style"/>
          <w:sz w:val="20"/>
          <w:szCs w:val="20"/>
        </w:rPr>
        <w:t xml:space="preserve"> Entrega dos painéis de LED, estrutura de </w:t>
      </w:r>
      <w:proofErr w:type="gramStart"/>
      <w:r w:rsidRPr="00851B29">
        <w:rPr>
          <w:rFonts w:ascii="Bookman Old Style" w:hAnsi="Bookman Old Style"/>
          <w:sz w:val="20"/>
          <w:szCs w:val="20"/>
        </w:rPr>
        <w:t>box</w:t>
      </w:r>
      <w:proofErr w:type="gramEnd"/>
      <w:r w:rsidRPr="00851B29">
        <w:rPr>
          <w:rFonts w:ascii="Bookman Old Style" w:hAnsi="Bookman Old Style"/>
          <w:sz w:val="20"/>
          <w:szCs w:val="20"/>
        </w:rPr>
        <w:t xml:space="preserve"> </w:t>
      </w:r>
      <w:proofErr w:type="spellStart"/>
      <w:r w:rsidRPr="00851B29">
        <w:rPr>
          <w:rFonts w:ascii="Bookman Old Style" w:hAnsi="Bookman Old Style"/>
          <w:sz w:val="20"/>
          <w:szCs w:val="20"/>
        </w:rPr>
        <w:t>truss</w:t>
      </w:r>
      <w:proofErr w:type="spellEnd"/>
      <w:r w:rsidRPr="00851B29">
        <w:rPr>
          <w:rFonts w:ascii="Bookman Old Style" w:hAnsi="Bookman Old Style"/>
          <w:sz w:val="20"/>
          <w:szCs w:val="20"/>
        </w:rPr>
        <w:t xml:space="preserve">, processadoras, cabos e gerador (se necessário) no local indicado pela Prefeitura. Montagem concluída e testada até </w:t>
      </w:r>
      <w:proofErr w:type="gramStart"/>
      <w:r w:rsidRPr="00851B29">
        <w:rPr>
          <w:rFonts w:ascii="Bookman Old Style" w:hAnsi="Bookman Old Style"/>
          <w:sz w:val="20"/>
          <w:szCs w:val="20"/>
        </w:rPr>
        <w:t>2</w:t>
      </w:r>
      <w:proofErr w:type="gramEnd"/>
      <w:r w:rsidRPr="00851B29">
        <w:rPr>
          <w:rFonts w:ascii="Bookman Old Style" w:hAnsi="Bookman Old Style"/>
          <w:sz w:val="20"/>
          <w:szCs w:val="20"/>
        </w:rPr>
        <w:t xml:space="preserve"> de junho de 2026.</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d) Operação:</w:t>
      </w:r>
      <w:r w:rsidRPr="00851B29">
        <w:rPr>
          <w:rFonts w:ascii="Bookman Old Style" w:hAnsi="Bookman Old Style"/>
          <w:sz w:val="20"/>
          <w:szCs w:val="20"/>
        </w:rPr>
        <w:t xml:space="preserve"> Suporte técnico presencial com pelo menos um técnico residente durante todo o período de funcionamento do evento (dias 3, 4, 5, 6 e 14 de junho de 2026), das 8h às 2h do dia seguinte, ou conforme programação das atrações.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e) Desmobilização:</w:t>
      </w:r>
      <w:r w:rsidRPr="00851B29">
        <w:rPr>
          <w:rFonts w:ascii="Bookman Old Style" w:hAnsi="Bookman Old Style"/>
          <w:sz w:val="20"/>
          <w:szCs w:val="20"/>
        </w:rPr>
        <w:t xml:space="preserve"> Desmontagem e retirada segura de todos os equipamentos do local do evento até 48 horas após o término da última apresentação.</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f) Encerramento:</w:t>
      </w:r>
      <w:r w:rsidRPr="00851B29">
        <w:rPr>
          <w:rFonts w:ascii="Bookman Old Style" w:hAnsi="Bookman Old Style"/>
          <w:sz w:val="20"/>
          <w:szCs w:val="20"/>
        </w:rPr>
        <w:t xml:space="preserve"> Avaliação de conformidade pelo Fiscal e Gestor do contrato, medição única e pagamento.</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3.2. Especificações técnicas detalhadas: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sz w:val="20"/>
          <w:szCs w:val="20"/>
        </w:rPr>
        <w:lastRenderedPageBreak/>
        <w:t>Os painéis de LED deverão atender, no mínimo, às seguintes especificações:</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Resolução de pixel </w:t>
      </w:r>
      <w:proofErr w:type="spellStart"/>
      <w:r w:rsidRPr="00851B29">
        <w:rPr>
          <w:rFonts w:ascii="Bookman Old Style" w:hAnsi="Bookman Old Style"/>
          <w:sz w:val="20"/>
          <w:szCs w:val="20"/>
        </w:rPr>
        <w:t>pitch</w:t>
      </w:r>
      <w:proofErr w:type="spellEnd"/>
      <w:r w:rsidRPr="00851B29">
        <w:rPr>
          <w:rFonts w:ascii="Bookman Old Style" w:hAnsi="Bookman Old Style"/>
          <w:sz w:val="20"/>
          <w:szCs w:val="20"/>
        </w:rPr>
        <w:t xml:space="preserve">: </w:t>
      </w:r>
      <w:proofErr w:type="gramStart"/>
      <w:r w:rsidRPr="00851B29">
        <w:rPr>
          <w:rFonts w:ascii="Bookman Old Style" w:hAnsi="Bookman Old Style"/>
          <w:sz w:val="20"/>
          <w:szCs w:val="20"/>
        </w:rPr>
        <w:t>P3.</w:t>
      </w:r>
      <w:proofErr w:type="gramEnd"/>
      <w:r w:rsidRPr="00851B29">
        <w:rPr>
          <w:rFonts w:ascii="Bookman Old Style" w:hAnsi="Bookman Old Style"/>
          <w:sz w:val="20"/>
          <w:szCs w:val="20"/>
        </w:rPr>
        <w:t>91 ou inferior (distância entre pixels de 3,91 mm).</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Brilho mínimo: 5.000 </w:t>
      </w:r>
      <w:proofErr w:type="spellStart"/>
      <w:r w:rsidRPr="00851B29">
        <w:rPr>
          <w:rFonts w:ascii="Bookman Old Style" w:hAnsi="Bookman Old Style"/>
          <w:sz w:val="20"/>
          <w:szCs w:val="20"/>
        </w:rPr>
        <w:t>nits</w:t>
      </w:r>
      <w:proofErr w:type="spellEnd"/>
      <w:r w:rsidRPr="00851B29">
        <w:rPr>
          <w:rFonts w:ascii="Bookman Old Style" w:hAnsi="Bookman Old Style"/>
          <w:sz w:val="20"/>
          <w:szCs w:val="20"/>
        </w:rPr>
        <w:t xml:space="preserve"> (adequado para uso externo em ambientes com luz solar indireta).</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Taxa de atualização: 3.840 Hz, garantindo imagens sem cintilação nas transmissões de câmera.</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Proteção: IP65 na parte frontal e IP54 na parte traseira, com resistência à chuva e poeira.</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Gabinetes em alumínio fundido </w:t>
      </w:r>
      <w:proofErr w:type="gramStart"/>
      <w:r w:rsidRPr="00851B29">
        <w:rPr>
          <w:rFonts w:ascii="Bookman Old Style" w:hAnsi="Bookman Old Style"/>
          <w:sz w:val="20"/>
          <w:szCs w:val="20"/>
        </w:rPr>
        <w:t>sob pressão</w:t>
      </w:r>
      <w:proofErr w:type="gramEnd"/>
      <w:r w:rsidRPr="00851B29">
        <w:rPr>
          <w:rFonts w:ascii="Bookman Old Style" w:hAnsi="Bookman Old Style"/>
          <w:sz w:val="20"/>
          <w:szCs w:val="20"/>
        </w:rPr>
        <w:t>, com sistema de trava rápida para montagem e manutenção.</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Estrutura de sustentação em </w:t>
      </w:r>
      <w:proofErr w:type="gramStart"/>
      <w:r w:rsidRPr="00851B29">
        <w:rPr>
          <w:rFonts w:ascii="Bookman Old Style" w:hAnsi="Bookman Old Style"/>
          <w:sz w:val="20"/>
          <w:szCs w:val="20"/>
        </w:rPr>
        <w:t>box</w:t>
      </w:r>
      <w:proofErr w:type="gramEnd"/>
      <w:r w:rsidRPr="00851B29">
        <w:rPr>
          <w:rFonts w:ascii="Bookman Old Style" w:hAnsi="Bookman Old Style"/>
          <w:sz w:val="20"/>
          <w:szCs w:val="20"/>
        </w:rPr>
        <w:t xml:space="preserve"> </w:t>
      </w:r>
      <w:proofErr w:type="spellStart"/>
      <w:r w:rsidRPr="00851B29">
        <w:rPr>
          <w:rFonts w:ascii="Bookman Old Style" w:hAnsi="Bookman Old Style"/>
          <w:sz w:val="20"/>
          <w:szCs w:val="20"/>
        </w:rPr>
        <w:t>truss</w:t>
      </w:r>
      <w:proofErr w:type="spellEnd"/>
      <w:r w:rsidRPr="00851B29">
        <w:rPr>
          <w:rFonts w:ascii="Bookman Old Style" w:hAnsi="Bookman Old Style"/>
          <w:sz w:val="20"/>
          <w:szCs w:val="20"/>
        </w:rPr>
        <w:t xml:space="preserve"> Q30 ou superior, dimensionada para suportar ventos de até 60 km/h.</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Sistema de processamento de vídeo com </w:t>
      </w:r>
      <w:proofErr w:type="spellStart"/>
      <w:r w:rsidRPr="00851B29">
        <w:rPr>
          <w:rFonts w:ascii="Bookman Old Style" w:hAnsi="Bookman Old Style"/>
          <w:sz w:val="20"/>
          <w:szCs w:val="20"/>
        </w:rPr>
        <w:t>send</w:t>
      </w:r>
      <w:proofErr w:type="spellEnd"/>
      <w:r w:rsidRPr="00851B29">
        <w:rPr>
          <w:rFonts w:ascii="Bookman Old Style" w:hAnsi="Bookman Old Style"/>
          <w:sz w:val="20"/>
          <w:szCs w:val="20"/>
        </w:rPr>
        <w:t xml:space="preserve"> </w:t>
      </w:r>
      <w:proofErr w:type="spellStart"/>
      <w:r w:rsidRPr="00851B29">
        <w:rPr>
          <w:rFonts w:ascii="Bookman Old Style" w:hAnsi="Bookman Old Style"/>
          <w:sz w:val="20"/>
          <w:szCs w:val="20"/>
        </w:rPr>
        <w:t>cards</w:t>
      </w:r>
      <w:proofErr w:type="spellEnd"/>
      <w:r w:rsidRPr="00851B29">
        <w:rPr>
          <w:rFonts w:ascii="Bookman Old Style" w:hAnsi="Bookman Old Style"/>
          <w:sz w:val="20"/>
          <w:szCs w:val="20"/>
        </w:rPr>
        <w:t xml:space="preserve"> e </w:t>
      </w:r>
      <w:proofErr w:type="spellStart"/>
      <w:r w:rsidRPr="00851B29">
        <w:rPr>
          <w:rFonts w:ascii="Bookman Old Style" w:hAnsi="Bookman Old Style"/>
          <w:sz w:val="20"/>
          <w:szCs w:val="20"/>
        </w:rPr>
        <w:t>receivers</w:t>
      </w:r>
      <w:proofErr w:type="spellEnd"/>
      <w:r w:rsidRPr="00851B29">
        <w:rPr>
          <w:rFonts w:ascii="Bookman Old Style" w:hAnsi="Bookman Old Style"/>
          <w:sz w:val="20"/>
          <w:szCs w:val="20"/>
        </w:rPr>
        <w:t xml:space="preserve">, capacidade de entrada HDMI, SDI e </w:t>
      </w:r>
      <w:proofErr w:type="spellStart"/>
      <w:proofErr w:type="gramStart"/>
      <w:r w:rsidRPr="00851B29">
        <w:rPr>
          <w:rFonts w:ascii="Bookman Old Style" w:hAnsi="Bookman Old Style"/>
          <w:sz w:val="20"/>
          <w:szCs w:val="20"/>
        </w:rPr>
        <w:t>DisplayPort</w:t>
      </w:r>
      <w:proofErr w:type="spellEnd"/>
      <w:proofErr w:type="gramEnd"/>
      <w:r w:rsidRPr="00851B29">
        <w:rPr>
          <w:rFonts w:ascii="Bookman Old Style" w:hAnsi="Bookman Old Style"/>
          <w:sz w:val="20"/>
          <w:szCs w:val="20"/>
        </w:rPr>
        <w:t>.</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Cabeamento estruturado com conectores impermeáveis.</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Distribuição elétrica segura, com quadro de distribuição, disjuntores e aterramento, em conformidade com a NR-10.</w:t>
      </w:r>
    </w:p>
    <w:p w:rsidR="006657F1" w:rsidRPr="00851B29" w:rsidRDefault="00187E01" w:rsidP="00797B36">
      <w:pPr>
        <w:spacing w:before="60"/>
        <w:rPr>
          <w:rFonts w:ascii="Bookman Old Style" w:hAnsi="Bookman Old Style"/>
          <w:sz w:val="20"/>
          <w:szCs w:val="20"/>
        </w:rPr>
      </w:pPr>
      <w:r w:rsidRPr="00851B29">
        <w:rPr>
          <w:rFonts w:ascii="Bookman Old Style" w:hAnsi="Bookman Old Style"/>
          <w:sz w:val="20"/>
          <w:szCs w:val="20"/>
        </w:rPr>
        <w:t>"A especificação técnica visa garantir a qualidade e a confiabilidade necessárias para um evento de grande porte, evitando falhas de transmissão que comprometam a experiência do público."</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4. REQUISITOS DA CONTRATAÇÃO (Art. 6º, inciso XXIII, alínea 'd',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4.1.</w:t>
      </w:r>
      <w:r w:rsidRPr="00851B29">
        <w:rPr>
          <w:rFonts w:ascii="Bookman Old Style" w:hAnsi="Bookman Old Style"/>
          <w:sz w:val="20"/>
          <w:szCs w:val="20"/>
        </w:rPr>
        <w:t xml:space="preserve"> Para habilitação no certame, a licitante deverá comprovar:</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b/>
          <w:bCs/>
          <w:sz w:val="20"/>
          <w:szCs w:val="20"/>
        </w:rPr>
        <w:t>Habilitação jurídica:</w:t>
      </w:r>
      <w:r w:rsidRPr="00851B29">
        <w:rPr>
          <w:rFonts w:ascii="Bookman Old Style" w:hAnsi="Bookman Old Style"/>
          <w:sz w:val="20"/>
          <w:szCs w:val="20"/>
        </w:rPr>
        <w:t xml:space="preserve"> Registro comercial, ato constitutivo, inscrição no CNPJ.</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b/>
          <w:bCs/>
          <w:sz w:val="20"/>
          <w:szCs w:val="20"/>
        </w:rPr>
        <w:t>Regularidade fiscal e trabalhista:</w:t>
      </w:r>
      <w:r w:rsidRPr="00851B29">
        <w:rPr>
          <w:rFonts w:ascii="Bookman Old Style" w:hAnsi="Bookman Old Style"/>
          <w:sz w:val="20"/>
          <w:szCs w:val="20"/>
        </w:rPr>
        <w:t xml:space="preserve"> Certidões de débitos relativos a tributos federais, estaduais e municipais, certificado de regularidade do FGTS (CRF) e certidão de débitos trabalhistas (CNDT).</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b/>
          <w:bCs/>
          <w:sz w:val="20"/>
          <w:szCs w:val="20"/>
        </w:rPr>
        <w:t>Comprovação de experiência anterior:</w:t>
      </w:r>
      <w:r w:rsidRPr="00851B29">
        <w:rPr>
          <w:rFonts w:ascii="Bookman Old Style" w:hAnsi="Bookman Old Style"/>
          <w:sz w:val="20"/>
          <w:szCs w:val="20"/>
        </w:rPr>
        <w:t xml:space="preserve"> Atestado(s) de fornecimento de painéis de LED para eventos de porte similar (área mínima de 25m</w:t>
      </w:r>
      <w:proofErr w:type="gramStart"/>
      <w:r w:rsidRPr="00851B29">
        <w:rPr>
          <w:rFonts w:ascii="Bookman Old Style" w:hAnsi="Bookman Old Style"/>
          <w:sz w:val="20"/>
          <w:szCs w:val="20"/>
        </w:rPr>
        <w:t>²</w:t>
      </w:r>
      <w:proofErr w:type="gramEnd"/>
      <w:r w:rsidRPr="00851B29">
        <w:rPr>
          <w:rFonts w:ascii="Bookman Old Style" w:hAnsi="Bookman Old Style"/>
          <w:sz w:val="20"/>
          <w:szCs w:val="20"/>
        </w:rPr>
        <w:t>).</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5. MODELO DE EXECUÇÃO DO OBJETO (Art. 6º, inciso XXIII, alínea 'e',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5.1. Obrigações da Contratada:</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sz w:val="20"/>
          <w:szCs w:val="20"/>
        </w:rPr>
        <w:t>A empresa contratada deverá:</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Realizar a montagem dos painéis de LED e estrutura de sustentação rigorosamente até o dia </w:t>
      </w:r>
      <w:r w:rsidRPr="00851B29">
        <w:rPr>
          <w:rFonts w:ascii="Bookman Old Style" w:hAnsi="Bookman Old Style"/>
          <w:b/>
          <w:bCs/>
          <w:sz w:val="20"/>
          <w:szCs w:val="20"/>
        </w:rPr>
        <w:t>2 de junho de 2026</w:t>
      </w:r>
      <w:r w:rsidRPr="00851B29">
        <w:rPr>
          <w:rFonts w:ascii="Bookman Old Style" w:hAnsi="Bookman Old Style"/>
          <w:sz w:val="20"/>
          <w:szCs w:val="20"/>
        </w:rPr>
        <w:t>, no local indicado pela Prefeitura Municipal, com antecedência mínima de 24 horas para testes e ajustes.</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Manter, durante todo o período de funcionamento do evento (dias 3, 4, 5, 6 e 14 de junho de 2026), pelo menos </w:t>
      </w:r>
      <w:r w:rsidRPr="00851B29">
        <w:rPr>
          <w:rFonts w:ascii="Bookman Old Style" w:hAnsi="Bookman Old Style"/>
          <w:b/>
          <w:bCs/>
          <w:sz w:val="20"/>
          <w:szCs w:val="20"/>
        </w:rPr>
        <w:t>um técnico residente</w:t>
      </w:r>
      <w:r w:rsidRPr="00851B29">
        <w:rPr>
          <w:rFonts w:ascii="Bookman Old Style" w:hAnsi="Bookman Old Style"/>
          <w:sz w:val="20"/>
          <w:szCs w:val="20"/>
        </w:rPr>
        <w:t xml:space="preserve"> capacitado para operação e manutenção corretiva dos equipamentos, em tempo integral, das 8h às 2h do dia seguinte, ou conforme a programação das atrações.</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Substituir qualquer placa ou módulo de LED com defeito em, no máximo, </w:t>
      </w:r>
      <w:r w:rsidRPr="00851B29">
        <w:rPr>
          <w:rFonts w:ascii="Bookman Old Style" w:hAnsi="Bookman Old Style"/>
          <w:b/>
          <w:bCs/>
          <w:sz w:val="20"/>
          <w:szCs w:val="20"/>
        </w:rPr>
        <w:t>30 minutos</w:t>
      </w:r>
      <w:r w:rsidRPr="00851B29">
        <w:rPr>
          <w:rFonts w:ascii="Bookman Old Style" w:hAnsi="Bookman Old Style"/>
          <w:sz w:val="20"/>
          <w:szCs w:val="20"/>
        </w:rPr>
        <w:t xml:space="preserve"> após a constatação do problema, </w:t>
      </w:r>
      <w:proofErr w:type="gramStart"/>
      <w:r w:rsidRPr="00851B29">
        <w:rPr>
          <w:rFonts w:ascii="Bookman Old Style" w:hAnsi="Bookman Old Style"/>
          <w:sz w:val="20"/>
          <w:szCs w:val="20"/>
        </w:rPr>
        <w:t>sob pena</w:t>
      </w:r>
      <w:proofErr w:type="gramEnd"/>
      <w:r w:rsidRPr="00851B29">
        <w:rPr>
          <w:rFonts w:ascii="Bookman Old Style" w:hAnsi="Bookman Old Style"/>
          <w:sz w:val="20"/>
          <w:szCs w:val="20"/>
        </w:rPr>
        <w:t xml:space="preserve"> de desconto proporcional no valor contratual.</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Responsabilizar-se integralmente por danos causados a terceiros, ao patrimônio público ou </w:t>
      </w:r>
      <w:proofErr w:type="gramStart"/>
      <w:r w:rsidRPr="00851B29">
        <w:rPr>
          <w:rFonts w:ascii="Bookman Old Style" w:hAnsi="Bookman Old Style"/>
          <w:sz w:val="20"/>
          <w:szCs w:val="20"/>
        </w:rPr>
        <w:t>privado decorrentes da execução do contrato</w:t>
      </w:r>
      <w:proofErr w:type="gramEnd"/>
      <w:r w:rsidRPr="00851B29">
        <w:rPr>
          <w:rFonts w:ascii="Bookman Old Style" w:hAnsi="Bookman Old Style"/>
          <w:sz w:val="20"/>
          <w:szCs w:val="20"/>
        </w:rPr>
        <w:t>.</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lastRenderedPageBreak/>
        <w:t xml:space="preserve">Garantir a segurança estrutural dos painéis e da torre de </w:t>
      </w:r>
      <w:proofErr w:type="gramStart"/>
      <w:r w:rsidRPr="00851B29">
        <w:rPr>
          <w:rFonts w:ascii="Bookman Old Style" w:hAnsi="Bookman Old Style"/>
          <w:sz w:val="20"/>
          <w:szCs w:val="20"/>
        </w:rPr>
        <w:t>box</w:t>
      </w:r>
      <w:proofErr w:type="gramEnd"/>
      <w:r w:rsidRPr="00851B29">
        <w:rPr>
          <w:rFonts w:ascii="Bookman Old Style" w:hAnsi="Bookman Old Style"/>
          <w:sz w:val="20"/>
          <w:szCs w:val="20"/>
        </w:rPr>
        <w:t xml:space="preserve"> </w:t>
      </w:r>
      <w:proofErr w:type="spellStart"/>
      <w:r w:rsidRPr="00851B29">
        <w:rPr>
          <w:rFonts w:ascii="Bookman Old Style" w:hAnsi="Bookman Old Style"/>
          <w:sz w:val="20"/>
          <w:szCs w:val="20"/>
        </w:rPr>
        <w:t>truss</w:t>
      </w:r>
      <w:proofErr w:type="spellEnd"/>
      <w:r w:rsidRPr="00851B29">
        <w:rPr>
          <w:rFonts w:ascii="Bookman Old Style" w:hAnsi="Bookman Old Style"/>
          <w:sz w:val="20"/>
          <w:szCs w:val="20"/>
        </w:rPr>
        <w:t xml:space="preserve"> contra ventos, chuvas e intempéries, adotando as medidas de engenharia necessárias.</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Providenciar e exigir o uso de Equipamentos de Proteção Individual (EPIs) por toda a equipe alocada na montagem, operação e desmontagem.</w:t>
      </w:r>
    </w:p>
    <w:p w:rsidR="006657F1" w:rsidRPr="00851B29" w:rsidRDefault="00187E01">
      <w:pPr>
        <w:spacing w:before="60"/>
        <w:jc w:val="both"/>
        <w:rPr>
          <w:rFonts w:ascii="Bookman Old Style" w:hAnsi="Bookman Old Style"/>
          <w:sz w:val="20"/>
          <w:szCs w:val="20"/>
        </w:rPr>
      </w:pPr>
      <w:bookmarkStart w:id="0" w:name="_GoBack"/>
      <w:bookmarkEnd w:id="0"/>
      <w:r w:rsidRPr="00851B29">
        <w:rPr>
          <w:rFonts w:ascii="Bookman Old Style" w:hAnsi="Bookman Old Style"/>
          <w:b/>
          <w:bCs/>
          <w:sz w:val="20"/>
          <w:szCs w:val="20"/>
        </w:rPr>
        <w:t>5.2. Obrigações da Contratante (Prefeitura Municipal):</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Fornecer ponto de energia elétrica compatível com a demanda dos equipamentos (carga mínima de 60A trifásico, </w:t>
      </w:r>
      <w:proofErr w:type="gramStart"/>
      <w:r w:rsidRPr="00851B29">
        <w:rPr>
          <w:rFonts w:ascii="Bookman Old Style" w:hAnsi="Bookman Old Style"/>
          <w:sz w:val="20"/>
          <w:szCs w:val="20"/>
        </w:rPr>
        <w:t>220V</w:t>
      </w:r>
      <w:proofErr w:type="gramEnd"/>
      <w:r w:rsidRPr="00851B29">
        <w:rPr>
          <w:rFonts w:ascii="Bookman Old Style" w:hAnsi="Bookman Old Style"/>
          <w:sz w:val="20"/>
          <w:szCs w:val="20"/>
        </w:rPr>
        <w:t>), dentro do perímetro do evento.</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Garantir a segurança física do local durante o período de montagem e desmontagem, bem como a vigilância do espaço onde os equipamentos ficarão instalados durante a noite.</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Indicar o local exato de montagem, considerando visibilidade, fluxo de pessoas e acesso para caminhões.</w:t>
      </w:r>
    </w:p>
    <w:p w:rsidR="006657F1" w:rsidRPr="00851B29" w:rsidRDefault="00187E01" w:rsidP="00797B36">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Fiscalizar a execução do contrato por meio dos servidores designados, lavrando registros de ocorrências quando necessário.</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6. MODELO DE GESTÃO DO CONTRATO (Art. 6º, inciso XXIII, alínea 'f',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6.1.</w:t>
      </w:r>
      <w:r w:rsidRPr="00851B29">
        <w:rPr>
          <w:rFonts w:ascii="Bookman Old Style" w:hAnsi="Bookman Old Style"/>
          <w:sz w:val="20"/>
          <w:szCs w:val="20"/>
        </w:rPr>
        <w:t xml:space="preserve"> A gestão e a fiscalização do contrato serão exercidas pelos seguintes servidores municipais, conforme designação constante no processo administrativo e no Convênio nº 0311/2026:</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b/>
          <w:bCs/>
          <w:sz w:val="20"/>
          <w:szCs w:val="20"/>
        </w:rPr>
        <w:t>Fiscal do Contrato:</w:t>
      </w:r>
      <w:r w:rsidR="00851B29">
        <w:rPr>
          <w:rFonts w:ascii="Bookman Old Style" w:hAnsi="Bookman Old Style"/>
          <w:b/>
          <w:bCs/>
          <w:sz w:val="20"/>
          <w:szCs w:val="20"/>
        </w:rPr>
        <w:t xml:space="preserve"> </w:t>
      </w:r>
      <w:r w:rsidR="003529AC">
        <w:rPr>
          <w:rFonts w:ascii="Bookman Old Style" w:hAnsi="Bookman Old Style"/>
          <w:b/>
          <w:bCs/>
          <w:sz w:val="20"/>
          <w:szCs w:val="20"/>
        </w:rPr>
        <w:t>ANDREIA ALINE BONAN</w:t>
      </w:r>
      <w:r w:rsidR="00851B29">
        <w:rPr>
          <w:rFonts w:ascii="Bookman Old Style" w:hAnsi="Bookman Old Style"/>
          <w:b/>
          <w:bCs/>
          <w:sz w:val="20"/>
          <w:szCs w:val="20"/>
        </w:rPr>
        <w:t xml:space="preserve"> </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b/>
          <w:bCs/>
          <w:sz w:val="20"/>
          <w:szCs w:val="20"/>
        </w:rPr>
        <w:t>Gestor do Contrato:</w:t>
      </w:r>
      <w:r w:rsidR="00851B29">
        <w:rPr>
          <w:rFonts w:ascii="Bookman Old Style" w:hAnsi="Bookman Old Style"/>
          <w:b/>
          <w:bCs/>
          <w:sz w:val="20"/>
          <w:szCs w:val="20"/>
        </w:rPr>
        <w:t xml:space="preserve"> CRISTINA BONFLEUR </w:t>
      </w:r>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b/>
          <w:bCs/>
          <w:sz w:val="20"/>
          <w:szCs w:val="20"/>
        </w:rPr>
        <w:t>6.2.</w:t>
      </w:r>
      <w:r w:rsidRPr="00851B29">
        <w:rPr>
          <w:rFonts w:ascii="Bookman Old Style" w:hAnsi="Bookman Old Style"/>
          <w:sz w:val="20"/>
          <w:szCs w:val="20"/>
        </w:rPr>
        <w:t xml:space="preserve"> A fiscalização ocorrerá por meio de visitas in loco, registro fotográfico, verificação de conformidade com as especificações técnicas e acompanhamento contínuo durante os dias de evento. Qualquer irregularidade será registrada em relatório e comunicada à contratada para correção imediata.</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7. CRITÉRIOS DE MEDIÇÃO E DE PAGAMENTO (Art. 6º, inciso XXIII, alínea 'g',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7.1. Medição:</w:t>
      </w:r>
      <w:r w:rsidRPr="00851B29">
        <w:rPr>
          <w:rFonts w:ascii="Bookman Old Style" w:hAnsi="Bookman Old Style"/>
          <w:sz w:val="20"/>
          <w:szCs w:val="20"/>
        </w:rPr>
        <w:t xml:space="preserve"> A medição será única, realizada após o encerramento do evento (após o dia 14 de junho de 2026), mediante apresentação de </w:t>
      </w:r>
      <w:r w:rsidRPr="00851B29">
        <w:rPr>
          <w:rFonts w:ascii="Bookman Old Style" w:hAnsi="Bookman Old Style"/>
          <w:b/>
          <w:bCs/>
          <w:sz w:val="20"/>
          <w:szCs w:val="20"/>
        </w:rPr>
        <w:t>Relatório de Execução</w:t>
      </w:r>
      <w:r w:rsidRPr="00851B29">
        <w:rPr>
          <w:rFonts w:ascii="Bookman Old Style" w:hAnsi="Bookman Old Style"/>
          <w:sz w:val="20"/>
          <w:szCs w:val="20"/>
        </w:rPr>
        <w:t xml:space="preserve"> emitido pela contratada, contendo:</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Registro fotográfico da montagem, operação e desmontagem;</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Comprovação do cumprimento do período de operação (ponto eletrônico ou relatório de horas trabalhadas do técnico residente);</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 xml:space="preserve">Ateste de </w:t>
      </w:r>
      <w:proofErr w:type="gramStart"/>
      <w:r w:rsidRPr="00851B29">
        <w:rPr>
          <w:rFonts w:ascii="Bookman Old Style" w:hAnsi="Bookman Old Style"/>
          <w:sz w:val="20"/>
          <w:szCs w:val="20"/>
        </w:rPr>
        <w:t>conformidade emitido pelo Fiscal e pelo Gestor do Contrato</w:t>
      </w:r>
      <w:proofErr w:type="gramEnd"/>
      <w:r w:rsidRPr="00851B29">
        <w:rPr>
          <w:rFonts w:ascii="Bookman Old Style" w:hAnsi="Bookman Old Style"/>
          <w:sz w:val="20"/>
          <w:szCs w:val="20"/>
        </w:rPr>
        <w:t>.</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7.2. Liquidação:</w:t>
      </w:r>
      <w:r w:rsidRPr="00851B29">
        <w:rPr>
          <w:rFonts w:ascii="Bookman Old Style" w:hAnsi="Bookman Old Style"/>
          <w:sz w:val="20"/>
          <w:szCs w:val="20"/>
        </w:rPr>
        <w:t xml:space="preserve"> A liquidação da despesa ocorrerá após verificação:</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Da regularidade das certidões de regularidade fiscal e trabalhista da contratada (válidas na data da liquidação);</w:t>
      </w:r>
    </w:p>
    <w:p w:rsidR="006657F1" w:rsidRPr="00851B29" w:rsidRDefault="00187E01">
      <w:pPr>
        <w:pStyle w:val="PargrafodaLista"/>
        <w:numPr>
          <w:ilvl w:val="0"/>
          <w:numId w:val="1"/>
        </w:numPr>
        <w:spacing w:before="40" w:after="40"/>
        <w:rPr>
          <w:rFonts w:ascii="Bookman Old Style" w:hAnsi="Bookman Old Style"/>
          <w:sz w:val="20"/>
          <w:szCs w:val="20"/>
        </w:rPr>
      </w:pPr>
      <w:r w:rsidRPr="00851B29">
        <w:rPr>
          <w:rFonts w:ascii="Bookman Old Style" w:hAnsi="Bookman Old Style"/>
          <w:sz w:val="20"/>
          <w:szCs w:val="20"/>
        </w:rPr>
        <w:t>Da conformidade da Nota Fiscal Eletrônica com os itens do Plano de Trabalho do Convênio e com o objeto contratado.</w:t>
      </w:r>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b/>
          <w:bCs/>
          <w:sz w:val="20"/>
          <w:szCs w:val="20"/>
        </w:rPr>
        <w:t>7.3. Prazo de pagamento:</w:t>
      </w:r>
      <w:r w:rsidRPr="00851B29">
        <w:rPr>
          <w:rFonts w:ascii="Bookman Old Style" w:hAnsi="Bookman Old Style"/>
          <w:sz w:val="20"/>
          <w:szCs w:val="20"/>
        </w:rPr>
        <w:t xml:space="preserve"> O pagamento será efetuado em até </w:t>
      </w:r>
      <w:r w:rsidRPr="00851B29">
        <w:rPr>
          <w:rFonts w:ascii="Bookman Old Style" w:hAnsi="Bookman Old Style"/>
          <w:b/>
          <w:bCs/>
          <w:sz w:val="20"/>
          <w:szCs w:val="20"/>
        </w:rPr>
        <w:t>30 (trinta) dias</w:t>
      </w:r>
      <w:r w:rsidRPr="00851B29">
        <w:rPr>
          <w:rFonts w:ascii="Bookman Old Style" w:hAnsi="Bookman Old Style"/>
          <w:sz w:val="20"/>
          <w:szCs w:val="20"/>
        </w:rPr>
        <w:t xml:space="preserve"> contados da data da liquidação da despesa, por meio de ordem bancária na conta específica do Convênio nº 0311/2026, conforme determina a legislação aplicável.</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lastRenderedPageBreak/>
        <w:t>8. FORMA E CRITÉRIOS DE SELEÇÃO DO FORNECEDOR (Art. 6º, inciso XXIII, alínea 'h',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8.1.</w:t>
      </w:r>
      <w:r w:rsidRPr="00851B29">
        <w:rPr>
          <w:rFonts w:ascii="Bookman Old Style" w:hAnsi="Bookman Old Style"/>
          <w:sz w:val="20"/>
          <w:szCs w:val="20"/>
        </w:rPr>
        <w:t xml:space="preserve"> O procedimento de seleção do fornecedor dar-se-á por meio de </w:t>
      </w:r>
      <w:r w:rsidRPr="00851B29">
        <w:rPr>
          <w:rFonts w:ascii="Bookman Old Style" w:hAnsi="Bookman Old Style"/>
          <w:b/>
          <w:bCs/>
          <w:sz w:val="20"/>
          <w:szCs w:val="20"/>
        </w:rPr>
        <w:t xml:space="preserve">licitação na modalidade </w:t>
      </w:r>
      <w:r w:rsidR="00436432">
        <w:rPr>
          <w:rFonts w:ascii="Bookman Old Style" w:hAnsi="Bookman Old Style"/>
          <w:b/>
          <w:bCs/>
          <w:sz w:val="20"/>
          <w:szCs w:val="20"/>
        </w:rPr>
        <w:t>Dispensa Eletrônica</w:t>
      </w:r>
      <w:r w:rsidRPr="00851B29">
        <w:rPr>
          <w:rFonts w:ascii="Bookman Old Style" w:hAnsi="Bookman Old Style"/>
          <w:sz w:val="20"/>
          <w:szCs w:val="20"/>
        </w:rPr>
        <w:t xml:space="preserve">, fundamentada na Lei nº 14.133/2021, adotando-se o critério de julgamento pelo </w:t>
      </w:r>
      <w:r w:rsidRPr="00851B29">
        <w:rPr>
          <w:rFonts w:ascii="Bookman Old Style" w:hAnsi="Bookman Old Style"/>
          <w:b/>
          <w:bCs/>
          <w:sz w:val="20"/>
          <w:szCs w:val="20"/>
        </w:rPr>
        <w:t>Menor Preço Global</w:t>
      </w:r>
      <w:r w:rsidRPr="00851B29">
        <w:rPr>
          <w:rFonts w:ascii="Bookman Old Style" w:hAnsi="Bookman Old Style"/>
          <w:sz w:val="20"/>
          <w:szCs w:val="20"/>
        </w:rPr>
        <w:t>, por tratar-se de objeto padronizado e de especificações técnicas definidas.</w:t>
      </w:r>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b/>
          <w:bCs/>
          <w:sz w:val="20"/>
          <w:szCs w:val="20"/>
        </w:rPr>
        <w:t>8.2.</w:t>
      </w:r>
      <w:r w:rsidRPr="00851B29">
        <w:rPr>
          <w:rFonts w:ascii="Bookman Old Style" w:hAnsi="Bookman Old Style"/>
          <w:sz w:val="20"/>
          <w:szCs w:val="20"/>
        </w:rPr>
        <w:t xml:space="preserve"> Caso o valor estimado da contratação e as circunstâncias do caso concreto justifiquem, poderá ser adotada a </w:t>
      </w:r>
      <w:r w:rsidRPr="00851B29">
        <w:rPr>
          <w:rFonts w:ascii="Bookman Old Style" w:hAnsi="Bookman Old Style"/>
          <w:b/>
          <w:bCs/>
          <w:sz w:val="20"/>
          <w:szCs w:val="20"/>
        </w:rPr>
        <w:t>Dispensa de Licitação</w:t>
      </w:r>
      <w:r w:rsidRPr="00851B29">
        <w:rPr>
          <w:rFonts w:ascii="Bookman Old Style" w:hAnsi="Bookman Old Style"/>
          <w:sz w:val="20"/>
          <w:szCs w:val="20"/>
        </w:rPr>
        <w:t xml:space="preserve"> com fulcro no art. 75, inciso II, da Lei nº 14.133/2021, desde que demonstrada </w:t>
      </w:r>
      <w:proofErr w:type="gramStart"/>
      <w:r w:rsidRPr="00851B29">
        <w:rPr>
          <w:rFonts w:ascii="Bookman Old Style" w:hAnsi="Bookman Old Style"/>
          <w:sz w:val="20"/>
          <w:szCs w:val="20"/>
        </w:rPr>
        <w:t>a</w:t>
      </w:r>
      <w:proofErr w:type="gramEnd"/>
      <w:r w:rsidRPr="00851B29">
        <w:rPr>
          <w:rFonts w:ascii="Bookman Old Style" w:hAnsi="Bookman Old Style"/>
          <w:sz w:val="20"/>
          <w:szCs w:val="20"/>
        </w:rPr>
        <w:t xml:space="preserve"> inviabilidade de competição ou a urgência na contratação, observados os requisitos legais.</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9. ESTIMATIVAS DO VALOR DA CONTRATAÇÃO (Art. 6º, inciso XXIII, alínea 'i', da Lei nº 14.133/2021</w:t>
      </w:r>
      <w:proofErr w:type="gramStart"/>
      <w:r w:rsidRPr="00851B29">
        <w:rPr>
          <w:rFonts w:ascii="Bookman Old Style" w:hAnsi="Bookman Old Style"/>
          <w:sz w:val="20"/>
          <w:szCs w:val="20"/>
        </w:rPr>
        <w:t>)</w:t>
      </w:r>
      <w:proofErr w:type="gramEnd"/>
    </w:p>
    <w:p w:rsidR="006657F1" w:rsidRPr="00851B29" w:rsidRDefault="00187E01" w:rsidP="00797B36">
      <w:pPr>
        <w:spacing w:before="60"/>
        <w:jc w:val="both"/>
        <w:rPr>
          <w:rFonts w:ascii="Bookman Old Style" w:hAnsi="Bookman Old Style"/>
          <w:sz w:val="20"/>
          <w:szCs w:val="20"/>
        </w:rPr>
      </w:pPr>
      <w:r w:rsidRPr="00851B29">
        <w:rPr>
          <w:rFonts w:ascii="Bookman Old Style" w:hAnsi="Bookman Old Style"/>
          <w:b/>
          <w:bCs/>
          <w:sz w:val="20"/>
          <w:szCs w:val="20"/>
        </w:rPr>
        <w:t>9.1.</w:t>
      </w:r>
      <w:r w:rsidRPr="00851B29">
        <w:rPr>
          <w:rFonts w:ascii="Bookman Old Style" w:hAnsi="Bookman Old Style"/>
          <w:sz w:val="20"/>
          <w:szCs w:val="20"/>
        </w:rPr>
        <w:t xml:space="preserve"> O valor estimado da contratação é de </w:t>
      </w:r>
      <w:r w:rsidR="00797B36" w:rsidRPr="00851B29">
        <w:rPr>
          <w:rFonts w:ascii="Bookman Old Style" w:hAnsi="Bookman Old Style"/>
          <w:b/>
          <w:bCs/>
          <w:sz w:val="20"/>
          <w:szCs w:val="20"/>
        </w:rPr>
        <w:t>R$ 19.500,00 (Dezenove mil e quinhentos reais)</w:t>
      </w:r>
      <w:r w:rsidRPr="00851B29">
        <w:rPr>
          <w:rFonts w:ascii="Bookman Old Style" w:hAnsi="Bookman Old Style"/>
          <w:sz w:val="20"/>
          <w:szCs w:val="20"/>
        </w:rPr>
        <w:t>, obtido por meio de ampla pesquisa de preços de mercado junto a fornecedores especializados nos meses de abril e maio de 2026, conforme memórias de cálculo anexas ao processo administrativo (documento ANEXO II – MAPA DE PREÇOS).</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10. ADEQUAÇÃO ORÇAMENTÁRIA (Art. 6º, inciso XXIII, alínea 'j', da Lei nº 14.133/2021</w:t>
      </w:r>
      <w:proofErr w:type="gramStart"/>
      <w:r w:rsidRPr="00851B29">
        <w:rPr>
          <w:rFonts w:ascii="Bookman Old Style" w:hAnsi="Bookman Old Style"/>
          <w:sz w:val="20"/>
          <w:szCs w:val="20"/>
        </w:rPr>
        <w:t>)</w:t>
      </w:r>
      <w:proofErr w:type="gramEnd"/>
    </w:p>
    <w:p w:rsidR="006657F1" w:rsidRPr="00851B29" w:rsidRDefault="00187E01">
      <w:pPr>
        <w:spacing w:before="60"/>
        <w:jc w:val="both"/>
        <w:rPr>
          <w:rFonts w:ascii="Bookman Old Style" w:hAnsi="Bookman Old Style"/>
          <w:sz w:val="20"/>
          <w:szCs w:val="20"/>
        </w:rPr>
      </w:pPr>
      <w:r w:rsidRPr="00851B29">
        <w:rPr>
          <w:rFonts w:ascii="Bookman Old Style" w:hAnsi="Bookman Old Style"/>
          <w:b/>
          <w:bCs/>
          <w:sz w:val="20"/>
          <w:szCs w:val="20"/>
        </w:rPr>
        <w:t>10.1.</w:t>
      </w:r>
      <w:r w:rsidRPr="00851B29">
        <w:rPr>
          <w:rFonts w:ascii="Bookman Old Style" w:hAnsi="Bookman Old Style"/>
          <w:sz w:val="20"/>
          <w:szCs w:val="20"/>
        </w:rPr>
        <w:t xml:space="preserve"> Os recursos financeiros para custear a presente contratação são provenientes do </w:t>
      </w:r>
      <w:r w:rsidRPr="00851B29">
        <w:rPr>
          <w:rFonts w:ascii="Bookman Old Style" w:hAnsi="Bookman Old Style"/>
          <w:b/>
          <w:bCs/>
          <w:sz w:val="20"/>
          <w:szCs w:val="20"/>
        </w:rPr>
        <w:t>Convênio nº 0311/2026</w:t>
      </w:r>
      <w:r w:rsidRPr="00851B29">
        <w:rPr>
          <w:rFonts w:ascii="Bookman Old Style" w:hAnsi="Bookman Old Style"/>
          <w:sz w:val="20"/>
          <w:szCs w:val="20"/>
        </w:rPr>
        <w:t xml:space="preserve">, firmado com o </w:t>
      </w:r>
      <w:r w:rsidRPr="00851B29">
        <w:rPr>
          <w:rFonts w:ascii="Bookman Old Style" w:hAnsi="Bookman Old Style"/>
          <w:b/>
          <w:bCs/>
          <w:sz w:val="20"/>
          <w:szCs w:val="20"/>
        </w:rPr>
        <w:t>Estado do Paraná, por intermédio da Secretaria de Estado do Turismo (SETU/PR)</w:t>
      </w:r>
      <w:r w:rsidRPr="00851B29">
        <w:rPr>
          <w:rFonts w:ascii="Bookman Old Style" w:hAnsi="Bookman Old Style"/>
          <w:sz w:val="20"/>
          <w:szCs w:val="20"/>
        </w:rPr>
        <w:t>, e da contrapartida municipal, conforme previsto no Plano de Trabalho aprovado.</w:t>
      </w:r>
    </w:p>
    <w:p w:rsidR="006657F1" w:rsidRPr="00851B29" w:rsidRDefault="00187E01">
      <w:pPr>
        <w:pStyle w:val="Ttulo3"/>
        <w:rPr>
          <w:rFonts w:ascii="Bookman Old Style" w:hAnsi="Bookman Old Style"/>
          <w:sz w:val="20"/>
          <w:szCs w:val="20"/>
        </w:rPr>
      </w:pPr>
      <w:r w:rsidRPr="00851B29">
        <w:rPr>
          <w:rFonts w:ascii="Bookman Old Style" w:hAnsi="Bookman Old Style"/>
          <w:sz w:val="20"/>
          <w:szCs w:val="20"/>
        </w:rPr>
        <w:t>11. DA MATRIZ DE RISCOS</w:t>
      </w:r>
    </w:p>
    <w:p w:rsidR="006657F1" w:rsidRPr="00851B29" w:rsidRDefault="00187E01">
      <w:pPr>
        <w:spacing w:before="60"/>
        <w:jc w:val="both"/>
        <w:rPr>
          <w:rFonts w:ascii="Bookman Old Style" w:hAnsi="Bookman Old Style"/>
          <w:sz w:val="20"/>
          <w:szCs w:val="20"/>
        </w:rPr>
      </w:pPr>
      <w:r w:rsidRPr="00851B29">
        <w:rPr>
          <w:rFonts w:ascii="Bookman Old Style" w:hAnsi="Bookman Old Style"/>
          <w:sz w:val="20"/>
          <w:szCs w:val="20"/>
        </w:rPr>
        <w:t>Segue a matriz de riscos identificados para a execução do objeto, com a respectiva alocação e medidas mitigadoras:</w:t>
      </w:r>
    </w:p>
    <w:tbl>
      <w:tblPr>
        <w:tblW w:w="9908" w:type="dxa"/>
        <w:tblInd w:w="134" w:type="dxa"/>
        <w:tblBorders>
          <w:top w:val="single" w:sz="1" w:space="0" w:color="D1D5DB"/>
          <w:left w:val="single" w:sz="1" w:space="0" w:color="D1D5DB"/>
          <w:bottom w:val="single" w:sz="1" w:space="0" w:color="D1D5DB"/>
          <w:right w:val="single" w:sz="1" w:space="0" w:color="D1D5DB"/>
          <w:insideH w:val="single" w:sz="1" w:space="0" w:color="D1D5DB"/>
          <w:insideV w:val="single" w:sz="1" w:space="0" w:color="D1D5DB"/>
        </w:tblBorders>
        <w:tblLayout w:type="fixed"/>
        <w:tblCellMar>
          <w:left w:w="10" w:type="dxa"/>
          <w:right w:w="10" w:type="dxa"/>
        </w:tblCellMar>
        <w:tblLook w:val="04A0" w:firstRow="1" w:lastRow="0" w:firstColumn="1" w:lastColumn="0" w:noHBand="0" w:noVBand="1"/>
      </w:tblPr>
      <w:tblGrid>
        <w:gridCol w:w="577"/>
        <w:gridCol w:w="993"/>
        <w:gridCol w:w="1559"/>
        <w:gridCol w:w="992"/>
        <w:gridCol w:w="992"/>
        <w:gridCol w:w="851"/>
        <w:gridCol w:w="1417"/>
        <w:gridCol w:w="1134"/>
        <w:gridCol w:w="1393"/>
      </w:tblGrid>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Nº</w:t>
            </w:r>
          </w:p>
        </w:tc>
        <w:tc>
          <w:tcPr>
            <w:tcW w:w="993"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Risco</w:t>
            </w:r>
          </w:p>
        </w:tc>
        <w:tc>
          <w:tcPr>
            <w:tcW w:w="1559"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Descrição</w:t>
            </w:r>
          </w:p>
        </w:tc>
        <w:tc>
          <w:tcPr>
            <w:tcW w:w="992"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Probabilidade</w:t>
            </w:r>
          </w:p>
        </w:tc>
        <w:tc>
          <w:tcPr>
            <w:tcW w:w="992"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Impacto</w:t>
            </w:r>
          </w:p>
        </w:tc>
        <w:tc>
          <w:tcPr>
            <w:tcW w:w="851"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Nível</w:t>
            </w:r>
          </w:p>
        </w:tc>
        <w:tc>
          <w:tcPr>
            <w:tcW w:w="1417"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Classificação</w:t>
            </w:r>
          </w:p>
        </w:tc>
        <w:tc>
          <w:tcPr>
            <w:tcW w:w="1134"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Alocação</w:t>
            </w:r>
          </w:p>
        </w:tc>
        <w:tc>
          <w:tcPr>
            <w:tcW w:w="1393" w:type="dxa"/>
            <w:tcBorders>
              <w:top w:val="single" w:sz="1" w:space="0" w:color="D1D5DB"/>
              <w:left w:val="single" w:sz="1" w:space="0" w:color="D1D5DB"/>
              <w:bottom w:val="single" w:sz="1" w:space="0" w:color="D1D5DB"/>
              <w:right w:val="single" w:sz="1" w:space="0" w:color="D1D5DB"/>
            </w:tcBorders>
            <w:shd w:val="solid" w:color="E5E7EB" w:fill="auto"/>
            <w:tcMar>
              <w:top w:w="115" w:type="dxa"/>
              <w:left w:w="144" w:type="dxa"/>
              <w:bottom w:w="115" w:type="dxa"/>
              <w:right w:w="144" w:type="dxa"/>
            </w:tcMar>
          </w:tcPr>
          <w:p w:rsidR="006657F1" w:rsidRPr="00851B29" w:rsidRDefault="00187E01" w:rsidP="00346F98">
            <w:pPr>
              <w:spacing w:before="80" w:after="80"/>
              <w:rPr>
                <w:rFonts w:ascii="Bookman Old Style" w:hAnsi="Bookman Old Style"/>
                <w:sz w:val="16"/>
                <w:szCs w:val="16"/>
              </w:rPr>
            </w:pPr>
            <w:r w:rsidRPr="00851B29">
              <w:rPr>
                <w:rFonts w:ascii="Bookman Old Style" w:hAnsi="Bookman Old Style"/>
                <w:b/>
                <w:bCs/>
                <w:sz w:val="16"/>
                <w:szCs w:val="16"/>
              </w:rPr>
              <w:t>Medidas Mitigadoras</w:t>
            </w:r>
          </w:p>
        </w:tc>
      </w:tr>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proofErr w:type="gramStart"/>
            <w:r w:rsidRPr="00851B29">
              <w:rPr>
                <w:rFonts w:ascii="Bookman Old Style" w:hAnsi="Bookman Old Style"/>
                <w:sz w:val="16"/>
                <w:szCs w:val="16"/>
              </w:rPr>
              <w:t>1</w:t>
            </w:r>
            <w:proofErr w:type="gramEnd"/>
          </w:p>
        </w:tc>
        <w:tc>
          <w:tcPr>
            <w:tcW w:w="9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Atraso na montagem</w:t>
            </w:r>
          </w:p>
        </w:tc>
        <w:tc>
          <w:tcPr>
            <w:tcW w:w="155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Atraso na entrega e montagem da estrutura e painéis de LED, inviabilizando os testes no dia 2/6/2026.</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Média</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851"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Crítico</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Operacional</w:t>
            </w:r>
          </w:p>
        </w:tc>
        <w:tc>
          <w:tcPr>
            <w:tcW w:w="1134"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Contratada</w:t>
            </w:r>
          </w:p>
        </w:tc>
        <w:tc>
          <w:tcPr>
            <w:tcW w:w="13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Cláusula contratual de multa por atraso (0,5% ao dia); exigência de cronograma físico-financeiro; visita técnica prévia ao local.</w:t>
            </w:r>
          </w:p>
        </w:tc>
      </w:tr>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proofErr w:type="gramStart"/>
            <w:r w:rsidRPr="00851B29">
              <w:rPr>
                <w:rFonts w:ascii="Bookman Old Style" w:hAnsi="Bookman Old Style"/>
                <w:sz w:val="16"/>
                <w:szCs w:val="16"/>
              </w:rPr>
              <w:t>2</w:t>
            </w:r>
            <w:proofErr w:type="gramEnd"/>
          </w:p>
        </w:tc>
        <w:tc>
          <w:tcPr>
            <w:tcW w:w="9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Falha técnica durante o evento</w:t>
            </w:r>
          </w:p>
        </w:tc>
        <w:tc>
          <w:tcPr>
            <w:tcW w:w="155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 xml:space="preserve">Queima de módulos de LED ou falha na transmissão de vídeo, </w:t>
            </w:r>
            <w:r w:rsidRPr="00851B29">
              <w:rPr>
                <w:rFonts w:ascii="Bookman Old Style" w:hAnsi="Bookman Old Style"/>
                <w:sz w:val="16"/>
                <w:szCs w:val="16"/>
              </w:rPr>
              <w:lastRenderedPageBreak/>
              <w:t>interrompendo a exibição.</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lastRenderedPageBreak/>
              <w:t>Média</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851"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Crítico</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Técnico</w:t>
            </w:r>
          </w:p>
        </w:tc>
        <w:tc>
          <w:tcPr>
            <w:tcW w:w="1134"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Contratada</w:t>
            </w:r>
          </w:p>
        </w:tc>
        <w:tc>
          <w:tcPr>
            <w:tcW w:w="13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 xml:space="preserve">Exigência de técnico residente com peças de reposição em </w:t>
            </w:r>
            <w:r w:rsidRPr="00851B29">
              <w:rPr>
                <w:rFonts w:ascii="Bookman Old Style" w:hAnsi="Bookman Old Style"/>
                <w:sz w:val="16"/>
                <w:szCs w:val="16"/>
              </w:rPr>
              <w:lastRenderedPageBreak/>
              <w:t>estoque (mínimo 5% dos módulos); sistema redundante de processamento.</w:t>
            </w:r>
          </w:p>
        </w:tc>
      </w:tr>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proofErr w:type="gramStart"/>
            <w:r w:rsidRPr="00851B29">
              <w:rPr>
                <w:rFonts w:ascii="Bookman Old Style" w:hAnsi="Bookman Old Style"/>
                <w:sz w:val="16"/>
                <w:szCs w:val="16"/>
              </w:rPr>
              <w:lastRenderedPageBreak/>
              <w:t>3</w:t>
            </w:r>
            <w:proofErr w:type="gramEnd"/>
          </w:p>
        </w:tc>
        <w:tc>
          <w:tcPr>
            <w:tcW w:w="9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Oscilação ou queda de energia</w:t>
            </w:r>
          </w:p>
        </w:tc>
        <w:tc>
          <w:tcPr>
            <w:tcW w:w="155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Queda ou oscilação de energia elétrica que danifique equipamentos ou interrompa a transmissão.</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Alta</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Médio</w:t>
            </w:r>
          </w:p>
        </w:tc>
        <w:tc>
          <w:tcPr>
            <w:tcW w:w="851"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Infraestrutura</w:t>
            </w:r>
          </w:p>
        </w:tc>
        <w:tc>
          <w:tcPr>
            <w:tcW w:w="1134"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Compartilhado</w:t>
            </w:r>
          </w:p>
        </w:tc>
        <w:tc>
          <w:tcPr>
            <w:tcW w:w="13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Contratante fornece ponto de energia estabilizado; contratada instala nobreak e protetores de surto; prever gerador reserva.</w:t>
            </w:r>
          </w:p>
        </w:tc>
      </w:tr>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proofErr w:type="gramStart"/>
            <w:r w:rsidRPr="00851B29">
              <w:rPr>
                <w:rFonts w:ascii="Bookman Old Style" w:hAnsi="Bookman Old Style"/>
                <w:sz w:val="16"/>
                <w:szCs w:val="16"/>
              </w:rPr>
              <w:t>4</w:t>
            </w:r>
            <w:proofErr w:type="gramEnd"/>
          </w:p>
        </w:tc>
        <w:tc>
          <w:tcPr>
            <w:tcW w:w="9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Condições climáticas adversas</w:t>
            </w:r>
          </w:p>
        </w:tc>
        <w:tc>
          <w:tcPr>
            <w:tcW w:w="155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Chuvas fortes ou ventanias que coloquem em risco a estrutura física do painel.</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Média</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851"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Crítico</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Ambiental</w:t>
            </w:r>
          </w:p>
        </w:tc>
        <w:tc>
          <w:tcPr>
            <w:tcW w:w="1134"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Compartilhado</w:t>
            </w:r>
          </w:p>
        </w:tc>
        <w:tc>
          <w:tcPr>
            <w:tcW w:w="13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Contratada dimensiona estrutura para ventos de 60 km/h e prevê sistema de ancoragem; contratante disponibiliza área abrigada para contingência.</w:t>
            </w:r>
          </w:p>
        </w:tc>
      </w:tr>
      <w:tr w:rsidR="00346F98" w:rsidRPr="00851B29" w:rsidTr="00436432">
        <w:tc>
          <w:tcPr>
            <w:tcW w:w="57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proofErr w:type="gramStart"/>
            <w:r w:rsidRPr="00851B29">
              <w:rPr>
                <w:rFonts w:ascii="Bookman Old Style" w:hAnsi="Bookman Old Style"/>
                <w:sz w:val="16"/>
                <w:szCs w:val="16"/>
              </w:rPr>
              <w:t>5</w:t>
            </w:r>
            <w:proofErr w:type="gramEnd"/>
          </w:p>
        </w:tc>
        <w:tc>
          <w:tcPr>
            <w:tcW w:w="9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Acidentes de trabalho</w:t>
            </w:r>
          </w:p>
        </w:tc>
        <w:tc>
          <w:tcPr>
            <w:tcW w:w="1559"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Acidentes na montagem em altura (NR-35) ou instalações elétricas (NR-10).</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Baixa</w:t>
            </w:r>
          </w:p>
        </w:tc>
        <w:tc>
          <w:tcPr>
            <w:tcW w:w="992"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851"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Alto</w:t>
            </w:r>
          </w:p>
        </w:tc>
        <w:tc>
          <w:tcPr>
            <w:tcW w:w="1417"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Segurança</w:t>
            </w:r>
          </w:p>
        </w:tc>
        <w:tc>
          <w:tcPr>
            <w:tcW w:w="1134"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Contratada</w:t>
            </w:r>
          </w:p>
        </w:tc>
        <w:tc>
          <w:tcPr>
            <w:tcW w:w="1393" w:type="dxa"/>
            <w:tcBorders>
              <w:top w:val="single" w:sz="1" w:space="0" w:color="D1D5DB"/>
              <w:left w:val="single" w:sz="1" w:space="0" w:color="D1D5DB"/>
              <w:bottom w:val="single" w:sz="1" w:space="0" w:color="D1D5DB"/>
              <w:right w:val="single" w:sz="1" w:space="0" w:color="D1D5DB"/>
            </w:tcBorders>
            <w:tcMar>
              <w:top w:w="115" w:type="dxa"/>
              <w:left w:w="144" w:type="dxa"/>
              <w:bottom w:w="115" w:type="dxa"/>
              <w:right w:w="144" w:type="dxa"/>
            </w:tcMar>
          </w:tcPr>
          <w:p w:rsidR="006657F1" w:rsidRPr="00851B29" w:rsidRDefault="00187E01">
            <w:pPr>
              <w:spacing w:before="60" w:after="60"/>
              <w:rPr>
                <w:rFonts w:ascii="Bookman Old Style" w:hAnsi="Bookman Old Style"/>
                <w:sz w:val="16"/>
                <w:szCs w:val="16"/>
              </w:rPr>
            </w:pPr>
            <w:r w:rsidRPr="00851B29">
              <w:rPr>
                <w:rFonts w:ascii="Bookman Old Style" w:hAnsi="Bookman Old Style"/>
                <w:sz w:val="16"/>
                <w:szCs w:val="16"/>
              </w:rPr>
              <w:t>Exigência de treinamento NR-10 e NR-35 para equipe; apresentação de ART; fornecimento de EPIs; seguro de responsabilidade civil.</w:t>
            </w:r>
          </w:p>
        </w:tc>
      </w:tr>
    </w:tbl>
    <w:p w:rsidR="006657F1" w:rsidRDefault="00187E01">
      <w:pPr>
        <w:spacing w:before="60"/>
        <w:jc w:val="center"/>
        <w:rPr>
          <w:rFonts w:ascii="Bookman Old Style" w:hAnsi="Bookman Old Style"/>
          <w:sz w:val="20"/>
          <w:szCs w:val="20"/>
        </w:rPr>
      </w:pPr>
      <w:r w:rsidRPr="00436432">
        <w:rPr>
          <w:rFonts w:ascii="Bookman Old Style" w:hAnsi="Bookman Old Style"/>
          <w:sz w:val="20"/>
          <w:szCs w:val="20"/>
        </w:rPr>
        <w:t>Santo Antônio do Sudoeste – Paraná, 28 de maio de 2026.</w:t>
      </w:r>
    </w:p>
    <w:p w:rsidR="00436432" w:rsidRPr="00436432" w:rsidRDefault="00436432">
      <w:pPr>
        <w:spacing w:before="60"/>
        <w:jc w:val="center"/>
        <w:rPr>
          <w:rFonts w:ascii="Bookman Old Style" w:hAnsi="Bookman Old Style"/>
          <w:sz w:val="20"/>
          <w:szCs w:val="20"/>
        </w:rPr>
      </w:pPr>
    </w:p>
    <w:p w:rsidR="006657F1" w:rsidRPr="00436432" w:rsidRDefault="00187E01" w:rsidP="00436432">
      <w:pPr>
        <w:spacing w:before="60" w:line="240" w:lineRule="auto"/>
        <w:jc w:val="center"/>
        <w:rPr>
          <w:rFonts w:ascii="Bookman Old Style" w:hAnsi="Bookman Old Style"/>
          <w:sz w:val="20"/>
          <w:szCs w:val="20"/>
        </w:rPr>
      </w:pPr>
      <w:r w:rsidRPr="00436432">
        <w:rPr>
          <w:rFonts w:ascii="Bookman Old Style" w:hAnsi="Bookman Old Style"/>
          <w:sz w:val="20"/>
          <w:szCs w:val="20"/>
        </w:rPr>
        <w:t>____________________________________</w:t>
      </w:r>
    </w:p>
    <w:p w:rsidR="006657F1" w:rsidRPr="00436432" w:rsidRDefault="00436432" w:rsidP="00436432">
      <w:pPr>
        <w:spacing w:before="60" w:line="240" w:lineRule="auto"/>
        <w:jc w:val="center"/>
        <w:rPr>
          <w:rFonts w:ascii="Bookman Old Style" w:hAnsi="Bookman Old Style"/>
          <w:sz w:val="20"/>
          <w:szCs w:val="20"/>
        </w:rPr>
      </w:pPr>
      <w:r w:rsidRPr="00436432">
        <w:rPr>
          <w:rFonts w:ascii="Bookman Old Style" w:hAnsi="Bookman Old Style"/>
          <w:b/>
          <w:bCs/>
          <w:sz w:val="20"/>
          <w:szCs w:val="20"/>
        </w:rPr>
        <w:t>CRISTINA BONFLEUR</w:t>
      </w:r>
      <w:r w:rsidR="00346F98" w:rsidRPr="00436432">
        <w:rPr>
          <w:rFonts w:ascii="Bookman Old Style" w:hAnsi="Bookman Old Style"/>
          <w:b/>
          <w:bCs/>
          <w:sz w:val="20"/>
          <w:szCs w:val="20"/>
        </w:rPr>
        <w:t xml:space="preserve"> </w:t>
      </w:r>
    </w:p>
    <w:sectPr w:rsidR="006657F1" w:rsidRPr="00436432" w:rsidSect="00851B29">
      <w:headerReference w:type="default" r:id="rId8"/>
      <w:pgSz w:w="11906" w:h="16838"/>
      <w:pgMar w:top="1440" w:right="1080" w:bottom="1440" w:left="108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4B3" w:rsidRDefault="00B134B3" w:rsidP="00851B29">
      <w:pPr>
        <w:spacing w:after="0" w:line="240" w:lineRule="auto"/>
      </w:pPr>
      <w:r>
        <w:separator/>
      </w:r>
    </w:p>
  </w:endnote>
  <w:endnote w:type="continuationSeparator" w:id="0">
    <w:p w:rsidR="00B134B3" w:rsidRDefault="00B134B3" w:rsidP="0085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4B3" w:rsidRDefault="00B134B3" w:rsidP="00851B29">
      <w:pPr>
        <w:spacing w:after="0" w:line="240" w:lineRule="auto"/>
      </w:pPr>
      <w:r>
        <w:separator/>
      </w:r>
    </w:p>
  </w:footnote>
  <w:footnote w:type="continuationSeparator" w:id="0">
    <w:p w:rsidR="00B134B3" w:rsidRDefault="00B134B3" w:rsidP="00851B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4B3" w:rsidRDefault="00B134B3" w:rsidP="00B134B3">
    <w:pPr>
      <w:spacing w:after="0"/>
      <w:jc w:val="center"/>
      <w:rPr>
        <w:rFonts w:ascii="Bookman Old Style" w:hAnsi="Bookman Old Style"/>
        <w:b/>
      </w:rPr>
    </w:pPr>
    <w:r>
      <w:rPr>
        <w:noProof/>
      </w:rPr>
      <w:drawing>
        <wp:anchor distT="0" distB="0" distL="114300" distR="114300" simplePos="0" relativeHeight="251659264" behindDoc="0" locked="0" layoutInCell="1" allowOverlap="1" wp14:anchorId="4B7A26E3" wp14:editId="2832BB37">
          <wp:simplePos x="0" y="0"/>
          <wp:positionH relativeFrom="column">
            <wp:posOffset>92710</wp:posOffset>
          </wp:positionH>
          <wp:positionV relativeFrom="paragraph">
            <wp:posOffset>-83820</wp:posOffset>
          </wp:positionV>
          <wp:extent cx="932815" cy="847725"/>
          <wp:effectExtent l="0" t="0" r="635" b="9525"/>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B134B3" w:rsidRDefault="00B134B3" w:rsidP="00B134B3">
    <w:pPr>
      <w:spacing w:after="0"/>
      <w:jc w:val="center"/>
      <w:rPr>
        <w:rFonts w:ascii="Bookman Old Style" w:hAnsi="Bookman Old Style"/>
      </w:rPr>
    </w:pPr>
    <w:r>
      <w:rPr>
        <w:rFonts w:ascii="Bookman Old Style" w:hAnsi="Bookman Old Style"/>
      </w:rPr>
      <w:t>ESTADO DO PARANÁ</w:t>
    </w:r>
  </w:p>
  <w:p w:rsidR="00B134B3" w:rsidRDefault="00B134B3" w:rsidP="00B134B3">
    <w:pPr>
      <w:spacing w:after="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B134B3" w:rsidRDefault="00B134B3" w:rsidP="00B134B3">
    <w:pPr>
      <w:tabs>
        <w:tab w:val="center" w:pos="5042"/>
        <w:tab w:val="left" w:pos="8910"/>
      </w:tabs>
      <w:spacing w:after="0"/>
      <w:jc w:val="center"/>
      <w:rPr>
        <w:rFonts w:ascii="Bookman Old Style" w:hAnsi="Bookman Old Style"/>
        <w:sz w:val="16"/>
      </w:rPr>
    </w:pPr>
    <w:r>
      <w:rPr>
        <w:rFonts w:ascii="Bookman Old Style" w:hAnsi="Bookman Old Style"/>
        <w:sz w:val="16"/>
      </w:rPr>
      <w:t>CNPJ 75.927.582/0001-55</w:t>
    </w:r>
  </w:p>
  <w:p w:rsidR="00B134B3" w:rsidRDefault="00B134B3" w:rsidP="00B134B3">
    <w:pPr>
      <w:spacing w:after="0"/>
      <w:jc w:val="cente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B134B3" w:rsidRDefault="00B134B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647E"/>
    <w:multiLevelType w:val="hybridMultilevel"/>
    <w:tmpl w:val="0172E6E0"/>
    <w:lvl w:ilvl="0" w:tplc="A670C18A">
      <w:start w:val="1"/>
      <w:numFmt w:val="decimal"/>
      <w:lvlText w:val="%1."/>
      <w:lvlJc w:val="left"/>
      <w:pPr>
        <w:ind w:left="720" w:hanging="360"/>
      </w:pPr>
    </w:lvl>
    <w:lvl w:ilvl="1" w:tplc="64604206">
      <w:numFmt w:val="decimal"/>
      <w:lvlText w:val=""/>
      <w:lvlJc w:val="left"/>
    </w:lvl>
    <w:lvl w:ilvl="2" w:tplc="385A2A5C">
      <w:numFmt w:val="decimal"/>
      <w:lvlText w:val=""/>
      <w:lvlJc w:val="left"/>
    </w:lvl>
    <w:lvl w:ilvl="3" w:tplc="51CEB996">
      <w:numFmt w:val="decimal"/>
      <w:lvlText w:val=""/>
      <w:lvlJc w:val="left"/>
    </w:lvl>
    <w:lvl w:ilvl="4" w:tplc="59906B50">
      <w:numFmt w:val="decimal"/>
      <w:lvlText w:val=""/>
      <w:lvlJc w:val="left"/>
    </w:lvl>
    <w:lvl w:ilvl="5" w:tplc="67022070">
      <w:numFmt w:val="decimal"/>
      <w:lvlText w:val=""/>
      <w:lvlJc w:val="left"/>
    </w:lvl>
    <w:lvl w:ilvl="6" w:tplc="DB68A7B6">
      <w:numFmt w:val="decimal"/>
      <w:lvlText w:val=""/>
      <w:lvlJc w:val="left"/>
    </w:lvl>
    <w:lvl w:ilvl="7" w:tplc="8804AA72">
      <w:numFmt w:val="decimal"/>
      <w:lvlText w:val=""/>
      <w:lvlJc w:val="left"/>
    </w:lvl>
    <w:lvl w:ilvl="8" w:tplc="561CFC02">
      <w:numFmt w:val="decimal"/>
      <w:lvlText w:val=""/>
      <w:lvlJc w:val="left"/>
    </w:lvl>
  </w:abstractNum>
  <w:abstractNum w:abstractNumId="1">
    <w:nsid w:val="57D42927"/>
    <w:multiLevelType w:val="hybridMultilevel"/>
    <w:tmpl w:val="0568BC3A"/>
    <w:lvl w:ilvl="0" w:tplc="AE80DF48">
      <w:start w:val="1"/>
      <w:numFmt w:val="bullet"/>
      <w:lvlText w:val="●"/>
      <w:lvlJc w:val="left"/>
      <w:pPr>
        <w:ind w:left="720" w:hanging="360"/>
      </w:pPr>
    </w:lvl>
    <w:lvl w:ilvl="1" w:tplc="4DB8023A">
      <w:start w:val="1"/>
      <w:numFmt w:val="bullet"/>
      <w:lvlText w:val="○"/>
      <w:lvlJc w:val="left"/>
      <w:pPr>
        <w:ind w:left="1440" w:hanging="360"/>
      </w:pPr>
    </w:lvl>
    <w:lvl w:ilvl="2" w:tplc="EA7C2B0E">
      <w:start w:val="1"/>
      <w:numFmt w:val="bullet"/>
      <w:lvlText w:val="■"/>
      <w:lvlJc w:val="left"/>
      <w:pPr>
        <w:ind w:left="2160" w:hanging="360"/>
      </w:pPr>
    </w:lvl>
    <w:lvl w:ilvl="3" w:tplc="454849AA">
      <w:start w:val="1"/>
      <w:numFmt w:val="bullet"/>
      <w:lvlText w:val="●"/>
      <w:lvlJc w:val="left"/>
      <w:pPr>
        <w:ind w:left="2880" w:hanging="360"/>
      </w:pPr>
    </w:lvl>
    <w:lvl w:ilvl="4" w:tplc="6A6AEEC0">
      <w:start w:val="1"/>
      <w:numFmt w:val="bullet"/>
      <w:lvlText w:val="○"/>
      <w:lvlJc w:val="left"/>
      <w:pPr>
        <w:ind w:left="3600" w:hanging="360"/>
      </w:pPr>
    </w:lvl>
    <w:lvl w:ilvl="5" w:tplc="E69EC912">
      <w:start w:val="1"/>
      <w:numFmt w:val="bullet"/>
      <w:lvlText w:val="■"/>
      <w:lvlJc w:val="left"/>
      <w:pPr>
        <w:ind w:left="4320" w:hanging="360"/>
      </w:pPr>
    </w:lvl>
    <w:lvl w:ilvl="6" w:tplc="472E1902">
      <w:start w:val="1"/>
      <w:numFmt w:val="bullet"/>
      <w:lvlText w:val="●"/>
      <w:lvlJc w:val="left"/>
      <w:pPr>
        <w:ind w:left="5040" w:hanging="360"/>
      </w:pPr>
    </w:lvl>
    <w:lvl w:ilvl="7" w:tplc="EA960D08">
      <w:start w:val="1"/>
      <w:numFmt w:val="bullet"/>
      <w:lvlText w:val="●"/>
      <w:lvlJc w:val="left"/>
      <w:pPr>
        <w:ind w:left="5760" w:hanging="360"/>
      </w:pPr>
    </w:lvl>
    <w:lvl w:ilvl="8" w:tplc="2A72D49C">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
  <w:rsids>
    <w:rsidRoot w:val="006657F1"/>
    <w:rsid w:val="00187E01"/>
    <w:rsid w:val="00346F98"/>
    <w:rsid w:val="003529AC"/>
    <w:rsid w:val="00436432"/>
    <w:rsid w:val="006657F1"/>
    <w:rsid w:val="00797B36"/>
    <w:rsid w:val="00851B29"/>
    <w:rsid w:val="008E180F"/>
    <w:rsid w:val="00937C2D"/>
    <w:rsid w:val="00B134B3"/>
    <w:rsid w:val="00BF5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qFormat/>
    <w:pPr>
      <w:spacing w:before="480" w:after="240"/>
      <w:outlineLvl w:val="0"/>
    </w:pPr>
    <w:rPr>
      <w:b/>
      <w:bCs/>
      <w:sz w:val="52"/>
      <w:szCs w:val="52"/>
    </w:rPr>
  </w:style>
  <w:style w:type="paragraph" w:styleId="Ttulo2">
    <w:name w:val="heading 2"/>
    <w:qFormat/>
    <w:pPr>
      <w:spacing w:before="360" w:after="180"/>
      <w:outlineLvl w:val="1"/>
    </w:pPr>
    <w:rPr>
      <w:b/>
      <w:bCs/>
      <w:sz w:val="36"/>
      <w:szCs w:val="36"/>
    </w:rPr>
  </w:style>
  <w:style w:type="paragraph" w:styleId="Ttulo3">
    <w:name w:val="heading 3"/>
    <w:qFormat/>
    <w:pPr>
      <w:spacing w:before="240"/>
      <w:outlineLvl w:val="2"/>
    </w:pPr>
    <w:rPr>
      <w:b/>
      <w:bCs/>
      <w:sz w:val="28"/>
      <w:szCs w:val="28"/>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851B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1B29"/>
  </w:style>
  <w:style w:type="paragraph" w:styleId="Rodap">
    <w:name w:val="footer"/>
    <w:basedOn w:val="Normal"/>
    <w:link w:val="RodapChar"/>
    <w:uiPriority w:val="99"/>
    <w:unhideWhenUsed/>
    <w:rsid w:val="00851B29"/>
    <w:pPr>
      <w:tabs>
        <w:tab w:val="center" w:pos="4252"/>
        <w:tab w:val="right" w:pos="8504"/>
      </w:tabs>
      <w:spacing w:after="0" w:line="240" w:lineRule="auto"/>
    </w:pPr>
  </w:style>
  <w:style w:type="character" w:customStyle="1" w:styleId="RodapChar">
    <w:name w:val="Rodapé Char"/>
    <w:basedOn w:val="Fontepargpadro"/>
    <w:link w:val="Rodap"/>
    <w:uiPriority w:val="99"/>
    <w:rsid w:val="00851B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qFormat/>
    <w:pPr>
      <w:spacing w:before="480" w:after="240"/>
      <w:outlineLvl w:val="0"/>
    </w:pPr>
    <w:rPr>
      <w:b/>
      <w:bCs/>
      <w:sz w:val="52"/>
      <w:szCs w:val="52"/>
    </w:rPr>
  </w:style>
  <w:style w:type="paragraph" w:styleId="Ttulo2">
    <w:name w:val="heading 2"/>
    <w:qFormat/>
    <w:pPr>
      <w:spacing w:before="360" w:after="180"/>
      <w:outlineLvl w:val="1"/>
    </w:pPr>
    <w:rPr>
      <w:b/>
      <w:bCs/>
      <w:sz w:val="36"/>
      <w:szCs w:val="36"/>
    </w:rPr>
  </w:style>
  <w:style w:type="paragraph" w:styleId="Ttulo3">
    <w:name w:val="heading 3"/>
    <w:qFormat/>
    <w:pPr>
      <w:spacing w:before="240"/>
      <w:outlineLvl w:val="2"/>
    </w:pPr>
    <w:rPr>
      <w:b/>
      <w:bCs/>
      <w:sz w:val="28"/>
      <w:szCs w:val="28"/>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851B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1B29"/>
  </w:style>
  <w:style w:type="paragraph" w:styleId="Rodap">
    <w:name w:val="footer"/>
    <w:basedOn w:val="Normal"/>
    <w:link w:val="RodapChar"/>
    <w:uiPriority w:val="99"/>
    <w:unhideWhenUsed/>
    <w:rsid w:val="00851B29"/>
    <w:pPr>
      <w:tabs>
        <w:tab w:val="center" w:pos="4252"/>
        <w:tab w:val="right" w:pos="8504"/>
      </w:tabs>
      <w:spacing w:after="0" w:line="240" w:lineRule="auto"/>
    </w:pPr>
  </w:style>
  <w:style w:type="character" w:customStyle="1" w:styleId="RodapChar">
    <w:name w:val="Rodapé Char"/>
    <w:basedOn w:val="Fontepargpadro"/>
    <w:link w:val="Rodap"/>
    <w:uiPriority w:val="99"/>
    <w:rsid w:val="00851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2187</Words>
  <Characters>11813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Licitação</cp:lastModifiedBy>
  <cp:revision>5</cp:revision>
  <dcterms:created xsi:type="dcterms:W3CDTF">2026-05-28T13:45:00Z</dcterms:created>
  <dcterms:modified xsi:type="dcterms:W3CDTF">2026-05-28T18:46:00Z</dcterms:modified>
</cp:coreProperties>
</file>