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3DA" w:rsidRPr="00F97084" w:rsidRDefault="006153DA" w:rsidP="006153DA">
      <w:pPr>
        <w:widowControl w:val="0"/>
        <w:spacing w:after="0" w:line="240" w:lineRule="auto"/>
        <w:jc w:val="center"/>
        <w:rPr>
          <w:rFonts w:ascii="Bookman Old Style" w:eastAsia="Arial" w:hAnsi="Bookman Old Style" w:cs="Arial"/>
          <w:sz w:val="20"/>
          <w:szCs w:val="20"/>
          <w:lang w:eastAsia="pt-BR"/>
        </w:rPr>
      </w:pPr>
      <w:r w:rsidRPr="00F97084">
        <w:rPr>
          <w:rFonts w:ascii="Bookman Old Style" w:eastAsia="Arial" w:hAnsi="Bookman Old Style" w:cs="Arial"/>
          <w:noProof/>
          <w:sz w:val="20"/>
          <w:szCs w:val="20"/>
          <w:lang w:eastAsia="pt-BR"/>
        </w:rPr>
        <w:drawing>
          <wp:anchor distT="0" distB="0" distL="114300" distR="114300" simplePos="0" relativeHeight="251659264" behindDoc="1" locked="0" layoutInCell="1" allowOverlap="1" wp14:anchorId="68930D59" wp14:editId="6C73F0E3">
            <wp:simplePos x="0" y="0"/>
            <wp:positionH relativeFrom="column">
              <wp:posOffset>-701040</wp:posOffset>
            </wp:positionH>
            <wp:positionV relativeFrom="paragraph">
              <wp:posOffset>-1162050</wp:posOffset>
            </wp:positionV>
            <wp:extent cx="1181100" cy="10706100"/>
            <wp:effectExtent l="0" t="0" r="0" b="0"/>
            <wp:wrapThrough wrapText="bothSides">
              <wp:wrapPolygon edited="0">
                <wp:start x="0" y="0"/>
                <wp:lineTo x="0" y="21562"/>
                <wp:lineTo x="12194" y="21562"/>
                <wp:lineTo x="12194" y="21523"/>
                <wp:lineTo x="10800" y="20908"/>
                <wp:lineTo x="9755" y="19063"/>
                <wp:lineTo x="11497" y="17833"/>
                <wp:lineTo x="17071" y="15989"/>
                <wp:lineTo x="19510" y="15527"/>
                <wp:lineTo x="18465" y="15412"/>
                <wp:lineTo x="11845" y="15374"/>
                <wp:lineTo x="21252" y="12376"/>
                <wp:lineTo x="21252" y="12260"/>
                <wp:lineTo x="2787" y="11684"/>
                <wp:lineTo x="2439" y="0"/>
                <wp:lineTo x="0" y="0"/>
              </wp:wrapPolygon>
            </wp:wrapThrough>
            <wp:docPr id="3" name="Imagem 3"/>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81100" cy="10706100"/>
                    </a:xfrm>
                    <a:prstGeom prst="rect">
                      <a:avLst/>
                    </a:prstGeom>
                    <a:noFill/>
                  </pic:spPr>
                </pic:pic>
              </a:graphicData>
            </a:graphic>
            <wp14:sizeRelH relativeFrom="page">
              <wp14:pctWidth>0</wp14:pctWidth>
            </wp14:sizeRelH>
            <wp14:sizeRelV relativeFrom="page">
              <wp14:pctHeight>0</wp14:pctHeight>
            </wp14:sizeRelV>
          </wp:anchor>
        </w:drawing>
      </w:r>
      <w:r w:rsidRPr="00F97084">
        <w:rPr>
          <w:rFonts w:ascii="Bookman Old Style" w:eastAsia="Bookman Old Style" w:hAnsi="Bookman Old Style" w:cs="Bookman Old Style"/>
          <w:b/>
          <w:sz w:val="48"/>
          <w:szCs w:val="20"/>
          <w:lang w:eastAsia="pt-BR"/>
        </w:rPr>
        <w:t>PREGÃO ELETRÔNICO</w:t>
      </w:r>
    </w:p>
    <w:p w:rsidR="006153DA" w:rsidRPr="00F97084" w:rsidRDefault="006153DA" w:rsidP="006153DA">
      <w:pPr>
        <w:spacing w:after="0" w:line="240" w:lineRule="auto"/>
        <w:jc w:val="center"/>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48"/>
          <w:szCs w:val="20"/>
          <w:lang w:eastAsia="pt-BR"/>
        </w:rPr>
        <w:t>N°0</w:t>
      </w:r>
      <w:r w:rsidRPr="00F97084">
        <w:rPr>
          <w:rFonts w:ascii="Bookman Old Style" w:eastAsia="Calibri" w:hAnsi="Bookman Old Style" w:cs="Calibri"/>
          <w:b/>
          <w:sz w:val="48"/>
          <w:szCs w:val="20"/>
          <w:lang w:eastAsia="pt-BR"/>
        </w:rPr>
        <w:t>36/2026</w:t>
      </w:r>
    </w:p>
    <w:p w:rsidR="006153DA" w:rsidRPr="00F97084" w:rsidRDefault="006153DA" w:rsidP="006153DA">
      <w:pPr>
        <w:spacing w:after="0" w:line="240" w:lineRule="auto"/>
        <w:jc w:val="center"/>
        <w:rPr>
          <w:rFonts w:ascii="Bookman Old Style" w:eastAsia="Calibri" w:hAnsi="Bookman Old Style" w:cs="Calibri"/>
          <w:b/>
          <w:sz w:val="48"/>
          <w:szCs w:val="20"/>
          <w:lang w:eastAsia="pt-BR"/>
        </w:rPr>
      </w:pPr>
      <w:r w:rsidRPr="00F97084">
        <w:rPr>
          <w:rFonts w:ascii="Bookman Old Style" w:eastAsia="Bookman Old Style" w:hAnsi="Bookman Old Style" w:cs="Bookman Old Style"/>
          <w:b/>
          <w:sz w:val="48"/>
          <w:szCs w:val="20"/>
          <w:lang w:eastAsia="pt-BR"/>
        </w:rPr>
        <w:t xml:space="preserve">PROCESSO </w:t>
      </w:r>
      <w:r w:rsidRPr="00F97084">
        <w:rPr>
          <w:rFonts w:ascii="Bookman Old Style" w:eastAsia="Calibri" w:hAnsi="Bookman Old Style" w:cs="Calibri"/>
          <w:b/>
          <w:sz w:val="48"/>
          <w:szCs w:val="20"/>
          <w:lang w:eastAsia="pt-BR"/>
        </w:rPr>
        <w:t>917/2026.</w:t>
      </w:r>
    </w:p>
    <w:p w:rsidR="006153DA" w:rsidRPr="00F97084" w:rsidRDefault="006153DA" w:rsidP="006153DA">
      <w:pPr>
        <w:spacing w:after="0" w:line="240" w:lineRule="auto"/>
        <w:jc w:val="center"/>
        <w:rPr>
          <w:rFonts w:ascii="Bookman Old Style" w:eastAsia="Arial" w:hAnsi="Bookman Old Style" w:cs="Arial"/>
          <w:sz w:val="20"/>
          <w:szCs w:val="20"/>
          <w:lang w:eastAsia="pt-BR"/>
        </w:rPr>
      </w:pPr>
      <w:r w:rsidRPr="00F97084">
        <w:rPr>
          <w:rFonts w:ascii="Bookman Old Style" w:eastAsia="Calibri" w:hAnsi="Bookman Old Style" w:cs="Calibri"/>
          <w:b/>
          <w:sz w:val="24"/>
          <w:szCs w:val="20"/>
          <w:lang w:eastAsia="pt-BR"/>
        </w:rPr>
        <w:t>NÚMERO DO PROCESSO COMPRAS GOV E PNCP: 987857-20/2026</w:t>
      </w:r>
    </w:p>
    <w:p w:rsidR="006153DA" w:rsidRPr="00F97084" w:rsidRDefault="006153DA" w:rsidP="006153DA">
      <w:pPr>
        <w:widowControl w:val="0"/>
        <w:spacing w:after="0" w:line="240" w:lineRule="auto"/>
        <w:rPr>
          <w:rFonts w:ascii="Bookman Old Style" w:eastAsia="Arial" w:hAnsi="Bookman Old Style" w:cs="Arial"/>
          <w:sz w:val="20"/>
          <w:szCs w:val="20"/>
          <w:lang w:eastAsia="pt-BR"/>
        </w:rPr>
      </w:pPr>
    </w:p>
    <w:p w:rsidR="006153DA" w:rsidRPr="00F97084" w:rsidRDefault="006153DA" w:rsidP="006153DA">
      <w:pPr>
        <w:tabs>
          <w:tab w:val="left" w:pos="10170"/>
        </w:tabs>
        <w:spacing w:after="0" w:line="240" w:lineRule="auto"/>
        <w:jc w:val="both"/>
        <w:rPr>
          <w:rFonts w:ascii="Bookman Old Style" w:eastAsia="Arial" w:hAnsi="Bookman Old Style" w:cs="Arial"/>
          <w:sz w:val="20"/>
          <w:szCs w:val="20"/>
          <w:lang w:eastAsia="pt-BR"/>
        </w:rPr>
      </w:pPr>
    </w:p>
    <w:p w:rsidR="006153DA" w:rsidRPr="00F97084" w:rsidRDefault="006153DA" w:rsidP="006153DA">
      <w:pPr>
        <w:tabs>
          <w:tab w:val="left" w:pos="10170"/>
        </w:tabs>
        <w:spacing w:after="0" w:line="240" w:lineRule="auto"/>
        <w:jc w:val="both"/>
        <w:rPr>
          <w:rFonts w:ascii="Bookman Old Style" w:eastAsia="Arial" w:hAnsi="Bookman Old Style" w:cs="Arial"/>
          <w:sz w:val="20"/>
          <w:szCs w:val="20"/>
          <w:lang w:eastAsia="pt-BR"/>
        </w:rPr>
      </w:pPr>
    </w:p>
    <w:p w:rsidR="006153DA" w:rsidRPr="00F97084" w:rsidRDefault="006153DA" w:rsidP="006153DA">
      <w:pPr>
        <w:tabs>
          <w:tab w:val="left" w:pos="10170"/>
        </w:tabs>
        <w:spacing w:after="0" w:line="240" w:lineRule="auto"/>
        <w:jc w:val="both"/>
        <w:rPr>
          <w:rFonts w:ascii="Bookman Old Style" w:eastAsia="Arial" w:hAnsi="Bookman Old Style" w:cs="Arial"/>
          <w:sz w:val="20"/>
          <w:szCs w:val="20"/>
          <w:lang w:eastAsia="pt-BR"/>
        </w:rPr>
      </w:pPr>
    </w:p>
    <w:p w:rsidR="006153DA" w:rsidRPr="00F97084" w:rsidRDefault="006153DA" w:rsidP="006153DA">
      <w:pPr>
        <w:tabs>
          <w:tab w:val="left" w:pos="10170"/>
        </w:tabs>
        <w:spacing w:after="0" w:line="240" w:lineRule="auto"/>
        <w:jc w:val="both"/>
        <w:rPr>
          <w:rFonts w:ascii="Bookman Old Style" w:eastAsia="Arial" w:hAnsi="Bookman Old Style" w:cs="Arial"/>
          <w:sz w:val="20"/>
          <w:szCs w:val="20"/>
          <w:lang w:eastAsia="pt-BR"/>
        </w:rPr>
      </w:pPr>
    </w:p>
    <w:p w:rsidR="006153DA" w:rsidRPr="00F97084" w:rsidRDefault="006153DA" w:rsidP="006153DA">
      <w:pPr>
        <w:tabs>
          <w:tab w:val="left" w:pos="10170"/>
        </w:tabs>
        <w:spacing w:after="0" w:line="240" w:lineRule="auto"/>
        <w:jc w:val="both"/>
        <w:rPr>
          <w:rFonts w:ascii="Bookman Old Style" w:eastAsia="Arial" w:hAnsi="Bookman Old Style" w:cs="Arial"/>
          <w:sz w:val="20"/>
          <w:szCs w:val="20"/>
          <w:lang w:eastAsia="pt-BR"/>
        </w:rPr>
      </w:pPr>
    </w:p>
    <w:p w:rsidR="006153DA" w:rsidRPr="00F97084" w:rsidRDefault="006153DA" w:rsidP="006153DA">
      <w:pPr>
        <w:tabs>
          <w:tab w:val="left" w:pos="10170"/>
        </w:tabs>
        <w:spacing w:after="0" w:line="240" w:lineRule="auto"/>
        <w:jc w:val="both"/>
        <w:rPr>
          <w:rFonts w:ascii="Bookman Old Style" w:eastAsia="Arial" w:hAnsi="Bookman Old Style" w:cs="Arial"/>
          <w:sz w:val="20"/>
          <w:szCs w:val="20"/>
          <w:lang w:eastAsia="pt-BR"/>
        </w:rPr>
      </w:pPr>
    </w:p>
    <w:p w:rsidR="006153DA" w:rsidRPr="00F97084" w:rsidRDefault="006153DA" w:rsidP="006153DA">
      <w:pPr>
        <w:spacing w:after="0" w:line="240" w:lineRule="auto"/>
        <w:ind w:left="1845"/>
        <w:jc w:val="both"/>
        <w:rPr>
          <w:rFonts w:ascii="Bookman Old Style" w:eastAsia="Arial" w:hAnsi="Bookman Old Style" w:cs="Arial"/>
          <w:sz w:val="18"/>
          <w:szCs w:val="20"/>
          <w:lang w:eastAsia="pt-BR"/>
        </w:rPr>
      </w:pPr>
      <w:r w:rsidRPr="00F97084">
        <w:rPr>
          <w:rFonts w:ascii="Bookman Old Style" w:eastAsia="Bookman Old Style" w:hAnsi="Bookman Old Style" w:cs="Bookman Old Style"/>
          <w:b/>
          <w:sz w:val="32"/>
          <w:szCs w:val="20"/>
          <w:lang w:eastAsia="pt-BR"/>
        </w:rPr>
        <w:t>OBJETO:</w:t>
      </w:r>
      <w:r w:rsidRPr="00F97084">
        <w:rPr>
          <w:rFonts w:ascii="Bookman Old Style" w:eastAsia="Bookman Old Style" w:hAnsi="Bookman Old Style" w:cs="Bookman Old Style"/>
          <w:sz w:val="32"/>
          <w:szCs w:val="20"/>
          <w:lang w:eastAsia="pt-BR"/>
        </w:rPr>
        <w:t xml:space="preserve"> </w:t>
      </w:r>
      <w:r w:rsidRPr="00F97084">
        <w:rPr>
          <w:rFonts w:ascii="Bookman Old Style" w:eastAsia="Calibri" w:hAnsi="Bookman Old Style" w:cs="Calibri"/>
          <w:sz w:val="32"/>
          <w:szCs w:val="20"/>
          <w:lang w:eastAsia="pt-BR"/>
        </w:rPr>
        <w:t>Aquisição de suprimentos de impressão, tintas, toners, cilindros, unidades de imagem, reveladores, peças, componentes, materiais, ferramentas e equipamentos destinados ao abastecimento, à manutenção preventiva e à manutenção corretiva do parque de impressoras do Município de Santo Antônio do Sudoeste – PR.</w:t>
      </w:r>
    </w:p>
    <w:p w:rsidR="006153DA" w:rsidRPr="00F97084" w:rsidRDefault="006153DA" w:rsidP="006153DA">
      <w:pPr>
        <w:spacing w:after="0" w:line="240" w:lineRule="auto"/>
        <w:rPr>
          <w:rFonts w:ascii="Bookman Old Style" w:eastAsia="Arial" w:hAnsi="Bookman Old Style" w:cs="Arial"/>
          <w:sz w:val="20"/>
          <w:szCs w:val="20"/>
          <w:lang w:eastAsia="pt-BR"/>
        </w:rPr>
      </w:pPr>
    </w:p>
    <w:p w:rsidR="006153DA" w:rsidRPr="00F97084" w:rsidRDefault="006153DA" w:rsidP="006153DA">
      <w:pPr>
        <w:spacing w:after="0" w:line="240" w:lineRule="auto"/>
        <w:rPr>
          <w:rFonts w:ascii="Bookman Old Style" w:eastAsia="Arial" w:hAnsi="Bookman Old Style" w:cs="Arial"/>
          <w:sz w:val="20"/>
          <w:szCs w:val="20"/>
          <w:lang w:eastAsia="pt-BR"/>
        </w:rPr>
      </w:pPr>
    </w:p>
    <w:p w:rsidR="006153DA" w:rsidRPr="00F97084" w:rsidRDefault="006153DA" w:rsidP="006153DA">
      <w:pPr>
        <w:spacing w:after="0" w:line="240" w:lineRule="auto"/>
        <w:rPr>
          <w:rFonts w:ascii="Bookman Old Style" w:eastAsia="Arial" w:hAnsi="Bookman Old Style" w:cs="Arial"/>
          <w:sz w:val="20"/>
          <w:szCs w:val="20"/>
          <w:lang w:eastAsia="pt-BR"/>
        </w:rPr>
      </w:pPr>
    </w:p>
    <w:p w:rsidR="006153DA" w:rsidRPr="00F97084" w:rsidRDefault="006153DA" w:rsidP="006153DA">
      <w:pPr>
        <w:spacing w:after="0" w:line="240" w:lineRule="auto"/>
        <w:rPr>
          <w:rFonts w:ascii="Bookman Old Style" w:eastAsia="Arial" w:hAnsi="Bookman Old Style" w:cs="Arial"/>
          <w:sz w:val="20"/>
          <w:szCs w:val="20"/>
          <w:lang w:eastAsia="pt-BR"/>
        </w:rPr>
      </w:pPr>
    </w:p>
    <w:p w:rsidR="006153DA" w:rsidRPr="00F97084" w:rsidRDefault="006153DA" w:rsidP="006153DA">
      <w:pPr>
        <w:spacing w:after="0" w:line="240" w:lineRule="auto"/>
        <w:ind w:left="1845"/>
        <w:jc w:val="center"/>
        <w:rPr>
          <w:rFonts w:ascii="Bookman Old Style" w:eastAsia="Arial" w:hAnsi="Bookman Old Style" w:cs="Arial"/>
          <w:sz w:val="20"/>
          <w:szCs w:val="20"/>
          <w:lang w:eastAsia="pt-BR"/>
        </w:rPr>
      </w:pPr>
    </w:p>
    <w:p w:rsidR="006153DA" w:rsidRPr="00F97084" w:rsidRDefault="006153DA" w:rsidP="006153DA">
      <w:pPr>
        <w:spacing w:after="0" w:line="240" w:lineRule="auto"/>
        <w:ind w:left="1845"/>
        <w:jc w:val="both"/>
        <w:rPr>
          <w:rFonts w:ascii="Bookman Old Style" w:eastAsia="Arial" w:hAnsi="Bookman Old Style" w:cs="Arial"/>
          <w:b/>
          <w:sz w:val="20"/>
          <w:szCs w:val="20"/>
          <w:lang w:eastAsia="pt-BR"/>
        </w:rPr>
      </w:pPr>
      <w:r w:rsidRPr="00F97084">
        <w:rPr>
          <w:rFonts w:ascii="Bookman Old Style" w:eastAsia="Bookman Old Style" w:hAnsi="Bookman Old Style" w:cs="Bookman Old Style"/>
          <w:b/>
          <w:color w:val="405CA1"/>
          <w:sz w:val="20"/>
          <w:szCs w:val="20"/>
          <w:lang w:eastAsia="pt-BR"/>
        </w:rPr>
        <w:t>VALOR TOTAL DA CONTRATAÇÃO</w:t>
      </w:r>
    </w:p>
    <w:p w:rsidR="006153DA" w:rsidRPr="00F97084" w:rsidRDefault="006153DA" w:rsidP="006153DA">
      <w:pPr>
        <w:spacing w:after="165" w:line="240" w:lineRule="auto"/>
        <w:ind w:left="1845"/>
        <w:rPr>
          <w:rFonts w:ascii="Bookman Old Style" w:eastAsia="Arial" w:hAnsi="Bookman Old Style" w:cs="Arial"/>
          <w:b/>
          <w:sz w:val="20"/>
          <w:szCs w:val="20"/>
          <w:lang w:eastAsia="pt-BR"/>
        </w:rPr>
      </w:pPr>
      <w:r w:rsidRPr="00F97084">
        <w:rPr>
          <w:rFonts w:ascii="Bookman Old Style" w:eastAsia="Bookman Old Style" w:hAnsi="Bookman Old Style" w:cs="Bookman Old Style"/>
          <w:b/>
          <w:sz w:val="20"/>
          <w:szCs w:val="20"/>
          <w:lang w:eastAsia="pt-BR"/>
        </w:rPr>
        <w:t>R$ 384.351,53 (Trezentos e Oitenta e Quatro Mil e Trezentos e Cinquenta e Um Reais e Cinquenta e Três Centavos).</w:t>
      </w:r>
      <w:r w:rsidRPr="00F97084">
        <w:rPr>
          <w:rFonts w:ascii="Bookman Old Style" w:eastAsia="Arial" w:hAnsi="Bookman Old Style" w:cs="Arial"/>
          <w:b/>
          <w:sz w:val="20"/>
          <w:szCs w:val="20"/>
          <w:lang w:eastAsia="pt-BR"/>
        </w:rPr>
        <w:br/>
      </w:r>
    </w:p>
    <w:p w:rsidR="006153DA" w:rsidRPr="00F97084" w:rsidRDefault="006153DA" w:rsidP="006153DA">
      <w:pPr>
        <w:spacing w:after="0" w:line="240" w:lineRule="auto"/>
        <w:ind w:left="1845"/>
        <w:jc w:val="both"/>
        <w:rPr>
          <w:rFonts w:ascii="Bookman Old Style" w:eastAsia="Arial" w:hAnsi="Bookman Old Style" w:cs="Arial"/>
          <w:b/>
          <w:sz w:val="20"/>
          <w:szCs w:val="20"/>
          <w:lang w:eastAsia="pt-BR"/>
        </w:rPr>
      </w:pPr>
      <w:r w:rsidRPr="00F97084">
        <w:rPr>
          <w:rFonts w:ascii="Bookman Old Style" w:eastAsia="Bookman Old Style" w:hAnsi="Bookman Old Style" w:cs="Bookman Old Style"/>
          <w:b/>
          <w:color w:val="4472C4"/>
          <w:sz w:val="20"/>
          <w:szCs w:val="20"/>
          <w:u w:val="single"/>
          <w:lang w:eastAsia="pt-BR"/>
        </w:rPr>
        <w:t>DATA DA SESSÃO PÚBLICA</w:t>
      </w:r>
    </w:p>
    <w:p w:rsidR="006153DA" w:rsidRPr="00F97084" w:rsidRDefault="006153DA" w:rsidP="006153DA">
      <w:pPr>
        <w:spacing w:after="0" w:line="240" w:lineRule="auto"/>
        <w:ind w:left="1845"/>
        <w:jc w:val="both"/>
        <w:rPr>
          <w:rFonts w:ascii="Bookman Old Style" w:eastAsia="Arial" w:hAnsi="Bookman Old Style" w:cs="Arial"/>
          <w:b/>
          <w:sz w:val="20"/>
          <w:szCs w:val="20"/>
          <w:lang w:eastAsia="pt-BR"/>
        </w:rPr>
      </w:pPr>
      <w:r w:rsidRPr="00F97084">
        <w:rPr>
          <w:rFonts w:ascii="Bookman Old Style" w:eastAsia="Bookman Old Style" w:hAnsi="Bookman Old Style" w:cs="Bookman Old Style"/>
          <w:b/>
          <w:sz w:val="20"/>
          <w:szCs w:val="20"/>
          <w:lang w:eastAsia="pt-BR"/>
        </w:rPr>
        <w:t xml:space="preserve">Dia </w:t>
      </w:r>
      <w:r w:rsidR="00AD62EF">
        <w:rPr>
          <w:rFonts w:ascii="Bookman Old Style" w:eastAsia="Calibri" w:hAnsi="Bookman Old Style" w:cs="Calibri"/>
          <w:b/>
          <w:sz w:val="20"/>
          <w:szCs w:val="20"/>
          <w:lang w:eastAsia="pt-BR"/>
        </w:rPr>
        <w:t>03/11</w:t>
      </w:r>
      <w:r w:rsidRPr="00F97084">
        <w:rPr>
          <w:rFonts w:ascii="Bookman Old Style" w:eastAsia="Calibri" w:hAnsi="Bookman Old Style" w:cs="Calibri"/>
          <w:b/>
          <w:sz w:val="20"/>
          <w:szCs w:val="20"/>
          <w:lang w:eastAsia="pt-BR"/>
        </w:rPr>
        <w:t xml:space="preserve">/2026 </w:t>
      </w:r>
      <w:r w:rsidRPr="00F97084">
        <w:rPr>
          <w:rFonts w:ascii="Bookman Old Style" w:eastAsia="Bookman Old Style" w:hAnsi="Bookman Old Style" w:cs="Bookman Old Style"/>
          <w:b/>
          <w:sz w:val="20"/>
          <w:szCs w:val="20"/>
          <w:lang w:eastAsia="pt-BR"/>
        </w:rPr>
        <w:t>às 09h</w:t>
      </w:r>
      <w:r w:rsidRPr="00F97084">
        <w:rPr>
          <w:rFonts w:ascii="Bookman Old Style" w:eastAsia="Times New Roman" w:hAnsi="Bookman Old Style" w:cs="Times New Roman"/>
          <w:b/>
          <w:sz w:val="20"/>
          <w:szCs w:val="20"/>
          <w:lang w:eastAsia="pt-BR"/>
        </w:rPr>
        <w:t> </w:t>
      </w:r>
      <w:r w:rsidRPr="00F97084">
        <w:rPr>
          <w:rFonts w:ascii="Bookman Old Style" w:eastAsia="Bookman Old Style" w:hAnsi="Bookman Old Style" w:cs="Bookman Old Style"/>
          <w:b/>
          <w:sz w:val="20"/>
          <w:szCs w:val="20"/>
          <w:lang w:eastAsia="pt-BR"/>
        </w:rPr>
        <w:t>(horário de Brasília)</w:t>
      </w:r>
    </w:p>
    <w:p w:rsidR="006153DA" w:rsidRPr="00F97084" w:rsidRDefault="006153DA" w:rsidP="006153DA">
      <w:pPr>
        <w:spacing w:after="0" w:line="240" w:lineRule="auto"/>
        <w:ind w:left="1845"/>
        <w:jc w:val="both"/>
        <w:rPr>
          <w:rFonts w:ascii="Bookman Old Style" w:eastAsia="Arial" w:hAnsi="Bookman Old Style" w:cs="Arial"/>
          <w:b/>
          <w:sz w:val="20"/>
          <w:szCs w:val="20"/>
          <w:lang w:eastAsia="pt-BR"/>
        </w:rPr>
      </w:pPr>
    </w:p>
    <w:p w:rsidR="006153DA" w:rsidRPr="00F97084" w:rsidRDefault="006153DA" w:rsidP="006153DA">
      <w:pPr>
        <w:spacing w:after="0" w:line="240" w:lineRule="auto"/>
        <w:ind w:left="1845"/>
        <w:jc w:val="both"/>
        <w:rPr>
          <w:rFonts w:ascii="Bookman Old Style" w:eastAsia="Arial" w:hAnsi="Bookman Old Style" w:cs="Arial"/>
          <w:b/>
          <w:sz w:val="20"/>
          <w:szCs w:val="20"/>
          <w:lang w:eastAsia="pt-BR"/>
        </w:rPr>
      </w:pPr>
    </w:p>
    <w:p w:rsidR="006153DA" w:rsidRPr="00F97084" w:rsidRDefault="006153DA" w:rsidP="006153DA">
      <w:pPr>
        <w:spacing w:after="0" w:line="240" w:lineRule="auto"/>
        <w:ind w:left="1845"/>
        <w:jc w:val="both"/>
        <w:rPr>
          <w:rFonts w:ascii="Bookman Old Style" w:eastAsia="Arial" w:hAnsi="Bookman Old Style" w:cs="Arial"/>
          <w:b/>
          <w:sz w:val="20"/>
          <w:szCs w:val="20"/>
          <w:lang w:eastAsia="pt-BR"/>
        </w:rPr>
      </w:pPr>
      <w:r w:rsidRPr="00F97084">
        <w:rPr>
          <w:rFonts w:ascii="Bookman Old Style" w:eastAsia="Bookman Old Style" w:hAnsi="Bookman Old Style" w:cs="Bookman Old Style"/>
          <w:b/>
          <w:color w:val="405CA1"/>
          <w:sz w:val="20"/>
          <w:szCs w:val="20"/>
          <w:lang w:eastAsia="pt-BR"/>
        </w:rPr>
        <w:t>CRITÉRIO DE JULGAMENTO:</w:t>
      </w:r>
    </w:p>
    <w:p w:rsidR="006153DA" w:rsidRPr="00F97084" w:rsidRDefault="00AD62EF" w:rsidP="006153DA">
      <w:pPr>
        <w:spacing w:after="165" w:line="240" w:lineRule="auto"/>
        <w:rPr>
          <w:rFonts w:ascii="Bookman Old Style" w:eastAsia="Arial" w:hAnsi="Bookman Old Style" w:cs="Arial"/>
          <w:b/>
          <w:sz w:val="20"/>
          <w:szCs w:val="20"/>
          <w:lang w:eastAsia="pt-BR"/>
        </w:rPr>
      </w:pPr>
      <w:r>
        <w:rPr>
          <w:rFonts w:ascii="Bookman Old Style" w:eastAsia="Calibri" w:hAnsi="Bookman Old Style" w:cs="Calibri"/>
          <w:b/>
          <w:sz w:val="20"/>
          <w:szCs w:val="20"/>
          <w:lang w:eastAsia="pt-BR"/>
        </w:rPr>
        <w:t xml:space="preserve">                </w:t>
      </w:r>
      <w:r w:rsidR="006153DA" w:rsidRPr="00F97084">
        <w:rPr>
          <w:rFonts w:ascii="Bookman Old Style" w:eastAsia="Calibri" w:hAnsi="Bookman Old Style" w:cs="Calibri"/>
          <w:b/>
          <w:sz w:val="20"/>
          <w:szCs w:val="20"/>
          <w:lang w:eastAsia="pt-BR"/>
        </w:rPr>
        <w:t>POR LOTE/ITEM</w:t>
      </w:r>
    </w:p>
    <w:p w:rsidR="006153DA" w:rsidRPr="00F97084" w:rsidRDefault="006153DA" w:rsidP="006153DA">
      <w:pPr>
        <w:spacing w:after="0" w:line="240" w:lineRule="auto"/>
        <w:ind w:left="1845"/>
        <w:jc w:val="both"/>
        <w:rPr>
          <w:rFonts w:ascii="Bookman Old Style" w:eastAsia="Arial" w:hAnsi="Bookman Old Style" w:cs="Arial"/>
          <w:b/>
          <w:sz w:val="20"/>
          <w:szCs w:val="20"/>
          <w:lang w:eastAsia="pt-BR"/>
        </w:rPr>
      </w:pPr>
    </w:p>
    <w:p w:rsidR="006153DA" w:rsidRPr="00F97084" w:rsidRDefault="006153DA" w:rsidP="006153DA">
      <w:pPr>
        <w:spacing w:after="0" w:line="240" w:lineRule="auto"/>
        <w:ind w:left="1845"/>
        <w:jc w:val="both"/>
        <w:rPr>
          <w:rFonts w:ascii="Bookman Old Style" w:eastAsia="Arial" w:hAnsi="Bookman Old Style" w:cs="Arial"/>
          <w:b/>
          <w:sz w:val="20"/>
          <w:szCs w:val="20"/>
          <w:lang w:eastAsia="pt-BR"/>
        </w:rPr>
      </w:pPr>
      <w:r w:rsidRPr="00F97084">
        <w:rPr>
          <w:rFonts w:ascii="Bookman Old Style" w:eastAsia="Bookman Old Style" w:hAnsi="Bookman Old Style" w:cs="Bookman Old Style"/>
          <w:b/>
          <w:color w:val="405CA1"/>
          <w:sz w:val="20"/>
          <w:szCs w:val="20"/>
          <w:lang w:eastAsia="pt-BR"/>
        </w:rPr>
        <w:t>MODO DE DISPUTA:</w:t>
      </w:r>
    </w:p>
    <w:p w:rsidR="006153DA" w:rsidRPr="00F97084" w:rsidRDefault="006153DA" w:rsidP="006153DA">
      <w:pPr>
        <w:spacing w:after="0" w:line="240" w:lineRule="auto"/>
        <w:ind w:left="1845"/>
        <w:jc w:val="both"/>
        <w:rPr>
          <w:rFonts w:ascii="Bookman Old Style" w:eastAsia="Arial" w:hAnsi="Bookman Old Style" w:cs="Arial"/>
          <w:b/>
          <w:sz w:val="20"/>
          <w:szCs w:val="20"/>
          <w:lang w:eastAsia="pt-BR"/>
        </w:rPr>
      </w:pPr>
      <w:r w:rsidRPr="00F97084">
        <w:rPr>
          <w:rFonts w:ascii="Bookman Old Style" w:eastAsia="Bookman Old Style" w:hAnsi="Bookman Old Style" w:cs="Bookman Old Style"/>
          <w:b/>
          <w:sz w:val="20"/>
          <w:szCs w:val="20"/>
          <w:lang w:eastAsia="pt-BR"/>
        </w:rPr>
        <w:t>[ABERTO / FECHADO]</w:t>
      </w:r>
    </w:p>
    <w:p w:rsidR="006153DA" w:rsidRPr="00F97084" w:rsidRDefault="006153DA" w:rsidP="006153DA">
      <w:pPr>
        <w:spacing w:after="0" w:line="240" w:lineRule="auto"/>
        <w:ind w:left="1845"/>
        <w:jc w:val="both"/>
        <w:rPr>
          <w:rFonts w:ascii="Bookman Old Style" w:eastAsia="Arial" w:hAnsi="Bookman Old Style" w:cs="Arial"/>
          <w:b/>
          <w:sz w:val="20"/>
          <w:szCs w:val="20"/>
          <w:lang w:eastAsia="pt-BR"/>
        </w:rPr>
      </w:pPr>
    </w:p>
    <w:p w:rsidR="006153DA" w:rsidRPr="00F97084" w:rsidRDefault="006153DA" w:rsidP="006153DA">
      <w:pPr>
        <w:spacing w:after="0" w:line="240" w:lineRule="auto"/>
        <w:ind w:left="1845"/>
        <w:jc w:val="both"/>
        <w:rPr>
          <w:rFonts w:ascii="Bookman Old Style" w:eastAsia="Arial" w:hAnsi="Bookman Old Style" w:cs="Arial"/>
          <w:b/>
          <w:sz w:val="20"/>
          <w:szCs w:val="20"/>
          <w:lang w:eastAsia="pt-BR"/>
        </w:rPr>
      </w:pPr>
    </w:p>
    <w:p w:rsidR="006153DA" w:rsidRPr="00F97084" w:rsidRDefault="006153DA" w:rsidP="006153DA">
      <w:pPr>
        <w:spacing w:after="0" w:line="240" w:lineRule="auto"/>
        <w:ind w:left="1845"/>
        <w:jc w:val="both"/>
        <w:rPr>
          <w:rFonts w:ascii="Bookman Old Style" w:eastAsia="Arial" w:hAnsi="Bookman Old Style" w:cs="Arial"/>
          <w:b/>
          <w:sz w:val="20"/>
          <w:szCs w:val="20"/>
          <w:lang w:eastAsia="pt-BR"/>
        </w:rPr>
      </w:pPr>
      <w:r w:rsidRPr="00F97084">
        <w:rPr>
          <w:rFonts w:ascii="Bookman Old Style" w:eastAsia="Bookman Old Style" w:hAnsi="Bookman Old Style" w:cs="Bookman Old Style"/>
          <w:b/>
          <w:color w:val="405CA1"/>
          <w:sz w:val="20"/>
          <w:szCs w:val="20"/>
          <w:lang w:eastAsia="pt-BR"/>
        </w:rPr>
        <w:t>PREFERÊNCIA ME/EPP/EQUIPARADAS</w:t>
      </w:r>
    </w:p>
    <w:p w:rsidR="006153DA" w:rsidRPr="00F97084" w:rsidRDefault="006153DA" w:rsidP="006153DA">
      <w:pPr>
        <w:spacing w:after="48" w:line="240" w:lineRule="auto"/>
        <w:ind w:left="1137" w:firstLine="708"/>
        <w:rPr>
          <w:rFonts w:ascii="Bookman Old Style" w:eastAsia="Bookman Old Style" w:hAnsi="Bookman Old Style" w:cs="Bookman Old Style"/>
          <w:b/>
          <w:sz w:val="20"/>
          <w:szCs w:val="20"/>
          <w:lang w:eastAsia="pt-BR"/>
        </w:rPr>
      </w:pPr>
      <w:r w:rsidRPr="00F97084">
        <w:rPr>
          <w:rFonts w:ascii="Bookman Old Style" w:eastAsia="Bookman Old Style" w:hAnsi="Bookman Old Style" w:cs="Bookman Old Style"/>
          <w:b/>
          <w:sz w:val="20"/>
          <w:szCs w:val="20"/>
          <w:lang w:eastAsia="pt-BR"/>
        </w:rPr>
        <w:t>AMPLA CONCORRENCIA</w:t>
      </w:r>
    </w:p>
    <w:p w:rsidR="006153DA" w:rsidRPr="00F97084" w:rsidRDefault="006153DA" w:rsidP="006153DA">
      <w:pPr>
        <w:spacing w:after="48" w:line="240" w:lineRule="auto"/>
        <w:ind w:left="1137" w:firstLine="708"/>
        <w:rPr>
          <w:rFonts w:ascii="Bookman Old Style" w:eastAsia="Times New Roman" w:hAnsi="Bookman Old Style" w:cs="Times New Roman"/>
          <w:b/>
          <w:bCs/>
          <w:color w:val="000000"/>
          <w:sz w:val="20"/>
          <w:szCs w:val="20"/>
          <w:lang w:eastAsia="pt-BR"/>
        </w:rPr>
      </w:pPr>
      <w:r w:rsidRPr="00F97084">
        <w:rPr>
          <w:rFonts w:ascii="Bookman Old Style" w:eastAsia="Bookman Old Style" w:hAnsi="Bookman Old Style" w:cs="Bookman Old Style"/>
          <w:b/>
          <w:sz w:val="20"/>
          <w:szCs w:val="20"/>
          <w:lang w:eastAsia="pt-BR"/>
        </w:rPr>
        <w:t>EXCLUSIVO ME/EPP</w:t>
      </w:r>
    </w:p>
    <w:p w:rsidR="006153DA" w:rsidRPr="00F97084" w:rsidRDefault="006153DA" w:rsidP="006153DA">
      <w:pPr>
        <w:spacing w:after="48" w:line="288" w:lineRule="atLeast"/>
        <w:jc w:val="center"/>
        <w:rPr>
          <w:rFonts w:ascii="Bookman Old Style" w:eastAsia="Times New Roman" w:hAnsi="Bookman Old Style" w:cs="Times New Roman"/>
          <w:b/>
          <w:bCs/>
          <w:color w:val="000000"/>
          <w:sz w:val="20"/>
          <w:szCs w:val="20"/>
          <w:lang w:eastAsia="pt-BR"/>
        </w:rPr>
      </w:pPr>
    </w:p>
    <w:p w:rsidR="006153DA" w:rsidRPr="00F97084" w:rsidRDefault="006153DA" w:rsidP="006153DA">
      <w:pPr>
        <w:spacing w:after="48" w:line="288" w:lineRule="atLeast"/>
        <w:jc w:val="center"/>
        <w:rPr>
          <w:rFonts w:ascii="Bookman Old Style" w:eastAsia="Times New Roman" w:hAnsi="Bookman Old Style" w:cs="Times New Roman"/>
          <w:b/>
          <w:bCs/>
          <w:color w:val="000000"/>
          <w:sz w:val="20"/>
          <w:szCs w:val="20"/>
          <w:lang w:eastAsia="pt-BR"/>
        </w:rPr>
      </w:pPr>
    </w:p>
    <w:p w:rsidR="00AD62EF" w:rsidRDefault="00AD62EF" w:rsidP="00AD62EF">
      <w:pPr>
        <w:spacing w:after="48" w:line="240" w:lineRule="auto"/>
        <w:jc w:val="both"/>
        <w:rPr>
          <w:rFonts w:ascii="Bookman Old Style" w:eastAsia="Times New Roman" w:hAnsi="Bookman Old Style" w:cs="Times New Roman"/>
          <w:b/>
          <w:bCs/>
          <w:color w:val="000000"/>
          <w:sz w:val="20"/>
          <w:szCs w:val="20"/>
          <w:lang w:eastAsia="pt-BR"/>
        </w:rPr>
      </w:pPr>
    </w:p>
    <w:p w:rsidR="006153DA" w:rsidRPr="00F97084" w:rsidRDefault="006153DA" w:rsidP="00AD62EF">
      <w:pPr>
        <w:spacing w:after="48" w:line="240" w:lineRule="auto"/>
        <w:jc w:val="center"/>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b/>
          <w:bCs/>
          <w:color w:val="000000"/>
          <w:sz w:val="20"/>
          <w:szCs w:val="20"/>
          <w:lang w:eastAsia="pt-BR"/>
        </w:rPr>
        <w:lastRenderedPageBreak/>
        <w:t>PREGÃO ELETRÔNICO Nº 036/2026</w:t>
      </w:r>
    </w:p>
    <w:p w:rsidR="006153DA" w:rsidRPr="00F97084" w:rsidRDefault="006153DA" w:rsidP="00AD62EF">
      <w:pPr>
        <w:spacing w:after="48" w:line="240" w:lineRule="auto"/>
        <w:jc w:val="center"/>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b/>
          <w:bCs/>
          <w:color w:val="000000"/>
          <w:sz w:val="20"/>
          <w:szCs w:val="20"/>
          <w:lang w:eastAsia="pt-BR"/>
        </w:rPr>
        <w:t>PROCESSO ADMINISTRATIVO N° 917/2026</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Torna-se público, para conhecimento dos interessados, que o(a) MUNICÍPIO DE SANTO ANTONIO DO SUDOESTE, CNPJ 75.927.582/0001-55, por meio do(a) SECRETARIA DE EDUCAÇÃO, sediado(a) Avenida Brasil, 1431, bairro Centro, na cidade de Santo Antônio do Sudoeste/PR , CEP 85710-000, realizará licitação, na modalidade Pregão Eletrônico, na forma Eletrônica, com critério de julgamento Menor Preço , </w:t>
      </w:r>
      <w:hyperlink r:id="rId9" w:tgtFrame="_blank" w:history="1">
        <w:r w:rsidRPr="00F97084">
          <w:rPr>
            <w:rFonts w:ascii="Bookman Old Style" w:eastAsia="Times New Roman" w:hAnsi="Bookman Old Style" w:cs="Times New Roman"/>
            <w:color w:val="0000FF"/>
            <w:sz w:val="20"/>
            <w:szCs w:val="20"/>
            <w:u w:val="single"/>
            <w:lang w:eastAsia="pt-BR"/>
          </w:rPr>
          <w:t>Lei nº 14.133, de 1º de abril de 2021</w:t>
        </w:r>
      </w:hyperlink>
      <w:r w:rsidRPr="00F97084">
        <w:rPr>
          <w:rFonts w:ascii="Bookman Old Style" w:eastAsia="Times New Roman" w:hAnsi="Bookman Old Style" w:cs="Times New Roman"/>
          <w:color w:val="000000"/>
          <w:sz w:val="20"/>
          <w:szCs w:val="20"/>
          <w:lang w:eastAsia="pt-BR"/>
        </w:rPr>
        <w:t>, e demais legislação aplicável e, ainda, de acordo com as condições estabelecidas neste Edital.</w:t>
      </w:r>
    </w:p>
    <w:p w:rsidR="00F97084" w:rsidRPr="00F97084" w:rsidRDefault="00F97084" w:rsidP="006153DA">
      <w:pPr>
        <w:spacing w:after="48" w:line="288" w:lineRule="atLeast"/>
        <w:jc w:val="both"/>
        <w:rPr>
          <w:rFonts w:ascii="Bookman Old Style" w:eastAsia="Times New Roman" w:hAnsi="Bookman Old Style" w:cs="Times New Roman"/>
          <w:color w:val="000000"/>
          <w:sz w:val="20"/>
          <w:szCs w:val="20"/>
          <w:lang w:eastAsia="pt-BR"/>
        </w:rPr>
      </w:pPr>
    </w:p>
    <w:tbl>
      <w:tblPr>
        <w:tblW w:w="9797" w:type="dxa"/>
        <w:tblCellSpacing w:w="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9797"/>
      </w:tblGrid>
      <w:tr w:rsidR="00AD62EF" w:rsidTr="00B71058">
        <w:trPr>
          <w:tblCellSpacing w:w="8" w:type="dxa"/>
        </w:trPr>
        <w:tc>
          <w:tcPr>
            <w:tcW w:w="9765" w:type="dxa"/>
          </w:tcPr>
          <w:p w:rsidR="00AD62EF" w:rsidRPr="00AD62EF" w:rsidRDefault="00AD62EF" w:rsidP="00AD62EF">
            <w:pPr>
              <w:spacing w:after="0" w:line="240" w:lineRule="auto"/>
              <w:rPr>
                <w:rFonts w:ascii="Bookman Old Style" w:hAnsi="Bookman Old Style"/>
                <w:sz w:val="20"/>
              </w:rPr>
            </w:pPr>
            <w:r w:rsidRPr="00AD62EF">
              <w:rPr>
                <w:rFonts w:ascii="Bookman Old Style" w:eastAsia="Bookman Old Style" w:hAnsi="Bookman Old Style" w:cs="Bookman Old Style"/>
                <w:b/>
                <w:sz w:val="20"/>
              </w:rPr>
              <w:t>RECEBIMENTO DAS PROPOSTAS:</w:t>
            </w:r>
            <w:r w:rsidRPr="00AD62EF">
              <w:rPr>
                <w:rFonts w:ascii="Bookman Old Style" w:eastAsia="Bookman Old Style" w:hAnsi="Bookman Old Style" w:cs="Bookman Old Style"/>
                <w:sz w:val="20"/>
              </w:rPr>
              <w:t xml:space="preserve"> A partir das 08h00min do dia </w:t>
            </w:r>
            <w:r>
              <w:rPr>
                <w:rFonts w:ascii="Bookman Old Style" w:eastAsia="Bookman Old Style" w:hAnsi="Bookman Old Style" w:cs="Bookman Old Style"/>
                <w:sz w:val="20"/>
              </w:rPr>
              <w:t>15</w:t>
            </w:r>
            <w:r w:rsidRPr="00AD62EF">
              <w:rPr>
                <w:rFonts w:ascii="Bookman Old Style" w:eastAsia="Bookman Old Style" w:hAnsi="Bookman Old Style" w:cs="Bookman Old Style"/>
                <w:sz w:val="20"/>
              </w:rPr>
              <w:t>/10/2026.</w:t>
            </w:r>
          </w:p>
          <w:p w:rsidR="00AD62EF" w:rsidRPr="00AD62EF" w:rsidRDefault="00AD62EF" w:rsidP="00AD62EF">
            <w:pPr>
              <w:spacing w:after="0" w:line="240" w:lineRule="auto"/>
              <w:rPr>
                <w:rFonts w:ascii="Bookman Old Style" w:hAnsi="Bookman Old Style"/>
                <w:sz w:val="20"/>
              </w:rPr>
            </w:pPr>
          </w:p>
          <w:p w:rsidR="00AD62EF" w:rsidRPr="00AD62EF" w:rsidRDefault="00AD62EF" w:rsidP="00AD62EF">
            <w:pPr>
              <w:spacing w:after="0" w:line="240" w:lineRule="auto"/>
              <w:rPr>
                <w:rFonts w:ascii="Bookman Old Style" w:hAnsi="Bookman Old Style"/>
                <w:sz w:val="20"/>
              </w:rPr>
            </w:pPr>
            <w:r w:rsidRPr="00AD62EF">
              <w:rPr>
                <w:rFonts w:ascii="Bookman Old Style" w:eastAsia="Bookman Old Style" w:hAnsi="Bookman Old Style" w:cs="Bookman Old Style"/>
                <w:b/>
                <w:sz w:val="20"/>
              </w:rPr>
              <w:t>ABERTURA DAS PROPOSTAS:</w:t>
            </w:r>
            <w:r>
              <w:rPr>
                <w:rFonts w:ascii="Bookman Old Style" w:eastAsia="Bookman Old Style" w:hAnsi="Bookman Old Style" w:cs="Bookman Old Style"/>
                <w:sz w:val="20"/>
              </w:rPr>
              <w:t xml:space="preserve"> Das 09h00min do dia 03/11</w:t>
            </w:r>
            <w:r w:rsidRPr="00AD62EF">
              <w:rPr>
                <w:rFonts w:ascii="Bookman Old Style" w:eastAsia="Bookman Old Style" w:hAnsi="Bookman Old Style" w:cs="Bookman Old Style"/>
                <w:sz w:val="20"/>
              </w:rPr>
              <w:t>/2026.</w:t>
            </w:r>
          </w:p>
          <w:p w:rsidR="00AD62EF" w:rsidRPr="00AD62EF" w:rsidRDefault="00AD62EF" w:rsidP="00AD62EF">
            <w:pPr>
              <w:spacing w:after="0" w:line="240" w:lineRule="auto"/>
              <w:rPr>
                <w:rFonts w:ascii="Bookman Old Style" w:hAnsi="Bookman Old Style"/>
                <w:sz w:val="20"/>
              </w:rPr>
            </w:pPr>
            <w:r w:rsidRPr="00AD62EF">
              <w:rPr>
                <w:rFonts w:ascii="Bookman Old Style" w:eastAsia="Bookman Old Style" w:hAnsi="Bookman Old Style" w:cs="Bookman Old Style"/>
                <w:sz w:val="20"/>
              </w:rPr>
              <w:t xml:space="preserve"> </w:t>
            </w:r>
          </w:p>
          <w:p w:rsidR="00AD62EF" w:rsidRPr="00AD62EF" w:rsidRDefault="00AD62EF" w:rsidP="00AD62EF">
            <w:pPr>
              <w:spacing w:after="0" w:line="240" w:lineRule="auto"/>
              <w:rPr>
                <w:rFonts w:ascii="Bookman Old Style" w:hAnsi="Bookman Old Style"/>
                <w:sz w:val="20"/>
              </w:rPr>
            </w:pPr>
            <w:r w:rsidRPr="00AD62EF">
              <w:rPr>
                <w:rFonts w:ascii="Bookman Old Style" w:eastAsia="Bookman Old Style" w:hAnsi="Bookman Old Style" w:cs="Bookman Old Style"/>
                <w:b/>
                <w:sz w:val="20"/>
              </w:rPr>
              <w:t>INÍCIO DA SESSÃO DE DISPUTA DE PREÇOS:</w:t>
            </w:r>
            <w:r w:rsidRPr="00AD62EF">
              <w:rPr>
                <w:rFonts w:ascii="Bookman Old Style" w:eastAsia="Bookman Old Style" w:hAnsi="Bookman Old Style" w:cs="Bookman Old Style"/>
                <w:sz w:val="20"/>
              </w:rPr>
              <w:t xml:space="preserve"> A </w:t>
            </w:r>
            <w:r>
              <w:rPr>
                <w:rFonts w:ascii="Bookman Old Style" w:eastAsia="Bookman Old Style" w:hAnsi="Bookman Old Style" w:cs="Bookman Old Style"/>
                <w:sz w:val="20"/>
              </w:rPr>
              <w:t>partir das 09h00min do dia 03/11</w:t>
            </w:r>
            <w:r w:rsidRPr="00AD62EF">
              <w:rPr>
                <w:rFonts w:ascii="Bookman Old Style" w:eastAsia="Bookman Old Style" w:hAnsi="Bookman Old Style" w:cs="Bookman Old Style"/>
                <w:sz w:val="20"/>
              </w:rPr>
              <w:t>/2026.</w:t>
            </w:r>
          </w:p>
          <w:p w:rsidR="00AD62EF" w:rsidRPr="00AD62EF" w:rsidRDefault="00AD62EF" w:rsidP="00AD62EF">
            <w:pPr>
              <w:spacing w:after="0" w:line="240" w:lineRule="auto"/>
              <w:rPr>
                <w:rFonts w:ascii="Bookman Old Style" w:hAnsi="Bookman Old Style"/>
                <w:sz w:val="20"/>
              </w:rPr>
            </w:pPr>
          </w:p>
          <w:p w:rsidR="00AD62EF" w:rsidRPr="00AD62EF" w:rsidRDefault="00AD62EF" w:rsidP="00AD62EF">
            <w:pPr>
              <w:spacing w:after="0" w:line="240" w:lineRule="auto"/>
              <w:rPr>
                <w:rFonts w:ascii="Bookman Old Style" w:hAnsi="Bookman Old Style"/>
                <w:sz w:val="20"/>
              </w:rPr>
            </w:pPr>
            <w:r w:rsidRPr="00AD62EF">
              <w:rPr>
                <w:rFonts w:ascii="Bookman Old Style" w:eastAsia="Bookman Old Style" w:hAnsi="Bookman Old Style" w:cs="Bookman Old Style"/>
                <w:b/>
                <w:sz w:val="20"/>
              </w:rPr>
              <w:t>LOCAL:</w:t>
            </w:r>
            <w:r w:rsidRPr="00AD62EF">
              <w:rPr>
                <w:rFonts w:ascii="Bookman Old Style" w:eastAsia="Bookman Old Style" w:hAnsi="Bookman Old Style" w:cs="Bookman Old Style"/>
                <w:sz w:val="20"/>
              </w:rPr>
              <w:t xml:space="preserve"> </w:t>
            </w:r>
            <w:hyperlink r:id="rId10">
              <w:r w:rsidRPr="00AD62EF">
                <w:rPr>
                  <w:rFonts w:ascii="Bookman Old Style" w:eastAsia="Bookman Old Style" w:hAnsi="Bookman Old Style" w:cs="Bookman Old Style"/>
                  <w:sz w:val="20"/>
                  <w:u w:val="single"/>
                </w:rPr>
                <w:t>https://www.gov.br/compras</w:t>
              </w:r>
            </w:hyperlink>
          </w:p>
          <w:p w:rsidR="00AD62EF" w:rsidRPr="00AD62EF" w:rsidRDefault="00AD62EF" w:rsidP="00AD62EF">
            <w:pPr>
              <w:spacing w:after="0" w:line="240" w:lineRule="auto"/>
              <w:rPr>
                <w:rFonts w:ascii="Bookman Old Style" w:hAnsi="Bookman Old Style"/>
                <w:sz w:val="20"/>
              </w:rPr>
            </w:pPr>
          </w:p>
          <w:p w:rsidR="00AD62EF" w:rsidRPr="00AD62EF" w:rsidRDefault="00AD62EF" w:rsidP="00AD62EF">
            <w:pPr>
              <w:spacing w:after="0" w:line="240" w:lineRule="auto"/>
              <w:jc w:val="both"/>
              <w:rPr>
                <w:rFonts w:ascii="Bookman Old Style" w:hAnsi="Bookman Old Style"/>
                <w:b/>
                <w:sz w:val="20"/>
              </w:rPr>
            </w:pPr>
            <w:r w:rsidRPr="00AD62EF">
              <w:rPr>
                <w:rFonts w:ascii="Bookman Old Style" w:eastAsia="Bookman Old Style" w:hAnsi="Bookman Old Style" w:cs="Bookman Old Style"/>
                <w:b/>
                <w:sz w:val="20"/>
              </w:rPr>
              <w:t xml:space="preserve">UASG: </w:t>
            </w:r>
            <w:proofErr w:type="gramStart"/>
            <w:r w:rsidRPr="00AD62EF">
              <w:rPr>
                <w:rFonts w:ascii="Bookman Old Style" w:eastAsia="Bookman Old Style" w:hAnsi="Bookman Old Style" w:cs="Bookman Old Style"/>
                <w:b/>
                <w:sz w:val="20"/>
              </w:rPr>
              <w:t>987857 - PREFEITURA</w:t>
            </w:r>
            <w:proofErr w:type="gramEnd"/>
            <w:r w:rsidRPr="00AD62EF">
              <w:rPr>
                <w:rFonts w:ascii="Bookman Old Style" w:eastAsia="Bookman Old Style" w:hAnsi="Bookman Old Style" w:cs="Bookman Old Style"/>
                <w:b/>
                <w:sz w:val="20"/>
              </w:rPr>
              <w:t xml:space="preserve"> MUNICIPAL DE SANTO ANTONIO DO SUDOESTE/PR</w:t>
            </w:r>
          </w:p>
          <w:p w:rsidR="00AD62EF" w:rsidRPr="00AD62EF" w:rsidRDefault="00AD62EF" w:rsidP="00AD62EF">
            <w:pPr>
              <w:spacing w:after="0" w:line="240" w:lineRule="auto"/>
              <w:rPr>
                <w:rFonts w:ascii="Bookman Old Style" w:hAnsi="Bookman Old Style"/>
                <w:sz w:val="20"/>
              </w:rPr>
            </w:pPr>
          </w:p>
          <w:p w:rsidR="00AD62EF" w:rsidRPr="00AD62EF" w:rsidRDefault="00AD62EF" w:rsidP="00AD62EF">
            <w:pPr>
              <w:spacing w:after="0" w:line="240" w:lineRule="auto"/>
              <w:rPr>
                <w:rFonts w:ascii="Bookman Old Style" w:hAnsi="Bookman Old Style"/>
                <w:b/>
                <w:sz w:val="20"/>
              </w:rPr>
            </w:pPr>
            <w:r w:rsidRPr="00AD62EF">
              <w:rPr>
                <w:rFonts w:ascii="Bookman Old Style" w:eastAsia="Bookman Old Style" w:hAnsi="Bookman Old Style" w:cs="Bookman Old Style"/>
                <w:b/>
                <w:sz w:val="20"/>
              </w:rPr>
              <w:t xml:space="preserve">REFERÊNCIA DE TEMPO: Para todas as referências de tempo será observado o horário de Brasília (DF). </w:t>
            </w:r>
          </w:p>
          <w:p w:rsidR="00AD62EF" w:rsidRPr="00AD62EF" w:rsidRDefault="00AD62EF" w:rsidP="00AD62EF">
            <w:pPr>
              <w:spacing w:after="0" w:line="240" w:lineRule="auto"/>
              <w:rPr>
                <w:rFonts w:ascii="Bookman Old Style" w:hAnsi="Bookman Old Style"/>
                <w:sz w:val="20"/>
              </w:rPr>
            </w:pPr>
          </w:p>
          <w:p w:rsidR="00AD62EF" w:rsidRPr="00AD62EF" w:rsidRDefault="00AD62EF" w:rsidP="00AD62EF">
            <w:pPr>
              <w:spacing w:after="0" w:line="240" w:lineRule="auto"/>
              <w:rPr>
                <w:rFonts w:ascii="Bookman Old Style" w:hAnsi="Bookman Old Style"/>
                <w:b/>
                <w:sz w:val="20"/>
              </w:rPr>
            </w:pPr>
            <w:r w:rsidRPr="00AD62EF">
              <w:rPr>
                <w:rFonts w:ascii="Bookman Old Style" w:eastAsia="Bookman Old Style" w:hAnsi="Bookman Old Style" w:cs="Bookman Old Style"/>
                <w:b/>
                <w:sz w:val="20"/>
              </w:rPr>
              <w:t xml:space="preserve">FORMALIZAÇÃO DE CONSULTAS/ENCAMINHAMENTOS: </w:t>
            </w:r>
          </w:p>
          <w:p w:rsidR="00AD62EF" w:rsidRPr="00AD62EF" w:rsidRDefault="00AD62EF" w:rsidP="00AD62EF">
            <w:pPr>
              <w:spacing w:after="0" w:line="240" w:lineRule="auto"/>
              <w:rPr>
                <w:rFonts w:ascii="Bookman Old Style" w:hAnsi="Bookman Old Style"/>
                <w:sz w:val="20"/>
              </w:rPr>
            </w:pPr>
            <w:r w:rsidRPr="00AD62EF">
              <w:rPr>
                <w:rFonts w:ascii="Bookman Old Style" w:eastAsia="Bookman Old Style" w:hAnsi="Bookman Old Style" w:cs="Bookman Old Style"/>
                <w:sz w:val="20"/>
              </w:rPr>
              <w:t xml:space="preserve">Endereço: Avenida Brasil, n.º </w:t>
            </w:r>
            <w:proofErr w:type="gramStart"/>
            <w:r w:rsidRPr="00AD62EF">
              <w:rPr>
                <w:rFonts w:ascii="Bookman Old Style" w:eastAsia="Bookman Old Style" w:hAnsi="Bookman Old Style" w:cs="Bookman Old Style"/>
                <w:sz w:val="20"/>
              </w:rPr>
              <w:t>1431</w:t>
            </w:r>
            <w:proofErr w:type="gramEnd"/>
            <w:r w:rsidRPr="00AD62EF">
              <w:rPr>
                <w:rFonts w:ascii="Bookman Old Style" w:eastAsia="Bookman Old Style" w:hAnsi="Bookman Old Style" w:cs="Bookman Old Style"/>
                <w:sz w:val="20"/>
              </w:rPr>
              <w:t xml:space="preserve"> </w:t>
            </w:r>
          </w:p>
          <w:p w:rsidR="00AD62EF" w:rsidRPr="00AD62EF" w:rsidRDefault="00AD62EF" w:rsidP="00AD62EF">
            <w:pPr>
              <w:spacing w:after="0" w:line="240" w:lineRule="auto"/>
              <w:rPr>
                <w:rFonts w:ascii="Bookman Old Style" w:hAnsi="Bookman Old Style"/>
                <w:sz w:val="20"/>
              </w:rPr>
            </w:pPr>
            <w:r w:rsidRPr="00AD62EF">
              <w:rPr>
                <w:rFonts w:ascii="Bookman Old Style" w:eastAsia="Bookman Old Style" w:hAnsi="Bookman Old Style" w:cs="Bookman Old Style"/>
                <w:sz w:val="20"/>
              </w:rPr>
              <w:t xml:space="preserve">Pregoeira: </w:t>
            </w:r>
            <w:proofErr w:type="spellStart"/>
            <w:r w:rsidRPr="00AD62EF">
              <w:rPr>
                <w:rFonts w:ascii="Bookman Old Style" w:eastAsia="Bookman Old Style" w:hAnsi="Bookman Old Style" w:cs="Bookman Old Style"/>
                <w:sz w:val="20"/>
              </w:rPr>
              <w:t>Natalicia</w:t>
            </w:r>
            <w:proofErr w:type="spellEnd"/>
            <w:r w:rsidRPr="00AD62EF">
              <w:rPr>
                <w:rFonts w:ascii="Bookman Old Style" w:eastAsia="Bookman Old Style" w:hAnsi="Bookman Old Style" w:cs="Bookman Old Style"/>
                <w:sz w:val="20"/>
              </w:rPr>
              <w:t xml:space="preserve"> </w:t>
            </w:r>
            <w:proofErr w:type="spellStart"/>
            <w:r w:rsidRPr="00AD62EF">
              <w:rPr>
                <w:rFonts w:ascii="Bookman Old Style" w:eastAsia="Bookman Old Style" w:hAnsi="Bookman Old Style" w:cs="Bookman Old Style"/>
                <w:sz w:val="20"/>
              </w:rPr>
              <w:t>Francisconi</w:t>
            </w:r>
            <w:proofErr w:type="spellEnd"/>
            <w:r w:rsidRPr="00AD62EF">
              <w:rPr>
                <w:rFonts w:ascii="Bookman Old Style" w:eastAsia="Bookman Old Style" w:hAnsi="Bookman Old Style" w:cs="Bookman Old Style"/>
                <w:sz w:val="20"/>
              </w:rPr>
              <w:t xml:space="preserve"> </w:t>
            </w:r>
            <w:proofErr w:type="spellStart"/>
            <w:r w:rsidRPr="00AD62EF">
              <w:rPr>
                <w:rFonts w:ascii="Bookman Old Style" w:eastAsia="Bookman Old Style" w:hAnsi="Bookman Old Style" w:cs="Bookman Old Style"/>
                <w:sz w:val="20"/>
              </w:rPr>
              <w:t>Pastório</w:t>
            </w:r>
            <w:proofErr w:type="spellEnd"/>
          </w:p>
          <w:p w:rsidR="00AD62EF" w:rsidRPr="00AD62EF" w:rsidRDefault="00AD62EF" w:rsidP="00AD62EF">
            <w:pPr>
              <w:spacing w:after="0" w:line="240" w:lineRule="auto"/>
              <w:rPr>
                <w:rFonts w:ascii="Bookman Old Style" w:hAnsi="Bookman Old Style"/>
                <w:sz w:val="20"/>
              </w:rPr>
            </w:pPr>
            <w:r w:rsidRPr="00AD62EF">
              <w:rPr>
                <w:rFonts w:ascii="Bookman Old Style" w:eastAsia="Bookman Old Style" w:hAnsi="Bookman Old Style" w:cs="Bookman Old Style"/>
                <w:sz w:val="20"/>
              </w:rPr>
              <w:t xml:space="preserve">E-mail: licitacao1@pmsas.pr.gov.br </w:t>
            </w:r>
          </w:p>
          <w:p w:rsidR="00AD62EF" w:rsidRDefault="00AD62EF" w:rsidP="00AD62EF">
            <w:pPr>
              <w:spacing w:after="0" w:line="240" w:lineRule="auto"/>
            </w:pPr>
            <w:r w:rsidRPr="00AD62EF">
              <w:rPr>
                <w:rFonts w:ascii="Bookman Old Style" w:eastAsia="Bookman Old Style" w:hAnsi="Bookman Old Style" w:cs="Bookman Old Style"/>
                <w:sz w:val="20"/>
              </w:rPr>
              <w:t xml:space="preserve">Fone: (46) 3563-8000 </w:t>
            </w:r>
            <w:r w:rsidRPr="00AD62EF">
              <w:rPr>
                <w:rFonts w:ascii="Bookman Old Style" w:eastAsia="Bookman Old Style" w:hAnsi="Bookman Old Style" w:cs="Bookman Old Style"/>
                <w:color w:val="000000"/>
                <w:sz w:val="20"/>
              </w:rPr>
              <w:tab/>
            </w:r>
          </w:p>
        </w:tc>
      </w:tr>
    </w:tbl>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b/>
          <w:bCs/>
          <w:color w:val="000000"/>
          <w:sz w:val="20"/>
          <w:szCs w:val="20"/>
          <w:lang w:eastAsia="pt-BR"/>
        </w:rPr>
        <w:t>1. DO OBJETO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1.1. O objeto da presente licitação é Aquisição de suprimentos de impressão, tintas, toners, cilindros, unidades de imagem, reveladores, peças, componentes, materiais, ferramentas e equipamentos destinados ao abastecimento, à manutenção preventiva e à manutenção corretiva do parque de impressoras do Município de Santo Antônio do Sudoeste – PR conforme condições, quantidades e exigências estabelecidas neste Edital e seus anexos.</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1.2. A licitação será dividida em 69 itens isolados e </w:t>
      </w:r>
      <w:proofErr w:type="gramStart"/>
      <w:r w:rsidRPr="00F97084">
        <w:rPr>
          <w:rFonts w:ascii="Bookman Old Style" w:eastAsia="Times New Roman" w:hAnsi="Bookman Old Style" w:cs="Times New Roman"/>
          <w:color w:val="000000"/>
          <w:sz w:val="20"/>
          <w:szCs w:val="20"/>
          <w:lang w:eastAsia="pt-BR"/>
        </w:rPr>
        <w:t>2</w:t>
      </w:r>
      <w:proofErr w:type="gramEnd"/>
      <w:r w:rsidRPr="00F97084">
        <w:rPr>
          <w:rFonts w:ascii="Bookman Old Style" w:eastAsia="Times New Roman" w:hAnsi="Bookman Old Style" w:cs="Times New Roman"/>
          <w:color w:val="000000"/>
          <w:sz w:val="20"/>
          <w:szCs w:val="20"/>
          <w:lang w:eastAsia="pt-BR"/>
        </w:rPr>
        <w:t xml:space="preserve"> grupos, sendo este(s) último(s) formado(s) por dois ou mais itens, conforme tabela constante do Termo de Referência/Projeto Básico.</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1.2.1 relativamente ao(s) item(s) isolado(s), faculta-se ao licitante a participação em quantos itens forem de seu interesse;</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1.2.2 relativamente ao(s) grupo(s), faculta-se ao licitante a participação em quantos grupos forem de seu interesse, devendo oferecer proposta para todos os itens que os compõem.</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b/>
          <w:bCs/>
          <w:color w:val="000000"/>
          <w:sz w:val="20"/>
          <w:szCs w:val="20"/>
          <w:lang w:eastAsia="pt-BR"/>
        </w:rPr>
        <w:t>2. DA PARTICIPAÇÃO NA LICITAÇÃO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lastRenderedPageBreak/>
        <w:t>2.1. Poderão participar deste certame os interessados previamente credenciados no Sistema de Cadastramento Unificado de Fornecedores - SICAF e no Sistema de Compras do Governo Federal (</w:t>
      </w:r>
      <w:hyperlink r:id="rId11" w:tgtFrame="_blank" w:history="1">
        <w:r w:rsidRPr="00F97084">
          <w:rPr>
            <w:rFonts w:ascii="Bookman Old Style" w:eastAsia="Times New Roman" w:hAnsi="Bookman Old Style" w:cs="Times New Roman"/>
            <w:color w:val="0000FF"/>
            <w:sz w:val="20"/>
            <w:szCs w:val="20"/>
            <w:u w:val="single"/>
            <w:lang w:eastAsia="pt-BR"/>
          </w:rPr>
          <w:t>www.gov.br/compras</w:t>
        </w:r>
      </w:hyperlink>
      <w:r w:rsidRPr="00F97084">
        <w:rPr>
          <w:rFonts w:ascii="Bookman Old Style" w:eastAsia="Times New Roman" w:hAnsi="Bookman Old Style" w:cs="Times New Roman"/>
          <w:color w:val="000000"/>
          <w:sz w:val="20"/>
          <w:szCs w:val="20"/>
          <w:lang w:eastAsia="pt-BR"/>
        </w:rPr>
        <w:t>).</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2.2. Os interessados deverão atender às condições exigidas no cadastramento no </w:t>
      </w:r>
      <w:proofErr w:type="spellStart"/>
      <w:r w:rsidRPr="00F97084">
        <w:rPr>
          <w:rFonts w:ascii="Bookman Old Style" w:eastAsia="Times New Roman" w:hAnsi="Bookman Old Style" w:cs="Times New Roman"/>
          <w:color w:val="000000"/>
          <w:sz w:val="20"/>
          <w:szCs w:val="20"/>
          <w:lang w:eastAsia="pt-BR"/>
        </w:rPr>
        <w:t>Sicaf</w:t>
      </w:r>
      <w:proofErr w:type="spellEnd"/>
      <w:r w:rsidRPr="00F97084">
        <w:rPr>
          <w:rFonts w:ascii="Bookman Old Style" w:eastAsia="Times New Roman" w:hAnsi="Bookman Old Style" w:cs="Times New Roman"/>
          <w:color w:val="000000"/>
          <w:sz w:val="20"/>
          <w:szCs w:val="20"/>
          <w:lang w:eastAsia="pt-BR"/>
        </w:rPr>
        <w:t xml:space="preserve"> até o terceiro dia útil anterior à data prevista para recebimento das propostas.</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2.3.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2.4.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2.5. A não observância do disposto no item anterior poderá ensejar desclassificação no momento da habilitação.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2.6. Nos itens 01, 02, 03, 04, 05, 06, 07, 08, 09, 10, 11, 12, 13, 14, 15, 16, 17, 18, 19, 20, 21</w:t>
      </w:r>
      <w:r w:rsidR="00AD62EF">
        <w:rPr>
          <w:rFonts w:ascii="Bookman Old Style" w:eastAsia="Times New Roman" w:hAnsi="Bookman Old Style" w:cs="Times New Roman"/>
          <w:color w:val="000000"/>
          <w:sz w:val="20"/>
          <w:szCs w:val="20"/>
          <w:lang w:eastAsia="pt-BR"/>
        </w:rPr>
        <w:t xml:space="preserve"> (lote 01)</w:t>
      </w:r>
      <w:r w:rsidRPr="00F97084">
        <w:rPr>
          <w:rFonts w:ascii="Bookman Old Style" w:eastAsia="Times New Roman" w:hAnsi="Bookman Old Style" w:cs="Times New Roman"/>
          <w:color w:val="000000"/>
          <w:sz w:val="20"/>
          <w:szCs w:val="20"/>
          <w:lang w:eastAsia="pt-BR"/>
        </w:rPr>
        <w:t xml:space="preserve"> não será concedida tratamento favorecido para microempresas, empresas de pequeno porte e figuras equiparadas, nos termos da Lei Complementar nº 123, de 2006, em razão da incidência, no caso, do art. 4º, § 1º da Lei nº 14.133, de 2021.</w:t>
      </w:r>
      <w:r w:rsidR="00AD62EF">
        <w:rPr>
          <w:rFonts w:ascii="Bookman Old Style" w:eastAsia="Times New Roman" w:hAnsi="Bookman Old Style" w:cs="Times New Roman"/>
          <w:color w:val="000000"/>
          <w:sz w:val="20"/>
          <w:szCs w:val="20"/>
          <w:lang w:eastAsia="pt-BR"/>
        </w:rPr>
        <w:t xml:space="preserve"> </w:t>
      </w:r>
      <w:r w:rsidR="00AD62EF" w:rsidRPr="00AD62EF">
        <w:rPr>
          <w:rFonts w:ascii="Bookman Old Style" w:eastAsia="Times New Roman" w:hAnsi="Bookman Old Style" w:cs="Times New Roman"/>
          <w:color w:val="000000"/>
          <w:sz w:val="20"/>
          <w:szCs w:val="20"/>
          <w:lang w:eastAsia="pt-BR"/>
        </w:rPr>
        <w:t xml:space="preserve">Para o Lote 01, o fornecedor deverá apresentar proposta para todos os 21 itens, não sendo admitida proposta parcial. O julgamento ocorrerá pelo menor preço global do lote, desde que atendidas integralmente </w:t>
      </w:r>
      <w:proofErr w:type="gramStart"/>
      <w:r w:rsidR="00AD62EF" w:rsidRPr="00AD62EF">
        <w:rPr>
          <w:rFonts w:ascii="Bookman Old Style" w:eastAsia="Times New Roman" w:hAnsi="Bookman Old Style" w:cs="Times New Roman"/>
          <w:color w:val="000000"/>
          <w:sz w:val="20"/>
          <w:szCs w:val="20"/>
          <w:lang w:eastAsia="pt-BR"/>
        </w:rPr>
        <w:t>as</w:t>
      </w:r>
      <w:proofErr w:type="gramEnd"/>
      <w:r w:rsidR="00AD62EF" w:rsidRPr="00AD62EF">
        <w:rPr>
          <w:rFonts w:ascii="Bookman Old Style" w:eastAsia="Times New Roman" w:hAnsi="Bookman Old Style" w:cs="Times New Roman"/>
          <w:color w:val="000000"/>
          <w:sz w:val="20"/>
          <w:szCs w:val="20"/>
          <w:lang w:eastAsia="pt-BR"/>
        </w:rPr>
        <w:t xml:space="preserve"> especificações estabelecidas e observada a aceitabilidade dos preços unitários que compõem a proposta</w:t>
      </w:r>
      <w:r w:rsidR="00AD62EF">
        <w:rPr>
          <w:rFonts w:ascii="Bookman Old Style" w:eastAsia="Times New Roman" w:hAnsi="Bookman Old Style" w:cs="Times New Roman"/>
          <w:color w:val="000000"/>
          <w:sz w:val="20"/>
          <w:szCs w:val="20"/>
          <w:lang w:eastAsia="pt-BR"/>
        </w:rPr>
        <w:t>.</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2.7. Será concedido tratamento favorecido para bens e serviços produzidos com tecnologia produzida no país e bens produzidos de acordo com processo produtivo básico, na forma do art. 3º da Lei nº 8.248, de 1991 e art. 8º do Decreto nº 7.174, de 2010.</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2.8. Não poderão disputar esta licitação:</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2.8.1. </w:t>
      </w:r>
      <w:proofErr w:type="gramStart"/>
      <w:r w:rsidRPr="00F97084">
        <w:rPr>
          <w:rFonts w:ascii="Bookman Old Style" w:eastAsia="Times New Roman" w:hAnsi="Bookman Old Style" w:cs="Times New Roman"/>
          <w:color w:val="000000"/>
          <w:sz w:val="20"/>
          <w:szCs w:val="20"/>
          <w:lang w:eastAsia="pt-BR"/>
        </w:rPr>
        <w:t>aquele</w:t>
      </w:r>
      <w:proofErr w:type="gramEnd"/>
      <w:r w:rsidRPr="00F97084">
        <w:rPr>
          <w:rFonts w:ascii="Bookman Old Style" w:eastAsia="Times New Roman" w:hAnsi="Bookman Old Style" w:cs="Times New Roman"/>
          <w:color w:val="000000"/>
          <w:sz w:val="20"/>
          <w:szCs w:val="20"/>
          <w:lang w:eastAsia="pt-BR"/>
        </w:rPr>
        <w:t xml:space="preserve"> que não atenda às condições deste Edital e seu(s) anexo(s);</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2.8.2. </w:t>
      </w:r>
      <w:proofErr w:type="gramStart"/>
      <w:r w:rsidRPr="00F97084">
        <w:rPr>
          <w:rFonts w:ascii="Bookman Old Style" w:eastAsia="Times New Roman" w:hAnsi="Bookman Old Style" w:cs="Times New Roman"/>
          <w:color w:val="000000"/>
          <w:sz w:val="20"/>
          <w:szCs w:val="20"/>
          <w:lang w:eastAsia="pt-BR"/>
        </w:rPr>
        <w:t>sociedade</w:t>
      </w:r>
      <w:proofErr w:type="gramEnd"/>
      <w:r w:rsidRPr="00F97084">
        <w:rPr>
          <w:rFonts w:ascii="Bookman Old Style" w:eastAsia="Times New Roman" w:hAnsi="Bookman Old Style" w:cs="Times New Roman"/>
          <w:color w:val="000000"/>
          <w:sz w:val="20"/>
          <w:szCs w:val="20"/>
          <w:lang w:eastAsia="pt-BR"/>
        </w:rPr>
        <w:t xml:space="preserve"> que desempenhe atividade incompatível com o objeto da licitação;</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2.8.3. </w:t>
      </w:r>
      <w:proofErr w:type="gramStart"/>
      <w:r w:rsidRPr="00F97084">
        <w:rPr>
          <w:rFonts w:ascii="Bookman Old Style" w:eastAsia="Times New Roman" w:hAnsi="Bookman Old Style" w:cs="Times New Roman"/>
          <w:color w:val="000000"/>
          <w:sz w:val="20"/>
          <w:szCs w:val="20"/>
          <w:lang w:eastAsia="pt-BR"/>
        </w:rPr>
        <w:t>empresas</w:t>
      </w:r>
      <w:proofErr w:type="gramEnd"/>
      <w:r w:rsidRPr="00F97084">
        <w:rPr>
          <w:rFonts w:ascii="Bookman Old Style" w:eastAsia="Times New Roman" w:hAnsi="Bookman Old Style" w:cs="Times New Roman"/>
          <w:color w:val="000000"/>
          <w:sz w:val="20"/>
          <w:szCs w:val="20"/>
          <w:lang w:eastAsia="pt-BR"/>
        </w:rPr>
        <w:t xml:space="preserve"> estrangeiras que não tenham representação legal no Brasil com poderes expressos para receber citação e responder administrativa ou judicialmente;</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2.8.4. </w:t>
      </w:r>
      <w:proofErr w:type="gramStart"/>
      <w:r w:rsidRPr="00F97084">
        <w:rPr>
          <w:rFonts w:ascii="Bookman Old Style" w:eastAsia="Times New Roman" w:hAnsi="Bookman Old Style" w:cs="Times New Roman"/>
          <w:color w:val="000000"/>
          <w:sz w:val="20"/>
          <w:szCs w:val="20"/>
          <w:lang w:eastAsia="pt-BR"/>
        </w:rPr>
        <w:t>autor</w:t>
      </w:r>
      <w:proofErr w:type="gramEnd"/>
      <w:r w:rsidRPr="00F97084">
        <w:rPr>
          <w:rFonts w:ascii="Bookman Old Style" w:eastAsia="Times New Roman" w:hAnsi="Bookman Old Style" w:cs="Times New Roman"/>
          <w:color w:val="000000"/>
          <w:sz w:val="20"/>
          <w:szCs w:val="20"/>
          <w:lang w:eastAsia="pt-BR"/>
        </w:rPr>
        <w:t xml:space="preserve"> do anteprojeto, do projeto básico ou do projeto executivo, pessoa física ou jurídica, quando a licitação versar sobre serviços ou fornecimento de bens a ele relacionados;</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2.8.5. </w:t>
      </w:r>
      <w:proofErr w:type="gramStart"/>
      <w:r w:rsidRPr="00F97084">
        <w:rPr>
          <w:rFonts w:ascii="Bookman Old Style" w:eastAsia="Times New Roman" w:hAnsi="Bookman Old Style" w:cs="Times New Roman"/>
          <w:color w:val="000000"/>
          <w:sz w:val="20"/>
          <w:szCs w:val="20"/>
          <w:lang w:eastAsia="pt-BR"/>
        </w:rPr>
        <w:t>empresa</w:t>
      </w:r>
      <w:proofErr w:type="gramEnd"/>
      <w:r w:rsidRPr="00F97084">
        <w:rPr>
          <w:rFonts w:ascii="Bookman Old Style" w:eastAsia="Times New Roman" w:hAnsi="Bookman Old Style" w:cs="Times New Roman"/>
          <w:color w:val="000000"/>
          <w:sz w:val="20"/>
          <w:szCs w:val="20"/>
          <w:lang w:eastAsia="pt-BR"/>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2.8.6. </w:t>
      </w:r>
      <w:proofErr w:type="gramStart"/>
      <w:r w:rsidRPr="00F97084">
        <w:rPr>
          <w:rFonts w:ascii="Bookman Old Style" w:eastAsia="Times New Roman" w:hAnsi="Bookman Old Style" w:cs="Times New Roman"/>
          <w:color w:val="000000"/>
          <w:sz w:val="20"/>
          <w:szCs w:val="20"/>
          <w:lang w:eastAsia="pt-BR"/>
        </w:rPr>
        <w:t>pessoa</w:t>
      </w:r>
      <w:proofErr w:type="gramEnd"/>
      <w:r w:rsidRPr="00F97084">
        <w:rPr>
          <w:rFonts w:ascii="Bookman Old Style" w:eastAsia="Times New Roman" w:hAnsi="Bookman Old Style" w:cs="Times New Roman"/>
          <w:color w:val="000000"/>
          <w:sz w:val="20"/>
          <w:szCs w:val="20"/>
          <w:lang w:eastAsia="pt-BR"/>
        </w:rPr>
        <w:t xml:space="preserve"> física ou jurídica que se encontre, ao tempo da licitação, impossibilitada de participar da licitação em decorrência de sanção que lhe foi imposta;</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2.8.7. </w:t>
      </w:r>
      <w:proofErr w:type="gramStart"/>
      <w:r w:rsidRPr="00F97084">
        <w:rPr>
          <w:rFonts w:ascii="Bookman Old Style" w:eastAsia="Times New Roman" w:hAnsi="Bookman Old Style" w:cs="Times New Roman"/>
          <w:color w:val="000000"/>
          <w:sz w:val="20"/>
          <w:szCs w:val="20"/>
          <w:lang w:eastAsia="pt-BR"/>
        </w:rPr>
        <w:t>aquele</w:t>
      </w:r>
      <w:proofErr w:type="gramEnd"/>
      <w:r w:rsidRPr="00F97084">
        <w:rPr>
          <w:rFonts w:ascii="Bookman Old Style" w:eastAsia="Times New Roman" w:hAnsi="Bookman Old Style" w:cs="Times New Roman"/>
          <w:color w:val="000000"/>
          <w:sz w:val="20"/>
          <w:szCs w:val="20"/>
          <w:lang w:eastAsia="pt-BR"/>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w:t>
      </w:r>
      <w:r w:rsidRPr="00F97084">
        <w:rPr>
          <w:rFonts w:ascii="Bookman Old Style" w:eastAsia="Times New Roman" w:hAnsi="Bookman Old Style" w:cs="Times New Roman"/>
          <w:color w:val="000000"/>
          <w:sz w:val="20"/>
          <w:szCs w:val="20"/>
          <w:lang w:eastAsia="pt-BR"/>
        </w:rPr>
        <w:lastRenderedPageBreak/>
        <w:t>seja cônjuge, companheiro ou parente em linha reta, colateral ou por afinidade, até o terceiro grau;</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2.8.8. </w:t>
      </w:r>
      <w:proofErr w:type="gramStart"/>
      <w:r w:rsidRPr="00F97084">
        <w:rPr>
          <w:rFonts w:ascii="Bookman Old Style" w:eastAsia="Times New Roman" w:hAnsi="Bookman Old Style" w:cs="Times New Roman"/>
          <w:color w:val="000000"/>
          <w:sz w:val="20"/>
          <w:szCs w:val="20"/>
          <w:lang w:eastAsia="pt-BR"/>
        </w:rPr>
        <w:t>empresas</w:t>
      </w:r>
      <w:proofErr w:type="gramEnd"/>
      <w:r w:rsidRPr="00F97084">
        <w:rPr>
          <w:rFonts w:ascii="Bookman Old Style" w:eastAsia="Times New Roman" w:hAnsi="Bookman Old Style" w:cs="Times New Roman"/>
          <w:color w:val="000000"/>
          <w:sz w:val="20"/>
          <w:szCs w:val="20"/>
          <w:lang w:eastAsia="pt-BR"/>
        </w:rPr>
        <w:t xml:space="preserve"> controladoras, controladas ou coligadas, nos termos da Lei nº 6.404, de 15 de dezembro de 1986, concorrendo entre si;</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2.8.9. </w:t>
      </w:r>
      <w:proofErr w:type="gramStart"/>
      <w:r w:rsidRPr="00F97084">
        <w:rPr>
          <w:rFonts w:ascii="Bookman Old Style" w:eastAsia="Times New Roman" w:hAnsi="Bookman Old Style" w:cs="Times New Roman"/>
          <w:color w:val="000000"/>
          <w:sz w:val="20"/>
          <w:szCs w:val="20"/>
          <w:lang w:eastAsia="pt-BR"/>
        </w:rPr>
        <w:t>pessoa</w:t>
      </w:r>
      <w:proofErr w:type="gramEnd"/>
      <w:r w:rsidRPr="00F97084">
        <w:rPr>
          <w:rFonts w:ascii="Bookman Old Style" w:eastAsia="Times New Roman" w:hAnsi="Bookman Old Style" w:cs="Times New Roman"/>
          <w:color w:val="000000"/>
          <w:sz w:val="20"/>
          <w:szCs w:val="20"/>
          <w:lang w:eastAsia="pt-BR"/>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2.8.10. Organizações da Sociedade Civil de Interesse Público - OSCIP, atuando nessa condição;</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2.8.11. </w:t>
      </w:r>
      <w:proofErr w:type="gramStart"/>
      <w:r w:rsidRPr="00F97084">
        <w:rPr>
          <w:rFonts w:ascii="Bookman Old Style" w:eastAsia="Times New Roman" w:hAnsi="Bookman Old Style" w:cs="Times New Roman"/>
          <w:color w:val="000000"/>
          <w:sz w:val="20"/>
          <w:szCs w:val="20"/>
          <w:lang w:eastAsia="pt-BR"/>
        </w:rPr>
        <w:t>pessoas</w:t>
      </w:r>
      <w:proofErr w:type="gramEnd"/>
      <w:r w:rsidRPr="00F97084">
        <w:rPr>
          <w:rFonts w:ascii="Bookman Old Style" w:eastAsia="Times New Roman" w:hAnsi="Bookman Old Style" w:cs="Times New Roman"/>
          <w:color w:val="000000"/>
          <w:sz w:val="20"/>
          <w:szCs w:val="20"/>
          <w:lang w:eastAsia="pt-BR"/>
        </w:rPr>
        <w:t xml:space="preserve"> físicas;</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2.9.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C2%A71" w:tgtFrame="_blank" w:history="1">
        <w:r w:rsidRPr="00F97084">
          <w:rPr>
            <w:rFonts w:ascii="Bookman Old Style" w:eastAsia="Times New Roman" w:hAnsi="Bookman Old Style" w:cs="Times New Roman"/>
            <w:color w:val="0000FF"/>
            <w:sz w:val="20"/>
            <w:szCs w:val="20"/>
            <w:u w:val="single"/>
            <w:lang w:eastAsia="pt-BR"/>
          </w:rPr>
          <w:t>§ 1º do art. 9º da Lei nº 14.133, de 2021</w:t>
        </w:r>
      </w:hyperlink>
      <w:r w:rsidRPr="00F97084">
        <w:rPr>
          <w:rFonts w:ascii="Bookman Old Style" w:eastAsia="Times New Roman" w:hAnsi="Bookman Old Style" w:cs="Times New Roman"/>
          <w:color w:val="000000"/>
          <w:sz w:val="20"/>
          <w:szCs w:val="20"/>
          <w:lang w:eastAsia="pt-BR"/>
        </w:rPr>
        <w:t>.</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2.10. O impedimento de que trata o item 2.8.6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2.11. A critério da Administração e exclusivamente a seu serviço, o autor dos projetos e a empresa a que se referem os itens 2.8.4 e 2.8.5 poderão participar no apoio das atividades de planejamento da contratação, de execução da licitação ou de gestão do contrato, desde que sob supervisão exclusiva de agentes públicos do órgão ou entidade.</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2.12. Equiparam-se aos autores do projeto as empresas integrantes do mesmo grupo econômico.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2.13. O disposto nos itens 2.8.4 e 2.8.5 não impede a licitação ou a contratação de serviço que inclua como encargo do contratado a elaboração do projeto básico e do projeto executivo, nas contratações integradas, e do projeto executivo, nos demais regimes de execução.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2.14.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tgtFrame="_blank" w:history="1">
        <w:r w:rsidRPr="00F97084">
          <w:rPr>
            <w:rFonts w:ascii="Bookman Old Style" w:eastAsia="Times New Roman" w:hAnsi="Bookman Old Style" w:cs="Times New Roman"/>
            <w:color w:val="0000FF"/>
            <w:sz w:val="20"/>
            <w:szCs w:val="20"/>
            <w:u w:val="single"/>
            <w:lang w:eastAsia="pt-BR"/>
          </w:rPr>
          <w:t>Lei nº 14.133, de 2021</w:t>
        </w:r>
      </w:hyperlink>
      <w:r w:rsidRPr="00F97084">
        <w:rPr>
          <w:rFonts w:ascii="Bookman Old Style" w:eastAsia="Times New Roman" w:hAnsi="Bookman Old Style" w:cs="Times New Roman"/>
          <w:color w:val="000000"/>
          <w:sz w:val="20"/>
          <w:szCs w:val="20"/>
          <w:lang w:eastAsia="pt-BR"/>
        </w:rPr>
        <w:t>.</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2.15. A vedação de que trata o item 2.9 estende-se a terceiro que auxilie a condução da contratação na qualidade de integrante de equipe de apoio, profissional especializado ou funcionário ou representante de empresa que preste assessoria técnica.</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b/>
          <w:bCs/>
          <w:color w:val="000000"/>
          <w:sz w:val="20"/>
          <w:szCs w:val="20"/>
          <w:lang w:eastAsia="pt-BR"/>
        </w:rPr>
        <w:t>3. ORÇAMENTO ESTIMADO SIGILOSO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3.1. O orçamento estimado da presente contratação não será de caráter sigiloso.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b/>
          <w:bCs/>
          <w:color w:val="000000"/>
          <w:sz w:val="20"/>
          <w:szCs w:val="20"/>
          <w:lang w:eastAsia="pt-BR"/>
        </w:rPr>
        <w:t>4. DA APRESENTAÇÃO DA PROPOSTA E DOS DOCUMENTOS DE HABILITAÇÃO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lastRenderedPageBreak/>
        <w:t>4.1. Na presente licitação, a fase de habilitação sucederá as fases de apresentação de propostas e lances e de julgamento.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4.2. Os licitantes encaminharão, exclusivamente por meio do sistema eletrônico, </w:t>
      </w:r>
      <w:hyperlink r:id="rId14" w:history="1">
        <w:r w:rsidR="00812ED6" w:rsidRPr="00093D92">
          <w:rPr>
            <w:rStyle w:val="Hyperlink"/>
            <w:rFonts w:ascii="Bookman Old Style" w:eastAsia="Times New Roman" w:hAnsi="Bookman Old Style" w:cs="Times New Roman"/>
            <w:sz w:val="20"/>
            <w:szCs w:val="20"/>
            <w:lang w:eastAsia="pt-BR"/>
          </w:rPr>
          <w:t>https://www.gov.br/compras</w:t>
        </w:r>
      </w:hyperlink>
      <w:r w:rsidR="00812ED6">
        <w:rPr>
          <w:rFonts w:ascii="Bookman Old Style" w:eastAsia="Times New Roman" w:hAnsi="Bookman Old Style" w:cs="Times New Roman"/>
          <w:color w:val="000000"/>
          <w:sz w:val="20"/>
          <w:szCs w:val="20"/>
          <w:lang w:eastAsia="pt-BR"/>
        </w:rPr>
        <w:t xml:space="preserve">, </w:t>
      </w:r>
      <w:r w:rsidRPr="00F97084">
        <w:rPr>
          <w:rFonts w:ascii="Bookman Old Style" w:eastAsia="Times New Roman" w:hAnsi="Bookman Old Style" w:cs="Times New Roman"/>
          <w:color w:val="000000"/>
          <w:sz w:val="20"/>
          <w:szCs w:val="20"/>
          <w:lang w:eastAsia="pt-BR"/>
        </w:rPr>
        <w:t>a proposta com o preço, conforme o critério de julgamento adotado neste Edital, até a data e o horário estabelecidos para abertura da sessão pública.</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4.3. No cadastramento da proposta inicial, o licitante declarará, em campo próprio do sistema, que:</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4.3.1. </w:t>
      </w:r>
      <w:proofErr w:type="gramStart"/>
      <w:r w:rsidRPr="00F97084">
        <w:rPr>
          <w:rFonts w:ascii="Bookman Old Style" w:eastAsia="Times New Roman" w:hAnsi="Bookman Old Style" w:cs="Times New Roman"/>
          <w:color w:val="000000"/>
          <w:sz w:val="20"/>
          <w:szCs w:val="20"/>
          <w:lang w:eastAsia="pt-BR"/>
        </w:rPr>
        <w:t>está</w:t>
      </w:r>
      <w:proofErr w:type="gramEnd"/>
      <w:r w:rsidRPr="00F97084">
        <w:rPr>
          <w:rFonts w:ascii="Bookman Old Style" w:eastAsia="Times New Roman" w:hAnsi="Bookman Old Style" w:cs="Times New Roman"/>
          <w:color w:val="000000"/>
          <w:sz w:val="20"/>
          <w:szCs w:val="20"/>
          <w:lang w:eastAsia="pt-BR"/>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F97084">
        <w:rPr>
          <w:rFonts w:ascii="Bookman Old Style" w:eastAsia="Times New Roman" w:hAnsi="Bookman Old Style" w:cs="Times New Roman"/>
          <w:color w:val="000000"/>
          <w:sz w:val="20"/>
          <w:szCs w:val="20"/>
          <w:lang w:eastAsia="pt-BR"/>
        </w:rPr>
        <w:t>infralegais</w:t>
      </w:r>
      <w:proofErr w:type="spellEnd"/>
      <w:r w:rsidRPr="00F97084">
        <w:rPr>
          <w:rFonts w:ascii="Bookman Old Style" w:eastAsia="Times New Roman" w:hAnsi="Bookman Old Style" w:cs="Times New Roman"/>
          <w:color w:val="000000"/>
          <w:sz w:val="20"/>
          <w:szCs w:val="20"/>
          <w:lang w:eastAsia="pt-BR"/>
        </w:rPr>
        <w:t>, nas convenções coletivas de trabalho e nos termos de ajustamento de conduta vigentes na data de sua entrega em definitivo e que cumpre plenamente os requisitos de habilitação definidos no instrumento convocatório;</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4.3.2. não emprega menor de 18 anos em trabalho noturno, perigoso ou insalubre e não emprega menor de 16 anos, salvo menor, a partir de 14 anos, na condição de aprendiz, nos termos do </w:t>
      </w:r>
      <w:hyperlink r:id="rId15" w:anchor="art7" w:tgtFrame="_blank" w:history="1">
        <w:r w:rsidRPr="00F97084">
          <w:rPr>
            <w:rFonts w:ascii="Bookman Old Style" w:eastAsia="Times New Roman" w:hAnsi="Bookman Old Style" w:cs="Times New Roman"/>
            <w:color w:val="0000FF"/>
            <w:sz w:val="20"/>
            <w:szCs w:val="20"/>
            <w:u w:val="single"/>
            <w:lang w:eastAsia="pt-BR"/>
          </w:rPr>
          <w:t>artigo 7°, XXXIII, da Constituição</w:t>
        </w:r>
      </w:hyperlink>
      <w:r w:rsidRPr="00F97084">
        <w:rPr>
          <w:rFonts w:ascii="Bookman Old Style" w:eastAsia="Times New Roman" w:hAnsi="Bookman Old Style" w:cs="Times New Roman"/>
          <w:color w:val="000000"/>
          <w:sz w:val="20"/>
          <w:szCs w:val="20"/>
          <w:lang w:eastAsia="pt-BR"/>
        </w:rPr>
        <w:t>;</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4.3.3. não possui empregados executando trabalho degradante ou forçado, observando o disposto nos </w:t>
      </w:r>
      <w:hyperlink r:id="rId16" w:tgtFrame="_blank" w:history="1">
        <w:r w:rsidRPr="00F97084">
          <w:rPr>
            <w:rFonts w:ascii="Bookman Old Style" w:eastAsia="Times New Roman" w:hAnsi="Bookman Old Style" w:cs="Times New Roman"/>
            <w:color w:val="0000FF"/>
            <w:sz w:val="20"/>
            <w:szCs w:val="20"/>
            <w:u w:val="single"/>
            <w:lang w:eastAsia="pt-BR"/>
          </w:rPr>
          <w:t>incisos III e IV do art. 1º e no inciso III do art. 5º da Constituição Federal</w:t>
        </w:r>
      </w:hyperlink>
      <w:r w:rsidRPr="00F97084">
        <w:rPr>
          <w:rFonts w:ascii="Bookman Old Style" w:eastAsia="Times New Roman" w:hAnsi="Bookman Old Style" w:cs="Times New Roman"/>
          <w:color w:val="000000"/>
          <w:sz w:val="20"/>
          <w:szCs w:val="20"/>
          <w:lang w:eastAsia="pt-BR"/>
        </w:rPr>
        <w:t>;</w:t>
      </w:r>
    </w:p>
    <w:p w:rsidR="006153DA" w:rsidRPr="00F97084" w:rsidRDefault="006153DA"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4.3.4. </w:t>
      </w:r>
      <w:proofErr w:type="gramStart"/>
      <w:r w:rsidRPr="00F97084">
        <w:rPr>
          <w:rFonts w:ascii="Bookman Old Style" w:eastAsia="Times New Roman" w:hAnsi="Bookman Old Style" w:cs="Times New Roman"/>
          <w:color w:val="000000"/>
          <w:sz w:val="20"/>
          <w:szCs w:val="20"/>
          <w:lang w:eastAsia="pt-BR"/>
        </w:rPr>
        <w:t>cumpre</w:t>
      </w:r>
      <w:proofErr w:type="gramEnd"/>
      <w:r w:rsidRPr="00F97084">
        <w:rPr>
          <w:rFonts w:ascii="Bookman Old Style" w:eastAsia="Times New Roman" w:hAnsi="Bookman Old Style" w:cs="Times New Roman"/>
          <w:color w:val="000000"/>
          <w:sz w:val="20"/>
          <w:szCs w:val="20"/>
          <w:lang w:eastAsia="pt-BR"/>
        </w:rPr>
        <w:t xml:space="preserve"> as exigências de reserva de cargos para pessoa com deficiência e para reabilitado da Previdência Social, previstas em lei e em outras normas específicas.</w:t>
      </w:r>
    </w:p>
    <w:p w:rsidR="006153DA"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4.4. O licitante organizado em cooperativa deverá declarar, ainda, em campo próprio do sistema eletrônico, que cumpre os requisitos estabelecidos no </w:t>
      </w:r>
      <w:hyperlink r:id="rId17" w:anchor="art16" w:tgtFrame="_blank" w:history="1">
        <w:r w:rsidRPr="00F97084">
          <w:rPr>
            <w:rFonts w:ascii="Bookman Old Style" w:eastAsia="Times New Roman" w:hAnsi="Bookman Old Style" w:cs="Times New Roman"/>
            <w:color w:val="0000FF"/>
            <w:sz w:val="20"/>
            <w:szCs w:val="20"/>
            <w:u w:val="single"/>
            <w:lang w:eastAsia="pt-BR"/>
          </w:rPr>
          <w:t>artigo 16 da Lei nº 14.133, de 2021</w:t>
        </w:r>
      </w:hyperlink>
      <w:r w:rsidRPr="00F97084">
        <w:rPr>
          <w:rFonts w:ascii="Bookman Old Style" w:eastAsia="Times New Roman" w:hAnsi="Bookman Old Style" w:cs="Times New Roman"/>
          <w:color w:val="000000"/>
          <w:sz w:val="20"/>
          <w:szCs w:val="20"/>
          <w:lang w:eastAsia="pt-BR"/>
        </w:rPr>
        <w:t>.</w:t>
      </w:r>
    </w:p>
    <w:p w:rsidR="00812ED6" w:rsidRPr="00F97084" w:rsidRDefault="00812ED6" w:rsidP="006153DA">
      <w:pPr>
        <w:spacing w:after="48" w:line="288" w:lineRule="atLeast"/>
        <w:jc w:val="both"/>
        <w:rPr>
          <w:rFonts w:ascii="Bookman Old Style" w:eastAsia="Times New Roman" w:hAnsi="Bookman Old Style" w:cs="Times New Roman"/>
          <w:color w:val="000000"/>
          <w:sz w:val="20"/>
          <w:szCs w:val="20"/>
          <w:lang w:eastAsia="pt-BR"/>
        </w:rPr>
      </w:pPr>
    </w:p>
    <w:p w:rsidR="00845D42" w:rsidRDefault="00845D42" w:rsidP="00845D42">
      <w:pPr>
        <w:shd w:val="clear" w:color="auto" w:fill="FFFF00"/>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4.5. Aplica-se a este Pregão o disposto no Art. 48, § 3o, da Lei Complementar nº. 147/2014, que estabelece a prioridade de contratação para as microempresas e empresas de pequeno porte conforme regulamenta o inciso III do Art. 9 da Lei Municipal 2.868/2021.</w:t>
      </w:r>
    </w:p>
    <w:p w:rsidR="00812ED6" w:rsidRPr="00F97084" w:rsidRDefault="00812ED6" w:rsidP="00845D42">
      <w:pPr>
        <w:shd w:val="clear" w:color="auto" w:fill="FFFF00"/>
        <w:spacing w:after="48" w:line="288" w:lineRule="atLeast"/>
        <w:jc w:val="both"/>
        <w:rPr>
          <w:rFonts w:ascii="Bookman Old Style" w:eastAsia="Times New Roman" w:hAnsi="Bookman Old Style" w:cs="Times New Roman"/>
          <w:color w:val="000000"/>
          <w:sz w:val="20"/>
          <w:szCs w:val="20"/>
          <w:lang w:eastAsia="pt-BR"/>
        </w:rPr>
      </w:pPr>
    </w:p>
    <w:p w:rsidR="006153DA" w:rsidRPr="00F97084" w:rsidRDefault="00845D42"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4.6</w:t>
      </w:r>
      <w:r w:rsidR="006153DA" w:rsidRPr="00F97084">
        <w:rPr>
          <w:rFonts w:ascii="Bookman Old Style" w:eastAsia="Times New Roman" w:hAnsi="Bookman Old Style" w:cs="Times New Roman"/>
          <w:color w:val="000000"/>
          <w:sz w:val="20"/>
          <w:szCs w:val="20"/>
          <w:lang w:eastAsia="pt-BR"/>
        </w:rPr>
        <w:t xml:space="preserve">. O fornecedor enquadrado como microempresa, empresa de pequeno porte ou sociedade cooperativa deverá declarar, ainda, em campo próprio do sistema eletrônico, que cumpre os requisitos estabelecidos no </w:t>
      </w:r>
      <w:hyperlink r:id="rId18" w:anchor="art3" w:tgtFrame="_blank" w:history="1">
        <w:r w:rsidR="006153DA" w:rsidRPr="00F97084">
          <w:rPr>
            <w:rFonts w:ascii="Bookman Old Style" w:eastAsia="Times New Roman" w:hAnsi="Bookman Old Style" w:cs="Times New Roman"/>
            <w:color w:val="0000FF"/>
            <w:sz w:val="20"/>
            <w:szCs w:val="20"/>
            <w:u w:val="single"/>
            <w:lang w:eastAsia="pt-BR"/>
          </w:rPr>
          <w:t>artigo 3° da Lei Complementar nº 123, de 2006</w:t>
        </w:r>
      </w:hyperlink>
      <w:r w:rsidR="006153DA" w:rsidRPr="00F97084">
        <w:rPr>
          <w:rFonts w:ascii="Bookman Old Style" w:eastAsia="Times New Roman" w:hAnsi="Bookman Old Style" w:cs="Times New Roman"/>
          <w:color w:val="000000"/>
          <w:sz w:val="20"/>
          <w:szCs w:val="20"/>
          <w:lang w:eastAsia="pt-BR"/>
        </w:rPr>
        <w:t xml:space="preserve">, estando apto a usufruir do tratamento favorecido estabelecido em seus </w:t>
      </w:r>
      <w:hyperlink r:id="rId19" w:anchor="art42" w:history="1">
        <w:proofErr w:type="spellStart"/>
        <w:r w:rsidR="006153DA" w:rsidRPr="00F97084">
          <w:rPr>
            <w:rFonts w:ascii="Bookman Old Style" w:eastAsia="Times New Roman" w:hAnsi="Bookman Old Style" w:cs="Times New Roman"/>
            <w:color w:val="0000FF"/>
            <w:sz w:val="20"/>
            <w:szCs w:val="20"/>
            <w:u w:val="single"/>
            <w:lang w:eastAsia="pt-BR"/>
          </w:rPr>
          <w:t>arts</w:t>
        </w:r>
        <w:proofErr w:type="spellEnd"/>
        <w:r w:rsidR="006153DA" w:rsidRPr="00F97084">
          <w:rPr>
            <w:rFonts w:ascii="Bookman Old Style" w:eastAsia="Times New Roman" w:hAnsi="Bookman Old Style" w:cs="Times New Roman"/>
            <w:color w:val="0000FF"/>
            <w:sz w:val="20"/>
            <w:szCs w:val="20"/>
            <w:u w:val="single"/>
            <w:lang w:eastAsia="pt-BR"/>
          </w:rPr>
          <w:t>. 42 a 49</w:t>
        </w:r>
      </w:hyperlink>
      <w:r w:rsidR="006153DA" w:rsidRPr="00F97084">
        <w:rPr>
          <w:rFonts w:ascii="Bookman Old Style" w:eastAsia="Times New Roman" w:hAnsi="Bookman Old Style" w:cs="Times New Roman"/>
          <w:color w:val="000000"/>
          <w:sz w:val="20"/>
          <w:szCs w:val="20"/>
          <w:lang w:eastAsia="pt-BR"/>
        </w:rPr>
        <w:t xml:space="preserve">, observado o disposto nos </w:t>
      </w:r>
      <w:hyperlink r:id="rId20" w:anchor="art4%C2%A71" w:history="1">
        <w:r w:rsidR="006153DA" w:rsidRPr="00F97084">
          <w:rPr>
            <w:rFonts w:ascii="Bookman Old Style" w:eastAsia="Times New Roman" w:hAnsi="Bookman Old Style" w:cs="Times New Roman"/>
            <w:color w:val="0000FF"/>
            <w:sz w:val="20"/>
            <w:szCs w:val="20"/>
            <w:u w:val="single"/>
            <w:lang w:eastAsia="pt-BR"/>
          </w:rPr>
          <w:t>§§ 1º ao 3º do art. 4º, da Lei n.º 14.133, de 2021</w:t>
        </w:r>
      </w:hyperlink>
      <w:r w:rsidR="006153DA" w:rsidRPr="00F97084">
        <w:rPr>
          <w:rFonts w:ascii="Bookman Old Style" w:eastAsia="Times New Roman" w:hAnsi="Bookman Old Style" w:cs="Times New Roman"/>
          <w:color w:val="000000"/>
          <w:sz w:val="20"/>
          <w:szCs w:val="20"/>
          <w:lang w:eastAsia="pt-BR"/>
        </w:rPr>
        <w:t>.</w:t>
      </w:r>
    </w:p>
    <w:p w:rsidR="006153DA" w:rsidRPr="00F97084" w:rsidRDefault="00845D42"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4.6</w:t>
      </w:r>
      <w:r w:rsidR="006153DA" w:rsidRPr="00F97084">
        <w:rPr>
          <w:rFonts w:ascii="Bookman Old Style" w:eastAsia="Times New Roman" w:hAnsi="Bookman Old Style" w:cs="Times New Roman"/>
          <w:color w:val="000000"/>
          <w:sz w:val="20"/>
          <w:szCs w:val="20"/>
          <w:lang w:eastAsia="pt-BR"/>
        </w:rPr>
        <w:t xml:space="preserve">.1. </w:t>
      </w:r>
      <w:proofErr w:type="gramStart"/>
      <w:r w:rsidR="006153DA" w:rsidRPr="00F97084">
        <w:rPr>
          <w:rFonts w:ascii="Bookman Old Style" w:eastAsia="Times New Roman" w:hAnsi="Bookman Old Style" w:cs="Times New Roman"/>
          <w:color w:val="000000"/>
          <w:sz w:val="20"/>
          <w:szCs w:val="20"/>
          <w:lang w:eastAsia="pt-BR"/>
        </w:rPr>
        <w:t>no</w:t>
      </w:r>
      <w:proofErr w:type="gramEnd"/>
      <w:r w:rsidR="006153DA" w:rsidRPr="00F97084">
        <w:rPr>
          <w:rFonts w:ascii="Bookman Old Style" w:eastAsia="Times New Roman" w:hAnsi="Bookman Old Style" w:cs="Times New Roman"/>
          <w:color w:val="000000"/>
          <w:sz w:val="20"/>
          <w:szCs w:val="20"/>
          <w:lang w:eastAsia="pt-BR"/>
        </w:rPr>
        <w:t xml:space="preserve"> item exclusivo para participação de microempresas e empresas de pequeno porte, a assinalação do campo “não” impedirá o prosseguimento no certame, para aquele item;</w:t>
      </w:r>
    </w:p>
    <w:p w:rsidR="006153DA" w:rsidRPr="00F97084" w:rsidRDefault="00845D42"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4.6</w:t>
      </w:r>
      <w:r w:rsidR="006153DA" w:rsidRPr="00F97084">
        <w:rPr>
          <w:rFonts w:ascii="Bookman Old Style" w:eastAsia="Times New Roman" w:hAnsi="Bookman Old Style" w:cs="Times New Roman"/>
          <w:color w:val="000000"/>
          <w:sz w:val="20"/>
          <w:szCs w:val="20"/>
          <w:lang w:eastAsia="pt-BR"/>
        </w:rPr>
        <w:t xml:space="preserve">.2. nos itens em que a participação não for exclusiva para microempresas e empresas de pequeno porte, a assinalação do campo “não” apenas produzirá o efeito de o licitante não ter direito ao tratamento favorecido previsto na </w:t>
      </w:r>
      <w:hyperlink r:id="rId21" w:tgtFrame="_blank" w:history="1">
        <w:r w:rsidR="006153DA" w:rsidRPr="00F97084">
          <w:rPr>
            <w:rFonts w:ascii="Bookman Old Style" w:eastAsia="Times New Roman" w:hAnsi="Bookman Old Style" w:cs="Times New Roman"/>
            <w:color w:val="0000FF"/>
            <w:sz w:val="20"/>
            <w:szCs w:val="20"/>
            <w:u w:val="single"/>
            <w:lang w:eastAsia="pt-BR"/>
          </w:rPr>
          <w:t>Lei Complementar nº 123, de 2006</w:t>
        </w:r>
      </w:hyperlink>
      <w:r w:rsidR="006153DA" w:rsidRPr="00F97084">
        <w:rPr>
          <w:rFonts w:ascii="Bookman Old Style" w:eastAsia="Times New Roman" w:hAnsi="Bookman Old Style" w:cs="Times New Roman"/>
          <w:color w:val="000000"/>
          <w:sz w:val="20"/>
          <w:szCs w:val="20"/>
          <w:lang w:eastAsia="pt-BR"/>
        </w:rPr>
        <w:t>, mesmo que microempresa, empresa de pequeno porte ou sociedade cooperativa.</w:t>
      </w:r>
    </w:p>
    <w:p w:rsidR="006153DA" w:rsidRPr="00F97084" w:rsidRDefault="00845D42"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4.7</w:t>
      </w:r>
      <w:r w:rsidR="006153DA" w:rsidRPr="00F97084">
        <w:rPr>
          <w:rFonts w:ascii="Bookman Old Style" w:eastAsia="Times New Roman" w:hAnsi="Bookman Old Style" w:cs="Times New Roman"/>
          <w:color w:val="000000"/>
          <w:sz w:val="20"/>
          <w:szCs w:val="20"/>
          <w:lang w:eastAsia="pt-BR"/>
        </w:rPr>
        <w:t xml:space="preserve">. Não poderá se beneficiar do tratamento jurídico diferenciado estabelecido nos </w:t>
      </w:r>
      <w:proofErr w:type="spellStart"/>
      <w:r w:rsidR="006153DA" w:rsidRPr="00F97084">
        <w:rPr>
          <w:rFonts w:ascii="Bookman Old Style" w:eastAsia="Times New Roman" w:hAnsi="Bookman Old Style" w:cs="Times New Roman"/>
          <w:color w:val="000000"/>
          <w:sz w:val="20"/>
          <w:szCs w:val="20"/>
          <w:lang w:eastAsia="pt-BR"/>
        </w:rPr>
        <w:t>arts</w:t>
      </w:r>
      <w:proofErr w:type="spellEnd"/>
      <w:r w:rsidR="006153DA" w:rsidRPr="00F97084">
        <w:rPr>
          <w:rFonts w:ascii="Bookman Old Style" w:eastAsia="Times New Roman" w:hAnsi="Bookman Old Style" w:cs="Times New Roman"/>
          <w:color w:val="000000"/>
          <w:sz w:val="20"/>
          <w:szCs w:val="20"/>
          <w:lang w:eastAsia="pt-BR"/>
        </w:rPr>
        <w:t>. 42 a 49 da Lei Complementar nº 123, de 2006, a pessoa jurídica:</w:t>
      </w:r>
    </w:p>
    <w:p w:rsidR="006153DA" w:rsidRPr="00F97084" w:rsidRDefault="00845D42"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4.7</w:t>
      </w:r>
      <w:r w:rsidR="006153DA" w:rsidRPr="00F97084">
        <w:rPr>
          <w:rFonts w:ascii="Bookman Old Style" w:eastAsia="Times New Roman" w:hAnsi="Bookman Old Style" w:cs="Times New Roman"/>
          <w:color w:val="000000"/>
          <w:sz w:val="20"/>
          <w:szCs w:val="20"/>
          <w:lang w:eastAsia="pt-BR"/>
        </w:rPr>
        <w:t xml:space="preserve">.1. </w:t>
      </w:r>
      <w:proofErr w:type="gramStart"/>
      <w:r w:rsidR="006153DA" w:rsidRPr="00F97084">
        <w:rPr>
          <w:rFonts w:ascii="Bookman Old Style" w:eastAsia="Times New Roman" w:hAnsi="Bookman Old Style" w:cs="Times New Roman"/>
          <w:color w:val="000000"/>
          <w:sz w:val="20"/>
          <w:szCs w:val="20"/>
          <w:lang w:eastAsia="pt-BR"/>
        </w:rPr>
        <w:t>de</w:t>
      </w:r>
      <w:proofErr w:type="gramEnd"/>
      <w:r w:rsidR="006153DA" w:rsidRPr="00F97084">
        <w:rPr>
          <w:rFonts w:ascii="Bookman Old Style" w:eastAsia="Times New Roman" w:hAnsi="Bookman Old Style" w:cs="Times New Roman"/>
          <w:color w:val="000000"/>
          <w:sz w:val="20"/>
          <w:szCs w:val="20"/>
          <w:lang w:eastAsia="pt-BR"/>
        </w:rPr>
        <w:t xml:space="preserve"> cujo capital participe outra pessoa jurídica;</w:t>
      </w:r>
    </w:p>
    <w:p w:rsidR="006153DA" w:rsidRPr="00F97084" w:rsidRDefault="00845D42"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4.7</w:t>
      </w:r>
      <w:r w:rsidR="006153DA" w:rsidRPr="00F97084">
        <w:rPr>
          <w:rFonts w:ascii="Bookman Old Style" w:eastAsia="Times New Roman" w:hAnsi="Bookman Old Style" w:cs="Times New Roman"/>
          <w:color w:val="000000"/>
          <w:sz w:val="20"/>
          <w:szCs w:val="20"/>
          <w:lang w:eastAsia="pt-BR"/>
        </w:rPr>
        <w:t xml:space="preserve">.2. </w:t>
      </w:r>
      <w:proofErr w:type="gramStart"/>
      <w:r w:rsidR="006153DA" w:rsidRPr="00F97084">
        <w:rPr>
          <w:rFonts w:ascii="Bookman Old Style" w:eastAsia="Times New Roman" w:hAnsi="Bookman Old Style" w:cs="Times New Roman"/>
          <w:color w:val="000000"/>
          <w:sz w:val="20"/>
          <w:szCs w:val="20"/>
          <w:lang w:eastAsia="pt-BR"/>
        </w:rPr>
        <w:t>que</w:t>
      </w:r>
      <w:proofErr w:type="gramEnd"/>
      <w:r w:rsidR="006153DA" w:rsidRPr="00F97084">
        <w:rPr>
          <w:rFonts w:ascii="Bookman Old Style" w:eastAsia="Times New Roman" w:hAnsi="Bookman Old Style" w:cs="Times New Roman"/>
          <w:color w:val="000000"/>
          <w:sz w:val="20"/>
          <w:szCs w:val="20"/>
          <w:lang w:eastAsia="pt-BR"/>
        </w:rPr>
        <w:t xml:space="preserve"> seja filial, sucursal, agência ou representação, no País, de pessoa jurídica com sede no exterior;</w:t>
      </w:r>
    </w:p>
    <w:p w:rsidR="006153DA" w:rsidRPr="00F97084" w:rsidRDefault="00845D42"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lastRenderedPageBreak/>
        <w:t>4.7</w:t>
      </w:r>
      <w:r w:rsidR="006153DA" w:rsidRPr="00F97084">
        <w:rPr>
          <w:rFonts w:ascii="Bookman Old Style" w:eastAsia="Times New Roman" w:hAnsi="Bookman Old Style" w:cs="Times New Roman"/>
          <w:color w:val="000000"/>
          <w:sz w:val="20"/>
          <w:szCs w:val="20"/>
          <w:lang w:eastAsia="pt-BR"/>
        </w:rPr>
        <w:t xml:space="preserve">.3. </w:t>
      </w:r>
      <w:proofErr w:type="gramStart"/>
      <w:r w:rsidR="006153DA" w:rsidRPr="00F97084">
        <w:rPr>
          <w:rFonts w:ascii="Bookman Old Style" w:eastAsia="Times New Roman" w:hAnsi="Bookman Old Style" w:cs="Times New Roman"/>
          <w:color w:val="000000"/>
          <w:sz w:val="20"/>
          <w:szCs w:val="20"/>
          <w:lang w:eastAsia="pt-BR"/>
        </w:rPr>
        <w:t>de</w:t>
      </w:r>
      <w:proofErr w:type="gramEnd"/>
      <w:r w:rsidR="006153DA" w:rsidRPr="00F97084">
        <w:rPr>
          <w:rFonts w:ascii="Bookman Old Style" w:eastAsia="Times New Roman" w:hAnsi="Bookman Old Style" w:cs="Times New Roman"/>
          <w:color w:val="000000"/>
          <w:sz w:val="20"/>
          <w:szCs w:val="20"/>
          <w:lang w:eastAsia="pt-BR"/>
        </w:rPr>
        <w:t xml:space="preserv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rsidR="006153DA" w:rsidRPr="00F97084" w:rsidRDefault="00845D42"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4.7</w:t>
      </w:r>
      <w:r w:rsidR="006153DA" w:rsidRPr="00F97084">
        <w:rPr>
          <w:rFonts w:ascii="Bookman Old Style" w:eastAsia="Times New Roman" w:hAnsi="Bookman Old Style" w:cs="Times New Roman"/>
          <w:color w:val="000000"/>
          <w:sz w:val="20"/>
          <w:szCs w:val="20"/>
          <w:lang w:eastAsia="pt-BR"/>
        </w:rPr>
        <w:t xml:space="preserve">.4. </w:t>
      </w:r>
      <w:proofErr w:type="gramStart"/>
      <w:r w:rsidR="006153DA" w:rsidRPr="00F97084">
        <w:rPr>
          <w:rFonts w:ascii="Bookman Old Style" w:eastAsia="Times New Roman" w:hAnsi="Bookman Old Style" w:cs="Times New Roman"/>
          <w:color w:val="000000"/>
          <w:sz w:val="20"/>
          <w:szCs w:val="20"/>
          <w:lang w:eastAsia="pt-BR"/>
        </w:rPr>
        <w:t>cujo</w:t>
      </w:r>
      <w:proofErr w:type="gramEnd"/>
      <w:r w:rsidR="006153DA" w:rsidRPr="00F97084">
        <w:rPr>
          <w:rFonts w:ascii="Bookman Old Style" w:eastAsia="Times New Roman" w:hAnsi="Bookman Old Style" w:cs="Times New Roman"/>
          <w:color w:val="000000"/>
          <w:sz w:val="20"/>
          <w:szCs w:val="20"/>
          <w:lang w:eastAsia="pt-BR"/>
        </w:rPr>
        <w:t xml:space="preserve"> titular ou sócio participe com mais de 10% (dez por cento) do capital de outra empresa não beneficiada pela Lei Complementar nº 123, de 2006, desde que a receita bruta global ultrapasse o limite de que trata o inciso II do art. 3º da referida lei;</w:t>
      </w:r>
    </w:p>
    <w:p w:rsidR="006153DA" w:rsidRPr="00F97084" w:rsidRDefault="00845D42"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4.7</w:t>
      </w:r>
      <w:r w:rsidR="006153DA" w:rsidRPr="00F97084">
        <w:rPr>
          <w:rFonts w:ascii="Bookman Old Style" w:eastAsia="Times New Roman" w:hAnsi="Bookman Old Style" w:cs="Times New Roman"/>
          <w:color w:val="000000"/>
          <w:sz w:val="20"/>
          <w:szCs w:val="20"/>
          <w:lang w:eastAsia="pt-BR"/>
        </w:rPr>
        <w:t xml:space="preserve">.5. </w:t>
      </w:r>
      <w:proofErr w:type="gramStart"/>
      <w:r w:rsidR="006153DA" w:rsidRPr="00F97084">
        <w:rPr>
          <w:rFonts w:ascii="Bookman Old Style" w:eastAsia="Times New Roman" w:hAnsi="Bookman Old Style" w:cs="Times New Roman"/>
          <w:color w:val="000000"/>
          <w:sz w:val="20"/>
          <w:szCs w:val="20"/>
          <w:lang w:eastAsia="pt-BR"/>
        </w:rPr>
        <w:t>cujo</w:t>
      </w:r>
      <w:proofErr w:type="gramEnd"/>
      <w:r w:rsidR="006153DA" w:rsidRPr="00F97084">
        <w:rPr>
          <w:rFonts w:ascii="Bookman Old Style" w:eastAsia="Times New Roman" w:hAnsi="Bookman Old Style" w:cs="Times New Roman"/>
          <w:color w:val="000000"/>
          <w:sz w:val="20"/>
          <w:szCs w:val="20"/>
          <w:lang w:eastAsia="pt-BR"/>
        </w:rPr>
        <w:t xml:space="preserve"> sócio ou titular seja administrador ou equiparado de outra pessoa jurídica com fins lucrativos, desde que a receita bruta global ultrapasse o limite de que trata o inciso II do art. 3º da referida lei;</w:t>
      </w:r>
    </w:p>
    <w:p w:rsidR="006153DA" w:rsidRPr="00F97084" w:rsidRDefault="00845D42"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4.7</w:t>
      </w:r>
      <w:r w:rsidR="006153DA" w:rsidRPr="00F97084">
        <w:rPr>
          <w:rFonts w:ascii="Bookman Old Style" w:eastAsia="Times New Roman" w:hAnsi="Bookman Old Style" w:cs="Times New Roman"/>
          <w:color w:val="000000"/>
          <w:sz w:val="20"/>
          <w:szCs w:val="20"/>
          <w:lang w:eastAsia="pt-BR"/>
        </w:rPr>
        <w:t xml:space="preserve">.6. </w:t>
      </w:r>
      <w:proofErr w:type="gramStart"/>
      <w:r w:rsidR="006153DA" w:rsidRPr="00F97084">
        <w:rPr>
          <w:rFonts w:ascii="Bookman Old Style" w:eastAsia="Times New Roman" w:hAnsi="Bookman Old Style" w:cs="Times New Roman"/>
          <w:color w:val="000000"/>
          <w:sz w:val="20"/>
          <w:szCs w:val="20"/>
          <w:lang w:eastAsia="pt-BR"/>
        </w:rPr>
        <w:t>constituída</w:t>
      </w:r>
      <w:proofErr w:type="gramEnd"/>
      <w:r w:rsidR="006153DA" w:rsidRPr="00F97084">
        <w:rPr>
          <w:rFonts w:ascii="Bookman Old Style" w:eastAsia="Times New Roman" w:hAnsi="Bookman Old Style" w:cs="Times New Roman"/>
          <w:color w:val="000000"/>
          <w:sz w:val="20"/>
          <w:szCs w:val="20"/>
          <w:lang w:eastAsia="pt-BR"/>
        </w:rPr>
        <w:t xml:space="preserve"> sob a forma de cooperativas, salvo as de consumo;</w:t>
      </w:r>
    </w:p>
    <w:p w:rsidR="006153DA" w:rsidRPr="00F97084" w:rsidRDefault="00845D42"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4.7</w:t>
      </w:r>
      <w:r w:rsidR="006153DA" w:rsidRPr="00F97084">
        <w:rPr>
          <w:rFonts w:ascii="Bookman Old Style" w:eastAsia="Times New Roman" w:hAnsi="Bookman Old Style" w:cs="Times New Roman"/>
          <w:color w:val="000000"/>
          <w:sz w:val="20"/>
          <w:szCs w:val="20"/>
          <w:lang w:eastAsia="pt-BR"/>
        </w:rPr>
        <w:t xml:space="preserve">.7. </w:t>
      </w:r>
      <w:proofErr w:type="gramStart"/>
      <w:r w:rsidR="006153DA" w:rsidRPr="00F97084">
        <w:rPr>
          <w:rFonts w:ascii="Bookman Old Style" w:eastAsia="Times New Roman" w:hAnsi="Bookman Old Style" w:cs="Times New Roman"/>
          <w:color w:val="000000"/>
          <w:sz w:val="20"/>
          <w:szCs w:val="20"/>
          <w:lang w:eastAsia="pt-BR"/>
        </w:rPr>
        <w:t>que</w:t>
      </w:r>
      <w:proofErr w:type="gramEnd"/>
      <w:r w:rsidR="006153DA" w:rsidRPr="00F97084">
        <w:rPr>
          <w:rFonts w:ascii="Bookman Old Style" w:eastAsia="Times New Roman" w:hAnsi="Bookman Old Style" w:cs="Times New Roman"/>
          <w:color w:val="000000"/>
          <w:sz w:val="20"/>
          <w:szCs w:val="20"/>
          <w:lang w:eastAsia="pt-BR"/>
        </w:rPr>
        <w:t xml:space="preserve"> participe do capital de outra pessoa jurídica;</w:t>
      </w:r>
    </w:p>
    <w:p w:rsidR="006153DA" w:rsidRPr="00F97084" w:rsidRDefault="00845D42"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4.7</w:t>
      </w:r>
      <w:r w:rsidR="006153DA" w:rsidRPr="00F97084">
        <w:rPr>
          <w:rFonts w:ascii="Bookman Old Style" w:eastAsia="Times New Roman" w:hAnsi="Bookman Old Style" w:cs="Times New Roman"/>
          <w:color w:val="000000"/>
          <w:sz w:val="20"/>
          <w:szCs w:val="20"/>
          <w:lang w:eastAsia="pt-BR"/>
        </w:rPr>
        <w:t xml:space="preserve">.8. </w:t>
      </w:r>
      <w:proofErr w:type="gramStart"/>
      <w:r w:rsidR="006153DA" w:rsidRPr="00F97084">
        <w:rPr>
          <w:rFonts w:ascii="Bookman Old Style" w:eastAsia="Times New Roman" w:hAnsi="Bookman Old Style" w:cs="Times New Roman"/>
          <w:color w:val="000000"/>
          <w:sz w:val="20"/>
          <w:szCs w:val="20"/>
          <w:lang w:eastAsia="pt-BR"/>
        </w:rPr>
        <w:t>que</w:t>
      </w:r>
      <w:proofErr w:type="gramEnd"/>
      <w:r w:rsidR="006153DA" w:rsidRPr="00F97084">
        <w:rPr>
          <w:rFonts w:ascii="Bookman Old Style" w:eastAsia="Times New Roman" w:hAnsi="Bookman Old Style" w:cs="Times New Roman"/>
          <w:color w:val="000000"/>
          <w:sz w:val="20"/>
          <w:szCs w:val="20"/>
          <w:lang w:eastAsia="pt-BR"/>
        </w:rPr>
        <w:t xml:space="preserv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rsidR="006153DA" w:rsidRPr="00F97084" w:rsidRDefault="00845D42"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4.7</w:t>
      </w:r>
      <w:r w:rsidR="006153DA" w:rsidRPr="00F97084">
        <w:rPr>
          <w:rFonts w:ascii="Bookman Old Style" w:eastAsia="Times New Roman" w:hAnsi="Bookman Old Style" w:cs="Times New Roman"/>
          <w:color w:val="000000"/>
          <w:sz w:val="20"/>
          <w:szCs w:val="20"/>
          <w:lang w:eastAsia="pt-BR"/>
        </w:rPr>
        <w:t xml:space="preserve">.9. </w:t>
      </w:r>
      <w:proofErr w:type="gramStart"/>
      <w:r w:rsidR="006153DA" w:rsidRPr="00F97084">
        <w:rPr>
          <w:rFonts w:ascii="Bookman Old Style" w:eastAsia="Times New Roman" w:hAnsi="Bookman Old Style" w:cs="Times New Roman"/>
          <w:color w:val="000000"/>
          <w:sz w:val="20"/>
          <w:szCs w:val="20"/>
          <w:lang w:eastAsia="pt-BR"/>
        </w:rPr>
        <w:t>resultante</w:t>
      </w:r>
      <w:proofErr w:type="gramEnd"/>
      <w:r w:rsidR="006153DA" w:rsidRPr="00F97084">
        <w:rPr>
          <w:rFonts w:ascii="Bookman Old Style" w:eastAsia="Times New Roman" w:hAnsi="Bookman Old Style" w:cs="Times New Roman"/>
          <w:color w:val="000000"/>
          <w:sz w:val="20"/>
          <w:szCs w:val="20"/>
          <w:lang w:eastAsia="pt-BR"/>
        </w:rPr>
        <w:t xml:space="preserve"> ou remanescente de cisão ou qualquer outra forma de desmembramento de pessoa jurídica que tenha ocorrido em um dos 5 (cinco) anos-calendário anteriores;</w:t>
      </w:r>
    </w:p>
    <w:p w:rsidR="006153DA" w:rsidRPr="00F97084" w:rsidRDefault="00845D42"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4.7</w:t>
      </w:r>
      <w:r w:rsidR="006153DA" w:rsidRPr="00F97084">
        <w:rPr>
          <w:rFonts w:ascii="Bookman Old Style" w:eastAsia="Times New Roman" w:hAnsi="Bookman Old Style" w:cs="Times New Roman"/>
          <w:color w:val="000000"/>
          <w:sz w:val="20"/>
          <w:szCs w:val="20"/>
          <w:lang w:eastAsia="pt-BR"/>
        </w:rPr>
        <w:t xml:space="preserve">.10. </w:t>
      </w:r>
      <w:proofErr w:type="gramStart"/>
      <w:r w:rsidR="006153DA" w:rsidRPr="00F97084">
        <w:rPr>
          <w:rFonts w:ascii="Bookman Old Style" w:eastAsia="Times New Roman" w:hAnsi="Bookman Old Style" w:cs="Times New Roman"/>
          <w:color w:val="000000"/>
          <w:sz w:val="20"/>
          <w:szCs w:val="20"/>
          <w:lang w:eastAsia="pt-BR"/>
        </w:rPr>
        <w:t>constituída</w:t>
      </w:r>
      <w:proofErr w:type="gramEnd"/>
      <w:r w:rsidR="006153DA" w:rsidRPr="00F97084">
        <w:rPr>
          <w:rFonts w:ascii="Bookman Old Style" w:eastAsia="Times New Roman" w:hAnsi="Bookman Old Style" w:cs="Times New Roman"/>
          <w:color w:val="000000"/>
          <w:sz w:val="20"/>
          <w:szCs w:val="20"/>
          <w:lang w:eastAsia="pt-BR"/>
        </w:rPr>
        <w:t xml:space="preserve"> sob a forma de sociedade por ações.</w:t>
      </w:r>
    </w:p>
    <w:p w:rsidR="006153DA" w:rsidRPr="00F97084" w:rsidRDefault="00845D42"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4.7</w:t>
      </w:r>
      <w:r w:rsidR="006153DA" w:rsidRPr="00F97084">
        <w:rPr>
          <w:rFonts w:ascii="Bookman Old Style" w:eastAsia="Times New Roman" w:hAnsi="Bookman Old Style" w:cs="Times New Roman"/>
          <w:color w:val="000000"/>
          <w:sz w:val="20"/>
          <w:szCs w:val="20"/>
          <w:lang w:eastAsia="pt-BR"/>
        </w:rPr>
        <w:t xml:space="preserve">.11. </w:t>
      </w:r>
      <w:proofErr w:type="gramStart"/>
      <w:r w:rsidR="006153DA" w:rsidRPr="00F97084">
        <w:rPr>
          <w:rFonts w:ascii="Bookman Old Style" w:eastAsia="Times New Roman" w:hAnsi="Bookman Old Style" w:cs="Times New Roman"/>
          <w:color w:val="000000"/>
          <w:sz w:val="20"/>
          <w:szCs w:val="20"/>
          <w:lang w:eastAsia="pt-BR"/>
        </w:rPr>
        <w:t>cujos</w:t>
      </w:r>
      <w:proofErr w:type="gramEnd"/>
      <w:r w:rsidR="006153DA" w:rsidRPr="00F97084">
        <w:rPr>
          <w:rFonts w:ascii="Bookman Old Style" w:eastAsia="Times New Roman" w:hAnsi="Bookman Old Style" w:cs="Times New Roman"/>
          <w:color w:val="000000"/>
          <w:sz w:val="20"/>
          <w:szCs w:val="20"/>
          <w:lang w:eastAsia="pt-BR"/>
        </w:rPr>
        <w:t xml:space="preserve"> titulares ou sócios guardem, cumulativamente, com o contratante do serviço, relação de pessoalidade, subordinação e habitualidade.</w:t>
      </w:r>
    </w:p>
    <w:p w:rsidR="006153DA" w:rsidRPr="00F97084" w:rsidRDefault="00845D42"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4.8</w:t>
      </w:r>
      <w:r w:rsidR="006153DA" w:rsidRPr="00F97084">
        <w:rPr>
          <w:rFonts w:ascii="Bookman Old Style" w:eastAsia="Times New Roman" w:hAnsi="Bookman Old Style" w:cs="Times New Roman"/>
          <w:color w:val="000000"/>
          <w:sz w:val="20"/>
          <w:szCs w:val="20"/>
          <w:lang w:eastAsia="pt-BR"/>
        </w:rPr>
        <w:t>. 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p>
    <w:p w:rsidR="006153DA" w:rsidRPr="00F97084" w:rsidRDefault="00845D42"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4.9</w:t>
      </w:r>
      <w:r w:rsidR="006153DA" w:rsidRPr="00F97084">
        <w:rPr>
          <w:rFonts w:ascii="Bookman Old Style" w:eastAsia="Times New Roman" w:hAnsi="Bookman Old Style" w:cs="Times New Roman"/>
          <w:color w:val="000000"/>
          <w:sz w:val="20"/>
          <w:szCs w:val="20"/>
          <w:lang w:eastAsia="pt-BR"/>
        </w:rPr>
        <w:t>. A falsidade da declaraçã</w:t>
      </w:r>
      <w:r w:rsidRPr="00F97084">
        <w:rPr>
          <w:rFonts w:ascii="Bookman Old Style" w:eastAsia="Times New Roman" w:hAnsi="Bookman Old Style" w:cs="Times New Roman"/>
          <w:color w:val="000000"/>
          <w:sz w:val="20"/>
          <w:szCs w:val="20"/>
          <w:lang w:eastAsia="pt-BR"/>
        </w:rPr>
        <w:t>o de que trata os itens 4.3, 4.6 ou 4.8</w:t>
      </w:r>
      <w:r w:rsidR="006153DA" w:rsidRPr="00F97084">
        <w:rPr>
          <w:rFonts w:ascii="Bookman Old Style" w:eastAsia="Times New Roman" w:hAnsi="Bookman Old Style" w:cs="Times New Roman"/>
          <w:color w:val="000000"/>
          <w:sz w:val="20"/>
          <w:szCs w:val="20"/>
          <w:lang w:eastAsia="pt-BR"/>
        </w:rPr>
        <w:t xml:space="preserve"> sujeitará o licitante às sanções previstas na </w:t>
      </w:r>
      <w:hyperlink r:id="rId22" w:tgtFrame="_blank" w:history="1">
        <w:r w:rsidR="006153DA" w:rsidRPr="00F97084">
          <w:rPr>
            <w:rFonts w:ascii="Bookman Old Style" w:eastAsia="Times New Roman" w:hAnsi="Bookman Old Style" w:cs="Times New Roman"/>
            <w:color w:val="0000FF"/>
            <w:sz w:val="20"/>
            <w:szCs w:val="20"/>
            <w:u w:val="single"/>
            <w:lang w:eastAsia="pt-BR"/>
          </w:rPr>
          <w:t>Lei nº 14.133, de 2021</w:t>
        </w:r>
      </w:hyperlink>
      <w:r w:rsidR="006153DA" w:rsidRPr="00F97084">
        <w:rPr>
          <w:rFonts w:ascii="Bookman Old Style" w:eastAsia="Times New Roman" w:hAnsi="Bookman Old Style" w:cs="Times New Roman"/>
          <w:color w:val="000000"/>
          <w:sz w:val="20"/>
          <w:szCs w:val="20"/>
          <w:lang w:eastAsia="pt-BR"/>
        </w:rPr>
        <w:t>, e neste Edital.</w:t>
      </w:r>
    </w:p>
    <w:p w:rsidR="006153DA" w:rsidRPr="00F97084" w:rsidRDefault="00845D42"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4.10</w:t>
      </w:r>
      <w:r w:rsidR="006153DA" w:rsidRPr="00F97084">
        <w:rPr>
          <w:rFonts w:ascii="Bookman Old Style" w:eastAsia="Times New Roman" w:hAnsi="Bookman Old Style" w:cs="Times New Roman"/>
          <w:color w:val="000000"/>
          <w:sz w:val="20"/>
          <w:szCs w:val="20"/>
          <w:lang w:eastAsia="pt-BR"/>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6153DA" w:rsidRPr="00F97084" w:rsidRDefault="00845D42"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4.11</w:t>
      </w:r>
      <w:r w:rsidR="006153DA" w:rsidRPr="00F97084">
        <w:rPr>
          <w:rFonts w:ascii="Bookman Old Style" w:eastAsia="Times New Roman" w:hAnsi="Bookman Old Style" w:cs="Times New Roman"/>
          <w:color w:val="000000"/>
          <w:sz w:val="20"/>
          <w:szCs w:val="20"/>
          <w:lang w:eastAsia="pt-BR"/>
        </w:rPr>
        <w:t>. Não haverá ordem de classificação na etapa de apresentação da proposta e dos documentos de habilitação pelo licitante, o que ocorrerá somente após os procedimentos de abertura da sessão pública e da fase de envio de lances.</w:t>
      </w:r>
    </w:p>
    <w:p w:rsidR="006153DA" w:rsidRPr="00F97084" w:rsidRDefault="00845D42"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4.12</w:t>
      </w:r>
      <w:r w:rsidR="006153DA" w:rsidRPr="00F97084">
        <w:rPr>
          <w:rFonts w:ascii="Bookman Old Style" w:eastAsia="Times New Roman" w:hAnsi="Bookman Old Style" w:cs="Times New Roman"/>
          <w:color w:val="000000"/>
          <w:sz w:val="20"/>
          <w:szCs w:val="20"/>
          <w:lang w:eastAsia="pt-BR"/>
        </w:rPr>
        <w:t>. Serão disponibilizados para acesso público os documentos que compõem a proposta dos licitantes convocados para apresentação de propostas, após a fase de envio de lances.</w:t>
      </w:r>
    </w:p>
    <w:p w:rsidR="006153DA" w:rsidRPr="00F97084" w:rsidRDefault="00845D42"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4.13</w:t>
      </w:r>
      <w:r w:rsidR="006153DA" w:rsidRPr="00F97084">
        <w:rPr>
          <w:rFonts w:ascii="Bookman Old Style" w:eastAsia="Times New Roman" w:hAnsi="Bookman Old Style" w:cs="Times New Roman"/>
          <w:color w:val="000000"/>
          <w:sz w:val="20"/>
          <w:szCs w:val="20"/>
          <w:lang w:eastAsia="pt-BR"/>
        </w:rPr>
        <w:t>. Desde que disponibilizada a funcionalidade no sistema, o licitante poderá parametrizar o seu valor final mínimo ou o seu percentual de desconto máximo quando do cadastramento da proposta e obedecerá às seguintes regras:</w:t>
      </w:r>
    </w:p>
    <w:p w:rsidR="006153DA" w:rsidRPr="00F97084" w:rsidRDefault="00845D42"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4.13</w:t>
      </w:r>
      <w:r w:rsidR="006153DA" w:rsidRPr="00F97084">
        <w:rPr>
          <w:rFonts w:ascii="Bookman Old Style" w:eastAsia="Times New Roman" w:hAnsi="Bookman Old Style" w:cs="Times New Roman"/>
          <w:color w:val="000000"/>
          <w:sz w:val="20"/>
          <w:szCs w:val="20"/>
          <w:lang w:eastAsia="pt-BR"/>
        </w:rPr>
        <w:t xml:space="preserve">.1. </w:t>
      </w:r>
      <w:proofErr w:type="gramStart"/>
      <w:r w:rsidR="006153DA" w:rsidRPr="00F97084">
        <w:rPr>
          <w:rFonts w:ascii="Bookman Old Style" w:eastAsia="Times New Roman" w:hAnsi="Bookman Old Style" w:cs="Times New Roman"/>
          <w:color w:val="000000"/>
          <w:sz w:val="20"/>
          <w:szCs w:val="20"/>
          <w:lang w:eastAsia="pt-BR"/>
        </w:rPr>
        <w:t>a</w:t>
      </w:r>
      <w:proofErr w:type="gramEnd"/>
      <w:r w:rsidR="006153DA" w:rsidRPr="00F97084">
        <w:rPr>
          <w:rFonts w:ascii="Bookman Old Style" w:eastAsia="Times New Roman" w:hAnsi="Bookman Old Style" w:cs="Times New Roman"/>
          <w:color w:val="000000"/>
          <w:sz w:val="20"/>
          <w:szCs w:val="20"/>
          <w:lang w:eastAsia="pt-BR"/>
        </w:rPr>
        <w:t xml:space="preserve"> aplicação do intervalo mínimo de diferença de valores ou de percentuais entre os lances, que incidirá tanto em relação aos lances intermediários quanto em relação ao lance que cobrir a melhor oferta; e</w:t>
      </w:r>
    </w:p>
    <w:p w:rsidR="006153DA" w:rsidRPr="00F97084" w:rsidRDefault="00845D42"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4.13</w:t>
      </w:r>
      <w:r w:rsidR="006153DA" w:rsidRPr="00F97084">
        <w:rPr>
          <w:rFonts w:ascii="Bookman Old Style" w:eastAsia="Times New Roman" w:hAnsi="Bookman Old Style" w:cs="Times New Roman"/>
          <w:color w:val="000000"/>
          <w:sz w:val="20"/>
          <w:szCs w:val="20"/>
          <w:lang w:eastAsia="pt-BR"/>
        </w:rPr>
        <w:t xml:space="preserve">.2. </w:t>
      </w:r>
      <w:proofErr w:type="gramStart"/>
      <w:r w:rsidR="006153DA" w:rsidRPr="00F97084">
        <w:rPr>
          <w:rFonts w:ascii="Bookman Old Style" w:eastAsia="Times New Roman" w:hAnsi="Bookman Old Style" w:cs="Times New Roman"/>
          <w:color w:val="000000"/>
          <w:sz w:val="20"/>
          <w:szCs w:val="20"/>
          <w:lang w:eastAsia="pt-BR"/>
        </w:rPr>
        <w:t>os</w:t>
      </w:r>
      <w:proofErr w:type="gramEnd"/>
      <w:r w:rsidR="006153DA" w:rsidRPr="00F97084">
        <w:rPr>
          <w:rFonts w:ascii="Bookman Old Style" w:eastAsia="Times New Roman" w:hAnsi="Bookman Old Style" w:cs="Times New Roman"/>
          <w:color w:val="000000"/>
          <w:sz w:val="20"/>
          <w:szCs w:val="20"/>
          <w:lang w:eastAsia="pt-BR"/>
        </w:rPr>
        <w:t xml:space="preserve"> lances serão de envio automático pelo sistema, respeitado o valor final mínimo, caso estabelecido, e o intervalo de que trata o subitem acima.</w:t>
      </w:r>
    </w:p>
    <w:p w:rsidR="006153DA" w:rsidRPr="00F97084" w:rsidRDefault="00845D42"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lastRenderedPageBreak/>
        <w:t>4.14</w:t>
      </w:r>
      <w:r w:rsidR="006153DA" w:rsidRPr="00F97084">
        <w:rPr>
          <w:rFonts w:ascii="Bookman Old Style" w:eastAsia="Times New Roman" w:hAnsi="Bookman Old Style" w:cs="Times New Roman"/>
          <w:color w:val="000000"/>
          <w:sz w:val="20"/>
          <w:szCs w:val="20"/>
          <w:lang w:eastAsia="pt-BR"/>
        </w:rPr>
        <w:t>. O valor final mínimo parametrizado no sistema poderá ser alterado pelo fornecedor durante a fase de disputa, sendo vedado valor superior a lance já registrado pelo fornecedor no sistema.</w:t>
      </w:r>
    </w:p>
    <w:p w:rsidR="006153DA" w:rsidRPr="00F97084" w:rsidRDefault="00845D42"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4.15</w:t>
      </w:r>
      <w:r w:rsidR="006153DA" w:rsidRPr="00F97084">
        <w:rPr>
          <w:rFonts w:ascii="Bookman Old Style" w:eastAsia="Times New Roman" w:hAnsi="Bookman Old Style" w:cs="Times New Roman"/>
          <w:color w:val="000000"/>
          <w:sz w:val="20"/>
          <w:szCs w:val="20"/>
          <w:lang w:eastAsia="pt-BR"/>
        </w:rPr>
        <w:t>. O valor final mínimo ou o percentual de desconto final máximo par</w:t>
      </w:r>
      <w:r w:rsidRPr="00F97084">
        <w:rPr>
          <w:rFonts w:ascii="Bookman Old Style" w:eastAsia="Times New Roman" w:hAnsi="Bookman Old Style" w:cs="Times New Roman"/>
          <w:color w:val="000000"/>
          <w:sz w:val="20"/>
          <w:szCs w:val="20"/>
          <w:lang w:eastAsia="pt-BR"/>
        </w:rPr>
        <w:t>ametrizado na forma do item 4.14</w:t>
      </w:r>
      <w:r w:rsidR="006153DA" w:rsidRPr="00F97084">
        <w:rPr>
          <w:rFonts w:ascii="Bookman Old Style" w:eastAsia="Times New Roman" w:hAnsi="Bookman Old Style" w:cs="Times New Roman"/>
          <w:color w:val="000000"/>
          <w:sz w:val="20"/>
          <w:szCs w:val="20"/>
          <w:lang w:eastAsia="pt-BR"/>
        </w:rPr>
        <w:t xml:space="preserve"> possuirá caráter sigiloso para os demais fornecedores e para o órgão ou entidade promotora da licitação, podendo ser disponibilizado estrita e permanentemente aos órgãos de controle externo e interno.</w:t>
      </w:r>
    </w:p>
    <w:p w:rsidR="006153DA" w:rsidRPr="00F97084" w:rsidRDefault="00845D42"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4.16</w:t>
      </w:r>
      <w:r w:rsidR="006153DA" w:rsidRPr="00F97084">
        <w:rPr>
          <w:rFonts w:ascii="Bookman Old Style" w:eastAsia="Times New Roman" w:hAnsi="Bookman Old Style" w:cs="Times New Roman"/>
          <w:color w:val="000000"/>
          <w:sz w:val="20"/>
          <w:szCs w:val="20"/>
          <w:lang w:eastAsia="pt-BR"/>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6153DA" w:rsidRPr="00F97084" w:rsidRDefault="00845D42"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4.17</w:t>
      </w:r>
      <w:r w:rsidR="006153DA" w:rsidRPr="00F97084">
        <w:rPr>
          <w:rFonts w:ascii="Bookman Old Style" w:eastAsia="Times New Roman" w:hAnsi="Bookman Old Style" w:cs="Times New Roman"/>
          <w:color w:val="000000"/>
          <w:sz w:val="20"/>
          <w:szCs w:val="20"/>
          <w:lang w:eastAsia="pt-BR"/>
        </w:rPr>
        <w:t>. O licitante deverá comunicar imediatamente ao provedor do sistema qualquer acontecimento que possa comprometer o sigilo ou a segurança, para imediato bloqueio de acesso.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b/>
          <w:bCs/>
          <w:color w:val="000000"/>
          <w:sz w:val="20"/>
          <w:szCs w:val="20"/>
          <w:lang w:eastAsia="pt-BR"/>
        </w:rPr>
        <w:t>5. DO PREENCHIMENTO DA PROPOSTA</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5.1. O licitante deverá enviar sua proposta mediante o preenchimento, no sistema eletrônico, dos seguintes campos:</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5.1.1. Marca.</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5.1.2. Fabricante.</w:t>
      </w:r>
    </w:p>
    <w:p w:rsidR="006153DA" w:rsidRPr="00F97084" w:rsidRDefault="006153DA"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5.1.3. Valor expresso em Reais (R$).</w:t>
      </w:r>
    </w:p>
    <w:tbl>
      <w:tblPr>
        <w:tblW w:w="4840" w:type="pct"/>
        <w:jc w:val="center"/>
        <w:tblLayout w:type="fixed"/>
        <w:tblCellMar>
          <w:left w:w="105" w:type="dxa"/>
          <w:right w:w="105" w:type="dxa"/>
        </w:tblCellMar>
        <w:tblLook w:val="0000" w:firstRow="0" w:lastRow="0" w:firstColumn="0" w:lastColumn="0" w:noHBand="0" w:noVBand="0"/>
      </w:tblPr>
      <w:tblGrid>
        <w:gridCol w:w="649"/>
        <w:gridCol w:w="2801"/>
        <w:gridCol w:w="1403"/>
        <w:gridCol w:w="982"/>
        <w:gridCol w:w="1122"/>
        <w:gridCol w:w="1335"/>
        <w:gridCol w:w="1241"/>
      </w:tblGrid>
      <w:tr w:rsidR="00AD62EF" w:rsidRPr="00AD62EF" w:rsidTr="00B71058">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AD62EF" w:rsidRPr="00AD62EF" w:rsidRDefault="00AD62EF" w:rsidP="00AD62EF">
            <w:pPr>
              <w:widowControl w:val="0"/>
              <w:spacing w:after="0" w:line="240" w:lineRule="auto"/>
              <w:rPr>
                <w:rFonts w:ascii="Bookman Old Style" w:eastAsia="Bookman Old Style" w:hAnsi="Bookman Old Style" w:cs="Bookman Old Style"/>
                <w:sz w:val="16"/>
                <w:szCs w:val="20"/>
                <w:lang w:eastAsia="pt-BR"/>
              </w:rPr>
            </w:pPr>
            <w:r w:rsidRPr="00AD62EF">
              <w:rPr>
                <w:rFonts w:ascii="Bookman Old Style" w:eastAsia="Bookman Old Style" w:hAnsi="Bookman Old Style" w:cs="Bookman Old Style"/>
                <w:sz w:val="16"/>
                <w:szCs w:val="20"/>
                <w:lang w:eastAsia="pt-BR"/>
              </w:rPr>
              <w:t>LOTE 001 – Lote 001</w:t>
            </w:r>
          </w:p>
        </w:tc>
      </w:tr>
      <w:tr w:rsidR="00AD62EF" w:rsidRPr="00AD62EF" w:rsidTr="00B71058">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AD62EF" w:rsidRPr="00AD62EF" w:rsidRDefault="00AD62EF" w:rsidP="00AD62EF">
            <w:pPr>
              <w:widowControl w:val="0"/>
              <w:spacing w:after="0" w:line="240" w:lineRule="auto"/>
              <w:rPr>
                <w:rFonts w:ascii="Bookman Old Style" w:eastAsia="Arial" w:hAnsi="Bookman Old Style" w:cs="Arial"/>
                <w:sz w:val="20"/>
                <w:szCs w:val="20"/>
                <w:lang w:eastAsia="pt-BR"/>
              </w:rPr>
            </w:pPr>
            <w:r w:rsidRPr="00AD62EF">
              <w:rPr>
                <w:rFonts w:ascii="Bookman Old Style" w:eastAsia="Bookman Old Style" w:hAnsi="Bookman Old Style" w:cs="Bookman Old Style"/>
                <w:sz w:val="16"/>
                <w:szCs w:val="20"/>
                <w:lang w:eastAsia="pt-BR"/>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AD62EF" w:rsidRPr="00AD62EF" w:rsidRDefault="00AD62EF" w:rsidP="00AD62EF">
            <w:pPr>
              <w:widowControl w:val="0"/>
              <w:spacing w:after="0" w:line="240" w:lineRule="auto"/>
              <w:rPr>
                <w:rFonts w:ascii="Bookman Old Style" w:eastAsia="Arial" w:hAnsi="Bookman Old Style" w:cs="Arial"/>
                <w:sz w:val="20"/>
                <w:szCs w:val="20"/>
                <w:lang w:eastAsia="pt-BR"/>
              </w:rPr>
            </w:pPr>
            <w:r w:rsidRPr="00AD62EF">
              <w:rPr>
                <w:rFonts w:ascii="Bookman Old Style" w:eastAsia="Bookman Old Style" w:hAnsi="Bookman Old Style" w:cs="Bookman Old Style"/>
                <w:sz w:val="16"/>
                <w:szCs w:val="20"/>
                <w:lang w:eastAsia="pt-BR"/>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AD62EF" w:rsidRPr="00AD62EF" w:rsidRDefault="00AD62EF" w:rsidP="00AD62EF">
            <w:pPr>
              <w:widowControl w:val="0"/>
              <w:spacing w:after="0" w:line="240" w:lineRule="auto"/>
              <w:rPr>
                <w:rFonts w:ascii="Bookman Old Style" w:eastAsia="Arial" w:hAnsi="Bookman Old Style" w:cs="Arial"/>
                <w:sz w:val="20"/>
                <w:szCs w:val="20"/>
                <w:lang w:eastAsia="pt-BR"/>
              </w:rPr>
            </w:pPr>
            <w:r w:rsidRPr="00AD62EF">
              <w:rPr>
                <w:rFonts w:ascii="Bookman Old Style" w:eastAsia="Bookman Old Style" w:hAnsi="Bookman Old Style" w:cs="Bookman Old Style"/>
                <w:sz w:val="16"/>
                <w:szCs w:val="20"/>
                <w:lang w:eastAsia="pt-BR"/>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AD62EF" w:rsidRPr="00AD62EF" w:rsidRDefault="00AD62EF" w:rsidP="00AD62EF">
            <w:pPr>
              <w:widowControl w:val="0"/>
              <w:spacing w:after="0" w:line="240" w:lineRule="auto"/>
              <w:rPr>
                <w:rFonts w:ascii="Bookman Old Style" w:eastAsia="Arial" w:hAnsi="Bookman Old Style" w:cs="Arial"/>
                <w:sz w:val="20"/>
                <w:szCs w:val="20"/>
                <w:lang w:eastAsia="pt-BR"/>
              </w:rPr>
            </w:pPr>
            <w:r w:rsidRPr="00AD62EF">
              <w:rPr>
                <w:rFonts w:ascii="Bookman Old Style" w:eastAsia="Bookman Old Style" w:hAnsi="Bookman Old Style" w:cs="Bookman Old Style"/>
                <w:sz w:val="16"/>
                <w:szCs w:val="20"/>
                <w:lang w:eastAsia="pt-BR"/>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AD62EF" w:rsidRPr="00AD62EF" w:rsidRDefault="00AD62EF" w:rsidP="00AD62EF">
            <w:pPr>
              <w:widowControl w:val="0"/>
              <w:spacing w:after="0" w:line="240" w:lineRule="auto"/>
              <w:rPr>
                <w:rFonts w:ascii="Bookman Old Style" w:eastAsia="Arial" w:hAnsi="Bookman Old Style" w:cs="Arial"/>
                <w:sz w:val="20"/>
                <w:szCs w:val="20"/>
                <w:lang w:eastAsia="pt-BR"/>
              </w:rPr>
            </w:pPr>
            <w:r w:rsidRPr="00AD62EF">
              <w:rPr>
                <w:rFonts w:ascii="Bookman Old Style" w:eastAsia="Bookman Old Style" w:hAnsi="Bookman Old Style" w:cs="Bookman Old Style"/>
                <w:sz w:val="16"/>
                <w:szCs w:val="20"/>
                <w:lang w:eastAsia="pt-BR"/>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AD62EF" w:rsidRPr="00AD62EF" w:rsidRDefault="00AD62EF" w:rsidP="00AD62EF">
            <w:pPr>
              <w:widowControl w:val="0"/>
              <w:spacing w:after="0" w:line="240" w:lineRule="auto"/>
              <w:rPr>
                <w:rFonts w:ascii="Bookman Old Style" w:eastAsia="Arial" w:hAnsi="Bookman Old Style" w:cs="Arial"/>
                <w:sz w:val="20"/>
                <w:szCs w:val="20"/>
                <w:lang w:eastAsia="pt-BR"/>
              </w:rPr>
            </w:pPr>
            <w:r w:rsidRPr="00AD62EF">
              <w:rPr>
                <w:rFonts w:ascii="Bookman Old Style" w:eastAsia="Bookman Old Style" w:hAnsi="Bookman Old Style" w:cs="Bookman Old Style"/>
                <w:sz w:val="16"/>
                <w:szCs w:val="20"/>
                <w:lang w:eastAsia="pt-BR"/>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AD62EF" w:rsidRPr="00AD62EF" w:rsidRDefault="00AD62EF" w:rsidP="00AD62EF">
            <w:pPr>
              <w:widowControl w:val="0"/>
              <w:spacing w:after="0" w:line="240" w:lineRule="auto"/>
              <w:rPr>
                <w:rFonts w:ascii="Bookman Old Style" w:eastAsia="Arial" w:hAnsi="Bookman Old Style" w:cs="Arial"/>
                <w:sz w:val="20"/>
                <w:szCs w:val="20"/>
                <w:lang w:eastAsia="pt-BR"/>
              </w:rPr>
            </w:pPr>
            <w:r w:rsidRPr="00AD62EF">
              <w:rPr>
                <w:rFonts w:ascii="Bookman Old Style" w:eastAsia="Bookman Old Style" w:hAnsi="Bookman Old Style" w:cs="Bookman Old Style"/>
                <w:sz w:val="16"/>
                <w:szCs w:val="20"/>
                <w:lang w:eastAsia="pt-BR"/>
              </w:rPr>
              <w:t>Valor Total</w:t>
            </w:r>
          </w:p>
        </w:tc>
      </w:tr>
      <w:tr w:rsidR="00AD62EF" w:rsidRPr="00AD62EF" w:rsidTr="00B71058">
        <w:trPr>
          <w:jc w:val="center"/>
        </w:trPr>
        <w:tc>
          <w:tcPr>
            <w:tcW w:w="655" w:type="dxa"/>
            <w:tcBorders>
              <w:top w:val="single" w:sz="6" w:space="0" w:color="000000"/>
              <w:left w:val="single" w:sz="6" w:space="0" w:color="000000"/>
              <w:bottom w:val="single" w:sz="6" w:space="0" w:color="000000"/>
              <w:right w:val="single" w:sz="6" w:space="0" w:color="000000"/>
            </w:tcBorders>
          </w:tcPr>
          <w:p w:rsidR="00AD62EF" w:rsidRPr="00AD62EF" w:rsidRDefault="00AD62EF" w:rsidP="00AD62EF">
            <w:pPr>
              <w:widowControl w:val="0"/>
              <w:spacing w:after="0" w:line="240" w:lineRule="auto"/>
              <w:rPr>
                <w:rFonts w:ascii="Bookman Old Style" w:eastAsia="Arial" w:hAnsi="Bookman Old Style" w:cs="Arial"/>
                <w:sz w:val="20"/>
                <w:szCs w:val="20"/>
                <w:lang w:eastAsia="pt-BR"/>
              </w:rPr>
            </w:pPr>
            <w:proofErr w:type="gramStart"/>
            <w:r w:rsidRPr="00AD62EF">
              <w:rPr>
                <w:rFonts w:ascii="Bookman Old Style" w:eastAsia="Bookman Old Style" w:hAnsi="Bookman Old Style" w:cs="Bookman Old Style"/>
                <w:sz w:val="16"/>
                <w:szCs w:val="20"/>
                <w:lang w:eastAsia="pt-BR"/>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AD62EF" w:rsidRPr="00AD62EF" w:rsidRDefault="00AD62EF" w:rsidP="00AD62EF">
            <w:pPr>
              <w:widowControl w:val="0"/>
              <w:spacing w:after="0" w:line="240" w:lineRule="auto"/>
              <w:rPr>
                <w:rFonts w:ascii="Bookman Old Style" w:eastAsia="Arial" w:hAnsi="Bookman Old Style" w:cs="Arial"/>
                <w:sz w:val="20"/>
                <w:szCs w:val="20"/>
                <w:lang w:eastAsia="pt-BR"/>
              </w:rPr>
            </w:pPr>
            <w:proofErr w:type="spellStart"/>
            <w:r w:rsidRPr="00AD62EF">
              <w:rPr>
                <w:rFonts w:ascii="Bookman Old Style" w:eastAsia="Bookman Old Style" w:hAnsi="Bookman Old Style" w:cs="Bookman Old Style"/>
                <w:sz w:val="16"/>
                <w:szCs w:val="20"/>
                <w:lang w:eastAsia="pt-BR"/>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AD62EF" w:rsidRPr="00AD62EF" w:rsidRDefault="00AD62EF" w:rsidP="00AD62EF">
            <w:pPr>
              <w:widowControl w:val="0"/>
              <w:spacing w:after="0" w:line="240" w:lineRule="auto"/>
              <w:rPr>
                <w:rFonts w:ascii="Bookman Old Style" w:eastAsia="Arial" w:hAnsi="Bookman Old Style" w:cs="Arial"/>
                <w:sz w:val="20"/>
                <w:szCs w:val="20"/>
                <w:lang w:eastAsia="pt-BR"/>
              </w:rPr>
            </w:pPr>
            <w:proofErr w:type="spellStart"/>
            <w:r w:rsidRPr="00AD62EF">
              <w:rPr>
                <w:rFonts w:ascii="Bookman Old Style" w:eastAsia="Bookman Old Style" w:hAnsi="Bookman Old Style" w:cs="Bookman Old Style"/>
                <w:sz w:val="16"/>
                <w:szCs w:val="20"/>
                <w:lang w:eastAsia="pt-BR"/>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AD62EF" w:rsidRPr="00AD62EF" w:rsidRDefault="00AD62EF" w:rsidP="00AD62EF">
            <w:pPr>
              <w:widowControl w:val="0"/>
              <w:spacing w:after="0" w:line="240" w:lineRule="auto"/>
              <w:rPr>
                <w:rFonts w:ascii="Bookman Old Style" w:eastAsia="Arial" w:hAnsi="Bookman Old Style" w:cs="Arial"/>
                <w:sz w:val="20"/>
                <w:szCs w:val="20"/>
                <w:lang w:eastAsia="pt-BR"/>
              </w:rPr>
            </w:pPr>
            <w:proofErr w:type="spellStart"/>
            <w:r w:rsidRPr="00AD62EF">
              <w:rPr>
                <w:rFonts w:ascii="Bookman Old Style" w:eastAsia="Bookman Old Style" w:hAnsi="Bookman Old Style" w:cs="Bookman Old Style"/>
                <w:sz w:val="16"/>
                <w:szCs w:val="20"/>
                <w:lang w:eastAsia="pt-BR"/>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AD62EF" w:rsidRPr="00AD62EF" w:rsidRDefault="00AD62EF" w:rsidP="00AD62EF">
            <w:pPr>
              <w:widowControl w:val="0"/>
              <w:spacing w:after="0" w:line="240" w:lineRule="auto"/>
              <w:rPr>
                <w:rFonts w:ascii="Bookman Old Style" w:eastAsia="Arial" w:hAnsi="Bookman Old Style" w:cs="Arial"/>
                <w:sz w:val="20"/>
                <w:szCs w:val="20"/>
                <w:lang w:eastAsia="pt-BR"/>
              </w:rPr>
            </w:pPr>
            <w:proofErr w:type="spellStart"/>
            <w:r w:rsidRPr="00AD62EF">
              <w:rPr>
                <w:rFonts w:ascii="Bookman Old Style" w:eastAsia="Bookman Old Style" w:hAnsi="Bookman Old Style" w:cs="Bookman Old Style"/>
                <w:sz w:val="16"/>
                <w:szCs w:val="20"/>
                <w:lang w:eastAsia="pt-BR"/>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AD62EF" w:rsidRPr="00AD62EF" w:rsidRDefault="00AD62EF" w:rsidP="00AD62EF">
            <w:pPr>
              <w:widowControl w:val="0"/>
              <w:spacing w:after="0" w:line="240" w:lineRule="auto"/>
              <w:rPr>
                <w:rFonts w:ascii="Bookman Old Style" w:eastAsia="Arial" w:hAnsi="Bookman Old Style" w:cs="Arial"/>
                <w:sz w:val="20"/>
                <w:szCs w:val="20"/>
                <w:lang w:eastAsia="pt-BR"/>
              </w:rPr>
            </w:pPr>
            <w:r w:rsidRPr="00AD62EF">
              <w:rPr>
                <w:rFonts w:ascii="Bookman Old Style" w:eastAsia="Bookman Old Style" w:hAnsi="Bookman Old Style" w:cs="Bookman Old Style"/>
                <w:sz w:val="16"/>
                <w:szCs w:val="20"/>
                <w:lang w:eastAsia="pt-BR"/>
              </w:rPr>
              <w:t>R$</w:t>
            </w:r>
          </w:p>
        </w:tc>
        <w:tc>
          <w:tcPr>
            <w:tcW w:w="1254" w:type="dxa"/>
            <w:tcBorders>
              <w:top w:val="single" w:sz="6" w:space="0" w:color="000000"/>
              <w:left w:val="single" w:sz="6" w:space="0" w:color="000000"/>
              <w:bottom w:val="single" w:sz="6" w:space="0" w:color="000000"/>
              <w:right w:val="single" w:sz="6" w:space="0" w:color="000000"/>
            </w:tcBorders>
          </w:tcPr>
          <w:p w:rsidR="00AD62EF" w:rsidRPr="00AD62EF" w:rsidRDefault="00AD62EF" w:rsidP="00AD62EF">
            <w:pPr>
              <w:widowControl w:val="0"/>
              <w:spacing w:after="0" w:line="240" w:lineRule="auto"/>
              <w:rPr>
                <w:rFonts w:ascii="Bookman Old Style" w:eastAsia="Arial" w:hAnsi="Bookman Old Style" w:cs="Arial"/>
                <w:sz w:val="20"/>
                <w:szCs w:val="20"/>
                <w:lang w:eastAsia="pt-BR"/>
              </w:rPr>
            </w:pPr>
            <w:r w:rsidRPr="00AD62EF">
              <w:rPr>
                <w:rFonts w:ascii="Bookman Old Style" w:eastAsia="Bookman Old Style" w:hAnsi="Bookman Old Style" w:cs="Bookman Old Style"/>
                <w:sz w:val="16"/>
                <w:szCs w:val="20"/>
                <w:lang w:eastAsia="pt-BR"/>
              </w:rPr>
              <w:t>R$</w:t>
            </w:r>
          </w:p>
        </w:tc>
      </w:tr>
    </w:tbl>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5.2. Todas as especificações do objeto contidas na proposta vinculam o licitante.</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5.3. Nos valores propostos estarão inclusos todos os custos operacionais, encargos previdenciários, trabalhistas, tributários, comerciais e quaisquer outros que incidam direta ou indiretamente na execução do objeto.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5.4. Os preços ofertados, tanto na proposta inicial, quanto na etapa de lances, serão de exclusiva responsabilidade do licitante, não lhe assistindo o direito de pleitear qualquer alteração, sob alegação de erro, omissão ou qualquer outro pretexto.</w:t>
      </w:r>
    </w:p>
    <w:p w:rsidR="006A3542" w:rsidRDefault="006153DA" w:rsidP="006A3542">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5.5. Se o regime tributário da empresa implicar o recolhimento de tributos em percentuais variáveis, a cotação adequada será a que corresponde à média dos efetivos recolhimentos da empresa nos ú</w:t>
      </w:r>
      <w:r w:rsidR="006A3542">
        <w:rPr>
          <w:rFonts w:ascii="Bookman Old Style" w:eastAsia="Times New Roman" w:hAnsi="Bookman Old Style" w:cs="Times New Roman"/>
          <w:color w:val="000000"/>
          <w:sz w:val="20"/>
          <w:szCs w:val="20"/>
          <w:lang w:eastAsia="pt-BR"/>
        </w:rPr>
        <w:t>ltimos doze meses.</w:t>
      </w:r>
    </w:p>
    <w:p w:rsidR="006153DA" w:rsidRPr="00F97084" w:rsidRDefault="006153DA" w:rsidP="006A3542">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5.5.1.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5.6. Independentemente do percentual de tributo inserido na planilha, no pagamento serão retidos na fonte os percentuais estabelecidos na legislação vigente.</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5.7. Na presente licitação, a Microempresa e a Empresa de Pequeno Porte poderão se beneficiar do regime de tributação pelo Simples Nacional.</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5.8. A apresentação das propostas implica obrigatoriedade do cumprimento das disposições nelas contidas, em conformidade com o que dispõe o Termo de Referência/Projeto Básico, assumindo o </w:t>
      </w:r>
      <w:r w:rsidRPr="00F97084">
        <w:rPr>
          <w:rFonts w:ascii="Bookman Old Style" w:eastAsia="Times New Roman" w:hAnsi="Bookman Old Style" w:cs="Times New Roman"/>
          <w:color w:val="000000"/>
          <w:sz w:val="20"/>
          <w:szCs w:val="20"/>
          <w:lang w:eastAsia="pt-BR"/>
        </w:rPr>
        <w:lastRenderedPageBreak/>
        <w:t>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5.9. O prazo de validade da proposta não será inferior a 60 (sessenta) dias, a contar da data de sua apresentação.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5.10. Os licitantes devem respeitar os preços máximos estabelecidos nas normas de regência de contratações públicas federais, quando participarem de licitações públicas;</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5.11. Os licitantes devem respeitar os preços máximos previstos no Termo de Referência/Projeto Básico;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5.12. 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w:t>
      </w:r>
      <w:hyperlink r:id="rId23" w:tgtFrame="_blank" w:history="1">
        <w:r w:rsidRPr="00F97084">
          <w:rPr>
            <w:rFonts w:ascii="Bookman Old Style" w:eastAsia="Times New Roman" w:hAnsi="Bookman Old Style" w:cs="Times New Roman"/>
            <w:color w:val="0000FF"/>
            <w:sz w:val="20"/>
            <w:szCs w:val="20"/>
            <w:u w:val="single"/>
            <w:lang w:eastAsia="pt-BR"/>
          </w:rPr>
          <w:t>art. 71, inciso IX, da Constituição</w:t>
        </w:r>
      </w:hyperlink>
      <w:r w:rsidRPr="00F97084">
        <w:rPr>
          <w:rFonts w:ascii="Bookman Old Style" w:eastAsia="Times New Roman" w:hAnsi="Bookman Old Style" w:cs="Times New Roman"/>
          <w:color w:val="000000"/>
          <w:sz w:val="20"/>
          <w:szCs w:val="20"/>
          <w:lang w:eastAsia="pt-BR"/>
        </w:rPr>
        <w:t xml:space="preserve">; ou condenação dos agentes públicos responsáveis e da empresa contratada ao pagamento dos prejuízos ao erário, caso verificada a ocorrência de superfaturamento por </w:t>
      </w:r>
      <w:proofErr w:type="spellStart"/>
      <w:r w:rsidRPr="00F97084">
        <w:rPr>
          <w:rFonts w:ascii="Bookman Old Style" w:eastAsia="Times New Roman" w:hAnsi="Bookman Old Style" w:cs="Times New Roman"/>
          <w:color w:val="000000"/>
          <w:sz w:val="20"/>
          <w:szCs w:val="20"/>
          <w:lang w:eastAsia="pt-BR"/>
        </w:rPr>
        <w:t>sobrepreço</w:t>
      </w:r>
      <w:proofErr w:type="spellEnd"/>
      <w:r w:rsidRPr="00F97084">
        <w:rPr>
          <w:rFonts w:ascii="Bookman Old Style" w:eastAsia="Times New Roman" w:hAnsi="Bookman Old Style" w:cs="Times New Roman"/>
          <w:color w:val="000000"/>
          <w:sz w:val="20"/>
          <w:szCs w:val="20"/>
          <w:lang w:eastAsia="pt-BR"/>
        </w:rPr>
        <w:t xml:space="preserve"> na execução do contrato.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b/>
          <w:bCs/>
          <w:color w:val="000000"/>
          <w:sz w:val="20"/>
          <w:szCs w:val="20"/>
          <w:lang w:eastAsia="pt-BR"/>
        </w:rPr>
        <w:t>6. DA ABERTURA DA SESSÃO, CLASSIFICAÇÃO DAS PROPOSTAS E FORMULAÇÃO DE LANCES</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6.1. A abertura da presente licitação dar-se-á automaticamente em sessão pública, por meio de sistema eletrônico, na data, horário e local indicados neste Edital.</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6.2. Os licitantes poderão retirar ou substituir a proposta ou os documentos de habilitação, quando for o caso, anteriormente inseridos no sistema, até a abertura da sessão pública.</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6.3. O sistema disponibilizará campo próprio para troca de mensagens entre o Pregoeiro e os licitantes.</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6.4. Iniciada a etapa competitiva, os licitantes deverão encaminhar lances exclusivamente por meio de sistema eletrônico, sendo imediatamente informados do seu recebimento e do valor consignado no registro.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6.5. O lance deverá ser ofertado pelo valor unitário do item</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6.6. Os licitantes poderão oferecer lances sucessivos, observando o horário fixado para abertura da sessão e as regras estabelecidas no Edital.</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6.7. O licitante somente poderá oferecer lance de valor inferior ao último por ele ofertado e registrado pelo sistema.</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6.8. O intervalo mínimo de diferença de valor entre os lances, que incidirá tanto em relação aos lances intermediários quanto em relação à proposta que cobrir a melhor oferta deverá ser de</w:t>
      </w:r>
      <w:r w:rsidR="00517F47" w:rsidRPr="00F97084">
        <w:rPr>
          <w:rFonts w:ascii="Bookman Old Style" w:eastAsia="Times New Roman" w:hAnsi="Bookman Old Style" w:cs="Times New Roman"/>
          <w:color w:val="000000"/>
          <w:sz w:val="20"/>
          <w:szCs w:val="20"/>
          <w:lang w:eastAsia="pt-BR"/>
        </w:rPr>
        <w:t xml:space="preserve"> R$ 0,01 (Um Centavo).</w:t>
      </w:r>
    </w:p>
    <w:tbl>
      <w:tblPr>
        <w:tblW w:w="9871" w:type="dxa"/>
        <w:tblCellMar>
          <w:top w:w="15" w:type="dxa"/>
          <w:left w:w="15" w:type="dxa"/>
          <w:bottom w:w="15" w:type="dxa"/>
          <w:right w:w="15" w:type="dxa"/>
        </w:tblCellMar>
        <w:tblLook w:val="04A0" w:firstRow="1" w:lastRow="0" w:firstColumn="1" w:lastColumn="0" w:noHBand="0" w:noVBand="1"/>
      </w:tblPr>
      <w:tblGrid>
        <w:gridCol w:w="1188"/>
        <w:gridCol w:w="4289"/>
        <w:gridCol w:w="4394"/>
      </w:tblGrid>
      <w:tr w:rsidR="006153DA" w:rsidRPr="00F97084" w:rsidTr="00517F47">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90" w:type="dxa"/>
              <w:left w:w="90" w:type="dxa"/>
              <w:bottom w:w="90" w:type="dxa"/>
              <w:right w:w="90" w:type="dxa"/>
            </w:tcMar>
            <w:vAlign w:val="center"/>
            <w:hideMark/>
          </w:tcPr>
          <w:p w:rsidR="006153DA" w:rsidRPr="00F97084" w:rsidRDefault="006153DA" w:rsidP="006153DA">
            <w:pPr>
              <w:spacing w:after="0" w:line="240" w:lineRule="auto"/>
              <w:jc w:val="center"/>
              <w:rPr>
                <w:rFonts w:ascii="Bookman Old Style" w:eastAsia="Times New Roman" w:hAnsi="Bookman Old Style" w:cs="Times New Roman"/>
                <w:b/>
                <w:bCs/>
                <w:sz w:val="20"/>
                <w:szCs w:val="20"/>
                <w:lang w:eastAsia="pt-BR"/>
              </w:rPr>
            </w:pPr>
            <w:proofErr w:type="spellStart"/>
            <w:r w:rsidRPr="00F97084">
              <w:rPr>
                <w:rFonts w:ascii="Bookman Old Style" w:eastAsia="Times New Roman" w:hAnsi="Bookman Old Style" w:cs="Times New Roman"/>
                <w:b/>
                <w:bCs/>
                <w:sz w:val="20"/>
                <w:szCs w:val="20"/>
                <w:lang w:eastAsia="pt-BR"/>
              </w:rPr>
              <w:t>Seq</w:t>
            </w:r>
            <w:proofErr w:type="spellEnd"/>
          </w:p>
        </w:tc>
        <w:tc>
          <w:tcPr>
            <w:tcW w:w="4289" w:type="dxa"/>
            <w:tcBorders>
              <w:top w:val="single" w:sz="6" w:space="0" w:color="DDDDDD"/>
              <w:left w:val="single" w:sz="6" w:space="0" w:color="DDDDDD"/>
              <w:bottom w:val="single" w:sz="6" w:space="0" w:color="DDDDDD"/>
              <w:right w:val="single" w:sz="6" w:space="0" w:color="DDDDDD"/>
            </w:tcBorders>
            <w:shd w:val="clear" w:color="auto" w:fill="F2F2F2"/>
            <w:tcMar>
              <w:top w:w="90" w:type="dxa"/>
              <w:left w:w="90" w:type="dxa"/>
              <w:bottom w:w="90" w:type="dxa"/>
              <w:right w:w="90" w:type="dxa"/>
            </w:tcMar>
            <w:vAlign w:val="center"/>
            <w:hideMark/>
          </w:tcPr>
          <w:p w:rsidR="006153DA" w:rsidRPr="00F97084" w:rsidRDefault="006153DA" w:rsidP="006153DA">
            <w:pPr>
              <w:spacing w:after="0" w:line="240" w:lineRule="auto"/>
              <w:jc w:val="center"/>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Item/Grupo</w:t>
            </w:r>
          </w:p>
        </w:tc>
        <w:tc>
          <w:tcPr>
            <w:tcW w:w="4394" w:type="dxa"/>
            <w:tcBorders>
              <w:top w:val="single" w:sz="6" w:space="0" w:color="DDDDDD"/>
              <w:left w:val="single" w:sz="6" w:space="0" w:color="DDDDDD"/>
              <w:bottom w:val="single" w:sz="6" w:space="0" w:color="DDDDDD"/>
              <w:right w:val="single" w:sz="6" w:space="0" w:color="DDDDDD"/>
            </w:tcBorders>
            <w:shd w:val="clear" w:color="auto" w:fill="F2F2F2"/>
            <w:tcMar>
              <w:top w:w="90" w:type="dxa"/>
              <w:left w:w="90" w:type="dxa"/>
              <w:bottom w:w="90" w:type="dxa"/>
              <w:right w:w="90" w:type="dxa"/>
            </w:tcMar>
            <w:vAlign w:val="center"/>
            <w:hideMark/>
          </w:tcPr>
          <w:p w:rsidR="006153DA" w:rsidRPr="00F97084" w:rsidRDefault="006153DA" w:rsidP="006153DA">
            <w:pPr>
              <w:spacing w:after="0" w:line="240" w:lineRule="auto"/>
              <w:jc w:val="center"/>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Intervalo Mínimo</w:t>
            </w:r>
          </w:p>
        </w:tc>
      </w:tr>
      <w:tr w:rsidR="006153DA" w:rsidRPr="00F97084" w:rsidTr="00517F4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rsidR="006153DA" w:rsidRPr="00F97084" w:rsidRDefault="006153DA" w:rsidP="006153DA">
            <w:pPr>
              <w:spacing w:after="0" w:line="240" w:lineRule="auto"/>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1</w:t>
            </w:r>
          </w:p>
        </w:tc>
        <w:tc>
          <w:tcPr>
            <w:tcW w:w="4289"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rsidR="006153DA" w:rsidRPr="00F97084" w:rsidRDefault="006153DA" w:rsidP="006153DA">
            <w:pPr>
              <w:spacing w:after="0" w:line="240" w:lineRule="auto"/>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01</w:t>
            </w:r>
          </w:p>
        </w:tc>
        <w:tc>
          <w:tcPr>
            <w:tcW w:w="4394"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rsidR="006153DA" w:rsidRPr="00F97084" w:rsidRDefault="006153DA" w:rsidP="006153DA">
            <w:pPr>
              <w:spacing w:after="0" w:line="240" w:lineRule="auto"/>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R$ 0,01</w:t>
            </w:r>
          </w:p>
        </w:tc>
      </w:tr>
    </w:tbl>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6.9. O licitante poderá, uma única vez, excluir seu último lance ofertado, no intervalo de quinze segundos após o registro no sistema, na hipótese de lance inconsistente ou inexequível.</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6.10. O procedimento seguirá de acordo com o modo de disputa aberto e fechado.</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lastRenderedPageBreak/>
        <w:t>6.11. No modo de disputa “aberto e fechado”, os licitantes apresentarão lances públicos e sucessivos, com lance final e fechado.</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6.11.1.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6.11.2.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6153DA" w:rsidRPr="00F97084" w:rsidRDefault="006153DA"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6.11.3.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6.12. Após o término dos prazos estabelecidos nos subitens anteriores, o sistema ordenará e divulgará os lances segundo a ordem crescente de valores.</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6.13. Não serão aceitos dois ou mais lances de mesmo valor, prevalecendo aquele que for recebido e registrado em primeiro lugar.</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6.14. Durante o transcurso da sessão pública, os licitantes serão informados, em tempo real, do valor do menor lance registrado, vedada a identificação do licitante.</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6.15. No caso de desconexão com o Pregoeiro, no decorrer da etapa competitiva do Pregão Eletrônico, o sistema eletrônico poderá permanecer acessível aos licitantes para a recepção dos lances.</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6.17. Caso o licitante não apresente lances, concorrerá com o valor de sua proposta.</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6.18. 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w:t>
      </w:r>
      <w:hyperlink r:id="rId24" w:anchor="art4" w:tgtFrame="_blank" w:history="1">
        <w:r w:rsidRPr="00F97084">
          <w:rPr>
            <w:rFonts w:ascii="Bookman Old Style" w:eastAsia="Times New Roman" w:hAnsi="Bookman Old Style" w:cs="Times New Roman"/>
            <w:color w:val="0000FF"/>
            <w:sz w:val="20"/>
            <w:szCs w:val="20"/>
            <w:u w:val="single"/>
            <w:lang w:eastAsia="pt-BR"/>
          </w:rPr>
          <w:t>§§1º e 2º do art. 4º da Lei nº 14.133, de 2021</w:t>
        </w:r>
      </w:hyperlink>
      <w:r w:rsidRPr="00F97084">
        <w:rPr>
          <w:rFonts w:ascii="Bookman Old Style" w:eastAsia="Times New Roman" w:hAnsi="Bookman Old Style" w:cs="Times New Roman"/>
          <w:color w:val="000000"/>
          <w:sz w:val="20"/>
          <w:szCs w:val="20"/>
          <w:lang w:eastAsia="pt-BR"/>
        </w:rPr>
        <w:t xml:space="preserve">.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5" w:anchor="art44" w:tgtFrame="_blank" w:history="1">
        <w:proofErr w:type="spellStart"/>
        <w:r w:rsidRPr="00F97084">
          <w:rPr>
            <w:rFonts w:ascii="Bookman Old Style" w:eastAsia="Times New Roman" w:hAnsi="Bookman Old Style" w:cs="Times New Roman"/>
            <w:color w:val="0000FF"/>
            <w:sz w:val="20"/>
            <w:szCs w:val="20"/>
            <w:u w:val="single"/>
            <w:lang w:eastAsia="pt-BR"/>
          </w:rPr>
          <w:t>arts</w:t>
        </w:r>
        <w:proofErr w:type="spellEnd"/>
        <w:r w:rsidRPr="00F97084">
          <w:rPr>
            <w:rFonts w:ascii="Bookman Old Style" w:eastAsia="Times New Roman" w:hAnsi="Bookman Old Style" w:cs="Times New Roman"/>
            <w:color w:val="0000FF"/>
            <w:sz w:val="20"/>
            <w:szCs w:val="20"/>
            <w:u w:val="single"/>
            <w:lang w:eastAsia="pt-BR"/>
          </w:rPr>
          <w:t>. 44 e 45 da Lei Complementar nº 123, de 2006</w:t>
        </w:r>
      </w:hyperlink>
      <w:r w:rsidRPr="00F97084">
        <w:rPr>
          <w:rFonts w:ascii="Bookman Old Style" w:eastAsia="Times New Roman" w:hAnsi="Bookman Old Style" w:cs="Times New Roman"/>
          <w:color w:val="000000"/>
          <w:sz w:val="20"/>
          <w:szCs w:val="20"/>
          <w:lang w:eastAsia="pt-BR"/>
        </w:rPr>
        <w:t xml:space="preserve">, regulamentada pelo </w:t>
      </w:r>
      <w:hyperlink r:id="rId26" w:tgtFrame="_blank" w:history="1">
        <w:r w:rsidRPr="00F97084">
          <w:rPr>
            <w:rFonts w:ascii="Bookman Old Style" w:eastAsia="Times New Roman" w:hAnsi="Bookman Old Style" w:cs="Times New Roman"/>
            <w:color w:val="0000FF"/>
            <w:sz w:val="20"/>
            <w:szCs w:val="20"/>
            <w:u w:val="single"/>
            <w:lang w:eastAsia="pt-BR"/>
          </w:rPr>
          <w:t>Decreto nº 8.538, de 2015</w:t>
        </w:r>
      </w:hyperlink>
      <w:r w:rsidRPr="00F97084">
        <w:rPr>
          <w:rFonts w:ascii="Bookman Old Style" w:eastAsia="Times New Roman" w:hAnsi="Bookman Old Style" w:cs="Times New Roman"/>
          <w:color w:val="000000"/>
          <w:sz w:val="20"/>
          <w:szCs w:val="20"/>
          <w:lang w:eastAsia="pt-BR"/>
        </w:rPr>
        <w:t>.</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6.18.1. Nessas condições, as propostas de microempresas e empresas de pequeno porte que se encontrarem na faixa de até 5% (cinco por cento) serão consideradas empatadas com a primeira colocada.</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lastRenderedPageBreak/>
        <w:t>6.18.3.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6153DA" w:rsidRPr="00F97084" w:rsidRDefault="006153DA"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6.19. Será assegurado o direito de preferência previsto no artigo 3º da Lei nº 8.248, de 1991, conforme procedimento estabelecido nos artigos 5° e 8° do Decreto n° 7.174, de 2010, nos seguintes termos:</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6.19.1. Após a aplicação das regras de preferência para microempresas e empresas de pequeno porte, caberá a aplicação das regras de preferência, sucessivamente, para:</w:t>
      </w:r>
    </w:p>
    <w:p w:rsidR="006153DA" w:rsidRPr="00F97084" w:rsidRDefault="006153DA" w:rsidP="006153DA">
      <w:pPr>
        <w:spacing w:after="48" w:line="288" w:lineRule="atLeast"/>
        <w:ind w:firstLine="851"/>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6.19.1.1. </w:t>
      </w:r>
      <w:proofErr w:type="gramStart"/>
      <w:r w:rsidRPr="00F97084">
        <w:rPr>
          <w:rFonts w:ascii="Bookman Old Style" w:eastAsia="Times New Roman" w:hAnsi="Bookman Old Style" w:cs="Times New Roman"/>
          <w:color w:val="000000"/>
          <w:sz w:val="20"/>
          <w:szCs w:val="20"/>
          <w:lang w:eastAsia="pt-BR"/>
        </w:rPr>
        <w:t>bens</w:t>
      </w:r>
      <w:proofErr w:type="gramEnd"/>
      <w:r w:rsidRPr="00F97084">
        <w:rPr>
          <w:rFonts w:ascii="Bookman Old Style" w:eastAsia="Times New Roman" w:hAnsi="Bookman Old Style" w:cs="Times New Roman"/>
          <w:color w:val="000000"/>
          <w:sz w:val="20"/>
          <w:szCs w:val="20"/>
          <w:lang w:eastAsia="pt-BR"/>
        </w:rPr>
        <w:t xml:space="preserve"> e serviços com tecnologia desenvolvida no País e produzidos de acordo com o Processo Produtivo Básico (PPB), na forma definida pelo Poder Executivo Federal;</w:t>
      </w:r>
    </w:p>
    <w:p w:rsidR="006153DA" w:rsidRPr="00F97084" w:rsidRDefault="006153DA" w:rsidP="006153DA">
      <w:pPr>
        <w:spacing w:after="48" w:line="288" w:lineRule="atLeast"/>
        <w:ind w:firstLine="851"/>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6.19.1.2. </w:t>
      </w:r>
      <w:proofErr w:type="gramStart"/>
      <w:r w:rsidRPr="00F97084">
        <w:rPr>
          <w:rFonts w:ascii="Bookman Old Style" w:eastAsia="Times New Roman" w:hAnsi="Bookman Old Style" w:cs="Times New Roman"/>
          <w:color w:val="000000"/>
          <w:sz w:val="20"/>
          <w:szCs w:val="20"/>
          <w:lang w:eastAsia="pt-BR"/>
        </w:rPr>
        <w:t>bens</w:t>
      </w:r>
      <w:proofErr w:type="gramEnd"/>
      <w:r w:rsidRPr="00F97084">
        <w:rPr>
          <w:rFonts w:ascii="Bookman Old Style" w:eastAsia="Times New Roman" w:hAnsi="Bookman Old Style" w:cs="Times New Roman"/>
          <w:color w:val="000000"/>
          <w:sz w:val="20"/>
          <w:szCs w:val="20"/>
          <w:lang w:eastAsia="pt-BR"/>
        </w:rPr>
        <w:t xml:space="preserve"> e serviços com tecnologia desenvolvida no País; e</w:t>
      </w:r>
    </w:p>
    <w:p w:rsidR="006153DA" w:rsidRPr="00F97084" w:rsidRDefault="006153DA" w:rsidP="006153DA">
      <w:pPr>
        <w:spacing w:after="48" w:line="288" w:lineRule="atLeast"/>
        <w:ind w:firstLine="851"/>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6.19.1.3. </w:t>
      </w:r>
      <w:proofErr w:type="gramStart"/>
      <w:r w:rsidRPr="00F97084">
        <w:rPr>
          <w:rFonts w:ascii="Bookman Old Style" w:eastAsia="Times New Roman" w:hAnsi="Bookman Old Style" w:cs="Times New Roman"/>
          <w:color w:val="000000"/>
          <w:sz w:val="20"/>
          <w:szCs w:val="20"/>
          <w:lang w:eastAsia="pt-BR"/>
        </w:rPr>
        <w:t>bens</w:t>
      </w:r>
      <w:proofErr w:type="gramEnd"/>
      <w:r w:rsidRPr="00F97084">
        <w:rPr>
          <w:rFonts w:ascii="Bookman Old Style" w:eastAsia="Times New Roman" w:hAnsi="Bookman Old Style" w:cs="Times New Roman"/>
          <w:color w:val="000000"/>
          <w:sz w:val="20"/>
          <w:szCs w:val="20"/>
          <w:lang w:eastAsia="pt-BR"/>
        </w:rPr>
        <w:t xml:space="preserve"> e serviços produzidos de acordo com o PPB, na forma definida pelo Poder Executivo Federal, nos termos do art. 5º e 8º do Decreto 7.174, de 2010 e art. 3º da Lei nº 8.248, de 1991.</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6.19.2. Os licitantes classificados que estejam enquadrados no item 6.19.1.1, na ordem de classificação, serão convocados para que possam oferecer nova proposta ou novo lance para igualar ou superar a melhor proposta válida, caso em que será declarado vencedor do certame.</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6.19.3. Caso a preferência não seja exercida na forma do item 6.19.1.1, por qualquer motivo, serão convocadas as empresas classificadas que estejam enquadradas no item 6.19.1.2, na ordem de classificação, para a comprovação e o exercício do direito de preferência, aplicando-se a mesma regra para o item 6.19.1.3 caso esse direito não seja exercido.</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6.19.4. As licitantes qualificadas como microempresas ou empresas de pequeno porte que fizerem jus ao direito de preferência previsto no Decreto nº 7.174, de 2010, terão prioridade no exercício desse benefício em relação às médias e às grandes empresas na mesma situação.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6.20. Só poderá haver empate entre propostas iguais (não seguidas de lances), ou entre lances finais da fase fechada.</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6.21. Havendo eventual empate entre propostas ou lances, o critério de desempate será aquele previsto no </w:t>
      </w:r>
      <w:hyperlink r:id="rId27" w:anchor="art60" w:tgtFrame="_blank" w:history="1">
        <w:r w:rsidRPr="00F97084">
          <w:rPr>
            <w:rFonts w:ascii="Bookman Old Style" w:eastAsia="Times New Roman" w:hAnsi="Bookman Old Style" w:cs="Times New Roman"/>
            <w:color w:val="0000FF"/>
            <w:sz w:val="20"/>
            <w:szCs w:val="20"/>
            <w:u w:val="single"/>
            <w:lang w:eastAsia="pt-BR"/>
          </w:rPr>
          <w:t>art. 60 da Lei nº 14.133, de 2021</w:t>
        </w:r>
      </w:hyperlink>
      <w:r w:rsidRPr="00F97084">
        <w:rPr>
          <w:rFonts w:ascii="Bookman Old Style" w:eastAsia="Times New Roman" w:hAnsi="Bookman Old Style" w:cs="Times New Roman"/>
          <w:color w:val="000000"/>
          <w:sz w:val="20"/>
          <w:szCs w:val="20"/>
          <w:lang w:eastAsia="pt-BR"/>
        </w:rPr>
        <w:t>, nesta ordem:</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6.21.5. </w:t>
      </w:r>
      <w:proofErr w:type="gramStart"/>
      <w:r w:rsidRPr="00F97084">
        <w:rPr>
          <w:rFonts w:ascii="Bookman Old Style" w:eastAsia="Times New Roman" w:hAnsi="Bookman Old Style" w:cs="Times New Roman"/>
          <w:color w:val="000000"/>
          <w:sz w:val="20"/>
          <w:szCs w:val="20"/>
          <w:lang w:eastAsia="pt-BR"/>
        </w:rPr>
        <w:t>disputa</w:t>
      </w:r>
      <w:proofErr w:type="gramEnd"/>
      <w:r w:rsidRPr="00F97084">
        <w:rPr>
          <w:rFonts w:ascii="Bookman Old Style" w:eastAsia="Times New Roman" w:hAnsi="Bookman Old Style" w:cs="Times New Roman"/>
          <w:color w:val="000000"/>
          <w:sz w:val="20"/>
          <w:szCs w:val="20"/>
          <w:lang w:eastAsia="pt-BR"/>
        </w:rPr>
        <w:t xml:space="preserve"> final, hipótese em que os licitantes empatados poderão apresentar nova proposta em ato contínuo à classificação;</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6.21.6. </w:t>
      </w:r>
      <w:proofErr w:type="gramStart"/>
      <w:r w:rsidRPr="00F97084">
        <w:rPr>
          <w:rFonts w:ascii="Bookman Old Style" w:eastAsia="Times New Roman" w:hAnsi="Bookman Old Style" w:cs="Times New Roman"/>
          <w:color w:val="000000"/>
          <w:sz w:val="20"/>
          <w:szCs w:val="20"/>
          <w:lang w:eastAsia="pt-BR"/>
        </w:rPr>
        <w:t>avaliação</w:t>
      </w:r>
      <w:proofErr w:type="gramEnd"/>
      <w:r w:rsidRPr="00F97084">
        <w:rPr>
          <w:rFonts w:ascii="Bookman Old Style" w:eastAsia="Times New Roman" w:hAnsi="Bookman Old Style" w:cs="Times New Roman"/>
          <w:color w:val="000000"/>
          <w:sz w:val="20"/>
          <w:szCs w:val="20"/>
          <w:lang w:eastAsia="pt-BR"/>
        </w:rPr>
        <w:t xml:space="preserve"> do desempenho contratual prévio dos licitantes, para a qual deverão preferencialmente ser utilizados registros cadastrais para efeito de atesto de cumprimento de obrigações previstos nesta Lei;</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lastRenderedPageBreak/>
        <w:t xml:space="preserve">6.21.7. </w:t>
      </w:r>
      <w:proofErr w:type="gramStart"/>
      <w:r w:rsidRPr="00F97084">
        <w:rPr>
          <w:rFonts w:ascii="Bookman Old Style" w:eastAsia="Times New Roman" w:hAnsi="Bookman Old Style" w:cs="Times New Roman"/>
          <w:color w:val="000000"/>
          <w:sz w:val="20"/>
          <w:szCs w:val="20"/>
          <w:lang w:eastAsia="pt-BR"/>
        </w:rPr>
        <w:t>desenvolvimento</w:t>
      </w:r>
      <w:proofErr w:type="gramEnd"/>
      <w:r w:rsidRPr="00F97084">
        <w:rPr>
          <w:rFonts w:ascii="Bookman Old Style" w:eastAsia="Times New Roman" w:hAnsi="Bookman Old Style" w:cs="Times New Roman"/>
          <w:color w:val="000000"/>
          <w:sz w:val="20"/>
          <w:szCs w:val="20"/>
          <w:lang w:eastAsia="pt-BR"/>
        </w:rPr>
        <w:t xml:space="preserve"> pelo licitante de ações de equidade entre homens e mulheres no ambiente de trabalho, nos termos do Decreto nº 11.430, de 2023, e da Instrução Normativa SEGES/MGI nº 382, de 17 de setembro de 2025;</w:t>
      </w:r>
    </w:p>
    <w:p w:rsidR="006153DA" w:rsidRPr="00F97084" w:rsidRDefault="006153DA"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6.21.8. </w:t>
      </w:r>
      <w:proofErr w:type="gramStart"/>
      <w:r w:rsidRPr="00F97084">
        <w:rPr>
          <w:rFonts w:ascii="Bookman Old Style" w:eastAsia="Times New Roman" w:hAnsi="Bookman Old Style" w:cs="Times New Roman"/>
          <w:color w:val="000000"/>
          <w:sz w:val="20"/>
          <w:szCs w:val="20"/>
          <w:lang w:eastAsia="pt-BR"/>
        </w:rPr>
        <w:t>declaração</w:t>
      </w:r>
      <w:proofErr w:type="gramEnd"/>
      <w:r w:rsidRPr="00F97084">
        <w:rPr>
          <w:rFonts w:ascii="Bookman Old Style" w:eastAsia="Times New Roman" w:hAnsi="Bookman Old Style" w:cs="Times New Roman"/>
          <w:color w:val="000000"/>
          <w:sz w:val="20"/>
          <w:szCs w:val="20"/>
          <w:lang w:eastAsia="pt-BR"/>
        </w:rPr>
        <w:t xml:space="preserve"> do licitante de que desenvolve programa de integridade, conforme Decreto n° 12.304, de 2024, e Portaria Normativa SE/CGU n° 226, de 9 de setembro de 2025.</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6.22. Persistindo o empate, será assegurada preferência, sucessivamente, aos bens e serviços produzidos ou prestados por:</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6.22.1. </w:t>
      </w:r>
      <w:proofErr w:type="gramStart"/>
      <w:r w:rsidRPr="00F97084">
        <w:rPr>
          <w:rFonts w:ascii="Bookman Old Style" w:eastAsia="Times New Roman" w:hAnsi="Bookman Old Style" w:cs="Times New Roman"/>
          <w:color w:val="000000"/>
          <w:sz w:val="20"/>
          <w:szCs w:val="20"/>
          <w:lang w:eastAsia="pt-BR"/>
        </w:rPr>
        <w:t>empresas</w:t>
      </w:r>
      <w:proofErr w:type="gramEnd"/>
      <w:r w:rsidRPr="00F97084">
        <w:rPr>
          <w:rFonts w:ascii="Bookman Old Style" w:eastAsia="Times New Roman" w:hAnsi="Bookman Old Style" w:cs="Times New Roman"/>
          <w:color w:val="000000"/>
          <w:sz w:val="20"/>
          <w:szCs w:val="20"/>
          <w:lang w:eastAsia="pt-BR"/>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6.22.2. </w:t>
      </w:r>
      <w:proofErr w:type="gramStart"/>
      <w:r w:rsidRPr="00F97084">
        <w:rPr>
          <w:rFonts w:ascii="Bookman Old Style" w:eastAsia="Times New Roman" w:hAnsi="Bookman Old Style" w:cs="Times New Roman"/>
          <w:color w:val="000000"/>
          <w:sz w:val="20"/>
          <w:szCs w:val="20"/>
          <w:lang w:eastAsia="pt-BR"/>
        </w:rPr>
        <w:t>empresas</w:t>
      </w:r>
      <w:proofErr w:type="gramEnd"/>
      <w:r w:rsidRPr="00F97084">
        <w:rPr>
          <w:rFonts w:ascii="Bookman Old Style" w:eastAsia="Times New Roman" w:hAnsi="Bookman Old Style" w:cs="Times New Roman"/>
          <w:color w:val="000000"/>
          <w:sz w:val="20"/>
          <w:szCs w:val="20"/>
          <w:lang w:eastAsia="pt-BR"/>
        </w:rPr>
        <w:t xml:space="preserve"> brasileiras;</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6.22.3. </w:t>
      </w:r>
      <w:proofErr w:type="gramStart"/>
      <w:r w:rsidRPr="00F97084">
        <w:rPr>
          <w:rFonts w:ascii="Bookman Old Style" w:eastAsia="Times New Roman" w:hAnsi="Bookman Old Style" w:cs="Times New Roman"/>
          <w:color w:val="000000"/>
          <w:sz w:val="20"/>
          <w:szCs w:val="20"/>
          <w:lang w:eastAsia="pt-BR"/>
        </w:rPr>
        <w:t>empresas</w:t>
      </w:r>
      <w:proofErr w:type="gramEnd"/>
      <w:r w:rsidRPr="00F97084">
        <w:rPr>
          <w:rFonts w:ascii="Bookman Old Style" w:eastAsia="Times New Roman" w:hAnsi="Bookman Old Style" w:cs="Times New Roman"/>
          <w:color w:val="000000"/>
          <w:sz w:val="20"/>
          <w:szCs w:val="20"/>
          <w:lang w:eastAsia="pt-BR"/>
        </w:rPr>
        <w:t xml:space="preserve"> que invistam em pesquisa e no desenvolvimento de tecnologia no País;</w:t>
      </w:r>
    </w:p>
    <w:p w:rsidR="006153DA" w:rsidRPr="00F97084" w:rsidRDefault="006153DA"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6.22.4. empresas que comprovem a prática de mitigação, nos termos da </w:t>
      </w:r>
      <w:hyperlink r:id="rId28" w:anchor=":~:text=LEI%20N%C2%BA%2012.187%2C%20DE%2029%20DE%20DEZEMBRO%20DE%202009.&amp;text=Institui%20a%20Pol%C3%ADtica%20Nacional%20sobre,PNMC%20e%20d%C3%A1%20outras%20provid%C3%AAncias." w:history="1">
        <w:r w:rsidRPr="00F97084">
          <w:rPr>
            <w:rFonts w:ascii="Bookman Old Style" w:eastAsia="Times New Roman" w:hAnsi="Bookman Old Style" w:cs="Times New Roman"/>
            <w:color w:val="0000FF"/>
            <w:sz w:val="20"/>
            <w:szCs w:val="20"/>
            <w:u w:val="single"/>
            <w:lang w:eastAsia="pt-BR"/>
          </w:rPr>
          <w:t>Lei nº 12.187, de 29 de dezembro de 2009</w:t>
        </w:r>
      </w:hyperlink>
      <w:r w:rsidRPr="00F97084">
        <w:rPr>
          <w:rFonts w:ascii="Bookman Old Style" w:eastAsia="Times New Roman" w:hAnsi="Bookman Old Style" w:cs="Times New Roman"/>
          <w:color w:val="000000"/>
          <w:sz w:val="20"/>
          <w:szCs w:val="20"/>
          <w:lang w:eastAsia="pt-BR"/>
        </w:rPr>
        <w:t>.</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6.23. Esgotados todos os demais critérios de desempate previstos em lei, a escolha do licitante vencedor ocorrerá por sorteio, em ato público, para o qual todos os licitantes serão convocados, vedado qualquer outro processo.</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6.24. 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6.24.1.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6.24.2. A negociação será realizada por meio do sistema, podendo ser acompanhada pelos demais licitantes.</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6.24.3. O resultado da negociação será divulgado a todos os licitantes e anexado aos autos do processo licitatório.</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6.24.4.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rsidR="006153DA" w:rsidRPr="00F97084" w:rsidRDefault="006153DA"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6.24.5. É facultado ao Pregoeiro prorrogar o prazo estabelecido, a partir de solicitação fundamentada feita no chat pelo licitante, antes de findo o prazo.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6.25. Após a negociação do preço, o Pregoeiro iniciará a fase de aceitação e julgamento da proposta.</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b/>
          <w:bCs/>
          <w:color w:val="000000"/>
          <w:sz w:val="20"/>
          <w:szCs w:val="20"/>
          <w:lang w:eastAsia="pt-BR"/>
        </w:rPr>
        <w:t>7. DA FASE DE JULGAMENTO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7.1. Encerrada a etapa de negociação, o Pregoeiro verificará se o licitante provisoriamente classificado em primeiro lugar atende às condições de participação no certame, conforme previsto no art. 14 da Lei nº 14.133, de 2021, legislação correlata e no item 2.8 do edital, especialmente </w:t>
      </w:r>
      <w:r w:rsidRPr="00F97084">
        <w:rPr>
          <w:rFonts w:ascii="Bookman Old Style" w:eastAsia="Times New Roman" w:hAnsi="Bookman Old Style" w:cs="Times New Roman"/>
          <w:color w:val="000000"/>
          <w:sz w:val="20"/>
          <w:szCs w:val="20"/>
          <w:lang w:eastAsia="pt-BR"/>
        </w:rPr>
        <w:lastRenderedPageBreak/>
        <w:t>quanto à existência de sanção que impeça a participação no certame ou a futura contratação, mediante a consulta aos seguintes cadastros:</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7.1.1. SICAF;</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7.1.2. Cadastro Nacional de Empresas Inidôneas e Suspensas – CEIS,</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7.1.3. Cadastro Nacional de Empresas Punidas – CNEP, e</w:t>
      </w:r>
    </w:p>
    <w:p w:rsidR="006153DA" w:rsidRPr="00F97084" w:rsidRDefault="006153DA"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7.1.4. Lista de licitantes inidôneos, mantida pelo Tribunal de Contas da União.</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7.2. A consulta aos cadastros será realizada no nome e no CNPJ da empresa licitante.</w:t>
      </w:r>
    </w:p>
    <w:p w:rsidR="006153DA" w:rsidRPr="00F97084" w:rsidRDefault="006153DA"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7.2.1. A consulta no CEIS quanto às sanções previstas na </w:t>
      </w:r>
      <w:hyperlink r:id="rId29" w:anchor=":~:text=%C3%A0s%20seguintes%20comina%C3%A7%C3%B5es%3A-,Art.,n%C2%BA%2012.120%2C%20de%202009)." w:tgtFrame="_blank" w:history="1">
        <w:r w:rsidRPr="00F97084">
          <w:rPr>
            <w:rFonts w:ascii="Bookman Old Style" w:eastAsia="Times New Roman" w:hAnsi="Bookman Old Style" w:cs="Times New Roman"/>
            <w:color w:val="0000FF"/>
            <w:sz w:val="20"/>
            <w:szCs w:val="20"/>
            <w:u w:val="single"/>
            <w:lang w:eastAsia="pt-BR"/>
          </w:rPr>
          <w:t>Lei n° 8.429, de 1992</w:t>
        </w:r>
      </w:hyperlink>
      <w:r w:rsidRPr="00F97084">
        <w:rPr>
          <w:rFonts w:ascii="Bookman Old Style" w:eastAsia="Times New Roman" w:hAnsi="Bookman Old Style" w:cs="Times New Roman"/>
          <w:color w:val="000000"/>
          <w:sz w:val="20"/>
          <w:szCs w:val="20"/>
          <w:lang w:eastAsia="pt-BR"/>
        </w:rPr>
        <w:t>, também ocorrerá no nome e no CPF do sócio majoritário da empresa licitante, se houver, por força do art. 12 da citada lei.</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7.3. Para a consulta de licitantes pessoa jurídica poderá haver a substituição das consultas ao CEIS, CNEP e Lista de licitantes inidôneos pela Consulta Consolidada de Pessoa Jurídica do TCU.</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7.4. Caso conste na Consulta de Situação do licitante a existência de Ocorrências Impeditivas Indiretas, o Pregoeiro diligenciará para verificar se houve fraude por parte das empresas apontadas no Relatório de Ocorrências Impeditivas Indiretas.</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7.4.1. A tentativa de burla será verificada por meio dos vínculos societários, linhas de fornecimento similares, dentre outros.</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7.4.2. O licitante será convocado para manifestação previamente a uma eventual desclassificação.</w:t>
      </w:r>
    </w:p>
    <w:p w:rsidR="006153DA" w:rsidRPr="00F97084" w:rsidRDefault="006153DA"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7.4.3. Constatada a existência de sanção, o licitante será reputado inabilitado, por falta de condição de participação.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proofErr w:type="gramStart"/>
      <w:r w:rsidRPr="00F97084">
        <w:rPr>
          <w:rFonts w:ascii="Bookman Old Style" w:eastAsia="Times New Roman" w:hAnsi="Bookman Old Style" w:cs="Times New Roman"/>
          <w:color w:val="000000"/>
          <w:sz w:val="20"/>
          <w:szCs w:val="20"/>
          <w:lang w:eastAsia="pt-BR"/>
        </w:rPr>
        <w:t>7.5.</w:t>
      </w:r>
      <w:proofErr w:type="gramEnd"/>
      <w:r w:rsidRPr="00F97084">
        <w:rPr>
          <w:rFonts w:ascii="Bookman Old Style" w:eastAsia="Times New Roman" w:hAnsi="Bookman Old Style" w:cs="Times New Roman"/>
          <w:color w:val="000000"/>
          <w:sz w:val="20"/>
          <w:szCs w:val="20"/>
          <w:lang w:eastAsia="pt-BR"/>
        </w:rPr>
        <w:t>Caso o licitante provisoriamente classificado em primeiro lugar tenha se utilizado de algum tratamento favorecido às ME/</w:t>
      </w:r>
      <w:proofErr w:type="spellStart"/>
      <w:r w:rsidRPr="00F97084">
        <w:rPr>
          <w:rFonts w:ascii="Bookman Old Style" w:eastAsia="Times New Roman" w:hAnsi="Bookman Old Style" w:cs="Times New Roman"/>
          <w:color w:val="000000"/>
          <w:sz w:val="20"/>
          <w:szCs w:val="20"/>
          <w:lang w:eastAsia="pt-BR"/>
        </w:rPr>
        <w:t>EPPs</w:t>
      </w:r>
      <w:proofErr w:type="spellEnd"/>
      <w:r w:rsidRPr="00F97084">
        <w:rPr>
          <w:rFonts w:ascii="Bookman Old Style" w:eastAsia="Times New Roman" w:hAnsi="Bookman Old Style" w:cs="Times New Roman"/>
          <w:color w:val="000000"/>
          <w:sz w:val="20"/>
          <w:szCs w:val="20"/>
          <w:lang w:eastAsia="pt-BR"/>
        </w:rPr>
        <w:t xml:space="preserve"> , o Pregoeiro verificará se o licitante faz jus ao benefício aplicado.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7.6.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0" w:anchor="art29" w:tgtFrame="_blank" w:history="1">
        <w:r w:rsidRPr="00F97084">
          <w:rPr>
            <w:rFonts w:ascii="Bookman Old Style" w:eastAsia="Times New Roman" w:hAnsi="Bookman Old Style" w:cs="Times New Roman"/>
            <w:color w:val="0000FF"/>
            <w:sz w:val="20"/>
            <w:szCs w:val="20"/>
            <w:u w:val="single"/>
            <w:lang w:eastAsia="pt-BR"/>
          </w:rPr>
          <w:t>artigo 29 a 35 da IN SEGES nº 73, de 30 de setembro de 2022</w:t>
        </w:r>
      </w:hyperlink>
      <w:r w:rsidRPr="00F97084">
        <w:rPr>
          <w:rFonts w:ascii="Bookman Old Style" w:eastAsia="Times New Roman" w:hAnsi="Bookman Old Style" w:cs="Times New Roman"/>
          <w:color w:val="000000"/>
          <w:sz w:val="20"/>
          <w:szCs w:val="20"/>
          <w:lang w:eastAsia="pt-BR"/>
        </w:rPr>
        <w:t>.</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7.7. Será desclassificada a proposta vencedora que:</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7.7.1. </w:t>
      </w:r>
      <w:proofErr w:type="gramStart"/>
      <w:r w:rsidRPr="00F97084">
        <w:rPr>
          <w:rFonts w:ascii="Bookman Old Style" w:eastAsia="Times New Roman" w:hAnsi="Bookman Old Style" w:cs="Times New Roman"/>
          <w:color w:val="000000"/>
          <w:sz w:val="20"/>
          <w:szCs w:val="20"/>
          <w:lang w:eastAsia="pt-BR"/>
        </w:rPr>
        <w:t>contiver</w:t>
      </w:r>
      <w:proofErr w:type="gramEnd"/>
      <w:r w:rsidRPr="00F97084">
        <w:rPr>
          <w:rFonts w:ascii="Bookman Old Style" w:eastAsia="Times New Roman" w:hAnsi="Bookman Old Style" w:cs="Times New Roman"/>
          <w:color w:val="000000"/>
          <w:sz w:val="20"/>
          <w:szCs w:val="20"/>
          <w:lang w:eastAsia="pt-BR"/>
        </w:rPr>
        <w:t xml:space="preserve"> vícios insanáveis;</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7.7.2. </w:t>
      </w:r>
      <w:proofErr w:type="gramStart"/>
      <w:r w:rsidRPr="00F97084">
        <w:rPr>
          <w:rFonts w:ascii="Bookman Old Style" w:eastAsia="Times New Roman" w:hAnsi="Bookman Old Style" w:cs="Times New Roman"/>
          <w:color w:val="000000"/>
          <w:sz w:val="20"/>
          <w:szCs w:val="20"/>
          <w:lang w:eastAsia="pt-BR"/>
        </w:rPr>
        <w:t>não</w:t>
      </w:r>
      <w:proofErr w:type="gramEnd"/>
      <w:r w:rsidRPr="00F97084">
        <w:rPr>
          <w:rFonts w:ascii="Bookman Old Style" w:eastAsia="Times New Roman" w:hAnsi="Bookman Old Style" w:cs="Times New Roman"/>
          <w:color w:val="000000"/>
          <w:sz w:val="20"/>
          <w:szCs w:val="20"/>
          <w:lang w:eastAsia="pt-BR"/>
        </w:rPr>
        <w:t xml:space="preserve"> obedecer às especificações técnicas contidas no Termo de Referência/Projeto Básico;</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7.7.3. </w:t>
      </w:r>
      <w:proofErr w:type="gramStart"/>
      <w:r w:rsidRPr="00F97084">
        <w:rPr>
          <w:rFonts w:ascii="Bookman Old Style" w:eastAsia="Times New Roman" w:hAnsi="Bookman Old Style" w:cs="Times New Roman"/>
          <w:color w:val="000000"/>
          <w:sz w:val="20"/>
          <w:szCs w:val="20"/>
          <w:lang w:eastAsia="pt-BR"/>
        </w:rPr>
        <w:t>apresentar</w:t>
      </w:r>
      <w:proofErr w:type="gramEnd"/>
      <w:r w:rsidRPr="00F97084">
        <w:rPr>
          <w:rFonts w:ascii="Bookman Old Style" w:eastAsia="Times New Roman" w:hAnsi="Bookman Old Style" w:cs="Times New Roman"/>
          <w:color w:val="000000"/>
          <w:sz w:val="20"/>
          <w:szCs w:val="20"/>
          <w:lang w:eastAsia="pt-BR"/>
        </w:rPr>
        <w:t xml:space="preserve"> preços inexequíveis ou permanecer acima do preço máximo definido para a contratação;</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7.7.4. </w:t>
      </w:r>
      <w:proofErr w:type="gramStart"/>
      <w:r w:rsidRPr="00F97084">
        <w:rPr>
          <w:rFonts w:ascii="Bookman Old Style" w:eastAsia="Times New Roman" w:hAnsi="Bookman Old Style" w:cs="Times New Roman"/>
          <w:color w:val="000000"/>
          <w:sz w:val="20"/>
          <w:szCs w:val="20"/>
          <w:lang w:eastAsia="pt-BR"/>
        </w:rPr>
        <w:t>não</w:t>
      </w:r>
      <w:proofErr w:type="gramEnd"/>
      <w:r w:rsidRPr="00F97084">
        <w:rPr>
          <w:rFonts w:ascii="Bookman Old Style" w:eastAsia="Times New Roman" w:hAnsi="Bookman Old Style" w:cs="Times New Roman"/>
          <w:color w:val="000000"/>
          <w:sz w:val="20"/>
          <w:szCs w:val="20"/>
          <w:lang w:eastAsia="pt-BR"/>
        </w:rPr>
        <w:t xml:space="preserve"> tiver sua exequibilidade demonstrada, quando exigido pela Administração;</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7.7.5. </w:t>
      </w:r>
      <w:proofErr w:type="gramStart"/>
      <w:r w:rsidRPr="00F97084">
        <w:rPr>
          <w:rFonts w:ascii="Bookman Old Style" w:eastAsia="Times New Roman" w:hAnsi="Bookman Old Style" w:cs="Times New Roman"/>
          <w:color w:val="000000"/>
          <w:sz w:val="20"/>
          <w:szCs w:val="20"/>
          <w:lang w:eastAsia="pt-BR"/>
        </w:rPr>
        <w:t>não</w:t>
      </w:r>
      <w:proofErr w:type="gramEnd"/>
      <w:r w:rsidRPr="00F97084">
        <w:rPr>
          <w:rFonts w:ascii="Bookman Old Style" w:eastAsia="Times New Roman" w:hAnsi="Bookman Old Style" w:cs="Times New Roman"/>
          <w:color w:val="000000"/>
          <w:sz w:val="20"/>
          <w:szCs w:val="20"/>
          <w:lang w:eastAsia="pt-BR"/>
        </w:rPr>
        <w:t xml:space="preserve"> cumpra os critérios de aceitabilidade de preços definidos no Termo de Referência.</w:t>
      </w:r>
    </w:p>
    <w:p w:rsidR="006153DA" w:rsidRPr="00F97084" w:rsidRDefault="006153DA"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7.7.6. </w:t>
      </w:r>
      <w:proofErr w:type="gramStart"/>
      <w:r w:rsidRPr="00F97084">
        <w:rPr>
          <w:rFonts w:ascii="Bookman Old Style" w:eastAsia="Times New Roman" w:hAnsi="Bookman Old Style" w:cs="Times New Roman"/>
          <w:color w:val="000000"/>
          <w:sz w:val="20"/>
          <w:szCs w:val="20"/>
          <w:lang w:eastAsia="pt-BR"/>
        </w:rPr>
        <w:t>apresentar</w:t>
      </w:r>
      <w:proofErr w:type="gramEnd"/>
      <w:r w:rsidRPr="00F97084">
        <w:rPr>
          <w:rFonts w:ascii="Bookman Old Style" w:eastAsia="Times New Roman" w:hAnsi="Bookman Old Style" w:cs="Times New Roman"/>
          <w:color w:val="000000"/>
          <w:sz w:val="20"/>
          <w:szCs w:val="20"/>
          <w:lang w:eastAsia="pt-BR"/>
        </w:rPr>
        <w:t xml:space="preserve"> desconformidade com quaisquer outras exigências deste Edital ou seus anexos, desde que insanável.</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7.8. No caso de bens e serviços em geral, é indício de inexequibilidade das propostas valores inferiores a 50% (cinquenta por cento) do valor orçado pela Administração.</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lastRenderedPageBreak/>
        <w:t>7.9. A inexequibilidade, na hipótese de que trata o item anterior, só será considerada após diligência do Pregoeiro, que comprove:</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7.9.1. </w:t>
      </w:r>
      <w:proofErr w:type="gramStart"/>
      <w:r w:rsidRPr="00F97084">
        <w:rPr>
          <w:rFonts w:ascii="Bookman Old Style" w:eastAsia="Times New Roman" w:hAnsi="Bookman Old Style" w:cs="Times New Roman"/>
          <w:color w:val="000000"/>
          <w:sz w:val="20"/>
          <w:szCs w:val="20"/>
          <w:lang w:eastAsia="pt-BR"/>
        </w:rPr>
        <w:t>que</w:t>
      </w:r>
      <w:proofErr w:type="gramEnd"/>
      <w:r w:rsidRPr="00F97084">
        <w:rPr>
          <w:rFonts w:ascii="Bookman Old Style" w:eastAsia="Times New Roman" w:hAnsi="Bookman Old Style" w:cs="Times New Roman"/>
          <w:color w:val="000000"/>
          <w:sz w:val="20"/>
          <w:szCs w:val="20"/>
          <w:lang w:eastAsia="pt-BR"/>
        </w:rPr>
        <w:t xml:space="preserve"> o custo do licitante ultrapassa o valor da proposta; e</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7.9.2. </w:t>
      </w:r>
      <w:proofErr w:type="gramStart"/>
      <w:r w:rsidRPr="00F97084">
        <w:rPr>
          <w:rFonts w:ascii="Bookman Old Style" w:eastAsia="Times New Roman" w:hAnsi="Bookman Old Style" w:cs="Times New Roman"/>
          <w:color w:val="000000"/>
          <w:sz w:val="20"/>
          <w:szCs w:val="20"/>
          <w:lang w:eastAsia="pt-BR"/>
        </w:rPr>
        <w:t>inexistirem</w:t>
      </w:r>
      <w:proofErr w:type="gramEnd"/>
      <w:r w:rsidRPr="00F97084">
        <w:rPr>
          <w:rFonts w:ascii="Bookman Old Style" w:eastAsia="Times New Roman" w:hAnsi="Bookman Old Style" w:cs="Times New Roman"/>
          <w:color w:val="000000"/>
          <w:sz w:val="20"/>
          <w:szCs w:val="20"/>
          <w:lang w:eastAsia="pt-BR"/>
        </w:rPr>
        <w:t xml:space="preserve"> custos de oportunidade capazes de justificar o vulto da oferta.</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7.10. Em contratação de obras e serviços de engenharia, além das disposições acima, a análise de exequibilidade e </w:t>
      </w:r>
      <w:proofErr w:type="spellStart"/>
      <w:r w:rsidRPr="00F97084">
        <w:rPr>
          <w:rFonts w:ascii="Bookman Old Style" w:eastAsia="Times New Roman" w:hAnsi="Bookman Old Style" w:cs="Times New Roman"/>
          <w:color w:val="000000"/>
          <w:sz w:val="20"/>
          <w:szCs w:val="20"/>
          <w:lang w:eastAsia="pt-BR"/>
        </w:rPr>
        <w:t>sobrepreço</w:t>
      </w:r>
      <w:proofErr w:type="spellEnd"/>
      <w:r w:rsidRPr="00F97084">
        <w:rPr>
          <w:rFonts w:ascii="Bookman Old Style" w:eastAsia="Times New Roman" w:hAnsi="Bookman Old Style" w:cs="Times New Roman"/>
          <w:color w:val="000000"/>
          <w:sz w:val="20"/>
          <w:szCs w:val="20"/>
          <w:lang w:eastAsia="pt-BR"/>
        </w:rPr>
        <w:t xml:space="preserve"> considerará o seguinte:</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7.10.1. Nos regimes de execução por tarefa, empreitada por preço global ou empreitada integral, contratação </w:t>
      </w:r>
      <w:proofErr w:type="spellStart"/>
      <w:r w:rsidRPr="00F97084">
        <w:rPr>
          <w:rFonts w:ascii="Bookman Old Style" w:eastAsia="Times New Roman" w:hAnsi="Bookman Old Style" w:cs="Times New Roman"/>
          <w:color w:val="000000"/>
          <w:sz w:val="20"/>
          <w:szCs w:val="20"/>
          <w:lang w:eastAsia="pt-BR"/>
        </w:rPr>
        <w:t>semi-integrada</w:t>
      </w:r>
      <w:proofErr w:type="spellEnd"/>
      <w:r w:rsidRPr="00F97084">
        <w:rPr>
          <w:rFonts w:ascii="Bookman Old Style" w:eastAsia="Times New Roman" w:hAnsi="Bookman Old Style" w:cs="Times New Roman"/>
          <w:color w:val="000000"/>
          <w:sz w:val="20"/>
          <w:szCs w:val="20"/>
          <w:lang w:eastAsia="pt-BR"/>
        </w:rPr>
        <w:t xml:space="preserve"> ou contratação integrada, a caracterização do </w:t>
      </w:r>
      <w:proofErr w:type="spellStart"/>
      <w:r w:rsidRPr="00F97084">
        <w:rPr>
          <w:rFonts w:ascii="Bookman Old Style" w:eastAsia="Times New Roman" w:hAnsi="Bookman Old Style" w:cs="Times New Roman"/>
          <w:color w:val="000000"/>
          <w:sz w:val="20"/>
          <w:szCs w:val="20"/>
          <w:lang w:eastAsia="pt-BR"/>
        </w:rPr>
        <w:t>sobrepreço</w:t>
      </w:r>
      <w:proofErr w:type="spellEnd"/>
      <w:r w:rsidRPr="00F97084">
        <w:rPr>
          <w:rFonts w:ascii="Bookman Old Style" w:eastAsia="Times New Roman" w:hAnsi="Bookman Old Style" w:cs="Times New Roman"/>
          <w:color w:val="000000"/>
          <w:sz w:val="20"/>
          <w:szCs w:val="20"/>
          <w:lang w:eastAsia="pt-BR"/>
        </w:rPr>
        <w:t xml:space="preserve"> se dará pela superação do valor global estimado;</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7.10.2. No regime de empreitada por preço unitário, a caracterização do </w:t>
      </w:r>
      <w:proofErr w:type="spellStart"/>
      <w:r w:rsidRPr="00F97084">
        <w:rPr>
          <w:rFonts w:ascii="Bookman Old Style" w:eastAsia="Times New Roman" w:hAnsi="Bookman Old Style" w:cs="Times New Roman"/>
          <w:color w:val="000000"/>
          <w:sz w:val="20"/>
          <w:szCs w:val="20"/>
          <w:lang w:eastAsia="pt-BR"/>
        </w:rPr>
        <w:t>sobrepreço</w:t>
      </w:r>
      <w:proofErr w:type="spellEnd"/>
      <w:r w:rsidRPr="00F97084">
        <w:rPr>
          <w:rFonts w:ascii="Bookman Old Style" w:eastAsia="Times New Roman" w:hAnsi="Bookman Old Style" w:cs="Times New Roman"/>
          <w:color w:val="000000"/>
          <w:sz w:val="20"/>
          <w:szCs w:val="20"/>
          <w:lang w:eastAsia="pt-BR"/>
        </w:rPr>
        <w:t xml:space="preserve"> se dará pela superação do valor global estimado e pela superação de custo unitário tido como relevante, conforme planilha anexa ao edital;</w:t>
      </w:r>
    </w:p>
    <w:p w:rsidR="006153DA" w:rsidRPr="00F97084" w:rsidRDefault="006153DA"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7.10.3. No caso de obras e serviços de engenharia, serão consideradas inexequíveis as propostas cujos valores forem inferiores a 75% (setenta e cinco por cento) do valor orçado pela Administração, independentemente do regime de execução.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7.11. Se houver indícios de inexequibilidade da proposta de preço, ou em caso da necessidade de esclarecimentos complementares, poderão ser efetuadas diligências, para que a empresa comprove a exequibilidade da proposta.</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7.12.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7.12.1.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F97084">
        <w:rPr>
          <w:rFonts w:ascii="Bookman Old Style" w:eastAsia="Times New Roman" w:hAnsi="Bookman Old Style" w:cs="Times New Roman"/>
          <w:color w:val="000000"/>
          <w:sz w:val="20"/>
          <w:szCs w:val="20"/>
          <w:lang w:eastAsia="pt-BR"/>
        </w:rPr>
        <w:t>semiintegrada</w:t>
      </w:r>
      <w:proofErr w:type="spellEnd"/>
      <w:r w:rsidRPr="00F97084">
        <w:rPr>
          <w:rFonts w:ascii="Bookman Old Style" w:eastAsia="Times New Roman" w:hAnsi="Bookman Old Style" w:cs="Times New Roman"/>
          <w:color w:val="000000"/>
          <w:sz w:val="20"/>
          <w:szCs w:val="20"/>
          <w:lang w:eastAsia="pt-BR"/>
        </w:rPr>
        <w:t xml:space="preserve"> e contratação integrada, exclusivamente para eventuais adequações indispensáveis no cronograma físico-financeiro e para balizar excepcional aditamento posterior do contrato.</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7.12.2. Caso a produtividade seja diferente daquela utilizada pela Administração como referência, ou não estiver contida na faixa referencial de produtividade, mas admitida pelo ato convocatório, o licitante deverá apresentar a respectiva comprovação de exequibilidade;</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7.12.3. 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rsidR="006153DA" w:rsidRPr="00F97084" w:rsidRDefault="006153DA"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7.12.4. Para efeito do subitem anterior, admite-se a adequação técnica da metodologia empregada pela contratada, visando assegurar a execução do objeto, desde que mantidas as condições para a justa remuneração do serviço.</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7.13. Erros no preenchimento da planilha não constituem motivo para a desclassificação da proposta. A planilha poderá́ ser ajustada pelo fornecedor, no prazo indicado pelo Pregoeiro, desde </w:t>
      </w:r>
      <w:r w:rsidRPr="00F97084">
        <w:rPr>
          <w:rFonts w:ascii="Bookman Old Style" w:eastAsia="Times New Roman" w:hAnsi="Bookman Old Style" w:cs="Times New Roman"/>
          <w:color w:val="000000"/>
          <w:sz w:val="20"/>
          <w:szCs w:val="20"/>
          <w:lang w:eastAsia="pt-BR"/>
        </w:rPr>
        <w:lastRenderedPageBreak/>
        <w:t>que n</w:t>
      </w:r>
      <w:r w:rsidRPr="00F97084">
        <w:rPr>
          <w:rFonts w:ascii="Bookman Old Style" w:eastAsia="Times New Roman" w:hAnsi="Bookman Old Style" w:cs="Bookman Old Style"/>
          <w:color w:val="000000"/>
          <w:sz w:val="20"/>
          <w:szCs w:val="20"/>
          <w:lang w:eastAsia="pt-BR"/>
        </w:rPr>
        <w:t>ã</w:t>
      </w:r>
      <w:r w:rsidRPr="00F97084">
        <w:rPr>
          <w:rFonts w:ascii="Bookman Old Style" w:eastAsia="Times New Roman" w:hAnsi="Bookman Old Style" w:cs="Times New Roman"/>
          <w:color w:val="000000"/>
          <w:sz w:val="20"/>
          <w:szCs w:val="20"/>
          <w:lang w:eastAsia="pt-BR"/>
        </w:rPr>
        <w:t>o haja majora</w:t>
      </w:r>
      <w:r w:rsidRPr="00F97084">
        <w:rPr>
          <w:rFonts w:ascii="Bookman Old Style" w:eastAsia="Times New Roman" w:hAnsi="Bookman Old Style" w:cs="Bookman Old Style"/>
          <w:color w:val="000000"/>
          <w:sz w:val="20"/>
          <w:szCs w:val="20"/>
          <w:lang w:eastAsia="pt-BR"/>
        </w:rPr>
        <w:t>çã</w:t>
      </w:r>
      <w:r w:rsidRPr="00F97084">
        <w:rPr>
          <w:rFonts w:ascii="Bookman Old Style" w:eastAsia="Times New Roman" w:hAnsi="Bookman Old Style" w:cs="Times New Roman"/>
          <w:color w:val="000000"/>
          <w:sz w:val="20"/>
          <w:szCs w:val="20"/>
          <w:lang w:eastAsia="pt-BR"/>
        </w:rPr>
        <w:t>o do pre</w:t>
      </w:r>
      <w:r w:rsidRPr="00F97084">
        <w:rPr>
          <w:rFonts w:ascii="Bookman Old Style" w:eastAsia="Times New Roman" w:hAnsi="Bookman Old Style" w:cs="Bookman Old Style"/>
          <w:color w:val="000000"/>
          <w:sz w:val="20"/>
          <w:szCs w:val="20"/>
          <w:lang w:eastAsia="pt-BR"/>
        </w:rPr>
        <w:t>ç</w:t>
      </w:r>
      <w:r w:rsidRPr="00F97084">
        <w:rPr>
          <w:rFonts w:ascii="Bookman Old Style" w:eastAsia="Times New Roman" w:hAnsi="Bookman Old Style" w:cs="Times New Roman"/>
          <w:color w:val="000000"/>
          <w:sz w:val="20"/>
          <w:szCs w:val="20"/>
          <w:lang w:eastAsia="pt-BR"/>
        </w:rPr>
        <w:t xml:space="preserve">o e que se comprove que este </w:t>
      </w:r>
      <w:r w:rsidRPr="00F97084">
        <w:rPr>
          <w:rFonts w:ascii="Bookman Old Style" w:eastAsia="Times New Roman" w:hAnsi="Bookman Old Style" w:cs="Bookman Old Style"/>
          <w:color w:val="000000"/>
          <w:sz w:val="20"/>
          <w:szCs w:val="20"/>
          <w:lang w:eastAsia="pt-BR"/>
        </w:rPr>
        <w:t>é</w:t>
      </w:r>
      <w:r w:rsidRPr="00F97084">
        <w:rPr>
          <w:rFonts w:ascii="Bookman Old Style" w:eastAsia="Times New Roman" w:hAnsi="Bookman Old Style" w:cs="Times New Roman"/>
          <w:color w:val="000000"/>
          <w:sz w:val="20"/>
          <w:szCs w:val="20"/>
          <w:lang w:eastAsia="pt-BR"/>
        </w:rPr>
        <w:t xml:space="preserve"> o bastante para arcar com todos os custos da contrata</w:t>
      </w:r>
      <w:r w:rsidRPr="00F97084">
        <w:rPr>
          <w:rFonts w:ascii="Bookman Old Style" w:eastAsia="Times New Roman" w:hAnsi="Bookman Old Style" w:cs="Bookman Old Style"/>
          <w:color w:val="000000"/>
          <w:sz w:val="20"/>
          <w:szCs w:val="20"/>
          <w:lang w:eastAsia="pt-BR"/>
        </w:rPr>
        <w:t>çã</w:t>
      </w:r>
      <w:r w:rsidRPr="00F97084">
        <w:rPr>
          <w:rFonts w:ascii="Bookman Old Style" w:eastAsia="Times New Roman" w:hAnsi="Bookman Old Style" w:cs="Times New Roman"/>
          <w:color w:val="000000"/>
          <w:sz w:val="20"/>
          <w:szCs w:val="20"/>
          <w:lang w:eastAsia="pt-BR"/>
        </w:rPr>
        <w:t>o;</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7.13.1. O ajuste de que trata este dispositivo se limita a sanar erros ou falhas que não alterem a substância das propostas;</w:t>
      </w:r>
    </w:p>
    <w:p w:rsidR="006153DA" w:rsidRPr="00F97084" w:rsidRDefault="006153DA"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7.13.2. Considera-se erro no preenchimento da planilha passível de correção a indicação de recolhimento de impostos e contribuições na forma do Simples Nacional, quando não cabível esse regime.</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7.14. Para fins de análise da proposta quanto ao cumprimento das especificações do objeto, poderá ser colhida a manifestação escrita do setor requisitante do serviço ou da área especializada no objeto.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7.15. 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7.16. Caso o Termo de Referência/Projeto Básico exija a apresentação de amostra, o licitante classificado em primeiro lugar deverá apresentá-la, conforme disciplinado no Termo de Referência, sob pena de não aceitação da proposta.</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7.17. Por meio de mensagem no sistema, será divulgado o local e horário de realização do procedimento para a avaliação das amostras, cuja presença será facultada a todos os interessados, incluindo os demais licitantes.</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7.18. Os resultados das avaliações serão divulgados por meio de mensagem no sistema.</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7.19. No caso de não haver entrega da amostra ou ocorrer atraso na entrega, sem justificativa aceita pelo Pregoeiro, ou havendo entrega de amostra fora das especificações previstas neste Edital, a proposta do licitante será recusada.</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7.20. Se a(s) amostra(s) apresentada(s) pelo primeiro classificado não </w:t>
      </w:r>
      <w:proofErr w:type="gramStart"/>
      <w:r w:rsidRPr="00F97084">
        <w:rPr>
          <w:rFonts w:ascii="Bookman Old Style" w:eastAsia="Times New Roman" w:hAnsi="Bookman Old Style" w:cs="Times New Roman"/>
          <w:color w:val="000000"/>
          <w:sz w:val="20"/>
          <w:szCs w:val="20"/>
          <w:lang w:eastAsia="pt-BR"/>
        </w:rPr>
        <w:t>for(</w:t>
      </w:r>
      <w:proofErr w:type="gramEnd"/>
      <w:r w:rsidRPr="00F97084">
        <w:rPr>
          <w:rFonts w:ascii="Bookman Old Style" w:eastAsia="Times New Roman" w:hAnsi="Bookman Old Style" w:cs="Times New Roman"/>
          <w:color w:val="000000"/>
          <w:sz w:val="20"/>
          <w:szCs w:val="20"/>
          <w:lang w:eastAsia="pt-BR"/>
        </w:rPr>
        <w:t>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b/>
          <w:bCs/>
          <w:color w:val="000000"/>
          <w:sz w:val="20"/>
          <w:szCs w:val="20"/>
          <w:lang w:eastAsia="pt-BR"/>
        </w:rPr>
        <w:t>8. DA FASE DE HABILITAÇÃO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8.1. Os documentos previstos no </w:t>
      </w:r>
      <w:r w:rsidR="00AD62EF">
        <w:rPr>
          <w:rFonts w:ascii="Bookman Old Style" w:eastAsia="Times New Roman" w:hAnsi="Bookman Old Style" w:cs="Times New Roman"/>
          <w:color w:val="000000"/>
          <w:sz w:val="20"/>
          <w:szCs w:val="20"/>
          <w:lang w:eastAsia="pt-BR"/>
        </w:rPr>
        <w:t>Anexo II</w:t>
      </w:r>
      <w:r w:rsidRPr="00F97084">
        <w:rPr>
          <w:rFonts w:ascii="Bookman Old Style" w:eastAsia="Times New Roman" w:hAnsi="Bookman Old Style" w:cs="Times New Roman"/>
          <w:color w:val="000000"/>
          <w:sz w:val="20"/>
          <w:szCs w:val="20"/>
          <w:lang w:eastAsia="pt-BR"/>
        </w:rPr>
        <w:t xml:space="preserve">, necessários e suficientes para demonstrar a capacidade do licitante de realizar o objeto da licitação, serão exigidos para fins de habilitação, nos termos dos </w:t>
      </w:r>
      <w:hyperlink r:id="rId31" w:anchor="art62" w:tgtFrame="_blank" w:history="1">
        <w:proofErr w:type="spellStart"/>
        <w:r w:rsidRPr="00F97084">
          <w:rPr>
            <w:rFonts w:ascii="Bookman Old Style" w:eastAsia="Times New Roman" w:hAnsi="Bookman Old Style" w:cs="Times New Roman"/>
            <w:color w:val="0000FF"/>
            <w:sz w:val="20"/>
            <w:szCs w:val="20"/>
            <w:u w:val="single"/>
            <w:lang w:eastAsia="pt-BR"/>
          </w:rPr>
          <w:t>arts</w:t>
        </w:r>
        <w:proofErr w:type="spellEnd"/>
        <w:r w:rsidRPr="00F97084">
          <w:rPr>
            <w:rFonts w:ascii="Bookman Old Style" w:eastAsia="Times New Roman" w:hAnsi="Bookman Old Style" w:cs="Times New Roman"/>
            <w:color w:val="0000FF"/>
            <w:sz w:val="20"/>
            <w:szCs w:val="20"/>
            <w:u w:val="single"/>
            <w:lang w:eastAsia="pt-BR"/>
          </w:rPr>
          <w:t>. 62 a 70 da Lei nº 14.133, de 2021</w:t>
        </w:r>
      </w:hyperlink>
      <w:r w:rsidRPr="00F97084">
        <w:rPr>
          <w:rFonts w:ascii="Bookman Old Style" w:eastAsia="Times New Roman" w:hAnsi="Bookman Old Style" w:cs="Times New Roman"/>
          <w:color w:val="000000"/>
          <w:sz w:val="20"/>
          <w:szCs w:val="20"/>
          <w:lang w:eastAsia="pt-BR"/>
        </w:rPr>
        <w:t>.</w:t>
      </w:r>
    </w:p>
    <w:p w:rsidR="006153DA" w:rsidRPr="00F97084" w:rsidRDefault="006153DA"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8.1.1. A documentação exigida para fins de habilitação jurídica, fiscal, social e trabalhista e econômico-</w:t>
      </w:r>
      <w:proofErr w:type="spellStart"/>
      <w:r w:rsidRPr="00F97084">
        <w:rPr>
          <w:rFonts w:ascii="Bookman Old Style" w:eastAsia="Times New Roman" w:hAnsi="Bookman Old Style" w:cs="Times New Roman"/>
          <w:color w:val="000000"/>
          <w:sz w:val="20"/>
          <w:szCs w:val="20"/>
          <w:lang w:eastAsia="pt-BR"/>
        </w:rPr>
        <w:t>ﬁnanceira</w:t>
      </w:r>
      <w:proofErr w:type="spellEnd"/>
      <w:r w:rsidRPr="00F97084">
        <w:rPr>
          <w:rFonts w:ascii="Bookman Old Style" w:eastAsia="Times New Roman" w:hAnsi="Bookman Old Style" w:cs="Times New Roman"/>
          <w:color w:val="000000"/>
          <w:sz w:val="20"/>
          <w:szCs w:val="20"/>
          <w:lang w:eastAsia="pt-BR"/>
        </w:rPr>
        <w:t>, poderá ser substituída pelo registro cadastral no SICAF.</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8.2. Quando permitida a participação de empresas estrangeiras que não funcionem no País, as exigências de habilitação serão atendidas mediante documentos equivalentes, inicialmente apresentados em tradução livre.</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8.3. Na hipótese de o licitante vencedor ser empresa estrangeira que não funcione no País, para </w:t>
      </w:r>
      <w:proofErr w:type="spellStart"/>
      <w:r w:rsidRPr="00F97084">
        <w:rPr>
          <w:rFonts w:ascii="Bookman Old Style" w:eastAsia="Times New Roman" w:hAnsi="Bookman Old Style" w:cs="Times New Roman"/>
          <w:color w:val="000000"/>
          <w:sz w:val="20"/>
          <w:szCs w:val="20"/>
          <w:lang w:eastAsia="pt-BR"/>
        </w:rPr>
        <w:t>ﬁns</w:t>
      </w:r>
      <w:proofErr w:type="spellEnd"/>
      <w:r w:rsidRPr="00F97084">
        <w:rPr>
          <w:rFonts w:ascii="Bookman Old Style" w:eastAsia="Times New Roman" w:hAnsi="Bookman Old Style" w:cs="Times New Roman"/>
          <w:color w:val="000000"/>
          <w:sz w:val="20"/>
          <w:szCs w:val="20"/>
          <w:lang w:eastAsia="pt-BR"/>
        </w:rPr>
        <w:t xml:space="preserve"> de assinatura do contrato ou da ata de registro de preços, os documentos exigidos para a habilitação serão traduzidos por tradutor juramentado no País e apostilados nos termos do </w:t>
      </w:r>
      <w:r w:rsidRPr="00F97084">
        <w:rPr>
          <w:rFonts w:ascii="Bookman Old Style" w:eastAsia="Times New Roman" w:hAnsi="Bookman Old Style" w:cs="Times New Roman"/>
          <w:color w:val="000000"/>
          <w:sz w:val="20"/>
          <w:szCs w:val="20"/>
          <w:lang w:eastAsia="pt-BR"/>
        </w:rPr>
        <w:lastRenderedPageBreak/>
        <w:t xml:space="preserve">disposto no </w:t>
      </w:r>
      <w:hyperlink r:id="rId32" w:tgtFrame="_blank" w:history="1">
        <w:r w:rsidRPr="00F97084">
          <w:rPr>
            <w:rFonts w:ascii="Bookman Old Style" w:eastAsia="Times New Roman" w:hAnsi="Bookman Old Style" w:cs="Times New Roman"/>
            <w:color w:val="0000FF"/>
            <w:sz w:val="20"/>
            <w:szCs w:val="20"/>
            <w:u w:val="single"/>
            <w:lang w:eastAsia="pt-BR"/>
          </w:rPr>
          <w:t>Decreto nº 8.660, de 29 de janeiro de 2016</w:t>
        </w:r>
      </w:hyperlink>
      <w:r w:rsidRPr="00F97084">
        <w:rPr>
          <w:rFonts w:ascii="Bookman Old Style" w:eastAsia="Times New Roman" w:hAnsi="Bookman Old Style" w:cs="Times New Roman"/>
          <w:color w:val="000000"/>
          <w:sz w:val="20"/>
          <w:szCs w:val="20"/>
          <w:lang w:eastAsia="pt-BR"/>
        </w:rPr>
        <w:t xml:space="preserve">, ou de outro que venha a substituí-lo, ou </w:t>
      </w:r>
      <w:proofErr w:type="spellStart"/>
      <w:r w:rsidRPr="00F97084">
        <w:rPr>
          <w:rFonts w:ascii="Bookman Old Style" w:eastAsia="Times New Roman" w:hAnsi="Bookman Old Style" w:cs="Times New Roman"/>
          <w:color w:val="000000"/>
          <w:sz w:val="20"/>
          <w:szCs w:val="20"/>
          <w:lang w:eastAsia="pt-BR"/>
        </w:rPr>
        <w:t>consularizados</w:t>
      </w:r>
      <w:proofErr w:type="spellEnd"/>
      <w:r w:rsidRPr="00F97084">
        <w:rPr>
          <w:rFonts w:ascii="Bookman Old Style" w:eastAsia="Times New Roman" w:hAnsi="Bookman Old Style" w:cs="Times New Roman"/>
          <w:color w:val="000000"/>
          <w:sz w:val="20"/>
          <w:szCs w:val="20"/>
          <w:lang w:eastAsia="pt-BR"/>
        </w:rPr>
        <w:t xml:space="preserve"> pelos respectivos consulados ou embaixadas.</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8.4.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8.5. Os documentos exigidos para fins de habilitação poderão ser apresentados em original ou por cópia.</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8.6. Os documentos exigidos para fins de habilitação poderão ser substituídos por registro cadastral emitido por órgão ou entidade pública, desde que o registro tenha sido feito em obediência ao disposto na Lei nº 14.133, de 2021.</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8.7. Será verificado se o licitante apresentou declaração de que atende aos requisitos de habilitação, e o declarante responderá pela veracidade das informaç</w:t>
      </w:r>
      <w:r w:rsidR="00757B52">
        <w:rPr>
          <w:rFonts w:ascii="Bookman Old Style" w:eastAsia="Times New Roman" w:hAnsi="Bookman Old Style" w:cs="Times New Roman"/>
          <w:color w:val="000000"/>
          <w:sz w:val="20"/>
          <w:szCs w:val="20"/>
          <w:lang w:eastAsia="pt-BR"/>
        </w:rPr>
        <w:t>ões prestadas, na forma da lei.</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8.8. 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8.9. O licitante deverá apresentar, sob pena de desclassificação, declaração de que sua proposta econômica compreende a integralidade dos custos para atendimento dos direitos trabalhistas assegurados na Constituição Federal, nas leis trabalhistas, nas normas </w:t>
      </w:r>
      <w:proofErr w:type="spellStart"/>
      <w:r w:rsidRPr="00F97084">
        <w:rPr>
          <w:rFonts w:ascii="Bookman Old Style" w:eastAsia="Times New Roman" w:hAnsi="Bookman Old Style" w:cs="Times New Roman"/>
          <w:color w:val="000000"/>
          <w:sz w:val="20"/>
          <w:szCs w:val="20"/>
          <w:lang w:eastAsia="pt-BR"/>
        </w:rPr>
        <w:t>infralegais</w:t>
      </w:r>
      <w:proofErr w:type="spellEnd"/>
      <w:r w:rsidRPr="00F97084">
        <w:rPr>
          <w:rFonts w:ascii="Bookman Old Style" w:eastAsia="Times New Roman" w:hAnsi="Bookman Old Style" w:cs="Times New Roman"/>
          <w:color w:val="000000"/>
          <w:sz w:val="20"/>
          <w:szCs w:val="20"/>
          <w:lang w:eastAsia="pt-BR"/>
        </w:rPr>
        <w:t>, nas convenções coletivas de trabalho e nos termos de ajustamento de conduta vigentes na data de entrega das propostas.</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8.10. A habilitação será verificada por meio do </w:t>
      </w:r>
      <w:proofErr w:type="spellStart"/>
      <w:r w:rsidRPr="00F97084">
        <w:rPr>
          <w:rFonts w:ascii="Bookman Old Style" w:eastAsia="Times New Roman" w:hAnsi="Bookman Old Style" w:cs="Times New Roman"/>
          <w:color w:val="000000"/>
          <w:sz w:val="20"/>
          <w:szCs w:val="20"/>
          <w:lang w:eastAsia="pt-BR"/>
        </w:rPr>
        <w:t>Sicaf</w:t>
      </w:r>
      <w:proofErr w:type="spellEnd"/>
      <w:r w:rsidRPr="00F97084">
        <w:rPr>
          <w:rFonts w:ascii="Bookman Old Style" w:eastAsia="Times New Roman" w:hAnsi="Bookman Old Style" w:cs="Times New Roman"/>
          <w:color w:val="000000"/>
          <w:sz w:val="20"/>
          <w:szCs w:val="20"/>
          <w:lang w:eastAsia="pt-BR"/>
        </w:rPr>
        <w:t>, nos documentos por ele abrangidos.</w:t>
      </w:r>
    </w:p>
    <w:p w:rsidR="006153DA" w:rsidRPr="00F97084" w:rsidRDefault="006153DA"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8.10.1. Somente haverá a necessidade de comprovação do preenchimento de requisitos mediante apresentação dos documentos originais não-digitais quando houver dúvida em relação à integridade do documento digital ou quando a lei expressamente o exigir.</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8.11. É de responsabilidade do licitante conferir a exatidão dos seus dados cadastrais no </w:t>
      </w:r>
      <w:proofErr w:type="spellStart"/>
      <w:r w:rsidRPr="00F97084">
        <w:rPr>
          <w:rFonts w:ascii="Bookman Old Style" w:eastAsia="Times New Roman" w:hAnsi="Bookman Old Style" w:cs="Times New Roman"/>
          <w:color w:val="000000"/>
          <w:sz w:val="20"/>
          <w:szCs w:val="20"/>
          <w:lang w:eastAsia="pt-BR"/>
        </w:rPr>
        <w:t>Sicaf</w:t>
      </w:r>
      <w:proofErr w:type="spellEnd"/>
      <w:r w:rsidRPr="00F97084">
        <w:rPr>
          <w:rFonts w:ascii="Bookman Old Style" w:eastAsia="Times New Roman" w:hAnsi="Bookman Old Style" w:cs="Times New Roman"/>
          <w:color w:val="000000"/>
          <w:sz w:val="20"/>
          <w:szCs w:val="20"/>
          <w:lang w:eastAsia="pt-BR"/>
        </w:rPr>
        <w:t xml:space="preserve"> e mantê-los atualizados junto aos órgãos responsáveis pela informação, devendo proceder, imediatamente, à correção ou à alteração dos registros tão logo identifique incorreção ou aqueles se tornem desatualizados.</w:t>
      </w:r>
    </w:p>
    <w:p w:rsidR="006153DA" w:rsidRPr="00F97084" w:rsidRDefault="006153DA"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8.11.1. A não observância do disposto no item anterior poderá ensejar desclassificação no momento da habilitação.</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8.12. A verificação pelo Pregoeiro, em sítios eletrônicos oficiais de órgãos e entidades emissores de certidões constitui meio legal de prova, para fins de habilitação.</w:t>
      </w:r>
    </w:p>
    <w:p w:rsidR="006153DA" w:rsidRPr="00F97084" w:rsidRDefault="006153DA"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8.12.1. Os documentos exigidos para habilitação que não estejam contemplados no </w:t>
      </w:r>
      <w:proofErr w:type="spellStart"/>
      <w:r w:rsidRPr="00F97084">
        <w:rPr>
          <w:rFonts w:ascii="Bookman Old Style" w:eastAsia="Times New Roman" w:hAnsi="Bookman Old Style" w:cs="Times New Roman"/>
          <w:color w:val="000000"/>
          <w:sz w:val="20"/>
          <w:szCs w:val="20"/>
          <w:lang w:eastAsia="pt-BR"/>
        </w:rPr>
        <w:t>Sicaf</w:t>
      </w:r>
      <w:proofErr w:type="spellEnd"/>
      <w:r w:rsidRPr="00F97084">
        <w:rPr>
          <w:rFonts w:ascii="Bookman Old Style" w:eastAsia="Times New Roman" w:hAnsi="Bookman Old Style" w:cs="Times New Roman"/>
          <w:color w:val="000000"/>
          <w:sz w:val="20"/>
          <w:szCs w:val="20"/>
          <w:lang w:eastAsia="pt-BR"/>
        </w:rPr>
        <w:t xml:space="preserve"> serão enviados por meio do sistema, em formato digital, no prazo de 2 (duas) horas, prorrogável por igual período, contado da solicitação do Pregoeiro.</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8.13. A verificação no </w:t>
      </w:r>
      <w:proofErr w:type="spellStart"/>
      <w:r w:rsidRPr="00F97084">
        <w:rPr>
          <w:rFonts w:ascii="Bookman Old Style" w:eastAsia="Times New Roman" w:hAnsi="Bookman Old Style" w:cs="Times New Roman"/>
          <w:color w:val="000000"/>
          <w:sz w:val="20"/>
          <w:szCs w:val="20"/>
          <w:lang w:eastAsia="pt-BR"/>
        </w:rPr>
        <w:t>Sicaf</w:t>
      </w:r>
      <w:proofErr w:type="spellEnd"/>
      <w:r w:rsidRPr="00F97084">
        <w:rPr>
          <w:rFonts w:ascii="Bookman Old Style" w:eastAsia="Times New Roman" w:hAnsi="Bookman Old Style" w:cs="Times New Roman"/>
          <w:color w:val="000000"/>
          <w:sz w:val="20"/>
          <w:szCs w:val="20"/>
          <w:lang w:eastAsia="pt-BR"/>
        </w:rPr>
        <w:t xml:space="preserve"> ou a exigência dos documentos nele não contidos somente será feita em relação ao licitante vencedor.</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8.13.1. Os documentos relativos à regularidade fiscal que constem do Termo de Referência somente serão exigidos, em qualquer caso, em momento posterior ao julgamento das propostas, e apenas do licitante mais bem classificado.</w:t>
      </w:r>
    </w:p>
    <w:p w:rsidR="006153DA" w:rsidRPr="00F97084" w:rsidRDefault="006153DA"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lastRenderedPageBreak/>
        <w:t>8.13.2.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8.14. Encerrado o prazo para envio da documentação de que trata o item 8.12.1, poderá ser admitida, mediante decisão fundamentada do Pregoeiro, a apresentação de novos documentos de habilitação ou a complementação de informações acerca dos documentos já apresentados pelos licitantes, em até 2 (duas) horas, para:</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8.14.1. </w:t>
      </w:r>
      <w:proofErr w:type="gramStart"/>
      <w:r w:rsidRPr="00F97084">
        <w:rPr>
          <w:rFonts w:ascii="Bookman Old Style" w:eastAsia="Times New Roman" w:hAnsi="Bookman Old Style" w:cs="Times New Roman"/>
          <w:color w:val="000000"/>
          <w:sz w:val="20"/>
          <w:szCs w:val="20"/>
          <w:lang w:eastAsia="pt-BR"/>
        </w:rPr>
        <w:t>a</w:t>
      </w:r>
      <w:proofErr w:type="gramEnd"/>
      <w:r w:rsidRPr="00F97084">
        <w:rPr>
          <w:rFonts w:ascii="Bookman Old Style" w:eastAsia="Times New Roman" w:hAnsi="Bookman Old Style" w:cs="Times New Roman"/>
          <w:color w:val="000000"/>
          <w:sz w:val="20"/>
          <w:szCs w:val="20"/>
          <w:lang w:eastAsia="pt-BR"/>
        </w:rPr>
        <w:t xml:space="preserve"> aferição das condições de habilitação do licitante, desde que decorrentes de fatos existentes à época da abertura do certame;</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8.14.2. </w:t>
      </w:r>
      <w:proofErr w:type="gramStart"/>
      <w:r w:rsidRPr="00F97084">
        <w:rPr>
          <w:rFonts w:ascii="Bookman Old Style" w:eastAsia="Times New Roman" w:hAnsi="Bookman Old Style" w:cs="Times New Roman"/>
          <w:color w:val="000000"/>
          <w:sz w:val="20"/>
          <w:szCs w:val="20"/>
          <w:lang w:eastAsia="pt-BR"/>
        </w:rPr>
        <w:t>atualização</w:t>
      </w:r>
      <w:proofErr w:type="gramEnd"/>
      <w:r w:rsidRPr="00F97084">
        <w:rPr>
          <w:rFonts w:ascii="Bookman Old Style" w:eastAsia="Times New Roman" w:hAnsi="Bookman Old Style" w:cs="Times New Roman"/>
          <w:color w:val="000000"/>
          <w:sz w:val="20"/>
          <w:szCs w:val="20"/>
          <w:lang w:eastAsia="pt-BR"/>
        </w:rPr>
        <w:t xml:space="preserve"> de documentos cuja validade tenha expirado após a data de recebimento das propostas;</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8.14.3. </w:t>
      </w:r>
      <w:proofErr w:type="gramStart"/>
      <w:r w:rsidRPr="00F97084">
        <w:rPr>
          <w:rFonts w:ascii="Bookman Old Style" w:eastAsia="Times New Roman" w:hAnsi="Bookman Old Style" w:cs="Times New Roman"/>
          <w:color w:val="000000"/>
          <w:sz w:val="20"/>
          <w:szCs w:val="20"/>
          <w:lang w:eastAsia="pt-BR"/>
        </w:rPr>
        <w:t>suprimento</w:t>
      </w:r>
      <w:proofErr w:type="gramEnd"/>
      <w:r w:rsidRPr="00F97084">
        <w:rPr>
          <w:rFonts w:ascii="Bookman Old Style" w:eastAsia="Times New Roman" w:hAnsi="Bookman Old Style" w:cs="Times New Roman"/>
          <w:color w:val="000000"/>
          <w:sz w:val="20"/>
          <w:szCs w:val="20"/>
          <w:lang w:eastAsia="pt-BR"/>
        </w:rPr>
        <w:t xml:space="preserve"> da ausência de documento de cunho declaratório emitido unilateralmente pelo licitante;</w:t>
      </w:r>
    </w:p>
    <w:p w:rsidR="006153DA" w:rsidRPr="00F97084" w:rsidRDefault="006153DA"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8.14.4. </w:t>
      </w:r>
      <w:proofErr w:type="gramStart"/>
      <w:r w:rsidRPr="00F97084">
        <w:rPr>
          <w:rFonts w:ascii="Bookman Old Style" w:eastAsia="Times New Roman" w:hAnsi="Bookman Old Style" w:cs="Times New Roman"/>
          <w:color w:val="000000"/>
          <w:sz w:val="20"/>
          <w:szCs w:val="20"/>
          <w:lang w:eastAsia="pt-BR"/>
        </w:rPr>
        <w:t>suprimento</w:t>
      </w:r>
      <w:proofErr w:type="gramEnd"/>
      <w:r w:rsidRPr="00F97084">
        <w:rPr>
          <w:rFonts w:ascii="Bookman Old Style" w:eastAsia="Times New Roman" w:hAnsi="Bookman Old Style" w:cs="Times New Roman"/>
          <w:color w:val="000000"/>
          <w:sz w:val="20"/>
          <w:szCs w:val="20"/>
          <w:lang w:eastAsia="pt-BR"/>
        </w:rPr>
        <w:t xml:space="preserve"> da ausência de certidão e/ou documento de cunho declaratório expedido por órgão ou entidade cujos atos gozem de presunção de veracidade e fé pública.</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8.15. Findo o prazo assinalado sem o envio da nova documentação, restará preclusa essa oportunidade conferida ao licitante, implicando sua inabilitação.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8.16.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F97084">
        <w:rPr>
          <w:rFonts w:ascii="Bookman Old Style" w:eastAsia="Times New Roman" w:hAnsi="Bookman Old Style" w:cs="Times New Roman"/>
          <w:color w:val="000000"/>
          <w:sz w:val="20"/>
          <w:szCs w:val="20"/>
          <w:lang w:eastAsia="pt-BR"/>
        </w:rPr>
        <w:t>eﬁcácia</w:t>
      </w:r>
      <w:proofErr w:type="spellEnd"/>
      <w:r w:rsidRPr="00F97084">
        <w:rPr>
          <w:rFonts w:ascii="Bookman Old Style" w:eastAsia="Times New Roman" w:hAnsi="Bookman Old Style" w:cs="Times New Roman"/>
          <w:color w:val="000000"/>
          <w:sz w:val="20"/>
          <w:szCs w:val="20"/>
          <w:lang w:eastAsia="pt-BR"/>
        </w:rPr>
        <w:t xml:space="preserve"> para fins de habilitação e classificação.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8.17. 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8.18. Somente serão disponibilizados para acesso público os documentos de habilitação do licitante cuja proposta atenda ao edital de licitação, após concluídos os procedimentos de que trata o subitem anterior.</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8.19. A comprovação de regularidade fiscal e trabalhista das microempresas e das empresas de pequeno porte somente será exigida para efeito de contratação, e não como condição para participação na licitação (art. 4º do Decreto nº 8.538/2015).</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b/>
          <w:bCs/>
          <w:color w:val="000000"/>
          <w:sz w:val="20"/>
          <w:szCs w:val="20"/>
          <w:lang w:eastAsia="pt-BR"/>
        </w:rPr>
        <w:t>9. DO TERMO DE CONTRATO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9.1. Após a homologação e adjudicação, caso se conclua pela contratação, será firmado termo de contrato, ou outro instrumento equivalente</w:t>
      </w:r>
      <w:r w:rsidR="008D2A52" w:rsidRPr="00F97084">
        <w:rPr>
          <w:rFonts w:ascii="Bookman Old Style" w:eastAsia="Times New Roman" w:hAnsi="Bookman Old Style" w:cs="Times New Roman"/>
          <w:color w:val="000000"/>
          <w:sz w:val="20"/>
          <w:szCs w:val="20"/>
          <w:lang w:eastAsia="pt-BR"/>
        </w:rPr>
        <w:t>;</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9.2. O adjudicatário terá o prazo de 5 (cinco) dias úteis, contados a partir da data de sua convocação, para assinar o termo de contrato ou instrumento equivalente, sob pena de decair o direito à contratação, sem prejuízo das sanções previstas neste Edital.</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9.3. Alternativamente à convocação para comparecer perante o órgão ou entidade para a assinatura do Termo de Contrato ou instrumento equivalente, a Administração poderá:</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a) encaminhá-lo para assinatura, mediante correspondência postal com aviso de recebimento (AR), para que seja assinado e devolvido no prazo de 5 (cinco) dias úteis, a contar da data de seu recebimento;</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lastRenderedPageBreak/>
        <w:t>b) disponibilizar acesso a sistema de processo eletrônico para que seja assinado digitalmente em até 5 (cinco) dias úteis; ou</w:t>
      </w:r>
    </w:p>
    <w:p w:rsidR="006153DA" w:rsidRPr="00F97084" w:rsidRDefault="006153DA"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c) outro meio eletrônico, assegurado o prazo de 5 (cinco) dias úteis para resposta após recebimento da notificação pela Administração.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9.4. Os prazos dos itens 9.2 e 9.3 poderão ser prorrogados, por igual período, por solicitação justificada do adjudicatário e aceita pela Administração.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9.5. O prazo de vigência da contratação é o estabelecido no Termo de Referência.</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9.6.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rsidR="006153DA" w:rsidRDefault="006153DA"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9.6.1. A existência do registro do Cadin constitui fator impeditivo para a contratação.</w:t>
      </w:r>
    </w:p>
    <w:p w:rsidR="00CF6858" w:rsidRPr="00F97084" w:rsidRDefault="00CF6858" w:rsidP="006153DA">
      <w:pPr>
        <w:spacing w:after="240" w:line="288" w:lineRule="atLeast"/>
        <w:ind w:firstLine="567"/>
        <w:jc w:val="both"/>
        <w:rPr>
          <w:rFonts w:ascii="Bookman Old Style" w:eastAsia="Times New Roman" w:hAnsi="Bookman Old Style" w:cs="Times New Roman"/>
          <w:color w:val="000000"/>
          <w:sz w:val="20"/>
          <w:szCs w:val="20"/>
          <w:lang w:eastAsia="pt-BR"/>
        </w:rPr>
      </w:pP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b/>
          <w:bCs/>
          <w:color w:val="000000"/>
          <w:sz w:val="20"/>
          <w:szCs w:val="20"/>
          <w:lang w:eastAsia="pt-BR"/>
        </w:rPr>
        <w:t>10. DOS RECURSOS</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10.1. A interposição de recurso referente ao julgamento das propostas, à habilitação ou inabilitação de licitantes, à anulação ou revogação da licitação, observará o disposto no art. 165 da Lei nº 14.133, de 2021.</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10.2. O prazo recursal é de 3 (três) dias úteis, contados da data de intimação ou de lavratura da ata.</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10.3. Quando o recurso apresentado impugnar o julgamento das propostas ou o ato de habilitação ou inabilitação do licitante:</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10.3.1. </w:t>
      </w:r>
      <w:proofErr w:type="gramStart"/>
      <w:r w:rsidRPr="00F97084">
        <w:rPr>
          <w:rFonts w:ascii="Bookman Old Style" w:eastAsia="Times New Roman" w:hAnsi="Bookman Old Style" w:cs="Times New Roman"/>
          <w:color w:val="000000"/>
          <w:sz w:val="20"/>
          <w:szCs w:val="20"/>
          <w:lang w:eastAsia="pt-BR"/>
        </w:rPr>
        <w:t>a</w:t>
      </w:r>
      <w:proofErr w:type="gramEnd"/>
      <w:r w:rsidRPr="00F97084">
        <w:rPr>
          <w:rFonts w:ascii="Bookman Old Style" w:eastAsia="Times New Roman" w:hAnsi="Bookman Old Style" w:cs="Times New Roman"/>
          <w:color w:val="000000"/>
          <w:sz w:val="20"/>
          <w:szCs w:val="20"/>
          <w:lang w:eastAsia="pt-BR"/>
        </w:rPr>
        <w:t xml:space="preserve"> intenção de recorrer deverá ser manifestada imediatamente, sob pena de preclusão;</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10.3.2. </w:t>
      </w:r>
      <w:proofErr w:type="gramStart"/>
      <w:r w:rsidRPr="00F97084">
        <w:rPr>
          <w:rFonts w:ascii="Bookman Old Style" w:eastAsia="Times New Roman" w:hAnsi="Bookman Old Style" w:cs="Times New Roman"/>
          <w:color w:val="000000"/>
          <w:sz w:val="20"/>
          <w:szCs w:val="20"/>
          <w:lang w:eastAsia="pt-BR"/>
        </w:rPr>
        <w:t>o</w:t>
      </w:r>
      <w:proofErr w:type="gramEnd"/>
      <w:r w:rsidRPr="00F97084">
        <w:rPr>
          <w:rFonts w:ascii="Bookman Old Style" w:eastAsia="Times New Roman" w:hAnsi="Bookman Old Style" w:cs="Times New Roman"/>
          <w:color w:val="000000"/>
          <w:sz w:val="20"/>
          <w:szCs w:val="20"/>
          <w:lang w:eastAsia="pt-BR"/>
        </w:rPr>
        <w:t xml:space="preserve"> prazo para a manifestação da intenção de recorrer não será inferior a 10 (dez) minutos.</w:t>
      </w:r>
    </w:p>
    <w:p w:rsidR="006153DA" w:rsidRPr="00F97084" w:rsidRDefault="006153DA"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10.3.3. </w:t>
      </w:r>
      <w:proofErr w:type="gramStart"/>
      <w:r w:rsidRPr="00F97084">
        <w:rPr>
          <w:rFonts w:ascii="Bookman Old Style" w:eastAsia="Times New Roman" w:hAnsi="Bookman Old Style" w:cs="Times New Roman"/>
          <w:color w:val="000000"/>
          <w:sz w:val="20"/>
          <w:szCs w:val="20"/>
          <w:lang w:eastAsia="pt-BR"/>
        </w:rPr>
        <w:t>o</w:t>
      </w:r>
      <w:proofErr w:type="gramEnd"/>
      <w:r w:rsidRPr="00F97084">
        <w:rPr>
          <w:rFonts w:ascii="Bookman Old Style" w:eastAsia="Times New Roman" w:hAnsi="Bookman Old Style" w:cs="Times New Roman"/>
          <w:color w:val="000000"/>
          <w:sz w:val="20"/>
          <w:szCs w:val="20"/>
          <w:lang w:eastAsia="pt-BR"/>
        </w:rPr>
        <w:t xml:space="preserve"> prazo para apresentação das razões recursais será iniciado na data de intimação ou de lavratura da ata de habilitação ou inabilitação;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10.4. Os recursos deverão ser encaminhados em campo próprio do sistema.</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10.6. Os recursos interpostos fora do prazo não serão conhecidos.</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10.8. O recurso e o pedido de reconsideração terão efeito suspensivo do ato ou da decisão recorrida até que sobrevenha decisão final da autoridade competente.</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10.9. O acolhimento do recurso invalida tão somente os atos insuscetíveis de aproveitamento.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lastRenderedPageBreak/>
        <w:t>10.10. Os autos do processo permanecerão com vista franqueada aos interessados no sítio eletrônico licitacao1@pmsas.pr.gov.br</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b/>
          <w:bCs/>
          <w:color w:val="000000"/>
          <w:sz w:val="20"/>
          <w:szCs w:val="20"/>
          <w:lang w:eastAsia="pt-BR"/>
        </w:rPr>
        <w:t>11. DAS INFRAÇÕES ADMINISTRATIVAS E SANÇÕES</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11.1. Comete infração administrativa, nos termos da lei, o licitante que, com dolo ou culpa:</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11.1.1. </w:t>
      </w:r>
      <w:proofErr w:type="gramStart"/>
      <w:r w:rsidRPr="00F97084">
        <w:rPr>
          <w:rFonts w:ascii="Bookman Old Style" w:eastAsia="Times New Roman" w:hAnsi="Bookman Old Style" w:cs="Times New Roman"/>
          <w:color w:val="000000"/>
          <w:sz w:val="20"/>
          <w:szCs w:val="20"/>
          <w:lang w:eastAsia="pt-BR"/>
        </w:rPr>
        <w:t>deixar</w:t>
      </w:r>
      <w:proofErr w:type="gramEnd"/>
      <w:r w:rsidRPr="00F97084">
        <w:rPr>
          <w:rFonts w:ascii="Bookman Old Style" w:eastAsia="Times New Roman" w:hAnsi="Bookman Old Style" w:cs="Times New Roman"/>
          <w:color w:val="000000"/>
          <w:sz w:val="20"/>
          <w:szCs w:val="20"/>
          <w:lang w:eastAsia="pt-BR"/>
        </w:rPr>
        <w:t xml:space="preserve"> de entregar a documentação exigida para o certame ou não entregar qualquer documento que tenha sido solicitado pelo/a Pregoeiro/a durante o certame;</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11.1.2. Salvo em decorrência de fato superveniente devidamente justificado, não mantiver a proposta em especial quando:</w:t>
      </w:r>
    </w:p>
    <w:p w:rsidR="006153DA" w:rsidRPr="00F97084" w:rsidRDefault="006153DA" w:rsidP="006153DA">
      <w:pPr>
        <w:spacing w:after="48" w:line="288" w:lineRule="atLeast"/>
        <w:ind w:firstLine="851"/>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11.1.2.1. </w:t>
      </w:r>
      <w:proofErr w:type="gramStart"/>
      <w:r w:rsidRPr="00F97084">
        <w:rPr>
          <w:rFonts w:ascii="Bookman Old Style" w:eastAsia="Times New Roman" w:hAnsi="Bookman Old Style" w:cs="Times New Roman"/>
          <w:color w:val="000000"/>
          <w:sz w:val="20"/>
          <w:szCs w:val="20"/>
          <w:lang w:eastAsia="pt-BR"/>
        </w:rPr>
        <w:t>não</w:t>
      </w:r>
      <w:proofErr w:type="gramEnd"/>
      <w:r w:rsidRPr="00F97084">
        <w:rPr>
          <w:rFonts w:ascii="Bookman Old Style" w:eastAsia="Times New Roman" w:hAnsi="Bookman Old Style" w:cs="Times New Roman"/>
          <w:color w:val="000000"/>
          <w:sz w:val="20"/>
          <w:szCs w:val="20"/>
          <w:lang w:eastAsia="pt-BR"/>
        </w:rPr>
        <w:t xml:space="preserve"> enviar a proposta adequada ao último lance ofertado ou após a negociação;</w:t>
      </w:r>
    </w:p>
    <w:p w:rsidR="006153DA" w:rsidRPr="00F97084" w:rsidRDefault="006153DA" w:rsidP="006153DA">
      <w:pPr>
        <w:spacing w:after="48" w:line="288" w:lineRule="atLeast"/>
        <w:ind w:firstLine="851"/>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11.1.2.2. </w:t>
      </w:r>
      <w:proofErr w:type="gramStart"/>
      <w:r w:rsidRPr="00F97084">
        <w:rPr>
          <w:rFonts w:ascii="Bookman Old Style" w:eastAsia="Times New Roman" w:hAnsi="Bookman Old Style" w:cs="Times New Roman"/>
          <w:color w:val="000000"/>
          <w:sz w:val="20"/>
          <w:szCs w:val="20"/>
          <w:lang w:eastAsia="pt-BR"/>
        </w:rPr>
        <w:t>recusar</w:t>
      </w:r>
      <w:proofErr w:type="gramEnd"/>
      <w:r w:rsidRPr="00F97084">
        <w:rPr>
          <w:rFonts w:ascii="Bookman Old Style" w:eastAsia="Times New Roman" w:hAnsi="Bookman Old Style" w:cs="Times New Roman"/>
          <w:color w:val="000000"/>
          <w:sz w:val="20"/>
          <w:szCs w:val="20"/>
          <w:lang w:eastAsia="pt-BR"/>
        </w:rPr>
        <w:t>-se a enviar o detalhamento da proposta quando exigível;</w:t>
      </w:r>
    </w:p>
    <w:p w:rsidR="006153DA" w:rsidRPr="00F97084" w:rsidRDefault="006153DA" w:rsidP="006153DA">
      <w:pPr>
        <w:spacing w:after="48" w:line="288" w:lineRule="atLeast"/>
        <w:ind w:firstLine="851"/>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11.1.2.3. </w:t>
      </w:r>
      <w:proofErr w:type="gramStart"/>
      <w:r w:rsidRPr="00F97084">
        <w:rPr>
          <w:rFonts w:ascii="Bookman Old Style" w:eastAsia="Times New Roman" w:hAnsi="Bookman Old Style" w:cs="Times New Roman"/>
          <w:color w:val="000000"/>
          <w:sz w:val="20"/>
          <w:szCs w:val="20"/>
          <w:lang w:eastAsia="pt-BR"/>
        </w:rPr>
        <w:t>pedir</w:t>
      </w:r>
      <w:proofErr w:type="gramEnd"/>
      <w:r w:rsidRPr="00F97084">
        <w:rPr>
          <w:rFonts w:ascii="Bookman Old Style" w:eastAsia="Times New Roman" w:hAnsi="Bookman Old Style" w:cs="Times New Roman"/>
          <w:color w:val="000000"/>
          <w:sz w:val="20"/>
          <w:szCs w:val="20"/>
          <w:lang w:eastAsia="pt-BR"/>
        </w:rPr>
        <w:t xml:space="preserve"> para ser desclassificado quando encerrada a etapa competitiva;</w:t>
      </w:r>
    </w:p>
    <w:p w:rsidR="006153DA" w:rsidRPr="00F97084" w:rsidRDefault="006153DA" w:rsidP="006153DA">
      <w:pPr>
        <w:spacing w:after="48" w:line="288" w:lineRule="atLeast"/>
        <w:ind w:firstLine="851"/>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11.1.2.4. </w:t>
      </w:r>
      <w:proofErr w:type="gramStart"/>
      <w:r w:rsidRPr="00F97084">
        <w:rPr>
          <w:rFonts w:ascii="Bookman Old Style" w:eastAsia="Times New Roman" w:hAnsi="Bookman Old Style" w:cs="Times New Roman"/>
          <w:color w:val="000000"/>
          <w:sz w:val="20"/>
          <w:szCs w:val="20"/>
          <w:lang w:eastAsia="pt-BR"/>
        </w:rPr>
        <w:t>deixar</w:t>
      </w:r>
      <w:proofErr w:type="gramEnd"/>
      <w:r w:rsidRPr="00F97084">
        <w:rPr>
          <w:rFonts w:ascii="Bookman Old Style" w:eastAsia="Times New Roman" w:hAnsi="Bookman Old Style" w:cs="Times New Roman"/>
          <w:color w:val="000000"/>
          <w:sz w:val="20"/>
          <w:szCs w:val="20"/>
          <w:lang w:eastAsia="pt-BR"/>
        </w:rPr>
        <w:t xml:space="preserve"> de apresentar amostra; ou</w:t>
      </w:r>
    </w:p>
    <w:p w:rsidR="006153DA" w:rsidRPr="00F97084" w:rsidRDefault="006153DA" w:rsidP="006153DA">
      <w:pPr>
        <w:spacing w:after="48" w:line="288" w:lineRule="atLeast"/>
        <w:ind w:firstLine="851"/>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11.1.2.5. </w:t>
      </w:r>
      <w:proofErr w:type="gramStart"/>
      <w:r w:rsidRPr="00F97084">
        <w:rPr>
          <w:rFonts w:ascii="Bookman Old Style" w:eastAsia="Times New Roman" w:hAnsi="Bookman Old Style" w:cs="Times New Roman"/>
          <w:color w:val="000000"/>
          <w:sz w:val="20"/>
          <w:szCs w:val="20"/>
          <w:lang w:eastAsia="pt-BR"/>
        </w:rPr>
        <w:t>apresentar</w:t>
      </w:r>
      <w:proofErr w:type="gramEnd"/>
      <w:r w:rsidRPr="00F97084">
        <w:rPr>
          <w:rFonts w:ascii="Bookman Old Style" w:eastAsia="Times New Roman" w:hAnsi="Bookman Old Style" w:cs="Times New Roman"/>
          <w:color w:val="000000"/>
          <w:sz w:val="20"/>
          <w:szCs w:val="20"/>
          <w:lang w:eastAsia="pt-BR"/>
        </w:rPr>
        <w:t xml:space="preserve"> proposta ou amostra em desacordo com as especificações do edital;</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11.1.3. </w:t>
      </w:r>
      <w:proofErr w:type="gramStart"/>
      <w:r w:rsidRPr="00F97084">
        <w:rPr>
          <w:rFonts w:ascii="Bookman Old Style" w:eastAsia="Times New Roman" w:hAnsi="Bookman Old Style" w:cs="Times New Roman"/>
          <w:color w:val="000000"/>
          <w:sz w:val="20"/>
          <w:szCs w:val="20"/>
          <w:lang w:eastAsia="pt-BR"/>
        </w:rPr>
        <w:t>não</w:t>
      </w:r>
      <w:proofErr w:type="gramEnd"/>
      <w:r w:rsidRPr="00F97084">
        <w:rPr>
          <w:rFonts w:ascii="Bookman Old Style" w:eastAsia="Times New Roman" w:hAnsi="Bookman Old Style" w:cs="Times New Roman"/>
          <w:color w:val="000000"/>
          <w:sz w:val="20"/>
          <w:szCs w:val="20"/>
          <w:lang w:eastAsia="pt-BR"/>
        </w:rPr>
        <w:t xml:space="preserve"> celebrar o contrato ou não entregar a documentação exigida para a contratação, quando convocado dentro do prazo de validade de sua proposta;</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11.1.4. </w:t>
      </w:r>
      <w:proofErr w:type="gramStart"/>
      <w:r w:rsidRPr="00F97084">
        <w:rPr>
          <w:rFonts w:ascii="Bookman Old Style" w:eastAsia="Times New Roman" w:hAnsi="Bookman Old Style" w:cs="Times New Roman"/>
          <w:color w:val="000000"/>
          <w:sz w:val="20"/>
          <w:szCs w:val="20"/>
          <w:lang w:eastAsia="pt-BR"/>
        </w:rPr>
        <w:t>recusar</w:t>
      </w:r>
      <w:proofErr w:type="gramEnd"/>
      <w:r w:rsidRPr="00F97084">
        <w:rPr>
          <w:rFonts w:ascii="Bookman Old Style" w:eastAsia="Times New Roman" w:hAnsi="Bookman Old Style" w:cs="Times New Roman"/>
          <w:color w:val="000000"/>
          <w:sz w:val="20"/>
          <w:szCs w:val="20"/>
          <w:lang w:eastAsia="pt-BR"/>
        </w:rPr>
        <w:t>-se, sem justificativa, a assinar o contrato ou a ata de registro de preço, ou a aceitar ou retirar o instrumento equivalente no prazo estabelecido pela Administração;</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11.1.5. </w:t>
      </w:r>
      <w:proofErr w:type="gramStart"/>
      <w:r w:rsidRPr="00F97084">
        <w:rPr>
          <w:rFonts w:ascii="Bookman Old Style" w:eastAsia="Times New Roman" w:hAnsi="Bookman Old Style" w:cs="Times New Roman"/>
          <w:color w:val="000000"/>
          <w:sz w:val="20"/>
          <w:szCs w:val="20"/>
          <w:lang w:eastAsia="pt-BR"/>
        </w:rPr>
        <w:t>apresentar</w:t>
      </w:r>
      <w:proofErr w:type="gramEnd"/>
      <w:r w:rsidRPr="00F97084">
        <w:rPr>
          <w:rFonts w:ascii="Bookman Old Style" w:eastAsia="Times New Roman" w:hAnsi="Bookman Old Style" w:cs="Times New Roman"/>
          <w:color w:val="000000"/>
          <w:sz w:val="20"/>
          <w:szCs w:val="20"/>
          <w:lang w:eastAsia="pt-BR"/>
        </w:rPr>
        <w:t xml:space="preserve"> declaração ou documentação falsa exigida para o certame ou prestar declaração falsa durante a licitação</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11.1.6. </w:t>
      </w:r>
      <w:proofErr w:type="gramStart"/>
      <w:r w:rsidRPr="00F97084">
        <w:rPr>
          <w:rFonts w:ascii="Bookman Old Style" w:eastAsia="Times New Roman" w:hAnsi="Bookman Old Style" w:cs="Times New Roman"/>
          <w:color w:val="000000"/>
          <w:sz w:val="20"/>
          <w:szCs w:val="20"/>
          <w:lang w:eastAsia="pt-BR"/>
        </w:rPr>
        <w:t>fraudar</w:t>
      </w:r>
      <w:proofErr w:type="gramEnd"/>
      <w:r w:rsidRPr="00F97084">
        <w:rPr>
          <w:rFonts w:ascii="Bookman Old Style" w:eastAsia="Times New Roman" w:hAnsi="Bookman Old Style" w:cs="Times New Roman"/>
          <w:color w:val="000000"/>
          <w:sz w:val="20"/>
          <w:szCs w:val="20"/>
          <w:lang w:eastAsia="pt-BR"/>
        </w:rPr>
        <w:t xml:space="preserve"> a licitação;</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11.1.7. </w:t>
      </w:r>
      <w:proofErr w:type="gramStart"/>
      <w:r w:rsidRPr="00F97084">
        <w:rPr>
          <w:rFonts w:ascii="Bookman Old Style" w:eastAsia="Times New Roman" w:hAnsi="Bookman Old Style" w:cs="Times New Roman"/>
          <w:color w:val="000000"/>
          <w:sz w:val="20"/>
          <w:szCs w:val="20"/>
          <w:lang w:eastAsia="pt-BR"/>
        </w:rPr>
        <w:t>comportar</w:t>
      </w:r>
      <w:proofErr w:type="gramEnd"/>
      <w:r w:rsidRPr="00F97084">
        <w:rPr>
          <w:rFonts w:ascii="Bookman Old Style" w:eastAsia="Times New Roman" w:hAnsi="Bookman Old Style" w:cs="Times New Roman"/>
          <w:color w:val="000000"/>
          <w:sz w:val="20"/>
          <w:szCs w:val="20"/>
          <w:lang w:eastAsia="pt-BR"/>
        </w:rPr>
        <w:t>-se de modo inidôneo ou cometer fraude de qualquer natureza, em especial quando:</w:t>
      </w:r>
    </w:p>
    <w:p w:rsidR="006153DA" w:rsidRPr="00F97084" w:rsidRDefault="006153DA" w:rsidP="006153DA">
      <w:pPr>
        <w:spacing w:after="48" w:line="288" w:lineRule="atLeast"/>
        <w:ind w:firstLine="851"/>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11.1.7.1. </w:t>
      </w:r>
      <w:proofErr w:type="gramStart"/>
      <w:r w:rsidRPr="00F97084">
        <w:rPr>
          <w:rFonts w:ascii="Bookman Old Style" w:eastAsia="Times New Roman" w:hAnsi="Bookman Old Style" w:cs="Times New Roman"/>
          <w:color w:val="000000"/>
          <w:sz w:val="20"/>
          <w:szCs w:val="20"/>
          <w:lang w:eastAsia="pt-BR"/>
        </w:rPr>
        <w:t>agir</w:t>
      </w:r>
      <w:proofErr w:type="gramEnd"/>
      <w:r w:rsidRPr="00F97084">
        <w:rPr>
          <w:rFonts w:ascii="Bookman Old Style" w:eastAsia="Times New Roman" w:hAnsi="Bookman Old Style" w:cs="Times New Roman"/>
          <w:color w:val="000000"/>
          <w:sz w:val="20"/>
          <w:szCs w:val="20"/>
          <w:lang w:eastAsia="pt-BR"/>
        </w:rPr>
        <w:t xml:space="preserve"> em conluio ou em desconformidade com a lei;</w:t>
      </w:r>
    </w:p>
    <w:p w:rsidR="006153DA" w:rsidRPr="00F97084" w:rsidRDefault="006153DA" w:rsidP="006153DA">
      <w:pPr>
        <w:spacing w:after="48" w:line="288" w:lineRule="atLeast"/>
        <w:ind w:firstLine="851"/>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11.1.7.2. </w:t>
      </w:r>
      <w:proofErr w:type="gramStart"/>
      <w:r w:rsidRPr="00F97084">
        <w:rPr>
          <w:rFonts w:ascii="Bookman Old Style" w:eastAsia="Times New Roman" w:hAnsi="Bookman Old Style" w:cs="Times New Roman"/>
          <w:color w:val="000000"/>
          <w:sz w:val="20"/>
          <w:szCs w:val="20"/>
          <w:lang w:eastAsia="pt-BR"/>
        </w:rPr>
        <w:t>induzir</w:t>
      </w:r>
      <w:proofErr w:type="gramEnd"/>
      <w:r w:rsidRPr="00F97084">
        <w:rPr>
          <w:rFonts w:ascii="Bookman Old Style" w:eastAsia="Times New Roman" w:hAnsi="Bookman Old Style" w:cs="Times New Roman"/>
          <w:color w:val="000000"/>
          <w:sz w:val="20"/>
          <w:szCs w:val="20"/>
          <w:lang w:eastAsia="pt-BR"/>
        </w:rPr>
        <w:t xml:space="preserve"> deliberadamente a erro no julgamento;</w:t>
      </w:r>
    </w:p>
    <w:p w:rsidR="006153DA" w:rsidRPr="00F97084" w:rsidRDefault="006153DA" w:rsidP="006153DA">
      <w:pPr>
        <w:spacing w:after="48" w:line="288" w:lineRule="atLeast"/>
        <w:ind w:firstLine="851"/>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11.1.7.3. </w:t>
      </w:r>
      <w:proofErr w:type="gramStart"/>
      <w:r w:rsidRPr="00F97084">
        <w:rPr>
          <w:rFonts w:ascii="Bookman Old Style" w:eastAsia="Times New Roman" w:hAnsi="Bookman Old Style" w:cs="Times New Roman"/>
          <w:color w:val="000000"/>
          <w:sz w:val="20"/>
          <w:szCs w:val="20"/>
          <w:lang w:eastAsia="pt-BR"/>
        </w:rPr>
        <w:t>apresentar</w:t>
      </w:r>
      <w:proofErr w:type="gramEnd"/>
      <w:r w:rsidRPr="00F97084">
        <w:rPr>
          <w:rFonts w:ascii="Bookman Old Style" w:eastAsia="Times New Roman" w:hAnsi="Bookman Old Style" w:cs="Times New Roman"/>
          <w:color w:val="000000"/>
          <w:sz w:val="20"/>
          <w:szCs w:val="20"/>
          <w:lang w:eastAsia="pt-BR"/>
        </w:rPr>
        <w:t xml:space="preserve"> amostra falsificada ou deteriorada;</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11.1.8. </w:t>
      </w:r>
      <w:proofErr w:type="gramStart"/>
      <w:r w:rsidRPr="00F97084">
        <w:rPr>
          <w:rFonts w:ascii="Bookman Old Style" w:eastAsia="Times New Roman" w:hAnsi="Bookman Old Style" w:cs="Times New Roman"/>
          <w:color w:val="000000"/>
          <w:sz w:val="20"/>
          <w:szCs w:val="20"/>
          <w:lang w:eastAsia="pt-BR"/>
        </w:rPr>
        <w:t>praticar</w:t>
      </w:r>
      <w:proofErr w:type="gramEnd"/>
      <w:r w:rsidRPr="00F97084">
        <w:rPr>
          <w:rFonts w:ascii="Bookman Old Style" w:eastAsia="Times New Roman" w:hAnsi="Bookman Old Style" w:cs="Times New Roman"/>
          <w:color w:val="000000"/>
          <w:sz w:val="20"/>
          <w:szCs w:val="20"/>
          <w:lang w:eastAsia="pt-BR"/>
        </w:rPr>
        <w:t xml:space="preserve"> atos ilícitos com vistas a frustrar os objetivos da licitação</w:t>
      </w:r>
    </w:p>
    <w:p w:rsidR="006153DA" w:rsidRPr="00F97084" w:rsidRDefault="006153DA"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11.1.9. </w:t>
      </w:r>
      <w:proofErr w:type="gramStart"/>
      <w:r w:rsidRPr="00F97084">
        <w:rPr>
          <w:rFonts w:ascii="Bookman Old Style" w:eastAsia="Times New Roman" w:hAnsi="Bookman Old Style" w:cs="Times New Roman"/>
          <w:color w:val="000000"/>
          <w:sz w:val="20"/>
          <w:szCs w:val="20"/>
          <w:lang w:eastAsia="pt-BR"/>
        </w:rPr>
        <w:t>praticar</w:t>
      </w:r>
      <w:proofErr w:type="gramEnd"/>
      <w:r w:rsidRPr="00F97084">
        <w:rPr>
          <w:rFonts w:ascii="Bookman Old Style" w:eastAsia="Times New Roman" w:hAnsi="Bookman Old Style" w:cs="Times New Roman"/>
          <w:color w:val="000000"/>
          <w:sz w:val="20"/>
          <w:szCs w:val="20"/>
          <w:lang w:eastAsia="pt-BR"/>
        </w:rPr>
        <w:t xml:space="preserve"> ato lesivo previsto no art. 5º da Lei n.º 12.846, de 2013.</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11.2. Com fulcro na </w:t>
      </w:r>
      <w:hyperlink r:id="rId33" w:tgtFrame="_blank" w:history="1">
        <w:r w:rsidRPr="00F97084">
          <w:rPr>
            <w:rFonts w:ascii="Bookman Old Style" w:eastAsia="Times New Roman" w:hAnsi="Bookman Old Style" w:cs="Times New Roman"/>
            <w:color w:val="0000FF"/>
            <w:sz w:val="20"/>
            <w:szCs w:val="20"/>
            <w:u w:val="single"/>
            <w:lang w:eastAsia="pt-BR"/>
          </w:rPr>
          <w:t>Lei nº 14.133, de 2021</w:t>
        </w:r>
      </w:hyperlink>
      <w:r w:rsidRPr="00F97084">
        <w:rPr>
          <w:rFonts w:ascii="Bookman Old Style" w:eastAsia="Times New Roman" w:hAnsi="Bookman Old Style" w:cs="Times New Roman"/>
          <w:color w:val="000000"/>
          <w:sz w:val="20"/>
          <w:szCs w:val="20"/>
          <w:lang w:eastAsia="pt-BR"/>
        </w:rPr>
        <w:t>, a Administração poderá, após regular processo administrativo, garantida a prévia defesa, aplicar aos licitantes e/ou adjudicatários as seguintes sanções, sem prejuízo das responsabilidades civil e criminal:</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11.2.1. </w:t>
      </w:r>
      <w:proofErr w:type="gramStart"/>
      <w:r w:rsidRPr="00F97084">
        <w:rPr>
          <w:rFonts w:ascii="Bookman Old Style" w:eastAsia="Times New Roman" w:hAnsi="Bookman Old Style" w:cs="Times New Roman"/>
          <w:color w:val="000000"/>
          <w:sz w:val="20"/>
          <w:szCs w:val="20"/>
          <w:lang w:eastAsia="pt-BR"/>
        </w:rPr>
        <w:t>advertência</w:t>
      </w:r>
      <w:proofErr w:type="gramEnd"/>
      <w:r w:rsidRPr="00F97084">
        <w:rPr>
          <w:rFonts w:ascii="Bookman Old Style" w:eastAsia="Times New Roman" w:hAnsi="Bookman Old Style" w:cs="Times New Roman"/>
          <w:color w:val="000000"/>
          <w:sz w:val="20"/>
          <w:szCs w:val="20"/>
          <w:lang w:eastAsia="pt-BR"/>
        </w:rPr>
        <w:t>;</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11.2.2. </w:t>
      </w:r>
      <w:proofErr w:type="gramStart"/>
      <w:r w:rsidRPr="00F97084">
        <w:rPr>
          <w:rFonts w:ascii="Bookman Old Style" w:eastAsia="Times New Roman" w:hAnsi="Bookman Old Style" w:cs="Times New Roman"/>
          <w:color w:val="000000"/>
          <w:sz w:val="20"/>
          <w:szCs w:val="20"/>
          <w:lang w:eastAsia="pt-BR"/>
        </w:rPr>
        <w:t>multa</w:t>
      </w:r>
      <w:proofErr w:type="gramEnd"/>
      <w:r w:rsidRPr="00F97084">
        <w:rPr>
          <w:rFonts w:ascii="Bookman Old Style" w:eastAsia="Times New Roman" w:hAnsi="Bookman Old Style" w:cs="Times New Roman"/>
          <w:color w:val="000000"/>
          <w:sz w:val="20"/>
          <w:szCs w:val="20"/>
          <w:lang w:eastAsia="pt-BR"/>
        </w:rPr>
        <w:t>;</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11.2.3. </w:t>
      </w:r>
      <w:proofErr w:type="gramStart"/>
      <w:r w:rsidRPr="00F97084">
        <w:rPr>
          <w:rFonts w:ascii="Bookman Old Style" w:eastAsia="Times New Roman" w:hAnsi="Bookman Old Style" w:cs="Times New Roman"/>
          <w:color w:val="000000"/>
          <w:sz w:val="20"/>
          <w:szCs w:val="20"/>
          <w:lang w:eastAsia="pt-BR"/>
        </w:rPr>
        <w:t>impedimento</w:t>
      </w:r>
      <w:proofErr w:type="gramEnd"/>
      <w:r w:rsidRPr="00F97084">
        <w:rPr>
          <w:rFonts w:ascii="Bookman Old Style" w:eastAsia="Times New Roman" w:hAnsi="Bookman Old Style" w:cs="Times New Roman"/>
          <w:color w:val="000000"/>
          <w:sz w:val="20"/>
          <w:szCs w:val="20"/>
          <w:lang w:eastAsia="pt-BR"/>
        </w:rPr>
        <w:t xml:space="preserve"> de licitar e contratar e</w:t>
      </w:r>
    </w:p>
    <w:p w:rsidR="006153DA" w:rsidRPr="00F97084" w:rsidRDefault="006153DA"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11.2.4. </w:t>
      </w:r>
      <w:proofErr w:type="gramStart"/>
      <w:r w:rsidRPr="00F97084">
        <w:rPr>
          <w:rFonts w:ascii="Bookman Old Style" w:eastAsia="Times New Roman" w:hAnsi="Bookman Old Style" w:cs="Times New Roman"/>
          <w:color w:val="000000"/>
          <w:sz w:val="20"/>
          <w:szCs w:val="20"/>
          <w:lang w:eastAsia="pt-BR"/>
        </w:rPr>
        <w:t>declaração</w:t>
      </w:r>
      <w:proofErr w:type="gramEnd"/>
      <w:r w:rsidRPr="00F97084">
        <w:rPr>
          <w:rFonts w:ascii="Bookman Old Style" w:eastAsia="Times New Roman" w:hAnsi="Bookman Old Style" w:cs="Times New Roman"/>
          <w:color w:val="000000"/>
          <w:sz w:val="20"/>
          <w:szCs w:val="20"/>
          <w:lang w:eastAsia="pt-BR"/>
        </w:rPr>
        <w:t xml:space="preserve"> de inidoneidade para licitar ou contratar, enquanto perdurarem os motivos determinantes da punição ou até que seja promovida sua reabilitação perante a própria autoridade que aplicou a penalidade.</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11.3. Na aplicação das sanções serão considerados:</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11.3.1. </w:t>
      </w:r>
      <w:proofErr w:type="gramStart"/>
      <w:r w:rsidRPr="00F97084">
        <w:rPr>
          <w:rFonts w:ascii="Bookman Old Style" w:eastAsia="Times New Roman" w:hAnsi="Bookman Old Style" w:cs="Times New Roman"/>
          <w:color w:val="000000"/>
          <w:sz w:val="20"/>
          <w:szCs w:val="20"/>
          <w:lang w:eastAsia="pt-BR"/>
        </w:rPr>
        <w:t>a</w:t>
      </w:r>
      <w:proofErr w:type="gramEnd"/>
      <w:r w:rsidRPr="00F97084">
        <w:rPr>
          <w:rFonts w:ascii="Bookman Old Style" w:eastAsia="Times New Roman" w:hAnsi="Bookman Old Style" w:cs="Times New Roman"/>
          <w:color w:val="000000"/>
          <w:sz w:val="20"/>
          <w:szCs w:val="20"/>
          <w:lang w:eastAsia="pt-BR"/>
        </w:rPr>
        <w:t xml:space="preserve"> natureza e a gravidade da infração cometida.</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11.3.2. </w:t>
      </w:r>
      <w:proofErr w:type="gramStart"/>
      <w:r w:rsidRPr="00F97084">
        <w:rPr>
          <w:rFonts w:ascii="Bookman Old Style" w:eastAsia="Times New Roman" w:hAnsi="Bookman Old Style" w:cs="Times New Roman"/>
          <w:color w:val="000000"/>
          <w:sz w:val="20"/>
          <w:szCs w:val="20"/>
          <w:lang w:eastAsia="pt-BR"/>
        </w:rPr>
        <w:t>as</w:t>
      </w:r>
      <w:proofErr w:type="gramEnd"/>
      <w:r w:rsidRPr="00F97084">
        <w:rPr>
          <w:rFonts w:ascii="Bookman Old Style" w:eastAsia="Times New Roman" w:hAnsi="Bookman Old Style" w:cs="Times New Roman"/>
          <w:color w:val="000000"/>
          <w:sz w:val="20"/>
          <w:szCs w:val="20"/>
          <w:lang w:eastAsia="pt-BR"/>
        </w:rPr>
        <w:t xml:space="preserve"> peculiaridades do caso concreto</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lastRenderedPageBreak/>
        <w:t xml:space="preserve">11.3.3. </w:t>
      </w:r>
      <w:proofErr w:type="gramStart"/>
      <w:r w:rsidRPr="00F97084">
        <w:rPr>
          <w:rFonts w:ascii="Bookman Old Style" w:eastAsia="Times New Roman" w:hAnsi="Bookman Old Style" w:cs="Times New Roman"/>
          <w:color w:val="000000"/>
          <w:sz w:val="20"/>
          <w:szCs w:val="20"/>
          <w:lang w:eastAsia="pt-BR"/>
        </w:rPr>
        <w:t>as</w:t>
      </w:r>
      <w:proofErr w:type="gramEnd"/>
      <w:r w:rsidRPr="00F97084">
        <w:rPr>
          <w:rFonts w:ascii="Bookman Old Style" w:eastAsia="Times New Roman" w:hAnsi="Bookman Old Style" w:cs="Times New Roman"/>
          <w:color w:val="000000"/>
          <w:sz w:val="20"/>
          <w:szCs w:val="20"/>
          <w:lang w:eastAsia="pt-BR"/>
        </w:rPr>
        <w:t xml:space="preserve"> circunstâncias agravantes ou atenuantes</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11.3.4. </w:t>
      </w:r>
      <w:proofErr w:type="gramStart"/>
      <w:r w:rsidRPr="00F97084">
        <w:rPr>
          <w:rFonts w:ascii="Bookman Old Style" w:eastAsia="Times New Roman" w:hAnsi="Bookman Old Style" w:cs="Times New Roman"/>
          <w:color w:val="000000"/>
          <w:sz w:val="20"/>
          <w:szCs w:val="20"/>
          <w:lang w:eastAsia="pt-BR"/>
        </w:rPr>
        <w:t>os</w:t>
      </w:r>
      <w:proofErr w:type="gramEnd"/>
      <w:r w:rsidRPr="00F97084">
        <w:rPr>
          <w:rFonts w:ascii="Bookman Old Style" w:eastAsia="Times New Roman" w:hAnsi="Bookman Old Style" w:cs="Times New Roman"/>
          <w:color w:val="000000"/>
          <w:sz w:val="20"/>
          <w:szCs w:val="20"/>
          <w:lang w:eastAsia="pt-BR"/>
        </w:rPr>
        <w:t xml:space="preserve"> danos que dela provierem para a Administração Pública</w:t>
      </w:r>
    </w:p>
    <w:p w:rsidR="006153DA" w:rsidRPr="00F97084" w:rsidRDefault="006153DA"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11.3.5. </w:t>
      </w:r>
      <w:proofErr w:type="gramStart"/>
      <w:r w:rsidRPr="00F97084">
        <w:rPr>
          <w:rFonts w:ascii="Bookman Old Style" w:eastAsia="Times New Roman" w:hAnsi="Bookman Old Style" w:cs="Times New Roman"/>
          <w:color w:val="000000"/>
          <w:sz w:val="20"/>
          <w:szCs w:val="20"/>
          <w:lang w:eastAsia="pt-BR"/>
        </w:rPr>
        <w:t>a</w:t>
      </w:r>
      <w:proofErr w:type="gramEnd"/>
      <w:r w:rsidRPr="00F97084">
        <w:rPr>
          <w:rFonts w:ascii="Bookman Old Style" w:eastAsia="Times New Roman" w:hAnsi="Bookman Old Style" w:cs="Times New Roman"/>
          <w:color w:val="000000"/>
          <w:sz w:val="20"/>
          <w:szCs w:val="20"/>
          <w:lang w:eastAsia="pt-BR"/>
        </w:rPr>
        <w:t xml:space="preserve"> implantação ou o aperfeiçoamento de programa de integridade, conforme normas e orientações dos órgãos de controle.</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11.4. A multa será recolhida no prazo máximo de 10 (dez) dias úteis, a contar da comunicação oficial.</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11.4.1. Para as infrações previstas nos itens 11.1.1, 11.1.2 e 11.1.3, a multa será de 0.5% a 15% do valor do contrato licitado.</w:t>
      </w:r>
    </w:p>
    <w:p w:rsidR="006153DA" w:rsidRPr="00F97084" w:rsidRDefault="006153DA" w:rsidP="006153DA">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11.4.2. Para as infrações previstas nos itens 11.1.4, 11.1.5, 11.1.6, 11.1.7, 11.1.8 e 11.1.9, a multa será de 15% a 30% do valor do contrato licitado.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11.5. As sanções de advertência, impedimento de licitar e contratar e declaração de inidoneidade para licitar ou contratar poderão ser aplicadas, cumulativamente ou não, à penalidade de multa.</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11.6. Na aplicação da sanção de multa será facultada a defesa do interessado no prazo de 15 (quinze) dias úteis, contado da data de sua intimação.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11.7. A sanção de impedimento de licitar e contratar será aplicada ao responsável em decorrência das infrações administrativas relacionadas nos itens 11.1.1, 11.1.2, 11.1.3 e 11.1.4, quando não se justificar a imposição de penalidade mais grave, e impedirá o responsável de licitar e contratar no âmbito da Administração Pública direta e indireta do ente federativo o qual pertencer o órgão ou entidade, pelo prazo máximo de 3 (três) anos.</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11.8. Poderá ser aplicada ao responsável a sanção de declaração de inidoneidade para licitar ou contratar, em decorrência da prática das infrações dispostas nos itens 11.1.5, 11.1.6, 11.1.7, 11.1.8 e 11.1.9, bem como pelas infrações administrativas previstas nos itens 11.1.1, 11.1.2, 11.1.3 e 11.1.4, que justifiquem a imposição de penalidade mais grave que a sanção de impedimento de licitar e contratar, cuja duração observará o prazo previsto no art. 156, §5º, da Lei n.º 14.133, de 2021.</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11.9. A recusa injustificada do adjudicatário em assinar o contrato ou a ata de registro de preço, ou em aceitar ou retirar o instrumento equivalente no prazo estabelecido pela Administração, descrita no item 11.1.4, caracterizará o descumprimento total da obrigação assumida e o sujeitará às penalidades e à imediata perda da garantia de proposta em favor do órgão ou entidade promotora da licitação, nos termos do art. 45, §4º da IN SEGES/ME n.º 73, de 2022.</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lastRenderedPageBreak/>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11.13. O recurso e o pedido de reconsideração terão efeito suspensivo do ato ou da decisão recorrida até que sobrevenha decisão final da autoridade competente.</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11.14. A aplicação das sanções previstas neste edital não exclui, em hipótese alguma, a obrigação de reparação integral dos danos causados.</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11.15. Para a garantia da ampla defesa e contraditório dos licitantes, as notificações serão enviadas eletronicamente para os endereços de e-mail informados na proposta comercial, bem como os cadastrados pela empresa no SICAF.</w:t>
      </w:r>
    </w:p>
    <w:p w:rsidR="006153DA" w:rsidRPr="00F97084" w:rsidRDefault="006153DA" w:rsidP="00CF6858">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11.15.1. Os endereços de e-mail informados na proposta comercial e/ou cadastrados no </w:t>
      </w:r>
      <w:proofErr w:type="spellStart"/>
      <w:r w:rsidRPr="00F97084">
        <w:rPr>
          <w:rFonts w:ascii="Bookman Old Style" w:eastAsia="Times New Roman" w:hAnsi="Bookman Old Style" w:cs="Times New Roman"/>
          <w:color w:val="000000"/>
          <w:sz w:val="20"/>
          <w:szCs w:val="20"/>
          <w:lang w:eastAsia="pt-BR"/>
        </w:rPr>
        <w:t>Sicaf</w:t>
      </w:r>
      <w:proofErr w:type="spellEnd"/>
      <w:r w:rsidRPr="00F97084">
        <w:rPr>
          <w:rFonts w:ascii="Bookman Old Style" w:eastAsia="Times New Roman" w:hAnsi="Bookman Old Style" w:cs="Times New Roman"/>
          <w:color w:val="000000"/>
          <w:sz w:val="20"/>
          <w:szCs w:val="20"/>
          <w:lang w:eastAsia="pt-BR"/>
        </w:rPr>
        <w:t xml:space="preserve"> serão considerados de uso contínuo da empresa, não cabendo alegação de desconhecimento das comunicações a</w:t>
      </w:r>
      <w:r w:rsidR="00CF6858">
        <w:rPr>
          <w:rFonts w:ascii="Bookman Old Style" w:eastAsia="Times New Roman" w:hAnsi="Bookman Old Style" w:cs="Times New Roman"/>
          <w:color w:val="000000"/>
          <w:sz w:val="20"/>
          <w:szCs w:val="20"/>
          <w:lang w:eastAsia="pt-BR"/>
        </w:rPr>
        <w:t xml:space="preserve"> eles comprovadamente enviadas.</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b/>
          <w:bCs/>
          <w:color w:val="000000"/>
          <w:sz w:val="20"/>
          <w:szCs w:val="20"/>
          <w:lang w:eastAsia="pt-BR"/>
        </w:rPr>
        <w:t>12. DA IMPUGNAÇÃO AO EDITAL E DO PEDIDO DE ESCLARECIMENTO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12.1. Qualquer pessoa é parte legítima para impugnar este Edital por irregularidade na aplicação da Lei nº 14.133, de 2021, devendo protocolar o pedido até 3 (três) dias úteis antes da data da abertura do certame.</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12.2. A resposta à impugnação ou ao pedido de esclarecimento será divulgado em sítio eletrônico oficial no prazo de até 3 (três) dias úteis, limitado ao último dia útil anterior à data da abertura do certame.</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12.3. A impugnação e o pedido de esclarecimento poderão ser realizados por forma eletrônica, pelos seguintes meios: Qualquer pessoa é parte legítima para impugnar este Edital por irregularidade na aplicação da Lei nº 14.133, de 2021, devendo protocolar o pedido até 3 três dias úteis antes da data da abertura do certame. A resposta à impugnação ou ao pedido de esclarecimento será divulgado em sítio eletrônico oficial no prazo de até 3 três dias úteis, limitado ao último dia útil anterior à data da abertura do certame. A impugnação e o pedido de esclarecimento deverão ser realizados por forma eletrônica, dentro da plataforma </w:t>
      </w:r>
      <w:hyperlink r:id="rId34" w:history="1">
        <w:r w:rsidR="00845D42" w:rsidRPr="00F97084">
          <w:rPr>
            <w:rStyle w:val="Hyperlink"/>
            <w:rFonts w:ascii="Bookman Old Style" w:eastAsia="Times New Roman" w:hAnsi="Bookman Old Style" w:cs="Times New Roman"/>
            <w:sz w:val="20"/>
            <w:szCs w:val="20"/>
            <w:lang w:eastAsia="pt-BR"/>
          </w:rPr>
          <w:t>https://www.gov.br/compras</w:t>
        </w:r>
      </w:hyperlink>
      <w:r w:rsidR="00845D42" w:rsidRPr="00F97084">
        <w:rPr>
          <w:rFonts w:ascii="Bookman Old Style" w:eastAsia="Times New Roman" w:hAnsi="Bookman Old Style" w:cs="Times New Roman"/>
          <w:color w:val="000000"/>
          <w:sz w:val="20"/>
          <w:szCs w:val="20"/>
          <w:lang w:eastAsia="pt-BR"/>
        </w:rPr>
        <w:t xml:space="preserve"> </w:t>
      </w:r>
      <w:r w:rsidRPr="00F97084">
        <w:rPr>
          <w:rFonts w:ascii="Bookman Old Style" w:eastAsia="Times New Roman" w:hAnsi="Bookman Old Style" w:cs="Times New Roman"/>
          <w:color w:val="000000"/>
          <w:sz w:val="20"/>
          <w:szCs w:val="20"/>
          <w:lang w:eastAsia="pt-BR"/>
        </w:rPr>
        <w:t xml:space="preserve"> para dar mais transparência ao processo. .</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12.4. As impugnações e pedidos de esclarecimentos não suspendem os prazos previstos no certame.</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12.5. A concessão de efeito suspensivo à impugnação é medida excepcional e deverá ser motivada pelo Pregoeiro, nos autos do processo de licitação.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12.6. Acolhida a impugnação, será definida e publicada nova data para a realização do certame.</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b/>
          <w:bCs/>
          <w:color w:val="000000"/>
          <w:sz w:val="20"/>
          <w:szCs w:val="20"/>
          <w:lang w:eastAsia="pt-BR"/>
        </w:rPr>
        <w:t>13. DAS DISPOSIÇÕES GERAIS</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13.1. Será divulgada ata da sessão pública no sistema eletrônico.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lastRenderedPageBreak/>
        <w:t>13.3. Todas as referências de tempo no Edital, no aviso e durante a sessão pública observarão o horário de Brasília - DF.</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13.4. A homologação do resultado desta licitação não implicará direito à contratação.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13.5. As normas disciplinadoras da licitação serão sempre interpretadas em favor da ampliação da disputa entre os interessados, desde que não comprometam o interesse da Administração, o princípio da isonomia, a finalidade e a segurança da contratação.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13.6. Os licitantes assumem todos os custos de preparação e apresentação de suas propostas e a Administração não será, em nenhum caso, responsável por esses custos, independentemente da condução ou do resultado do processo licitatório.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13.7. Na contagem dos prazos estabelecidos neste Edital e seus Anexos, excluir-se-á o dia do início e incluir-se-á o do vencimento. Só se iniciam e vencem os prazos em dias de expediente na Administração.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13.8. O desatendimento de exigências formais não essenciais não importará o afastamento do licitante, desde que seja possível o aproveitamento do ato, observados os princípios da isonomia e do interesse público.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13.9. Em caso de divergência entre disposições deste Edital e de seus anexos ou demais peças que compõem o processo, prevalecerá as deste Edital.</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13.10. O Edital e seus anexos estão disponíveis, na íntegra, no Portal Nacional de Contratações Públicas (PNCP) e endereço eletrônico </w:t>
      </w:r>
      <w:hyperlink r:id="rId35" w:history="1">
        <w:r w:rsidR="00845D42" w:rsidRPr="00F97084">
          <w:rPr>
            <w:rStyle w:val="Hyperlink"/>
            <w:rFonts w:ascii="Bookman Old Style" w:eastAsia="Times New Roman" w:hAnsi="Bookman Old Style" w:cs="Times New Roman"/>
            <w:sz w:val="20"/>
            <w:szCs w:val="20"/>
            <w:lang w:eastAsia="pt-BR"/>
          </w:rPr>
          <w:t>https://www.gov.br/compras</w:t>
        </w:r>
      </w:hyperlink>
      <w:r w:rsidR="00845D42" w:rsidRPr="00F97084">
        <w:rPr>
          <w:rFonts w:ascii="Bookman Old Style" w:eastAsia="Times New Roman" w:hAnsi="Bookman Old Style" w:cs="Times New Roman"/>
          <w:color w:val="000000"/>
          <w:sz w:val="20"/>
          <w:szCs w:val="20"/>
          <w:lang w:eastAsia="pt-BR"/>
        </w:rPr>
        <w:t xml:space="preserve"> </w:t>
      </w:r>
    </w:p>
    <w:p w:rsidR="006153DA" w:rsidRPr="00F97084" w:rsidRDefault="006153DA" w:rsidP="006153DA">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13.11. Integram este Edital, para todos os fins e efeitos, os seguintes anexos:</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13.11.1. ANEXO I - Termo de Referência</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13.11.2. ANEXO II - Documentos para habilitação</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13.11.3. ANEXO III - Modelo de proposta</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13.11.4. ANEXO IV - Modelo de Declaração Unificada</w:t>
      </w:r>
    </w:p>
    <w:p w:rsidR="006153DA" w:rsidRPr="00F97084" w:rsidRDefault="006153DA" w:rsidP="006153DA">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13.11.5. ANEXO V - Minuta do Contrato</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p>
    <w:p w:rsidR="006153DA"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Santo Antonio do Sudoeste - PR, 09/10/2026</w:t>
      </w:r>
    </w:p>
    <w:p w:rsidR="00CF6858" w:rsidRPr="00F97084" w:rsidRDefault="00CF6858" w:rsidP="006153DA">
      <w:pPr>
        <w:spacing w:after="48" w:line="288" w:lineRule="atLeast"/>
        <w:jc w:val="both"/>
        <w:rPr>
          <w:rFonts w:ascii="Bookman Old Style" w:eastAsia="Times New Roman" w:hAnsi="Bookman Old Style" w:cs="Times New Roman"/>
          <w:color w:val="000000"/>
          <w:sz w:val="20"/>
          <w:szCs w:val="20"/>
          <w:lang w:eastAsia="pt-BR"/>
        </w:rPr>
      </w:pP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Pr="00F97084" w:rsidRDefault="006153DA" w:rsidP="006153DA">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w:t>
      </w:r>
    </w:p>
    <w:p w:rsidR="006153DA" w:rsidRPr="00F97084" w:rsidRDefault="006153DA" w:rsidP="008D2A52">
      <w:pPr>
        <w:spacing w:after="48" w:line="240" w:lineRule="auto"/>
        <w:jc w:val="center"/>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w:t>
      </w:r>
    </w:p>
    <w:p w:rsidR="006153DA" w:rsidRPr="00F97084" w:rsidRDefault="00AD62EF" w:rsidP="008D2A52">
      <w:pPr>
        <w:spacing w:after="48" w:line="240" w:lineRule="auto"/>
        <w:jc w:val="center"/>
        <w:rPr>
          <w:rFonts w:ascii="Bookman Old Style" w:eastAsia="Times New Roman" w:hAnsi="Bookman Old Style" w:cs="Times New Roman"/>
          <w:color w:val="000000"/>
          <w:sz w:val="20"/>
          <w:szCs w:val="20"/>
          <w:lang w:eastAsia="pt-BR"/>
        </w:rPr>
      </w:pPr>
      <w:r>
        <w:rPr>
          <w:rFonts w:ascii="Bookman Old Style" w:eastAsia="Times New Roman" w:hAnsi="Bookman Old Style" w:cs="Times New Roman"/>
          <w:color w:val="000000"/>
          <w:sz w:val="20"/>
          <w:szCs w:val="20"/>
          <w:lang w:eastAsia="pt-BR"/>
        </w:rPr>
        <w:t>RICARDO ANTÔNIO ORTIÑA</w:t>
      </w:r>
    </w:p>
    <w:p w:rsidR="006153DA" w:rsidRPr="00F97084" w:rsidRDefault="006153DA" w:rsidP="008D2A52">
      <w:pPr>
        <w:spacing w:after="48" w:line="240" w:lineRule="auto"/>
        <w:jc w:val="center"/>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Pre</w:t>
      </w:r>
      <w:r w:rsidR="00AD62EF">
        <w:rPr>
          <w:rFonts w:ascii="Bookman Old Style" w:eastAsia="Times New Roman" w:hAnsi="Bookman Old Style" w:cs="Times New Roman"/>
          <w:color w:val="000000"/>
          <w:sz w:val="20"/>
          <w:szCs w:val="20"/>
          <w:lang w:eastAsia="pt-BR"/>
        </w:rPr>
        <w:t>feito Municipal</w:t>
      </w:r>
    </w:p>
    <w:p w:rsidR="00387425" w:rsidRPr="00F97084" w:rsidRDefault="00387425">
      <w:pPr>
        <w:rPr>
          <w:rFonts w:ascii="Bookman Old Style" w:hAnsi="Bookman Old Style"/>
          <w:sz w:val="20"/>
          <w:szCs w:val="20"/>
        </w:rPr>
      </w:pPr>
    </w:p>
    <w:p w:rsidR="008D2A52" w:rsidRPr="00F97084" w:rsidRDefault="008D2A52">
      <w:pPr>
        <w:rPr>
          <w:rFonts w:ascii="Bookman Old Style" w:hAnsi="Bookman Old Style"/>
          <w:sz w:val="20"/>
          <w:szCs w:val="20"/>
        </w:rPr>
      </w:pPr>
    </w:p>
    <w:p w:rsidR="008D2A52" w:rsidRPr="00F97084" w:rsidRDefault="008D2A52">
      <w:pPr>
        <w:rPr>
          <w:rFonts w:ascii="Bookman Old Style" w:hAnsi="Bookman Old Style"/>
          <w:sz w:val="20"/>
          <w:szCs w:val="20"/>
        </w:rPr>
      </w:pPr>
    </w:p>
    <w:p w:rsidR="008D2A52" w:rsidRPr="00F97084" w:rsidRDefault="008D2A52">
      <w:pPr>
        <w:rPr>
          <w:rFonts w:ascii="Bookman Old Style" w:hAnsi="Bookman Old Style"/>
          <w:sz w:val="20"/>
          <w:szCs w:val="20"/>
        </w:rPr>
      </w:pPr>
    </w:p>
    <w:p w:rsidR="008D2A52" w:rsidRPr="00F97084" w:rsidRDefault="008D2A52">
      <w:pPr>
        <w:rPr>
          <w:rFonts w:ascii="Bookman Old Style" w:hAnsi="Bookman Old Style"/>
          <w:sz w:val="20"/>
          <w:szCs w:val="20"/>
        </w:rPr>
      </w:pPr>
    </w:p>
    <w:p w:rsidR="00AD62EF" w:rsidRDefault="00AD62EF" w:rsidP="00AD62EF">
      <w:pPr>
        <w:spacing w:after="0" w:line="240" w:lineRule="auto"/>
        <w:rPr>
          <w:rFonts w:ascii="Bookman Old Style" w:hAnsi="Bookman Old Style"/>
          <w:sz w:val="20"/>
          <w:szCs w:val="20"/>
        </w:rPr>
      </w:pPr>
      <w:bookmarkStart w:id="0" w:name="_Hlk82471863"/>
    </w:p>
    <w:p w:rsidR="00AD62EF" w:rsidRDefault="00AD62EF" w:rsidP="00AD62EF">
      <w:pPr>
        <w:spacing w:after="0" w:line="240" w:lineRule="auto"/>
        <w:rPr>
          <w:rFonts w:ascii="Bookman Old Style" w:hAnsi="Bookman Old Style"/>
          <w:sz w:val="20"/>
          <w:szCs w:val="20"/>
        </w:rPr>
      </w:pPr>
    </w:p>
    <w:p w:rsidR="006367DC" w:rsidRPr="00F97084" w:rsidRDefault="006367DC" w:rsidP="00AD62EF">
      <w:pPr>
        <w:spacing w:after="0" w:line="240" w:lineRule="auto"/>
        <w:jc w:val="center"/>
        <w:rPr>
          <w:rFonts w:ascii="Bookman Old Style" w:eastAsia="MS Mincho" w:hAnsi="Bookman Old Style" w:cs="Times New Roman"/>
          <w:b/>
          <w:sz w:val="20"/>
          <w:szCs w:val="20"/>
          <w:lang w:eastAsia="pt-BR"/>
        </w:rPr>
      </w:pPr>
      <w:r w:rsidRPr="00F97084">
        <w:rPr>
          <w:rFonts w:ascii="Bookman Old Style" w:eastAsia="MS Mincho" w:hAnsi="Bookman Old Style" w:cs="Times New Roman"/>
          <w:b/>
          <w:sz w:val="20"/>
          <w:szCs w:val="20"/>
          <w:lang w:eastAsia="pt-BR"/>
        </w:rPr>
        <w:lastRenderedPageBreak/>
        <w:t>ANEXO I</w:t>
      </w:r>
    </w:p>
    <w:p w:rsidR="008D2A52" w:rsidRPr="00F97084" w:rsidRDefault="008D2A52" w:rsidP="008D2A52">
      <w:pPr>
        <w:spacing w:after="0" w:line="240" w:lineRule="auto"/>
        <w:jc w:val="center"/>
        <w:rPr>
          <w:rFonts w:ascii="Bookman Old Style" w:eastAsia="MS Mincho" w:hAnsi="Bookman Old Style" w:cs="Times New Roman"/>
          <w:b/>
          <w:sz w:val="20"/>
          <w:szCs w:val="20"/>
          <w:lang w:eastAsia="pt-BR"/>
        </w:rPr>
      </w:pPr>
      <w:r w:rsidRPr="00F97084">
        <w:rPr>
          <w:rFonts w:ascii="Bookman Old Style" w:eastAsia="MS Mincho" w:hAnsi="Bookman Old Style" w:cs="Times New Roman"/>
          <w:b/>
          <w:sz w:val="20"/>
          <w:szCs w:val="20"/>
          <w:lang w:eastAsia="pt-BR"/>
        </w:rPr>
        <w:t>TERMO DE REFERÊNCIA</w:t>
      </w:r>
    </w:p>
    <w:p w:rsidR="008D2A52" w:rsidRPr="00F97084" w:rsidRDefault="008D2A52" w:rsidP="008D2A52">
      <w:pPr>
        <w:spacing w:after="0" w:line="240" w:lineRule="auto"/>
        <w:jc w:val="center"/>
        <w:rPr>
          <w:rFonts w:ascii="Bookman Old Style" w:eastAsia="MS Mincho" w:hAnsi="Bookman Old Style" w:cs="Times New Roman"/>
          <w:b/>
          <w:bCs/>
          <w:sz w:val="20"/>
          <w:szCs w:val="20"/>
        </w:rPr>
      </w:pPr>
      <w:r w:rsidRPr="00F97084">
        <w:rPr>
          <w:rFonts w:ascii="Bookman Old Style" w:eastAsia="MS Mincho" w:hAnsi="Bookman Old Style" w:cs="Times New Roman"/>
          <w:b/>
          <w:bCs/>
          <w:sz w:val="20"/>
          <w:szCs w:val="20"/>
        </w:rPr>
        <w:t>Art. 6º, inciso XXIII, alínea ‘a’ a ‘j’, da Lei nº 14.133/2021</w:t>
      </w:r>
    </w:p>
    <w:p w:rsidR="008D2A52" w:rsidRPr="00F97084" w:rsidRDefault="008D2A52" w:rsidP="008D2A52">
      <w:pPr>
        <w:spacing w:after="0" w:line="240" w:lineRule="auto"/>
        <w:rPr>
          <w:rFonts w:ascii="Bookman Old Style" w:eastAsia="MS Mincho" w:hAnsi="Bookman Old Style" w:cs="Times New Roman"/>
          <w:b/>
          <w:bCs/>
          <w:sz w:val="20"/>
          <w:szCs w:val="20"/>
        </w:rPr>
      </w:pPr>
    </w:p>
    <w:p w:rsidR="008D2A52" w:rsidRPr="00F97084" w:rsidRDefault="008D2A52" w:rsidP="008D2A52">
      <w:pPr>
        <w:spacing w:after="0" w:line="240" w:lineRule="auto"/>
        <w:rPr>
          <w:rFonts w:ascii="Bookman Old Style" w:eastAsia="MS Mincho" w:hAnsi="Bookman Old Style" w:cs="Times New Roman"/>
          <w:b/>
          <w:sz w:val="20"/>
          <w:szCs w:val="20"/>
          <w:lang w:eastAsia="pt-BR"/>
        </w:rPr>
      </w:pPr>
    </w:p>
    <w:p w:rsidR="008D2A52" w:rsidRPr="00F97084" w:rsidRDefault="008D2A52" w:rsidP="008D2A52">
      <w:pPr>
        <w:keepNext/>
        <w:tabs>
          <w:tab w:val="left" w:pos="1701"/>
        </w:tabs>
        <w:spacing w:after="0" w:line="240" w:lineRule="auto"/>
        <w:ind w:right="-1"/>
        <w:jc w:val="both"/>
        <w:outlineLvl w:val="1"/>
        <w:rPr>
          <w:rFonts w:ascii="Bookman Old Style" w:eastAsia="Times New Roman" w:hAnsi="Bookman Old Style" w:cs="Times New Roman"/>
          <w:b/>
          <w:color w:val="000000"/>
          <w:sz w:val="20"/>
          <w:szCs w:val="20"/>
          <w:lang w:eastAsia="pt-BR"/>
        </w:rPr>
      </w:pPr>
      <w:r w:rsidRPr="00F97084">
        <w:rPr>
          <w:rFonts w:ascii="Bookman Old Style" w:eastAsia="MS Mincho" w:hAnsi="Bookman Old Style" w:cs="Times New Roman"/>
          <w:sz w:val="20"/>
          <w:szCs w:val="20"/>
          <w:lang w:eastAsia="pt-BR"/>
        </w:rPr>
        <w:t xml:space="preserve"> </w:t>
      </w:r>
      <w:r w:rsidRPr="00F97084">
        <w:rPr>
          <w:rFonts w:ascii="Bookman Old Style" w:eastAsia="Times New Roman" w:hAnsi="Bookman Old Style" w:cs="Times New Roman"/>
          <w:b/>
          <w:bCs/>
          <w:sz w:val="20"/>
          <w:szCs w:val="20"/>
          <w:lang w:eastAsia="pt-BR"/>
        </w:rPr>
        <w:t xml:space="preserve">1. DEFINIÇÃO DO OBJETO </w:t>
      </w:r>
      <w:r w:rsidRPr="00F97084">
        <w:rPr>
          <w:rFonts w:ascii="Bookman Old Style" w:eastAsia="Times New Roman" w:hAnsi="Bookman Old Style" w:cs="Times New Roman"/>
          <w:b/>
          <w:i/>
          <w:iCs/>
          <w:color w:val="000000"/>
          <w:sz w:val="20"/>
          <w:szCs w:val="20"/>
          <w:lang w:eastAsia="pt-BR"/>
        </w:rPr>
        <w:t>(Art. 6º, inciso XXIII, alínea “a”, da Lei nº 14.133/2021)</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Constitui objeto da presente contratação a aquisição de suprimentos de impressão, tintas, toners, cilindros, unidades de imagem, reveladores, peças, componentes, materiais, ferramentas e equipamentos destinados ao abastecimento, à manutenção preventiva e à manutenção corretiva do parque de impressoras do Município de Santo Antônio do Sudoeste – PR, conforme especificações, quantitativos e condições estabelecidos neste Termo de Referência.</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contratação abrange os equipamentos de impressão utilizados pelas Secretarias, Departamentos e demais unidades municipais, compreendendo impressoras jato de tinta, impressoras laser monocromáticas e coloridas e as 02 (duas) impressoras digitais Xerox Color C70 Pro pertencentes à Administração.</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 objeto foi estruturado em dois grupos, considerando a natureza, a finalidade e a relação técnica existente entre os produtos:</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I – Lote 01 – Suprimentos e componentes originais Xerox Color C70 Pro: composto por produtos destinados exclusivamente às duas impressoras Xerox Color C70 Pro, com exigência de produtos novos, originais do fabricante Xerox, de primeiro uso e correspondentes aos códigos de referência – </w:t>
      </w:r>
      <w:proofErr w:type="spellStart"/>
      <w:r w:rsidRPr="00F97084">
        <w:rPr>
          <w:rFonts w:ascii="Bookman Old Style" w:eastAsia="Times New Roman" w:hAnsi="Bookman Old Style" w:cs="Times New Roman"/>
          <w:sz w:val="20"/>
          <w:szCs w:val="20"/>
          <w:lang w:eastAsia="pt-BR"/>
        </w:rPr>
        <w:t>part</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numbers</w:t>
      </w:r>
      <w:proofErr w:type="spellEnd"/>
      <w:r w:rsidRPr="00F97084">
        <w:rPr>
          <w:rFonts w:ascii="Bookman Old Style" w:eastAsia="Times New Roman" w:hAnsi="Bookman Old Style" w:cs="Times New Roman"/>
          <w:sz w:val="20"/>
          <w:szCs w:val="20"/>
          <w:lang w:eastAsia="pt-BR"/>
        </w:rPr>
        <w:t xml:space="preserve"> – indicados neste Termo de Referência. O julgamento ocorrerá pelo menor preço global do lote, sendo obrigatória a apresentação de proposta para a totalidade dos itens que o compõem.</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II – Lote 02 – Tintas, toners, cilindros, fitas, peças, materiais, ferramentas e equipamentos para impressão e manutenção: composto por 48 (quarenta e oito) itens, compreendendo tintas, cartuchos, toners, cilindros, unidades de imagem, fitas matriciais, </w:t>
      </w:r>
      <w:proofErr w:type="spellStart"/>
      <w:r w:rsidRPr="00F97084">
        <w:rPr>
          <w:rFonts w:ascii="Bookman Old Style" w:eastAsia="Times New Roman" w:hAnsi="Bookman Old Style" w:cs="Times New Roman"/>
          <w:sz w:val="20"/>
          <w:szCs w:val="20"/>
          <w:lang w:eastAsia="pt-BR"/>
        </w:rPr>
        <w:t>ribbons</w:t>
      </w:r>
      <w:proofErr w:type="spellEnd"/>
      <w:r w:rsidRPr="00F97084">
        <w:rPr>
          <w:rFonts w:ascii="Bookman Old Style" w:eastAsia="Times New Roman" w:hAnsi="Bookman Old Style" w:cs="Times New Roman"/>
          <w:sz w:val="20"/>
          <w:szCs w:val="20"/>
          <w:lang w:eastAsia="pt-BR"/>
        </w:rPr>
        <w:t xml:space="preserve">, etiquetas, </w:t>
      </w:r>
      <w:proofErr w:type="spellStart"/>
      <w:r w:rsidRPr="00F97084">
        <w:rPr>
          <w:rFonts w:ascii="Bookman Old Style" w:eastAsia="Times New Roman" w:hAnsi="Bookman Old Style" w:cs="Times New Roman"/>
          <w:sz w:val="20"/>
          <w:szCs w:val="20"/>
          <w:lang w:eastAsia="pt-BR"/>
        </w:rPr>
        <w:t>masters</w:t>
      </w:r>
      <w:proofErr w:type="spellEnd"/>
      <w:r w:rsidRPr="00F97084">
        <w:rPr>
          <w:rFonts w:ascii="Bookman Old Style" w:eastAsia="Times New Roman" w:hAnsi="Bookman Old Style" w:cs="Times New Roman"/>
          <w:sz w:val="20"/>
          <w:szCs w:val="20"/>
          <w:lang w:eastAsia="pt-BR"/>
        </w:rPr>
        <w:t>, fitas de identificação, peças de reposição, materiais de limpeza, ferramentas, equipamentos de bancada e demais produtos destinados ao abastecimento e à manutenção do parque municipal de impressão. A denominação “Lote 02” possui finalidade de organização e classificação dos itens, sendo o julgamento, a classificação das propostas e a adjudicação realizados individualmente por item.</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estrutura do objeto mantém os componentes específicos das Xerox Color C70 Pro vinculados à mesma plataforma tecnológica, ao passo que os demais suprimentos e materiais permanecem individualizados para fins de disputa. O processo anterior da Xerox já identificava toners, </w:t>
      </w:r>
      <w:proofErr w:type="spellStart"/>
      <w:r w:rsidRPr="00F97084">
        <w:rPr>
          <w:rFonts w:ascii="Bookman Old Style" w:eastAsia="Times New Roman" w:hAnsi="Bookman Old Style" w:cs="Times New Roman"/>
          <w:sz w:val="20"/>
          <w:szCs w:val="20"/>
          <w:lang w:eastAsia="pt-BR"/>
        </w:rPr>
        <w:t>drums</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developers</w:t>
      </w:r>
      <w:proofErr w:type="spellEnd"/>
      <w:r w:rsidRPr="00F97084">
        <w:rPr>
          <w:rFonts w:ascii="Bookman Old Style" w:eastAsia="Times New Roman" w:hAnsi="Bookman Old Style" w:cs="Times New Roman"/>
          <w:sz w:val="20"/>
          <w:szCs w:val="20"/>
          <w:lang w:eastAsia="pt-BR"/>
        </w:rPr>
        <w:t xml:space="preserve"> e os demais componentes específicos por seus respectivos códigos oficiais. A contratação anterior de suprimentos gerais, por sua vez, utilizava especificações individualizadas para tintas, toners, peças e demais materiais.</w:t>
      </w:r>
    </w:p>
    <w:p w:rsidR="008D2A52" w:rsidRPr="00F97084" w:rsidRDefault="008D2A52" w:rsidP="008D2A52">
      <w:pPr>
        <w:spacing w:before="100" w:beforeAutospacing="1" w:after="100" w:afterAutospacing="1" w:line="240" w:lineRule="auto"/>
        <w:ind w:firstLine="709"/>
        <w:jc w:val="both"/>
        <w:rPr>
          <w:rFonts w:ascii="Bookman Old Style" w:eastAsia="MS Mincho" w:hAnsi="Bookman Old Style" w:cs="Tahoma"/>
          <w:sz w:val="20"/>
          <w:szCs w:val="20"/>
          <w:lang w:eastAsia="pt-BR"/>
        </w:rPr>
      </w:pPr>
      <w:r w:rsidRPr="00F97084">
        <w:rPr>
          <w:rFonts w:ascii="Bookman Old Style" w:eastAsia="Times New Roman" w:hAnsi="Bookman Old Style" w:cs="Times New Roman"/>
          <w:sz w:val="20"/>
          <w:szCs w:val="20"/>
          <w:lang w:eastAsia="pt-BR"/>
        </w:rPr>
        <w:t>Todos os produtos deverão ser novos e de primeiro uso, sem sinais de utilização anterior, observadas as particularidades e exigências estabelecidas para cada item. Quando aplicável, deverão ser fornecidos em embalagem adequada, íntegra e devidamente identificada, contendo informações suficientes para verificação da marca, fabricante, modelo, código, lote, capacidade ou demais características necessárias à conferência.</w:t>
      </w:r>
      <w:r w:rsidRPr="00F97084">
        <w:rPr>
          <w:rFonts w:ascii="Bookman Old Style" w:eastAsia="MS Mincho" w:hAnsi="Bookman Old Style" w:cs="Tahoma"/>
          <w:sz w:val="20"/>
          <w:szCs w:val="20"/>
          <w:lang w:eastAsia="pt-BR"/>
        </w:rPr>
        <w:t xml:space="preserve"> </w:t>
      </w:r>
    </w:p>
    <w:p w:rsidR="008D2A52" w:rsidRPr="00F97084" w:rsidRDefault="008D2A52" w:rsidP="008D2A52">
      <w:pPr>
        <w:spacing w:before="100" w:beforeAutospacing="1" w:after="100" w:afterAutospacing="1" w:line="240" w:lineRule="auto"/>
        <w:ind w:firstLine="709"/>
        <w:jc w:val="both"/>
        <w:rPr>
          <w:rFonts w:ascii="Bookman Old Style" w:eastAsia="MS Mincho" w:hAnsi="Bookman Old Style" w:cs="Tahoma"/>
          <w:sz w:val="20"/>
          <w:szCs w:val="20"/>
          <w:lang w:eastAsia="pt-BR"/>
        </w:rPr>
      </w:pPr>
    </w:p>
    <w:p w:rsidR="008D2A52" w:rsidRPr="00F97084" w:rsidRDefault="008D2A52" w:rsidP="008D2A52">
      <w:pPr>
        <w:spacing w:before="100" w:beforeAutospacing="1" w:after="100" w:afterAutospacing="1" w:line="240" w:lineRule="auto"/>
        <w:jc w:val="both"/>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1.1 – Relação dos itens</w:t>
      </w:r>
    </w:p>
    <w:p w:rsidR="008D2A52" w:rsidRPr="00F97084" w:rsidRDefault="008D2A52" w:rsidP="008D2A52">
      <w:pPr>
        <w:spacing w:before="100" w:beforeAutospacing="1" w:after="100" w:afterAutospacing="1" w:line="240" w:lineRule="auto"/>
        <w:jc w:val="both"/>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LOTE 01 – SUPRIMENTOS E COMPONENTES ORIGINAIS XEROX COLOR C70 PRO</w:t>
      </w:r>
    </w:p>
    <w:p w:rsidR="008D2A52" w:rsidRPr="00F97084" w:rsidRDefault="008D2A52" w:rsidP="008D2A52">
      <w:pPr>
        <w:spacing w:before="100" w:beforeAutospacing="1" w:after="100" w:afterAutospacing="1" w:line="240" w:lineRule="auto"/>
        <w:jc w:val="both"/>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lastRenderedPageBreak/>
        <w:t>Critério de julgamento: menor preço global do lote</w:t>
      </w:r>
    </w:p>
    <w:tbl>
      <w:tblPr>
        <w:tblW w:w="492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697"/>
        <w:gridCol w:w="736"/>
        <w:gridCol w:w="3969"/>
        <w:gridCol w:w="992"/>
        <w:gridCol w:w="709"/>
        <w:gridCol w:w="1134"/>
        <w:gridCol w:w="1276"/>
      </w:tblGrid>
      <w:tr w:rsidR="002228AB" w:rsidRPr="00F97084" w:rsidTr="002228AB">
        <w:tc>
          <w:tcPr>
            <w:tcW w:w="9513" w:type="dxa"/>
            <w:gridSpan w:val="7"/>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Lote: 1 - Lote 001</w:t>
            </w:r>
          </w:p>
        </w:tc>
      </w:tr>
      <w:tr w:rsidR="002228AB" w:rsidRPr="00F97084" w:rsidTr="002228AB">
        <w:tc>
          <w:tcPr>
            <w:tcW w:w="697" w:type="dxa"/>
            <w:shd w:val="clear" w:color="auto" w:fill="C0C0C0"/>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Item</w:t>
            </w:r>
          </w:p>
        </w:tc>
        <w:tc>
          <w:tcPr>
            <w:tcW w:w="736" w:type="dxa"/>
            <w:shd w:val="clear" w:color="auto" w:fill="C0C0C0"/>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Código do produto/serviço</w:t>
            </w:r>
          </w:p>
        </w:tc>
        <w:tc>
          <w:tcPr>
            <w:tcW w:w="3969" w:type="dxa"/>
            <w:shd w:val="clear" w:color="auto" w:fill="C0C0C0"/>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Nome do produto/serviço</w:t>
            </w:r>
          </w:p>
        </w:tc>
        <w:tc>
          <w:tcPr>
            <w:tcW w:w="992" w:type="dxa"/>
            <w:shd w:val="clear" w:color="auto" w:fill="C0C0C0"/>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Quantidade</w:t>
            </w:r>
          </w:p>
        </w:tc>
        <w:tc>
          <w:tcPr>
            <w:tcW w:w="709" w:type="dxa"/>
            <w:shd w:val="clear" w:color="auto" w:fill="C0C0C0"/>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Unidade</w:t>
            </w:r>
          </w:p>
        </w:tc>
        <w:tc>
          <w:tcPr>
            <w:tcW w:w="1134" w:type="dxa"/>
            <w:shd w:val="clear" w:color="auto" w:fill="C0C0C0"/>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Preço máximo</w:t>
            </w:r>
          </w:p>
        </w:tc>
        <w:tc>
          <w:tcPr>
            <w:tcW w:w="1276" w:type="dxa"/>
            <w:shd w:val="clear" w:color="auto" w:fill="C0C0C0"/>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Preço máximo total</w:t>
            </w:r>
          </w:p>
        </w:tc>
      </w:tr>
      <w:tr w:rsidR="002228AB" w:rsidRPr="00F97084" w:rsidTr="002228AB">
        <w:tc>
          <w:tcPr>
            <w:tcW w:w="697"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1</w:t>
            </w:r>
          </w:p>
        </w:tc>
        <w:tc>
          <w:tcPr>
            <w:tcW w:w="73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30646</w:t>
            </w:r>
          </w:p>
        </w:tc>
        <w:tc>
          <w:tcPr>
            <w:tcW w:w="396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 xml:space="preserve">Toner Preto Original Xerox Color C70 Pro, </w:t>
            </w:r>
            <w:proofErr w:type="spellStart"/>
            <w:r w:rsidRPr="00F97084">
              <w:rPr>
                <w:rFonts w:ascii="Bookman Old Style" w:hAnsi="Bookman Old Style"/>
                <w:sz w:val="16"/>
                <w:szCs w:val="16"/>
              </w:rPr>
              <w:t>Part</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Number</w:t>
            </w:r>
            <w:proofErr w:type="spellEnd"/>
            <w:r w:rsidRPr="00F97084">
              <w:rPr>
                <w:rFonts w:ascii="Bookman Old Style" w:hAnsi="Bookman Old Style"/>
                <w:sz w:val="16"/>
                <w:szCs w:val="16"/>
              </w:rPr>
              <w:t xml:space="preserve"> 006R01659, original do fabricante Xerox, novo, de primeiro uso, fornecido em embalagem original, lacrada e devidamente identificada, sem sinais de violação, recondicionamento, </w:t>
            </w:r>
            <w:proofErr w:type="spellStart"/>
            <w:r w:rsidRPr="00F97084">
              <w:rPr>
                <w:rFonts w:ascii="Bookman Old Style" w:hAnsi="Bookman Old Style"/>
                <w:sz w:val="16"/>
                <w:szCs w:val="16"/>
              </w:rPr>
              <w:t>remanufatura</w:t>
            </w:r>
            <w:proofErr w:type="spellEnd"/>
            <w:r w:rsidRPr="00F97084">
              <w:rPr>
                <w:rFonts w:ascii="Bookman Old Style" w:hAnsi="Bookman Old Style"/>
                <w:sz w:val="16"/>
                <w:szCs w:val="16"/>
              </w:rPr>
              <w:t xml:space="preserve">, recarga ou reaproveitamento. Deverá corresponder exatamente ao </w:t>
            </w:r>
            <w:proofErr w:type="spellStart"/>
            <w:r w:rsidRPr="00F97084">
              <w:rPr>
                <w:rFonts w:ascii="Bookman Old Style" w:hAnsi="Bookman Old Style"/>
                <w:sz w:val="16"/>
                <w:szCs w:val="16"/>
              </w:rPr>
              <w:t>part</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number</w:t>
            </w:r>
            <w:proofErr w:type="spellEnd"/>
            <w:r w:rsidRPr="00F97084">
              <w:rPr>
                <w:rFonts w:ascii="Bookman Old Style" w:hAnsi="Bookman Old Style"/>
                <w:sz w:val="16"/>
                <w:szCs w:val="16"/>
              </w:rPr>
              <w:t xml:space="preserve"> especificado e ser plenamente compatível com a Xerox Color C70 Pro.  </w:t>
            </w:r>
          </w:p>
        </w:tc>
        <w:tc>
          <w:tcPr>
            <w:tcW w:w="992"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24,00</w:t>
            </w:r>
          </w:p>
        </w:tc>
        <w:tc>
          <w:tcPr>
            <w:tcW w:w="70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757,58</w:t>
            </w:r>
          </w:p>
        </w:tc>
        <w:tc>
          <w:tcPr>
            <w:tcW w:w="127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18.181,92</w:t>
            </w:r>
          </w:p>
        </w:tc>
      </w:tr>
      <w:tr w:rsidR="002228AB" w:rsidRPr="00F97084" w:rsidTr="002228AB">
        <w:tc>
          <w:tcPr>
            <w:tcW w:w="697"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2</w:t>
            </w:r>
          </w:p>
        </w:tc>
        <w:tc>
          <w:tcPr>
            <w:tcW w:w="73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30647</w:t>
            </w:r>
          </w:p>
        </w:tc>
        <w:tc>
          <w:tcPr>
            <w:tcW w:w="396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 xml:space="preserve">Toner Ciano Original Xerox Color C70 Pro, </w:t>
            </w:r>
            <w:proofErr w:type="spellStart"/>
            <w:r w:rsidRPr="00F97084">
              <w:rPr>
                <w:rFonts w:ascii="Bookman Old Style" w:hAnsi="Bookman Old Style"/>
                <w:sz w:val="16"/>
                <w:szCs w:val="16"/>
              </w:rPr>
              <w:t>Part</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Number</w:t>
            </w:r>
            <w:proofErr w:type="spellEnd"/>
            <w:r w:rsidRPr="00F97084">
              <w:rPr>
                <w:rFonts w:ascii="Bookman Old Style" w:hAnsi="Bookman Old Style"/>
                <w:sz w:val="16"/>
                <w:szCs w:val="16"/>
              </w:rPr>
              <w:t xml:space="preserve"> 006R01660, original do fabricante Xerox, novo, de primeiro uso, fornecido em embalagem original, lacrada e devidamente identificada, sem sinais de violação, recondicionamento, </w:t>
            </w:r>
            <w:proofErr w:type="spellStart"/>
            <w:r w:rsidRPr="00F97084">
              <w:rPr>
                <w:rFonts w:ascii="Bookman Old Style" w:hAnsi="Bookman Old Style"/>
                <w:sz w:val="16"/>
                <w:szCs w:val="16"/>
              </w:rPr>
              <w:t>remanufatura</w:t>
            </w:r>
            <w:proofErr w:type="spellEnd"/>
            <w:r w:rsidRPr="00F97084">
              <w:rPr>
                <w:rFonts w:ascii="Bookman Old Style" w:hAnsi="Bookman Old Style"/>
                <w:sz w:val="16"/>
                <w:szCs w:val="16"/>
              </w:rPr>
              <w:t xml:space="preserve">, recarga ou reaproveitamento. Deverá corresponder exatamente ao </w:t>
            </w:r>
            <w:proofErr w:type="spellStart"/>
            <w:r w:rsidRPr="00F97084">
              <w:rPr>
                <w:rFonts w:ascii="Bookman Old Style" w:hAnsi="Bookman Old Style"/>
                <w:sz w:val="16"/>
                <w:szCs w:val="16"/>
              </w:rPr>
              <w:t>part</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number</w:t>
            </w:r>
            <w:proofErr w:type="spellEnd"/>
            <w:r w:rsidRPr="00F97084">
              <w:rPr>
                <w:rFonts w:ascii="Bookman Old Style" w:hAnsi="Bookman Old Style"/>
                <w:sz w:val="16"/>
                <w:szCs w:val="16"/>
              </w:rPr>
              <w:t xml:space="preserve"> especificado e ser plenamente compatível com a Xerox Color C70 Pro.  </w:t>
            </w:r>
          </w:p>
        </w:tc>
        <w:tc>
          <w:tcPr>
            <w:tcW w:w="992"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20,00</w:t>
            </w:r>
          </w:p>
        </w:tc>
        <w:tc>
          <w:tcPr>
            <w:tcW w:w="70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1.087,05</w:t>
            </w:r>
          </w:p>
        </w:tc>
        <w:tc>
          <w:tcPr>
            <w:tcW w:w="127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21.741,00</w:t>
            </w:r>
          </w:p>
        </w:tc>
      </w:tr>
      <w:tr w:rsidR="002228AB" w:rsidRPr="00F97084" w:rsidTr="002228AB">
        <w:tc>
          <w:tcPr>
            <w:tcW w:w="697"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w:t>
            </w:r>
          </w:p>
        </w:tc>
        <w:tc>
          <w:tcPr>
            <w:tcW w:w="73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30648</w:t>
            </w:r>
          </w:p>
        </w:tc>
        <w:tc>
          <w:tcPr>
            <w:tcW w:w="396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 xml:space="preserve">Toner Magenta Original Xerox Color C70 Pro, </w:t>
            </w:r>
            <w:proofErr w:type="spellStart"/>
            <w:r w:rsidRPr="00F97084">
              <w:rPr>
                <w:rFonts w:ascii="Bookman Old Style" w:hAnsi="Bookman Old Style"/>
                <w:sz w:val="16"/>
                <w:szCs w:val="16"/>
              </w:rPr>
              <w:t>Part</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Number</w:t>
            </w:r>
            <w:proofErr w:type="spellEnd"/>
            <w:r w:rsidRPr="00F97084">
              <w:rPr>
                <w:rFonts w:ascii="Bookman Old Style" w:hAnsi="Bookman Old Style"/>
                <w:sz w:val="16"/>
                <w:szCs w:val="16"/>
              </w:rPr>
              <w:t xml:space="preserve"> 006R01661, original do fabricante Xerox, novo, de primeiro uso, fornecido em embalagem original, lacrada e devidamente identificada, sem sinais de violação, recondicionamento, </w:t>
            </w:r>
            <w:proofErr w:type="spellStart"/>
            <w:r w:rsidRPr="00F97084">
              <w:rPr>
                <w:rFonts w:ascii="Bookman Old Style" w:hAnsi="Bookman Old Style"/>
                <w:sz w:val="16"/>
                <w:szCs w:val="16"/>
              </w:rPr>
              <w:t>remanufatura</w:t>
            </w:r>
            <w:proofErr w:type="spellEnd"/>
            <w:r w:rsidRPr="00F97084">
              <w:rPr>
                <w:rFonts w:ascii="Bookman Old Style" w:hAnsi="Bookman Old Style"/>
                <w:sz w:val="16"/>
                <w:szCs w:val="16"/>
              </w:rPr>
              <w:t xml:space="preserve">, recarga ou reaproveitamento. Deverá corresponder exatamente ao </w:t>
            </w:r>
            <w:proofErr w:type="spellStart"/>
            <w:r w:rsidRPr="00F97084">
              <w:rPr>
                <w:rFonts w:ascii="Bookman Old Style" w:hAnsi="Bookman Old Style"/>
                <w:sz w:val="16"/>
                <w:szCs w:val="16"/>
              </w:rPr>
              <w:t>part</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number</w:t>
            </w:r>
            <w:proofErr w:type="spellEnd"/>
            <w:r w:rsidRPr="00F97084">
              <w:rPr>
                <w:rFonts w:ascii="Bookman Old Style" w:hAnsi="Bookman Old Style"/>
                <w:sz w:val="16"/>
                <w:szCs w:val="16"/>
              </w:rPr>
              <w:t xml:space="preserve"> especificado e ser plenamente compatível com a Xerox Color C70 Pro.  </w:t>
            </w:r>
          </w:p>
        </w:tc>
        <w:tc>
          <w:tcPr>
            <w:tcW w:w="992"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20,00</w:t>
            </w:r>
          </w:p>
        </w:tc>
        <w:tc>
          <w:tcPr>
            <w:tcW w:w="70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1.087,05</w:t>
            </w:r>
          </w:p>
        </w:tc>
        <w:tc>
          <w:tcPr>
            <w:tcW w:w="127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21.741,00</w:t>
            </w:r>
          </w:p>
        </w:tc>
      </w:tr>
      <w:tr w:rsidR="002228AB" w:rsidRPr="00F97084" w:rsidTr="002228AB">
        <w:tc>
          <w:tcPr>
            <w:tcW w:w="697"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4</w:t>
            </w:r>
          </w:p>
        </w:tc>
        <w:tc>
          <w:tcPr>
            <w:tcW w:w="73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30649</w:t>
            </w:r>
          </w:p>
        </w:tc>
        <w:tc>
          <w:tcPr>
            <w:tcW w:w="396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 xml:space="preserve">Toner Amarelo Original Xerox Color C70 Pro, </w:t>
            </w:r>
            <w:proofErr w:type="spellStart"/>
            <w:r w:rsidRPr="00F97084">
              <w:rPr>
                <w:rFonts w:ascii="Bookman Old Style" w:hAnsi="Bookman Old Style"/>
                <w:sz w:val="16"/>
                <w:szCs w:val="16"/>
              </w:rPr>
              <w:t>Part</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Number</w:t>
            </w:r>
            <w:proofErr w:type="spellEnd"/>
            <w:r w:rsidRPr="00F97084">
              <w:rPr>
                <w:rFonts w:ascii="Bookman Old Style" w:hAnsi="Bookman Old Style"/>
                <w:sz w:val="16"/>
                <w:szCs w:val="16"/>
              </w:rPr>
              <w:t xml:space="preserve"> 006R01662, original do fabricante Xerox, novo, de primeiro uso, fornecido em embalagem original, lacrada e devidamente identificada, sem sinais de violação, recondicionamento, </w:t>
            </w:r>
            <w:proofErr w:type="spellStart"/>
            <w:r w:rsidRPr="00F97084">
              <w:rPr>
                <w:rFonts w:ascii="Bookman Old Style" w:hAnsi="Bookman Old Style"/>
                <w:sz w:val="16"/>
                <w:szCs w:val="16"/>
              </w:rPr>
              <w:t>remanufatura</w:t>
            </w:r>
            <w:proofErr w:type="spellEnd"/>
            <w:r w:rsidRPr="00F97084">
              <w:rPr>
                <w:rFonts w:ascii="Bookman Old Style" w:hAnsi="Bookman Old Style"/>
                <w:sz w:val="16"/>
                <w:szCs w:val="16"/>
              </w:rPr>
              <w:t xml:space="preserve">, recarga ou reaproveitamento. Deverá corresponder exatamente ao </w:t>
            </w:r>
            <w:proofErr w:type="spellStart"/>
            <w:r w:rsidRPr="00F97084">
              <w:rPr>
                <w:rFonts w:ascii="Bookman Old Style" w:hAnsi="Bookman Old Style"/>
                <w:sz w:val="16"/>
                <w:szCs w:val="16"/>
              </w:rPr>
              <w:t>part</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number</w:t>
            </w:r>
            <w:proofErr w:type="spellEnd"/>
            <w:r w:rsidRPr="00F97084">
              <w:rPr>
                <w:rFonts w:ascii="Bookman Old Style" w:hAnsi="Bookman Old Style"/>
                <w:sz w:val="16"/>
                <w:szCs w:val="16"/>
              </w:rPr>
              <w:t xml:space="preserve"> especificado e ser plenamente compatível com a Xerox Color C70 Pro.  </w:t>
            </w:r>
          </w:p>
        </w:tc>
        <w:tc>
          <w:tcPr>
            <w:tcW w:w="992"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20,00</w:t>
            </w:r>
          </w:p>
        </w:tc>
        <w:tc>
          <w:tcPr>
            <w:tcW w:w="70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1.087,05</w:t>
            </w:r>
          </w:p>
        </w:tc>
        <w:tc>
          <w:tcPr>
            <w:tcW w:w="127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21.741,00</w:t>
            </w:r>
          </w:p>
        </w:tc>
      </w:tr>
      <w:tr w:rsidR="002228AB" w:rsidRPr="00F97084" w:rsidTr="002228AB">
        <w:tc>
          <w:tcPr>
            <w:tcW w:w="697"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5</w:t>
            </w:r>
          </w:p>
        </w:tc>
        <w:tc>
          <w:tcPr>
            <w:tcW w:w="73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30650</w:t>
            </w:r>
          </w:p>
        </w:tc>
        <w:tc>
          <w:tcPr>
            <w:tcW w:w="396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Reservatório de Toner Residual (</w:t>
            </w:r>
            <w:proofErr w:type="spellStart"/>
            <w:r w:rsidRPr="00F97084">
              <w:rPr>
                <w:rFonts w:ascii="Bookman Old Style" w:hAnsi="Bookman Old Style"/>
                <w:sz w:val="16"/>
                <w:szCs w:val="16"/>
              </w:rPr>
              <w:t>Waste</w:t>
            </w:r>
            <w:proofErr w:type="spellEnd"/>
            <w:r w:rsidRPr="00F97084">
              <w:rPr>
                <w:rFonts w:ascii="Bookman Old Style" w:hAnsi="Bookman Old Style"/>
                <w:sz w:val="16"/>
                <w:szCs w:val="16"/>
              </w:rPr>
              <w:t xml:space="preserve"> Toner Container) Original Xerox Color C70 Pro, </w:t>
            </w:r>
            <w:proofErr w:type="spellStart"/>
            <w:r w:rsidRPr="00F97084">
              <w:rPr>
                <w:rFonts w:ascii="Bookman Old Style" w:hAnsi="Bookman Old Style"/>
                <w:sz w:val="16"/>
                <w:szCs w:val="16"/>
              </w:rPr>
              <w:t>Part</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Number</w:t>
            </w:r>
            <w:proofErr w:type="spellEnd"/>
            <w:r w:rsidRPr="00F97084">
              <w:rPr>
                <w:rFonts w:ascii="Bookman Old Style" w:hAnsi="Bookman Old Style"/>
                <w:sz w:val="16"/>
                <w:szCs w:val="16"/>
              </w:rPr>
              <w:t xml:space="preserve"> 008R12990, novo, de primeiro uso, original Xerox, em embalagem original e lacrada, plenamente compatível com o equipamento, sem recondicionamento, recuperação ou reaproveitamento.  </w:t>
            </w:r>
          </w:p>
        </w:tc>
        <w:tc>
          <w:tcPr>
            <w:tcW w:w="992"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10,00</w:t>
            </w:r>
          </w:p>
        </w:tc>
        <w:tc>
          <w:tcPr>
            <w:tcW w:w="70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223,20</w:t>
            </w:r>
          </w:p>
        </w:tc>
        <w:tc>
          <w:tcPr>
            <w:tcW w:w="127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2.232,00</w:t>
            </w:r>
          </w:p>
        </w:tc>
      </w:tr>
      <w:tr w:rsidR="002228AB" w:rsidRPr="00F97084" w:rsidTr="002228AB">
        <w:tc>
          <w:tcPr>
            <w:tcW w:w="697"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6</w:t>
            </w:r>
          </w:p>
        </w:tc>
        <w:tc>
          <w:tcPr>
            <w:tcW w:w="73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30651</w:t>
            </w:r>
          </w:p>
        </w:tc>
        <w:tc>
          <w:tcPr>
            <w:tcW w:w="3969" w:type="dxa"/>
            <w:shd w:val="clear" w:color="auto" w:fill="FFFFFF"/>
          </w:tcPr>
          <w:p w:rsidR="002228AB" w:rsidRPr="00F97084" w:rsidRDefault="002228AB" w:rsidP="002228AB">
            <w:pPr>
              <w:spacing w:after="0" w:line="240" w:lineRule="auto"/>
              <w:rPr>
                <w:rFonts w:ascii="Bookman Old Style" w:hAnsi="Bookman Old Style"/>
                <w:sz w:val="16"/>
                <w:szCs w:val="16"/>
              </w:rPr>
            </w:pPr>
            <w:proofErr w:type="spellStart"/>
            <w:r w:rsidRPr="00F97084">
              <w:rPr>
                <w:rFonts w:ascii="Bookman Old Style" w:hAnsi="Bookman Old Style"/>
                <w:sz w:val="16"/>
                <w:szCs w:val="16"/>
              </w:rPr>
              <w:t>Drum</w:t>
            </w:r>
            <w:proofErr w:type="spellEnd"/>
            <w:r w:rsidRPr="00F97084">
              <w:rPr>
                <w:rFonts w:ascii="Bookman Old Style" w:hAnsi="Bookman Old Style"/>
                <w:sz w:val="16"/>
                <w:szCs w:val="16"/>
              </w:rPr>
              <w:t xml:space="preserve">/Cilindro Preto Original Xerox Color C70 Pro, </w:t>
            </w:r>
            <w:proofErr w:type="spellStart"/>
            <w:r w:rsidRPr="00F97084">
              <w:rPr>
                <w:rFonts w:ascii="Bookman Old Style" w:hAnsi="Bookman Old Style"/>
                <w:sz w:val="16"/>
                <w:szCs w:val="16"/>
              </w:rPr>
              <w:t>Part</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Number</w:t>
            </w:r>
            <w:proofErr w:type="spellEnd"/>
            <w:r w:rsidRPr="00F97084">
              <w:rPr>
                <w:rFonts w:ascii="Bookman Old Style" w:hAnsi="Bookman Old Style"/>
                <w:sz w:val="16"/>
                <w:szCs w:val="16"/>
              </w:rPr>
              <w:t xml:space="preserve"> 013R00663, novo, de primeiro uso, original Xerox, em embalagem original e lacrada, com identificação e rastreabilidade do fabricante, plenamente compatível com o equipamento, sem </w:t>
            </w:r>
            <w:proofErr w:type="spellStart"/>
            <w:r w:rsidRPr="00F97084">
              <w:rPr>
                <w:rFonts w:ascii="Bookman Old Style" w:hAnsi="Bookman Old Style"/>
                <w:sz w:val="16"/>
                <w:szCs w:val="16"/>
              </w:rPr>
              <w:t>remanufatura</w:t>
            </w:r>
            <w:proofErr w:type="spellEnd"/>
            <w:r w:rsidRPr="00F97084">
              <w:rPr>
                <w:rFonts w:ascii="Bookman Old Style" w:hAnsi="Bookman Old Style"/>
                <w:sz w:val="16"/>
                <w:szCs w:val="16"/>
              </w:rPr>
              <w:t xml:space="preserve">, recondicionamento ou recuperação.  </w:t>
            </w:r>
          </w:p>
        </w:tc>
        <w:tc>
          <w:tcPr>
            <w:tcW w:w="992"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12,00</w:t>
            </w:r>
          </w:p>
        </w:tc>
        <w:tc>
          <w:tcPr>
            <w:tcW w:w="70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2.732,61</w:t>
            </w:r>
          </w:p>
        </w:tc>
        <w:tc>
          <w:tcPr>
            <w:tcW w:w="127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32.791,32</w:t>
            </w:r>
          </w:p>
        </w:tc>
      </w:tr>
      <w:tr w:rsidR="002228AB" w:rsidRPr="00F97084" w:rsidTr="002228AB">
        <w:tc>
          <w:tcPr>
            <w:tcW w:w="697"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7</w:t>
            </w:r>
          </w:p>
        </w:tc>
        <w:tc>
          <w:tcPr>
            <w:tcW w:w="73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30652</w:t>
            </w:r>
          </w:p>
        </w:tc>
        <w:tc>
          <w:tcPr>
            <w:tcW w:w="3969" w:type="dxa"/>
            <w:shd w:val="clear" w:color="auto" w:fill="FFFFFF"/>
          </w:tcPr>
          <w:p w:rsidR="002228AB" w:rsidRPr="00F97084" w:rsidRDefault="002228AB" w:rsidP="002228AB">
            <w:pPr>
              <w:spacing w:after="0" w:line="240" w:lineRule="auto"/>
              <w:rPr>
                <w:rFonts w:ascii="Bookman Old Style" w:hAnsi="Bookman Old Style"/>
                <w:sz w:val="16"/>
                <w:szCs w:val="16"/>
              </w:rPr>
            </w:pPr>
            <w:proofErr w:type="spellStart"/>
            <w:r w:rsidRPr="00F97084">
              <w:rPr>
                <w:rFonts w:ascii="Bookman Old Style" w:hAnsi="Bookman Old Style"/>
                <w:sz w:val="16"/>
                <w:szCs w:val="16"/>
              </w:rPr>
              <w:t>Drum</w:t>
            </w:r>
            <w:proofErr w:type="spellEnd"/>
            <w:r w:rsidRPr="00F97084">
              <w:rPr>
                <w:rFonts w:ascii="Bookman Old Style" w:hAnsi="Bookman Old Style"/>
                <w:sz w:val="16"/>
                <w:szCs w:val="16"/>
              </w:rPr>
              <w:t xml:space="preserve">/Cilindro Colorido C/M/Y Original Xerox Color C70 Pro, </w:t>
            </w:r>
            <w:proofErr w:type="spellStart"/>
            <w:r w:rsidRPr="00F97084">
              <w:rPr>
                <w:rFonts w:ascii="Bookman Old Style" w:hAnsi="Bookman Old Style"/>
                <w:sz w:val="16"/>
                <w:szCs w:val="16"/>
              </w:rPr>
              <w:t>Part</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Number</w:t>
            </w:r>
            <w:proofErr w:type="spellEnd"/>
            <w:r w:rsidRPr="00F97084">
              <w:rPr>
                <w:rFonts w:ascii="Bookman Old Style" w:hAnsi="Bookman Old Style"/>
                <w:sz w:val="16"/>
                <w:szCs w:val="16"/>
              </w:rPr>
              <w:t xml:space="preserve"> 013R00664, novo, de primeiro uso, original Xerox, em embalagem original e lacrada, com identificação e rastreabilidade do fabricante, plenamente compatível com o equipamento, sem </w:t>
            </w:r>
            <w:proofErr w:type="spellStart"/>
            <w:r w:rsidRPr="00F97084">
              <w:rPr>
                <w:rFonts w:ascii="Bookman Old Style" w:hAnsi="Bookman Old Style"/>
                <w:sz w:val="16"/>
                <w:szCs w:val="16"/>
              </w:rPr>
              <w:t>remanufatura</w:t>
            </w:r>
            <w:proofErr w:type="spellEnd"/>
            <w:r w:rsidRPr="00F97084">
              <w:rPr>
                <w:rFonts w:ascii="Bookman Old Style" w:hAnsi="Bookman Old Style"/>
                <w:sz w:val="16"/>
                <w:szCs w:val="16"/>
              </w:rPr>
              <w:t xml:space="preserve">, recondicionamento ou recuperação.  </w:t>
            </w:r>
          </w:p>
        </w:tc>
        <w:tc>
          <w:tcPr>
            <w:tcW w:w="992"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24,00</w:t>
            </w:r>
          </w:p>
        </w:tc>
        <w:tc>
          <w:tcPr>
            <w:tcW w:w="70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1.514,49</w:t>
            </w:r>
          </w:p>
        </w:tc>
        <w:tc>
          <w:tcPr>
            <w:tcW w:w="127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36.347,76</w:t>
            </w:r>
          </w:p>
        </w:tc>
      </w:tr>
      <w:tr w:rsidR="002228AB" w:rsidRPr="00F97084" w:rsidTr="002228AB">
        <w:tc>
          <w:tcPr>
            <w:tcW w:w="697"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8</w:t>
            </w:r>
          </w:p>
        </w:tc>
        <w:tc>
          <w:tcPr>
            <w:tcW w:w="73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30653</w:t>
            </w:r>
          </w:p>
        </w:tc>
        <w:tc>
          <w:tcPr>
            <w:tcW w:w="3969" w:type="dxa"/>
            <w:shd w:val="clear" w:color="auto" w:fill="FFFFFF"/>
          </w:tcPr>
          <w:p w:rsidR="002228AB" w:rsidRPr="00F97084" w:rsidRDefault="002228AB" w:rsidP="002228AB">
            <w:pPr>
              <w:spacing w:after="0" w:line="240" w:lineRule="auto"/>
              <w:rPr>
                <w:rFonts w:ascii="Bookman Old Style" w:hAnsi="Bookman Old Style"/>
                <w:sz w:val="16"/>
                <w:szCs w:val="16"/>
              </w:rPr>
            </w:pPr>
            <w:proofErr w:type="spellStart"/>
            <w:r w:rsidRPr="00F97084">
              <w:rPr>
                <w:rFonts w:ascii="Bookman Old Style" w:hAnsi="Bookman Old Style"/>
                <w:sz w:val="16"/>
                <w:szCs w:val="16"/>
              </w:rPr>
              <w:t>Developer</w:t>
            </w:r>
            <w:proofErr w:type="spellEnd"/>
            <w:r w:rsidRPr="00F97084">
              <w:rPr>
                <w:rFonts w:ascii="Bookman Old Style" w:hAnsi="Bookman Old Style"/>
                <w:sz w:val="16"/>
                <w:szCs w:val="16"/>
              </w:rPr>
              <w:t xml:space="preserve"> Preto Original Xerox Color C70 Pro, </w:t>
            </w:r>
            <w:proofErr w:type="spellStart"/>
            <w:r w:rsidRPr="00F97084">
              <w:rPr>
                <w:rFonts w:ascii="Bookman Old Style" w:hAnsi="Bookman Old Style"/>
                <w:sz w:val="16"/>
                <w:szCs w:val="16"/>
              </w:rPr>
              <w:t>Part</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Number</w:t>
            </w:r>
            <w:proofErr w:type="spellEnd"/>
            <w:r w:rsidRPr="00F97084">
              <w:rPr>
                <w:rFonts w:ascii="Bookman Old Style" w:hAnsi="Bookman Old Style"/>
                <w:sz w:val="16"/>
                <w:szCs w:val="16"/>
              </w:rPr>
              <w:t xml:space="preserve"> 005R00730, novo, de primeiro uso, original Xerox, em embalagem original e lacrada, </w:t>
            </w:r>
            <w:r w:rsidRPr="00F97084">
              <w:rPr>
                <w:rFonts w:ascii="Bookman Old Style" w:hAnsi="Bookman Old Style"/>
                <w:sz w:val="16"/>
                <w:szCs w:val="16"/>
              </w:rPr>
              <w:lastRenderedPageBreak/>
              <w:t xml:space="preserve">correspondente ao código especificado e plenamente compatível com a Xerox Color C70 Pro.  </w:t>
            </w:r>
          </w:p>
        </w:tc>
        <w:tc>
          <w:tcPr>
            <w:tcW w:w="992"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lastRenderedPageBreak/>
              <w:t>4,00</w:t>
            </w:r>
          </w:p>
        </w:tc>
        <w:tc>
          <w:tcPr>
            <w:tcW w:w="70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978,00</w:t>
            </w:r>
          </w:p>
        </w:tc>
        <w:tc>
          <w:tcPr>
            <w:tcW w:w="127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3.912,00</w:t>
            </w:r>
          </w:p>
        </w:tc>
      </w:tr>
      <w:tr w:rsidR="002228AB" w:rsidRPr="00F97084" w:rsidTr="002228AB">
        <w:tc>
          <w:tcPr>
            <w:tcW w:w="697"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lastRenderedPageBreak/>
              <w:t>9</w:t>
            </w:r>
          </w:p>
        </w:tc>
        <w:tc>
          <w:tcPr>
            <w:tcW w:w="73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30654</w:t>
            </w:r>
          </w:p>
        </w:tc>
        <w:tc>
          <w:tcPr>
            <w:tcW w:w="3969" w:type="dxa"/>
            <w:shd w:val="clear" w:color="auto" w:fill="FFFFFF"/>
          </w:tcPr>
          <w:p w:rsidR="002228AB" w:rsidRPr="00F97084" w:rsidRDefault="002228AB" w:rsidP="002228AB">
            <w:pPr>
              <w:spacing w:after="0" w:line="240" w:lineRule="auto"/>
              <w:rPr>
                <w:rFonts w:ascii="Bookman Old Style" w:hAnsi="Bookman Old Style"/>
                <w:sz w:val="16"/>
                <w:szCs w:val="16"/>
              </w:rPr>
            </w:pPr>
            <w:proofErr w:type="spellStart"/>
            <w:r w:rsidRPr="00F97084">
              <w:rPr>
                <w:rFonts w:ascii="Bookman Old Style" w:hAnsi="Bookman Old Style"/>
                <w:sz w:val="16"/>
                <w:szCs w:val="16"/>
              </w:rPr>
              <w:t>Developer</w:t>
            </w:r>
            <w:proofErr w:type="spellEnd"/>
            <w:r w:rsidRPr="00F97084">
              <w:rPr>
                <w:rFonts w:ascii="Bookman Old Style" w:hAnsi="Bookman Old Style"/>
                <w:sz w:val="16"/>
                <w:szCs w:val="16"/>
              </w:rPr>
              <w:t xml:space="preserve"> Ciano Original Xerox Color C70 Pro, </w:t>
            </w:r>
            <w:proofErr w:type="spellStart"/>
            <w:r w:rsidRPr="00F97084">
              <w:rPr>
                <w:rFonts w:ascii="Bookman Old Style" w:hAnsi="Bookman Old Style"/>
                <w:sz w:val="16"/>
                <w:szCs w:val="16"/>
              </w:rPr>
              <w:t>Part</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Number</w:t>
            </w:r>
            <w:proofErr w:type="spellEnd"/>
            <w:r w:rsidRPr="00F97084">
              <w:rPr>
                <w:rFonts w:ascii="Bookman Old Style" w:hAnsi="Bookman Old Style"/>
                <w:sz w:val="16"/>
                <w:szCs w:val="16"/>
              </w:rPr>
              <w:t xml:space="preserve"> 005R00731, novo, de primeiro uso, original Xerox, em embalagem original e lacrada, correspondente ao código especificado e plenamente compatível com a Xerox Color C70 Pro.  </w:t>
            </w:r>
          </w:p>
        </w:tc>
        <w:tc>
          <w:tcPr>
            <w:tcW w:w="992"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4,00</w:t>
            </w:r>
          </w:p>
        </w:tc>
        <w:tc>
          <w:tcPr>
            <w:tcW w:w="70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801,13</w:t>
            </w:r>
          </w:p>
        </w:tc>
        <w:tc>
          <w:tcPr>
            <w:tcW w:w="127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3.204,52</w:t>
            </w:r>
          </w:p>
        </w:tc>
      </w:tr>
      <w:tr w:rsidR="002228AB" w:rsidRPr="00F97084" w:rsidTr="002228AB">
        <w:tc>
          <w:tcPr>
            <w:tcW w:w="697"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10</w:t>
            </w:r>
          </w:p>
        </w:tc>
        <w:tc>
          <w:tcPr>
            <w:tcW w:w="73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30655</w:t>
            </w:r>
          </w:p>
        </w:tc>
        <w:tc>
          <w:tcPr>
            <w:tcW w:w="3969" w:type="dxa"/>
            <w:shd w:val="clear" w:color="auto" w:fill="FFFFFF"/>
          </w:tcPr>
          <w:p w:rsidR="002228AB" w:rsidRPr="00F97084" w:rsidRDefault="002228AB" w:rsidP="002228AB">
            <w:pPr>
              <w:spacing w:after="0" w:line="240" w:lineRule="auto"/>
              <w:rPr>
                <w:rFonts w:ascii="Bookman Old Style" w:hAnsi="Bookman Old Style"/>
                <w:sz w:val="16"/>
                <w:szCs w:val="16"/>
              </w:rPr>
            </w:pPr>
            <w:proofErr w:type="spellStart"/>
            <w:r w:rsidRPr="00F97084">
              <w:rPr>
                <w:rFonts w:ascii="Bookman Old Style" w:hAnsi="Bookman Old Style"/>
                <w:sz w:val="16"/>
                <w:szCs w:val="16"/>
              </w:rPr>
              <w:t>Developer</w:t>
            </w:r>
            <w:proofErr w:type="spellEnd"/>
            <w:r w:rsidRPr="00F97084">
              <w:rPr>
                <w:rFonts w:ascii="Bookman Old Style" w:hAnsi="Bookman Old Style"/>
                <w:sz w:val="16"/>
                <w:szCs w:val="16"/>
              </w:rPr>
              <w:t xml:space="preserve"> Magenta Original Xerox Color C70 Pro, </w:t>
            </w:r>
            <w:proofErr w:type="spellStart"/>
            <w:r w:rsidRPr="00F97084">
              <w:rPr>
                <w:rFonts w:ascii="Bookman Old Style" w:hAnsi="Bookman Old Style"/>
                <w:sz w:val="16"/>
                <w:szCs w:val="16"/>
              </w:rPr>
              <w:t>Part</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Number</w:t>
            </w:r>
            <w:proofErr w:type="spellEnd"/>
            <w:r w:rsidRPr="00F97084">
              <w:rPr>
                <w:rFonts w:ascii="Bookman Old Style" w:hAnsi="Bookman Old Style"/>
                <w:sz w:val="16"/>
                <w:szCs w:val="16"/>
              </w:rPr>
              <w:t xml:space="preserve"> 005R00732, novo, de primeiro uso, original Xerox, em embalagem original e lacrada, correspondente ao código especificado e plenamente compatível com a Xerox Color C70 Pro.  </w:t>
            </w:r>
          </w:p>
        </w:tc>
        <w:tc>
          <w:tcPr>
            <w:tcW w:w="992"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4,00</w:t>
            </w:r>
          </w:p>
        </w:tc>
        <w:tc>
          <w:tcPr>
            <w:tcW w:w="70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893,00</w:t>
            </w:r>
          </w:p>
        </w:tc>
        <w:tc>
          <w:tcPr>
            <w:tcW w:w="127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3.572,00</w:t>
            </w:r>
          </w:p>
        </w:tc>
      </w:tr>
      <w:tr w:rsidR="002228AB" w:rsidRPr="00F97084" w:rsidTr="002228AB">
        <w:tc>
          <w:tcPr>
            <w:tcW w:w="697"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11</w:t>
            </w:r>
          </w:p>
        </w:tc>
        <w:tc>
          <w:tcPr>
            <w:tcW w:w="73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30656</w:t>
            </w:r>
          </w:p>
        </w:tc>
        <w:tc>
          <w:tcPr>
            <w:tcW w:w="3969" w:type="dxa"/>
            <w:shd w:val="clear" w:color="auto" w:fill="FFFFFF"/>
          </w:tcPr>
          <w:p w:rsidR="002228AB" w:rsidRPr="00F97084" w:rsidRDefault="002228AB" w:rsidP="002228AB">
            <w:pPr>
              <w:spacing w:after="0" w:line="240" w:lineRule="auto"/>
              <w:rPr>
                <w:rFonts w:ascii="Bookman Old Style" w:hAnsi="Bookman Old Style"/>
                <w:sz w:val="16"/>
                <w:szCs w:val="16"/>
              </w:rPr>
            </w:pPr>
            <w:proofErr w:type="spellStart"/>
            <w:r w:rsidRPr="00F97084">
              <w:rPr>
                <w:rFonts w:ascii="Bookman Old Style" w:hAnsi="Bookman Old Style"/>
                <w:sz w:val="16"/>
                <w:szCs w:val="16"/>
              </w:rPr>
              <w:t>Developer</w:t>
            </w:r>
            <w:proofErr w:type="spellEnd"/>
            <w:r w:rsidRPr="00F97084">
              <w:rPr>
                <w:rFonts w:ascii="Bookman Old Style" w:hAnsi="Bookman Old Style"/>
                <w:sz w:val="16"/>
                <w:szCs w:val="16"/>
              </w:rPr>
              <w:t xml:space="preserve"> Amarelo Original Xerox Color C70 Pro, </w:t>
            </w:r>
            <w:proofErr w:type="spellStart"/>
            <w:r w:rsidRPr="00F97084">
              <w:rPr>
                <w:rFonts w:ascii="Bookman Old Style" w:hAnsi="Bookman Old Style"/>
                <w:sz w:val="16"/>
                <w:szCs w:val="16"/>
              </w:rPr>
              <w:t>Part</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Number</w:t>
            </w:r>
            <w:proofErr w:type="spellEnd"/>
            <w:r w:rsidRPr="00F97084">
              <w:rPr>
                <w:rFonts w:ascii="Bookman Old Style" w:hAnsi="Bookman Old Style"/>
                <w:sz w:val="16"/>
                <w:szCs w:val="16"/>
              </w:rPr>
              <w:t xml:space="preserve"> 005R00733, novo, de primeiro uso, original Xerox, em embalagem original e lacrada, correspondente ao código especificado e plenamente compatível com a Xerox Color C70 Pro.  </w:t>
            </w:r>
          </w:p>
        </w:tc>
        <w:tc>
          <w:tcPr>
            <w:tcW w:w="992"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4,00</w:t>
            </w:r>
          </w:p>
        </w:tc>
        <w:tc>
          <w:tcPr>
            <w:tcW w:w="70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898,00</w:t>
            </w:r>
          </w:p>
        </w:tc>
        <w:tc>
          <w:tcPr>
            <w:tcW w:w="127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3.592,00</w:t>
            </w:r>
          </w:p>
        </w:tc>
      </w:tr>
      <w:tr w:rsidR="002228AB" w:rsidRPr="00F97084" w:rsidTr="002228AB">
        <w:tc>
          <w:tcPr>
            <w:tcW w:w="697"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12</w:t>
            </w:r>
          </w:p>
        </w:tc>
        <w:tc>
          <w:tcPr>
            <w:tcW w:w="73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30658</w:t>
            </w:r>
          </w:p>
        </w:tc>
        <w:tc>
          <w:tcPr>
            <w:tcW w:w="396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 xml:space="preserve">Unidade </w:t>
            </w:r>
            <w:proofErr w:type="spellStart"/>
            <w:r w:rsidRPr="00F97084">
              <w:rPr>
                <w:rFonts w:ascii="Bookman Old Style" w:hAnsi="Bookman Old Style"/>
                <w:sz w:val="16"/>
                <w:szCs w:val="16"/>
              </w:rPr>
              <w:t>Fusora</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Fuser</w:t>
            </w:r>
            <w:proofErr w:type="spellEnd"/>
            <w:r w:rsidRPr="00F97084">
              <w:rPr>
                <w:rFonts w:ascii="Bookman Old Style" w:hAnsi="Bookman Old Style"/>
                <w:sz w:val="16"/>
                <w:szCs w:val="16"/>
              </w:rPr>
              <w:t xml:space="preserve"> Assembly) Original Xerox Color C70 Pro, </w:t>
            </w:r>
            <w:proofErr w:type="spellStart"/>
            <w:r w:rsidRPr="00F97084">
              <w:rPr>
                <w:rFonts w:ascii="Bookman Old Style" w:hAnsi="Bookman Old Style"/>
                <w:sz w:val="16"/>
                <w:szCs w:val="16"/>
              </w:rPr>
              <w:t>Part</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Number</w:t>
            </w:r>
            <w:proofErr w:type="spellEnd"/>
            <w:r w:rsidRPr="00F97084">
              <w:rPr>
                <w:rFonts w:ascii="Bookman Old Style" w:hAnsi="Bookman Old Style"/>
                <w:sz w:val="16"/>
                <w:szCs w:val="16"/>
              </w:rPr>
              <w:t xml:space="preserve"> 008R13102, nova, de primeiro uso, original Xerox, completa e pronta para instalação, em embalagem original e lacrada, sem sinais de uso, reparo, recuperação ou recondicionamento, plenamente compatível com o equipamento.  </w:t>
            </w:r>
          </w:p>
        </w:tc>
        <w:tc>
          <w:tcPr>
            <w:tcW w:w="992"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4,00</w:t>
            </w:r>
          </w:p>
        </w:tc>
        <w:tc>
          <w:tcPr>
            <w:tcW w:w="70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3.293,00</w:t>
            </w:r>
          </w:p>
        </w:tc>
        <w:tc>
          <w:tcPr>
            <w:tcW w:w="127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13.172,00</w:t>
            </w:r>
          </w:p>
        </w:tc>
      </w:tr>
      <w:tr w:rsidR="002228AB" w:rsidRPr="00F97084" w:rsidTr="002228AB">
        <w:tc>
          <w:tcPr>
            <w:tcW w:w="697"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13</w:t>
            </w:r>
          </w:p>
        </w:tc>
        <w:tc>
          <w:tcPr>
            <w:tcW w:w="73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30659</w:t>
            </w:r>
          </w:p>
        </w:tc>
        <w:tc>
          <w:tcPr>
            <w:tcW w:w="396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 xml:space="preserve">Charge </w:t>
            </w:r>
            <w:proofErr w:type="spellStart"/>
            <w:r w:rsidRPr="00F97084">
              <w:rPr>
                <w:rFonts w:ascii="Bookman Old Style" w:hAnsi="Bookman Old Style"/>
                <w:sz w:val="16"/>
                <w:szCs w:val="16"/>
              </w:rPr>
              <w:t>Corotron</w:t>
            </w:r>
            <w:proofErr w:type="spellEnd"/>
            <w:r w:rsidRPr="00F97084">
              <w:rPr>
                <w:rFonts w:ascii="Bookman Old Style" w:hAnsi="Bookman Old Style"/>
                <w:sz w:val="16"/>
                <w:szCs w:val="16"/>
              </w:rPr>
              <w:t xml:space="preserve"> Preto Original Xerox Color C70 Pro, </w:t>
            </w:r>
            <w:proofErr w:type="spellStart"/>
            <w:r w:rsidRPr="00F97084">
              <w:rPr>
                <w:rFonts w:ascii="Bookman Old Style" w:hAnsi="Bookman Old Style"/>
                <w:sz w:val="16"/>
                <w:szCs w:val="16"/>
              </w:rPr>
              <w:t>Part</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Number</w:t>
            </w:r>
            <w:proofErr w:type="spellEnd"/>
            <w:r w:rsidRPr="00F97084">
              <w:rPr>
                <w:rFonts w:ascii="Bookman Old Style" w:hAnsi="Bookman Old Style"/>
                <w:sz w:val="16"/>
                <w:szCs w:val="16"/>
              </w:rPr>
              <w:t xml:space="preserve"> 013R00650, novo, de </w:t>
            </w:r>
            <w:proofErr w:type="gramStart"/>
            <w:r w:rsidRPr="00F97084">
              <w:rPr>
                <w:rFonts w:ascii="Bookman Old Style" w:hAnsi="Bookman Old Style"/>
                <w:sz w:val="16"/>
                <w:szCs w:val="16"/>
              </w:rPr>
              <w:t>primeiro uso, original Xerox, fornecido em embalagem original e lacrada, plenamente compatível com o equipamento</w:t>
            </w:r>
            <w:proofErr w:type="gramEnd"/>
            <w:r w:rsidRPr="00F97084">
              <w:rPr>
                <w:rFonts w:ascii="Bookman Old Style" w:hAnsi="Bookman Old Style"/>
                <w:sz w:val="16"/>
                <w:szCs w:val="16"/>
              </w:rPr>
              <w:t xml:space="preserve"> e sem sinais de recuperação ou recondicionamento.  </w:t>
            </w:r>
          </w:p>
        </w:tc>
        <w:tc>
          <w:tcPr>
            <w:tcW w:w="992"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4,00</w:t>
            </w:r>
          </w:p>
        </w:tc>
        <w:tc>
          <w:tcPr>
            <w:tcW w:w="70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736,38</w:t>
            </w:r>
          </w:p>
        </w:tc>
        <w:tc>
          <w:tcPr>
            <w:tcW w:w="127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2.945,52</w:t>
            </w:r>
          </w:p>
        </w:tc>
      </w:tr>
      <w:tr w:rsidR="002228AB" w:rsidRPr="00F97084" w:rsidTr="002228AB">
        <w:tc>
          <w:tcPr>
            <w:tcW w:w="697"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14</w:t>
            </w:r>
          </w:p>
        </w:tc>
        <w:tc>
          <w:tcPr>
            <w:tcW w:w="73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30660</w:t>
            </w:r>
          </w:p>
        </w:tc>
        <w:tc>
          <w:tcPr>
            <w:tcW w:w="396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 xml:space="preserve">ITB </w:t>
            </w:r>
            <w:proofErr w:type="spellStart"/>
            <w:r w:rsidRPr="00F97084">
              <w:rPr>
                <w:rFonts w:ascii="Bookman Old Style" w:hAnsi="Bookman Old Style"/>
                <w:sz w:val="16"/>
                <w:szCs w:val="16"/>
              </w:rPr>
              <w:t>Transfer</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Belt</w:t>
            </w:r>
            <w:proofErr w:type="spellEnd"/>
            <w:r w:rsidRPr="00F97084">
              <w:rPr>
                <w:rFonts w:ascii="Bookman Old Style" w:hAnsi="Bookman Old Style"/>
                <w:sz w:val="16"/>
                <w:szCs w:val="16"/>
              </w:rPr>
              <w:t xml:space="preserve"> Original Xerox Color C70 Pro, </w:t>
            </w:r>
            <w:proofErr w:type="spellStart"/>
            <w:r w:rsidRPr="00F97084">
              <w:rPr>
                <w:rFonts w:ascii="Bookman Old Style" w:hAnsi="Bookman Old Style"/>
                <w:sz w:val="16"/>
                <w:szCs w:val="16"/>
              </w:rPr>
              <w:t>Part</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Number</w:t>
            </w:r>
            <w:proofErr w:type="spellEnd"/>
            <w:r w:rsidRPr="00F97084">
              <w:rPr>
                <w:rFonts w:ascii="Bookman Old Style" w:hAnsi="Bookman Old Style"/>
                <w:sz w:val="16"/>
                <w:szCs w:val="16"/>
              </w:rPr>
              <w:t xml:space="preserve"> 675K72181, novo, de primeiro uso, original Xerox, completo, em embalagem original e lacrada, plenamente compatível com o equipamento e sem sinais de uso, recuperação ou recondicionamento.  </w:t>
            </w:r>
          </w:p>
        </w:tc>
        <w:tc>
          <w:tcPr>
            <w:tcW w:w="992"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4,00</w:t>
            </w:r>
          </w:p>
        </w:tc>
        <w:tc>
          <w:tcPr>
            <w:tcW w:w="70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1.904,25</w:t>
            </w:r>
          </w:p>
        </w:tc>
        <w:tc>
          <w:tcPr>
            <w:tcW w:w="127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7.617,00</w:t>
            </w:r>
          </w:p>
        </w:tc>
      </w:tr>
      <w:tr w:rsidR="002228AB" w:rsidRPr="00F97084" w:rsidTr="002228AB">
        <w:tc>
          <w:tcPr>
            <w:tcW w:w="697"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15</w:t>
            </w:r>
          </w:p>
        </w:tc>
        <w:tc>
          <w:tcPr>
            <w:tcW w:w="73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30661</w:t>
            </w:r>
          </w:p>
        </w:tc>
        <w:tc>
          <w:tcPr>
            <w:tcW w:w="396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 xml:space="preserve">Kit de Roletes de Alimentação das Gavetas Xerox Color C70 Pro, </w:t>
            </w:r>
            <w:proofErr w:type="spellStart"/>
            <w:r w:rsidRPr="00F97084">
              <w:rPr>
                <w:rFonts w:ascii="Bookman Old Style" w:hAnsi="Bookman Old Style"/>
                <w:sz w:val="16"/>
                <w:szCs w:val="16"/>
              </w:rPr>
              <w:t>Part</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Number</w:t>
            </w:r>
            <w:proofErr w:type="spellEnd"/>
            <w:r w:rsidRPr="00F97084">
              <w:rPr>
                <w:rFonts w:ascii="Bookman Old Style" w:hAnsi="Bookman Old Style"/>
                <w:sz w:val="16"/>
                <w:szCs w:val="16"/>
              </w:rPr>
              <w:t xml:space="preserve"> 604K23650, original Xerox, novo, de primeiro uso, completo, em embalagem original, destinado à alimentação de papel das gavetas do equipamento, plenamente compatível com a Xerox Color C70 Pro.  </w:t>
            </w:r>
          </w:p>
        </w:tc>
        <w:tc>
          <w:tcPr>
            <w:tcW w:w="992"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4,00</w:t>
            </w:r>
          </w:p>
        </w:tc>
        <w:tc>
          <w:tcPr>
            <w:tcW w:w="70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KT</w:t>
            </w:r>
          </w:p>
        </w:tc>
        <w:tc>
          <w:tcPr>
            <w:tcW w:w="1134"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137,50</w:t>
            </w:r>
          </w:p>
        </w:tc>
        <w:tc>
          <w:tcPr>
            <w:tcW w:w="127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550,00</w:t>
            </w:r>
          </w:p>
        </w:tc>
      </w:tr>
      <w:tr w:rsidR="002228AB" w:rsidRPr="00F97084" w:rsidTr="002228AB">
        <w:tc>
          <w:tcPr>
            <w:tcW w:w="697"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16</w:t>
            </w:r>
          </w:p>
        </w:tc>
        <w:tc>
          <w:tcPr>
            <w:tcW w:w="73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30662</w:t>
            </w:r>
          </w:p>
        </w:tc>
        <w:tc>
          <w:tcPr>
            <w:tcW w:w="396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Kit de Roletes do Alimentador Manual/</w:t>
            </w:r>
            <w:proofErr w:type="spellStart"/>
            <w:r w:rsidRPr="00F97084">
              <w:rPr>
                <w:rFonts w:ascii="Bookman Old Style" w:hAnsi="Bookman Old Style"/>
                <w:sz w:val="16"/>
                <w:szCs w:val="16"/>
              </w:rPr>
              <w:t>Bypass</w:t>
            </w:r>
            <w:proofErr w:type="spellEnd"/>
            <w:r w:rsidRPr="00F97084">
              <w:rPr>
                <w:rFonts w:ascii="Bookman Old Style" w:hAnsi="Bookman Old Style"/>
                <w:sz w:val="16"/>
                <w:szCs w:val="16"/>
              </w:rPr>
              <w:t xml:space="preserve"> Xerox Color C70 Pro, </w:t>
            </w:r>
            <w:proofErr w:type="spellStart"/>
            <w:r w:rsidRPr="00F97084">
              <w:rPr>
                <w:rFonts w:ascii="Bookman Old Style" w:hAnsi="Bookman Old Style"/>
                <w:sz w:val="16"/>
                <w:szCs w:val="16"/>
              </w:rPr>
              <w:t>Part</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Number</w:t>
            </w:r>
            <w:proofErr w:type="spellEnd"/>
            <w:r w:rsidRPr="00F97084">
              <w:rPr>
                <w:rFonts w:ascii="Bookman Old Style" w:hAnsi="Bookman Old Style"/>
                <w:sz w:val="16"/>
                <w:szCs w:val="16"/>
              </w:rPr>
              <w:t xml:space="preserve"> 604K23660, original Xerox, novo, de primeiro uso, completo, em embalagem original, destinado ao alimentador manual/</w:t>
            </w:r>
            <w:proofErr w:type="spellStart"/>
            <w:r w:rsidRPr="00F97084">
              <w:rPr>
                <w:rFonts w:ascii="Bookman Old Style" w:hAnsi="Bookman Old Style"/>
                <w:sz w:val="16"/>
                <w:szCs w:val="16"/>
              </w:rPr>
              <w:t>bypass</w:t>
            </w:r>
            <w:proofErr w:type="spellEnd"/>
            <w:r w:rsidRPr="00F97084">
              <w:rPr>
                <w:rFonts w:ascii="Bookman Old Style" w:hAnsi="Bookman Old Style"/>
                <w:sz w:val="16"/>
                <w:szCs w:val="16"/>
              </w:rPr>
              <w:t xml:space="preserve">, plenamente compatível com a Xerox Color C70 Pro.  </w:t>
            </w:r>
          </w:p>
        </w:tc>
        <w:tc>
          <w:tcPr>
            <w:tcW w:w="992"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4,00</w:t>
            </w:r>
          </w:p>
        </w:tc>
        <w:tc>
          <w:tcPr>
            <w:tcW w:w="70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KT</w:t>
            </w:r>
          </w:p>
        </w:tc>
        <w:tc>
          <w:tcPr>
            <w:tcW w:w="1134"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297,00</w:t>
            </w:r>
          </w:p>
        </w:tc>
        <w:tc>
          <w:tcPr>
            <w:tcW w:w="127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1.188,00</w:t>
            </w:r>
          </w:p>
        </w:tc>
      </w:tr>
      <w:tr w:rsidR="002228AB" w:rsidRPr="00F97084" w:rsidTr="002228AB">
        <w:tc>
          <w:tcPr>
            <w:tcW w:w="697"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17</w:t>
            </w:r>
          </w:p>
        </w:tc>
        <w:tc>
          <w:tcPr>
            <w:tcW w:w="73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30663</w:t>
            </w:r>
          </w:p>
        </w:tc>
        <w:tc>
          <w:tcPr>
            <w:tcW w:w="396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 xml:space="preserve">Conjunto do 2nd BTR Xerox Color C70 Pro, </w:t>
            </w:r>
            <w:proofErr w:type="spellStart"/>
            <w:r w:rsidRPr="00F97084">
              <w:rPr>
                <w:rFonts w:ascii="Bookman Old Style" w:hAnsi="Bookman Old Style"/>
                <w:sz w:val="16"/>
                <w:szCs w:val="16"/>
              </w:rPr>
              <w:t>Part</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Number</w:t>
            </w:r>
            <w:proofErr w:type="spellEnd"/>
            <w:r w:rsidRPr="00F97084">
              <w:rPr>
                <w:rFonts w:ascii="Bookman Old Style" w:hAnsi="Bookman Old Style"/>
                <w:sz w:val="16"/>
                <w:szCs w:val="16"/>
              </w:rPr>
              <w:t xml:space="preserve"> 059K68391, original Xerox, novo, de primeiro uso, completo e pronto para instalação, em embalagem original, sem sinais de uso, reparo, recuperação ou recondicionamento.  </w:t>
            </w:r>
          </w:p>
        </w:tc>
        <w:tc>
          <w:tcPr>
            <w:tcW w:w="992"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4,00</w:t>
            </w:r>
          </w:p>
        </w:tc>
        <w:tc>
          <w:tcPr>
            <w:tcW w:w="70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3.974,25</w:t>
            </w:r>
          </w:p>
        </w:tc>
        <w:tc>
          <w:tcPr>
            <w:tcW w:w="127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15.897,00</w:t>
            </w:r>
          </w:p>
        </w:tc>
      </w:tr>
      <w:tr w:rsidR="002228AB" w:rsidRPr="00F97084" w:rsidTr="002228AB">
        <w:tc>
          <w:tcPr>
            <w:tcW w:w="697"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18</w:t>
            </w:r>
          </w:p>
        </w:tc>
        <w:tc>
          <w:tcPr>
            <w:tcW w:w="73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30664</w:t>
            </w:r>
          </w:p>
        </w:tc>
        <w:tc>
          <w:tcPr>
            <w:tcW w:w="396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 xml:space="preserve">Lâmina de Limpeza do IBT Xerox Color C70 Pro, </w:t>
            </w:r>
            <w:proofErr w:type="spellStart"/>
            <w:r w:rsidRPr="00F97084">
              <w:rPr>
                <w:rFonts w:ascii="Bookman Old Style" w:hAnsi="Bookman Old Style"/>
                <w:sz w:val="16"/>
                <w:szCs w:val="16"/>
              </w:rPr>
              <w:t>Part</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Number</w:t>
            </w:r>
            <w:proofErr w:type="spellEnd"/>
            <w:r w:rsidRPr="00F97084">
              <w:rPr>
                <w:rFonts w:ascii="Bookman Old Style" w:hAnsi="Bookman Old Style"/>
                <w:sz w:val="16"/>
                <w:szCs w:val="16"/>
              </w:rPr>
              <w:t xml:space="preserve"> 042K94560, original Xerox, nova, de primeiro uso, em embalagem original, plenamente compatível com o conjunto de transferência da Xerox Color C70 Pro, sem sinais de uso ou recuperação.  </w:t>
            </w:r>
          </w:p>
        </w:tc>
        <w:tc>
          <w:tcPr>
            <w:tcW w:w="992"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4,00</w:t>
            </w:r>
          </w:p>
        </w:tc>
        <w:tc>
          <w:tcPr>
            <w:tcW w:w="70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3.034,75</w:t>
            </w:r>
          </w:p>
        </w:tc>
        <w:tc>
          <w:tcPr>
            <w:tcW w:w="127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12.139,00</w:t>
            </w:r>
          </w:p>
        </w:tc>
      </w:tr>
      <w:tr w:rsidR="002228AB" w:rsidRPr="00F97084" w:rsidTr="002228AB">
        <w:tc>
          <w:tcPr>
            <w:tcW w:w="697"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19</w:t>
            </w:r>
          </w:p>
        </w:tc>
        <w:tc>
          <w:tcPr>
            <w:tcW w:w="73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30665</w:t>
            </w:r>
          </w:p>
        </w:tc>
        <w:tc>
          <w:tcPr>
            <w:tcW w:w="396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 xml:space="preserve">Rolo 1st BTR Xerox Color C70 Pro, </w:t>
            </w:r>
            <w:proofErr w:type="spellStart"/>
            <w:r w:rsidRPr="00F97084">
              <w:rPr>
                <w:rFonts w:ascii="Bookman Old Style" w:hAnsi="Bookman Old Style"/>
                <w:sz w:val="16"/>
                <w:szCs w:val="16"/>
              </w:rPr>
              <w:t>Part</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Number</w:t>
            </w:r>
            <w:proofErr w:type="spellEnd"/>
            <w:r w:rsidRPr="00F97084">
              <w:rPr>
                <w:rFonts w:ascii="Bookman Old Style" w:hAnsi="Bookman Old Style"/>
                <w:sz w:val="16"/>
                <w:szCs w:val="16"/>
              </w:rPr>
              <w:t xml:space="preserve"> 059K79200, original Xerox, novo, de primeiro uso, completo e plenamente compatível com o equipamento, em embalagem original, sem sinais de uso, reparo ou recuperação.  </w:t>
            </w:r>
          </w:p>
        </w:tc>
        <w:tc>
          <w:tcPr>
            <w:tcW w:w="992"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4,00</w:t>
            </w:r>
          </w:p>
        </w:tc>
        <w:tc>
          <w:tcPr>
            <w:tcW w:w="70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306,75</w:t>
            </w:r>
          </w:p>
        </w:tc>
        <w:tc>
          <w:tcPr>
            <w:tcW w:w="127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1.227,00</w:t>
            </w:r>
          </w:p>
        </w:tc>
      </w:tr>
      <w:tr w:rsidR="002228AB" w:rsidRPr="00F97084" w:rsidTr="002228AB">
        <w:tc>
          <w:tcPr>
            <w:tcW w:w="697"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lastRenderedPageBreak/>
              <w:t>20</w:t>
            </w:r>
          </w:p>
        </w:tc>
        <w:tc>
          <w:tcPr>
            <w:tcW w:w="73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30666</w:t>
            </w:r>
          </w:p>
        </w:tc>
        <w:tc>
          <w:tcPr>
            <w:tcW w:w="396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 xml:space="preserve">Caixa Reveladora C/M/Y Xerox Color C70 Pro, </w:t>
            </w:r>
            <w:proofErr w:type="spellStart"/>
            <w:r w:rsidRPr="00F97084">
              <w:rPr>
                <w:rFonts w:ascii="Bookman Old Style" w:hAnsi="Bookman Old Style"/>
                <w:sz w:val="16"/>
                <w:szCs w:val="16"/>
              </w:rPr>
              <w:t>Part</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Number</w:t>
            </w:r>
            <w:proofErr w:type="spellEnd"/>
            <w:r w:rsidRPr="00F97084">
              <w:rPr>
                <w:rFonts w:ascii="Bookman Old Style" w:hAnsi="Bookman Old Style"/>
                <w:sz w:val="16"/>
                <w:szCs w:val="16"/>
              </w:rPr>
              <w:t xml:space="preserve"> 604K86350, original Xerox, nova, de primeiro uso, completa e pronta para instalação, em embalagem original, plenamente compatível com a Xerox Color C70 Pro, sem sinais de uso, reparo ou recondicionamento.  </w:t>
            </w:r>
          </w:p>
        </w:tc>
        <w:tc>
          <w:tcPr>
            <w:tcW w:w="992"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4,00</w:t>
            </w:r>
          </w:p>
        </w:tc>
        <w:tc>
          <w:tcPr>
            <w:tcW w:w="70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1.665,50</w:t>
            </w:r>
          </w:p>
        </w:tc>
        <w:tc>
          <w:tcPr>
            <w:tcW w:w="127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6.662,00</w:t>
            </w:r>
          </w:p>
        </w:tc>
      </w:tr>
      <w:tr w:rsidR="002228AB" w:rsidRPr="00F97084" w:rsidTr="002228AB">
        <w:tc>
          <w:tcPr>
            <w:tcW w:w="697"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21</w:t>
            </w:r>
          </w:p>
        </w:tc>
        <w:tc>
          <w:tcPr>
            <w:tcW w:w="73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30667</w:t>
            </w:r>
          </w:p>
        </w:tc>
        <w:tc>
          <w:tcPr>
            <w:tcW w:w="396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 xml:space="preserve">Caixa Reveladora K Xerox Color C70 Pro, </w:t>
            </w:r>
            <w:proofErr w:type="spellStart"/>
            <w:r w:rsidRPr="00F97084">
              <w:rPr>
                <w:rFonts w:ascii="Bookman Old Style" w:hAnsi="Bookman Old Style"/>
                <w:sz w:val="16"/>
                <w:szCs w:val="16"/>
              </w:rPr>
              <w:t>Part</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Number</w:t>
            </w:r>
            <w:proofErr w:type="spellEnd"/>
            <w:r w:rsidRPr="00F97084">
              <w:rPr>
                <w:rFonts w:ascii="Bookman Old Style" w:hAnsi="Bookman Old Style"/>
                <w:sz w:val="16"/>
                <w:szCs w:val="16"/>
              </w:rPr>
              <w:t xml:space="preserve"> 604K86360, original Xerox, nova, de primeiro uso, completa e pronta para instalação, em embalagem original, plenamente compatível com a Xerox Color C70 Pro, sem sinais de uso, reparo ou recondicionamento.  </w:t>
            </w:r>
          </w:p>
        </w:tc>
        <w:tc>
          <w:tcPr>
            <w:tcW w:w="992"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4,00</w:t>
            </w:r>
          </w:p>
        </w:tc>
        <w:tc>
          <w:tcPr>
            <w:tcW w:w="709"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1.630,50</w:t>
            </w:r>
          </w:p>
        </w:tc>
        <w:tc>
          <w:tcPr>
            <w:tcW w:w="1276" w:type="dxa"/>
            <w:shd w:val="clear" w:color="auto" w:fill="FFFFFF"/>
          </w:tcPr>
          <w:p w:rsidR="002228AB" w:rsidRPr="00F97084" w:rsidRDefault="002228AB" w:rsidP="002228AB">
            <w:pPr>
              <w:spacing w:after="0" w:line="240" w:lineRule="auto"/>
              <w:rPr>
                <w:rFonts w:ascii="Bookman Old Style" w:hAnsi="Bookman Old Style"/>
                <w:sz w:val="16"/>
                <w:szCs w:val="16"/>
              </w:rPr>
            </w:pPr>
            <w:r w:rsidRPr="00F97084">
              <w:rPr>
                <w:rFonts w:ascii="Bookman Old Style" w:hAnsi="Bookman Old Style"/>
                <w:sz w:val="16"/>
                <w:szCs w:val="16"/>
              </w:rPr>
              <w:t>6.522,00</w:t>
            </w:r>
          </w:p>
        </w:tc>
      </w:tr>
      <w:tr w:rsidR="002228AB" w:rsidRPr="00F97084" w:rsidTr="002228AB">
        <w:tc>
          <w:tcPr>
            <w:tcW w:w="8237" w:type="dxa"/>
            <w:gridSpan w:val="6"/>
            <w:shd w:val="clear" w:color="auto" w:fill="FFFFFF"/>
          </w:tcPr>
          <w:p w:rsidR="002228AB" w:rsidRPr="00F97084" w:rsidRDefault="002228AB" w:rsidP="002228AB">
            <w:pPr>
              <w:spacing w:after="0" w:line="240" w:lineRule="auto"/>
              <w:rPr>
                <w:rFonts w:ascii="Bookman Old Style" w:hAnsi="Bookman Old Style"/>
                <w:b/>
                <w:sz w:val="16"/>
                <w:szCs w:val="16"/>
              </w:rPr>
            </w:pPr>
          </w:p>
          <w:p w:rsidR="002228AB" w:rsidRPr="00F97084" w:rsidRDefault="002228AB" w:rsidP="002228AB">
            <w:pPr>
              <w:spacing w:after="0" w:line="240" w:lineRule="auto"/>
              <w:rPr>
                <w:rFonts w:ascii="Bookman Old Style" w:hAnsi="Bookman Old Style"/>
                <w:b/>
                <w:sz w:val="16"/>
                <w:szCs w:val="16"/>
              </w:rPr>
            </w:pPr>
            <w:r w:rsidRPr="00F97084">
              <w:rPr>
                <w:rFonts w:ascii="Bookman Old Style" w:hAnsi="Bookman Old Style"/>
                <w:b/>
                <w:sz w:val="16"/>
                <w:szCs w:val="16"/>
              </w:rPr>
              <w:t>TOTAL</w:t>
            </w:r>
          </w:p>
        </w:tc>
        <w:tc>
          <w:tcPr>
            <w:tcW w:w="1276" w:type="dxa"/>
            <w:shd w:val="clear" w:color="auto" w:fill="FFFFFF"/>
          </w:tcPr>
          <w:p w:rsidR="002228AB" w:rsidRPr="00F97084" w:rsidRDefault="002228AB" w:rsidP="002228AB">
            <w:pPr>
              <w:spacing w:after="0" w:line="240" w:lineRule="auto"/>
              <w:rPr>
                <w:rFonts w:ascii="Bookman Old Style" w:hAnsi="Bookman Old Style"/>
                <w:b/>
                <w:sz w:val="16"/>
                <w:szCs w:val="16"/>
              </w:rPr>
            </w:pPr>
          </w:p>
          <w:p w:rsidR="002228AB" w:rsidRPr="00F97084" w:rsidRDefault="002228AB" w:rsidP="002228AB">
            <w:pPr>
              <w:spacing w:after="0" w:line="240" w:lineRule="auto"/>
              <w:rPr>
                <w:rFonts w:ascii="Bookman Old Style" w:hAnsi="Bookman Old Style"/>
                <w:b/>
                <w:sz w:val="16"/>
                <w:szCs w:val="16"/>
              </w:rPr>
            </w:pPr>
            <w:r w:rsidRPr="00F97084">
              <w:rPr>
                <w:rFonts w:ascii="Bookman Old Style" w:hAnsi="Bookman Old Style"/>
                <w:b/>
                <w:sz w:val="16"/>
                <w:szCs w:val="16"/>
              </w:rPr>
              <w:t>236.976,04</w:t>
            </w:r>
          </w:p>
        </w:tc>
      </w:tr>
    </w:tbl>
    <w:p w:rsidR="002228AB" w:rsidRPr="00F97084" w:rsidRDefault="002228AB" w:rsidP="002228AB">
      <w:pPr>
        <w:spacing w:before="100" w:beforeAutospacing="1" w:after="100" w:afterAutospacing="1" w:line="240" w:lineRule="auto"/>
        <w:jc w:val="both"/>
        <w:rPr>
          <w:rFonts w:ascii="Bookman Old Style" w:eastAsia="Times New Roman" w:hAnsi="Bookman Old Style" w:cs="Times New Roman"/>
          <w:szCs w:val="20"/>
          <w:lang w:eastAsia="pt-BR"/>
        </w:rPr>
      </w:pPr>
      <w:r w:rsidRPr="00F97084">
        <w:rPr>
          <w:rFonts w:ascii="Bookman Old Style" w:eastAsia="Bookman Old Style" w:hAnsi="Bookman Old Style" w:cs="Bookman Old Style"/>
          <w:b/>
          <w:i/>
          <w:sz w:val="24"/>
          <w:u w:val="single"/>
          <w:shd w:val="clear" w:color="auto" w:fill="FFFF00"/>
        </w:rPr>
        <w:t>OBS: Havendo qualquer discordância entre a descrição do CATMAT e a do Edital, prevalecerá a descrição constante no Edital.</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relação e os códigos acima correspondem aos componentes individualizados no processo anteriormente elaborado para a Xerox Color C70 Pro.</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Para todos os itens do Lote 01 não serão aceitos produtos compatíveis, similares, </w:t>
      </w:r>
      <w:proofErr w:type="spellStart"/>
      <w:r w:rsidRPr="00F97084">
        <w:rPr>
          <w:rFonts w:ascii="Bookman Old Style" w:eastAsia="Times New Roman" w:hAnsi="Bookman Old Style" w:cs="Times New Roman"/>
          <w:sz w:val="20"/>
          <w:szCs w:val="20"/>
          <w:lang w:eastAsia="pt-BR"/>
        </w:rPr>
        <w:t>remanufaturados</w:t>
      </w:r>
      <w:proofErr w:type="spellEnd"/>
      <w:r w:rsidRPr="00F97084">
        <w:rPr>
          <w:rFonts w:ascii="Bookman Old Style" w:eastAsia="Times New Roman" w:hAnsi="Bookman Old Style" w:cs="Times New Roman"/>
          <w:sz w:val="20"/>
          <w:szCs w:val="20"/>
          <w:lang w:eastAsia="pt-BR"/>
        </w:rPr>
        <w:t>, recondicionados, reciclados, recarregados ou de fabricação diversa da Xerox.</w:t>
      </w:r>
    </w:p>
    <w:p w:rsidR="008D2A52" w:rsidRDefault="008D2A52" w:rsidP="008D2A52">
      <w:pPr>
        <w:spacing w:before="100" w:beforeAutospacing="1" w:after="100" w:afterAutospacing="1" w:line="240" w:lineRule="auto"/>
        <w:ind w:firstLine="709"/>
        <w:jc w:val="both"/>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LOTE 02 – TINTAS, TONERS, CILINDROS, FITAS, PEÇAS, MATERIAIS, FERRAMENTAS E EQUIPAMENTOS PARA IMPRESSÃO E MANUTENÇÃO</w:t>
      </w:r>
    </w:p>
    <w:p w:rsidR="00CF6858" w:rsidRPr="00F97084" w:rsidRDefault="00CF6858" w:rsidP="00CF6858">
      <w:pPr>
        <w:spacing w:before="100" w:beforeAutospacing="1" w:after="100" w:afterAutospacing="1" w:line="240" w:lineRule="auto"/>
        <w:jc w:val="both"/>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Critério de julgame</w:t>
      </w:r>
      <w:r>
        <w:rPr>
          <w:rFonts w:ascii="Bookman Old Style" w:eastAsia="Times New Roman" w:hAnsi="Bookman Old Style" w:cs="Times New Roman"/>
          <w:b/>
          <w:bCs/>
          <w:sz w:val="20"/>
          <w:szCs w:val="20"/>
          <w:lang w:eastAsia="pt-BR"/>
        </w:rPr>
        <w:t>nto: menor preço por item.</w:t>
      </w:r>
    </w:p>
    <w:tbl>
      <w:tblPr>
        <w:tblW w:w="492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697"/>
        <w:gridCol w:w="736"/>
        <w:gridCol w:w="3969"/>
        <w:gridCol w:w="992"/>
        <w:gridCol w:w="709"/>
        <w:gridCol w:w="1134"/>
        <w:gridCol w:w="1276"/>
      </w:tblGrid>
      <w:tr w:rsidR="002228AB" w:rsidRPr="00F97084" w:rsidTr="00387425">
        <w:tc>
          <w:tcPr>
            <w:tcW w:w="9513" w:type="dxa"/>
            <w:gridSpan w:val="7"/>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Lote: 2 - Lote 002</w:t>
            </w:r>
          </w:p>
        </w:tc>
      </w:tr>
      <w:tr w:rsidR="002228AB" w:rsidRPr="00F97084" w:rsidTr="00387425">
        <w:tc>
          <w:tcPr>
            <w:tcW w:w="697" w:type="dxa"/>
            <w:shd w:val="clear" w:color="auto" w:fill="C0C0C0"/>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Item</w:t>
            </w:r>
          </w:p>
        </w:tc>
        <w:tc>
          <w:tcPr>
            <w:tcW w:w="736" w:type="dxa"/>
            <w:shd w:val="clear" w:color="auto" w:fill="C0C0C0"/>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Código do produto/serviço</w:t>
            </w:r>
          </w:p>
        </w:tc>
        <w:tc>
          <w:tcPr>
            <w:tcW w:w="3969" w:type="dxa"/>
            <w:shd w:val="clear" w:color="auto" w:fill="C0C0C0"/>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Nome do produto/serviço</w:t>
            </w:r>
          </w:p>
        </w:tc>
        <w:tc>
          <w:tcPr>
            <w:tcW w:w="992" w:type="dxa"/>
            <w:shd w:val="clear" w:color="auto" w:fill="C0C0C0"/>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Quantidade</w:t>
            </w:r>
          </w:p>
        </w:tc>
        <w:tc>
          <w:tcPr>
            <w:tcW w:w="709" w:type="dxa"/>
            <w:shd w:val="clear" w:color="auto" w:fill="C0C0C0"/>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Unidade</w:t>
            </w:r>
          </w:p>
        </w:tc>
        <w:tc>
          <w:tcPr>
            <w:tcW w:w="1134" w:type="dxa"/>
            <w:shd w:val="clear" w:color="auto" w:fill="C0C0C0"/>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Preço máximo</w:t>
            </w:r>
          </w:p>
        </w:tc>
        <w:tc>
          <w:tcPr>
            <w:tcW w:w="1276" w:type="dxa"/>
            <w:shd w:val="clear" w:color="auto" w:fill="C0C0C0"/>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Preço máximo total</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22</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30668</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Tinta corante preta para impressoras Epson, frasco de 1 litro, base água, tipo </w:t>
            </w:r>
            <w:proofErr w:type="spellStart"/>
            <w:r w:rsidRPr="00F97084">
              <w:rPr>
                <w:rFonts w:ascii="Bookman Old Style" w:hAnsi="Bookman Old Style"/>
                <w:sz w:val="16"/>
                <w:szCs w:val="16"/>
              </w:rPr>
              <w:t>Dye</w:t>
            </w:r>
            <w:proofErr w:type="spellEnd"/>
            <w:r w:rsidRPr="00F97084">
              <w:rPr>
                <w:rFonts w:ascii="Bookman Old Style" w:hAnsi="Bookman Old Style"/>
                <w:sz w:val="16"/>
                <w:szCs w:val="16"/>
              </w:rPr>
              <w:t xml:space="preserve">/corante, adequada a cabeçotes </w:t>
            </w:r>
            <w:proofErr w:type="spellStart"/>
            <w:r w:rsidRPr="00F97084">
              <w:rPr>
                <w:rFonts w:ascii="Bookman Old Style" w:hAnsi="Bookman Old Style"/>
                <w:sz w:val="16"/>
                <w:szCs w:val="16"/>
              </w:rPr>
              <w:t>piezoelétricos</w:t>
            </w:r>
            <w:proofErr w:type="spellEnd"/>
            <w:r w:rsidRPr="00F97084">
              <w:rPr>
                <w:rFonts w:ascii="Bookman Old Style" w:hAnsi="Bookman Old Style"/>
                <w:sz w:val="16"/>
                <w:szCs w:val="16"/>
              </w:rPr>
              <w:t xml:space="preserve">. Referência técnica </w:t>
            </w:r>
            <w:proofErr w:type="spellStart"/>
            <w:r w:rsidRPr="00F97084">
              <w:rPr>
                <w:rFonts w:ascii="Bookman Old Style" w:hAnsi="Bookman Old Style"/>
                <w:sz w:val="16"/>
                <w:szCs w:val="16"/>
              </w:rPr>
              <w:t>InkTec</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Profeel</w:t>
            </w:r>
            <w:proofErr w:type="spellEnd"/>
            <w:r w:rsidRPr="00F97084">
              <w:rPr>
                <w:rFonts w:ascii="Bookman Old Style" w:hAnsi="Bookman Old Style"/>
                <w:sz w:val="16"/>
                <w:szCs w:val="16"/>
              </w:rPr>
              <w:t xml:space="preserve"> E0017 ou produto equivalente, similar ou superior, mediante comprovação técnica. Produto homogêneo, sem sedimentação anormal, com identificação de fabricante, linha, lote e procedência, fornecido em embalagem íntegra e lacrada.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60,00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FRASC</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195,00</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11.700,00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23</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30669</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Tinta corante ciano para impressoras Epson, frasco de 1 litro, base água, tipo </w:t>
            </w:r>
            <w:proofErr w:type="spellStart"/>
            <w:r w:rsidRPr="00F97084">
              <w:rPr>
                <w:rFonts w:ascii="Bookman Old Style" w:hAnsi="Bookman Old Style"/>
                <w:sz w:val="16"/>
                <w:szCs w:val="16"/>
              </w:rPr>
              <w:t>Dye</w:t>
            </w:r>
            <w:proofErr w:type="spellEnd"/>
            <w:r w:rsidRPr="00F97084">
              <w:rPr>
                <w:rFonts w:ascii="Bookman Old Style" w:hAnsi="Bookman Old Style"/>
                <w:sz w:val="16"/>
                <w:szCs w:val="16"/>
              </w:rPr>
              <w:t xml:space="preserve">/corante, adequada a cabeçotes </w:t>
            </w:r>
            <w:proofErr w:type="spellStart"/>
            <w:r w:rsidRPr="00F97084">
              <w:rPr>
                <w:rFonts w:ascii="Bookman Old Style" w:hAnsi="Bookman Old Style"/>
                <w:sz w:val="16"/>
                <w:szCs w:val="16"/>
              </w:rPr>
              <w:t>piezoelétricos</w:t>
            </w:r>
            <w:proofErr w:type="spellEnd"/>
            <w:r w:rsidRPr="00F97084">
              <w:rPr>
                <w:rFonts w:ascii="Bookman Old Style" w:hAnsi="Bookman Old Style"/>
                <w:sz w:val="16"/>
                <w:szCs w:val="16"/>
              </w:rPr>
              <w:t xml:space="preserve">. Referência técnica </w:t>
            </w:r>
            <w:proofErr w:type="spellStart"/>
            <w:r w:rsidRPr="00F97084">
              <w:rPr>
                <w:rFonts w:ascii="Bookman Old Style" w:hAnsi="Bookman Old Style"/>
                <w:sz w:val="16"/>
                <w:szCs w:val="16"/>
              </w:rPr>
              <w:t>InkTec</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Profeel</w:t>
            </w:r>
            <w:proofErr w:type="spellEnd"/>
            <w:r w:rsidRPr="00F97084">
              <w:rPr>
                <w:rFonts w:ascii="Bookman Old Style" w:hAnsi="Bookman Old Style"/>
                <w:sz w:val="16"/>
                <w:szCs w:val="16"/>
              </w:rPr>
              <w:t xml:space="preserve"> E0017 ou produto equivalente, similar ou superior, mediante comprovação técnica. Produto homogêneo, sem sedimentação anormal, com identificação de fabricante, linha, lote e procedência, fornecido em embalagem íntegra e lacrada.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40,00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FRASC</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195,00</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7.800,00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24</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30670</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Tinta corante magenta para impressoras Epson, frasco de 1 litro, base água, tipo </w:t>
            </w:r>
            <w:proofErr w:type="spellStart"/>
            <w:r w:rsidRPr="00F97084">
              <w:rPr>
                <w:rFonts w:ascii="Bookman Old Style" w:hAnsi="Bookman Old Style"/>
                <w:sz w:val="16"/>
                <w:szCs w:val="16"/>
              </w:rPr>
              <w:t>Dye</w:t>
            </w:r>
            <w:proofErr w:type="spellEnd"/>
            <w:r w:rsidRPr="00F97084">
              <w:rPr>
                <w:rFonts w:ascii="Bookman Old Style" w:hAnsi="Bookman Old Style"/>
                <w:sz w:val="16"/>
                <w:szCs w:val="16"/>
              </w:rPr>
              <w:t xml:space="preserve">/corante, adequada a cabeçotes </w:t>
            </w:r>
            <w:proofErr w:type="spellStart"/>
            <w:r w:rsidRPr="00F97084">
              <w:rPr>
                <w:rFonts w:ascii="Bookman Old Style" w:hAnsi="Bookman Old Style"/>
                <w:sz w:val="16"/>
                <w:szCs w:val="16"/>
              </w:rPr>
              <w:t>piezoelétricos</w:t>
            </w:r>
            <w:proofErr w:type="spellEnd"/>
            <w:r w:rsidRPr="00F97084">
              <w:rPr>
                <w:rFonts w:ascii="Bookman Old Style" w:hAnsi="Bookman Old Style"/>
                <w:sz w:val="16"/>
                <w:szCs w:val="16"/>
              </w:rPr>
              <w:t xml:space="preserve">. Referência técnica </w:t>
            </w:r>
            <w:proofErr w:type="spellStart"/>
            <w:r w:rsidRPr="00F97084">
              <w:rPr>
                <w:rFonts w:ascii="Bookman Old Style" w:hAnsi="Bookman Old Style"/>
                <w:sz w:val="16"/>
                <w:szCs w:val="16"/>
              </w:rPr>
              <w:t>InkTec</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Profeel</w:t>
            </w:r>
            <w:proofErr w:type="spellEnd"/>
            <w:r w:rsidRPr="00F97084">
              <w:rPr>
                <w:rFonts w:ascii="Bookman Old Style" w:hAnsi="Bookman Old Style"/>
                <w:sz w:val="16"/>
                <w:szCs w:val="16"/>
              </w:rPr>
              <w:t xml:space="preserve"> E0017 ou produto equivalente, similar ou superior, mediante comprovação técnica. Produto homogêneo, sem sedimentação anormal, com identificação de fabricante, linha, lote e procedência, fornecido em embalagem íntegra e lacrada.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40,00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FRASC</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195,00</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7.800,00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25</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30671</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Tinta corante amarela para impressoras Epson, frasco de 1 litro, base água, tipo </w:t>
            </w:r>
            <w:proofErr w:type="spellStart"/>
            <w:r w:rsidRPr="00F97084">
              <w:rPr>
                <w:rFonts w:ascii="Bookman Old Style" w:hAnsi="Bookman Old Style"/>
                <w:sz w:val="16"/>
                <w:szCs w:val="16"/>
              </w:rPr>
              <w:t>Dye</w:t>
            </w:r>
            <w:proofErr w:type="spellEnd"/>
            <w:r w:rsidRPr="00F97084">
              <w:rPr>
                <w:rFonts w:ascii="Bookman Old Style" w:hAnsi="Bookman Old Style"/>
                <w:sz w:val="16"/>
                <w:szCs w:val="16"/>
              </w:rPr>
              <w:t xml:space="preserve">/corante, adequada a cabeçotes </w:t>
            </w:r>
            <w:proofErr w:type="spellStart"/>
            <w:r w:rsidRPr="00F97084">
              <w:rPr>
                <w:rFonts w:ascii="Bookman Old Style" w:hAnsi="Bookman Old Style"/>
                <w:sz w:val="16"/>
                <w:szCs w:val="16"/>
              </w:rPr>
              <w:t>piezoelétricos</w:t>
            </w:r>
            <w:proofErr w:type="spellEnd"/>
            <w:r w:rsidRPr="00F97084">
              <w:rPr>
                <w:rFonts w:ascii="Bookman Old Style" w:hAnsi="Bookman Old Style"/>
                <w:sz w:val="16"/>
                <w:szCs w:val="16"/>
              </w:rPr>
              <w:t xml:space="preserve">. Referência </w:t>
            </w:r>
            <w:r w:rsidRPr="00F97084">
              <w:rPr>
                <w:rFonts w:ascii="Bookman Old Style" w:hAnsi="Bookman Old Style"/>
                <w:sz w:val="16"/>
                <w:szCs w:val="16"/>
              </w:rPr>
              <w:lastRenderedPageBreak/>
              <w:t xml:space="preserve">técnica </w:t>
            </w:r>
            <w:proofErr w:type="spellStart"/>
            <w:r w:rsidRPr="00F97084">
              <w:rPr>
                <w:rFonts w:ascii="Bookman Old Style" w:hAnsi="Bookman Old Style"/>
                <w:sz w:val="16"/>
                <w:szCs w:val="16"/>
              </w:rPr>
              <w:t>InkTec</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Profeel</w:t>
            </w:r>
            <w:proofErr w:type="spellEnd"/>
            <w:r w:rsidRPr="00F97084">
              <w:rPr>
                <w:rFonts w:ascii="Bookman Old Style" w:hAnsi="Bookman Old Style"/>
                <w:sz w:val="16"/>
                <w:szCs w:val="16"/>
              </w:rPr>
              <w:t xml:space="preserve"> E0017 ou produto equivalente, similar ou superior, mediante comprovação técnica. Produto homogêneo, sem sedimentação anormal, com identificação de fabricante, linha, lote e procedência, fornecido em embalagem íntegra e lacrada.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lastRenderedPageBreak/>
              <w:t>40,00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FRASC</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195,00</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7.800,00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lastRenderedPageBreak/>
              <w:t>26</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30672</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Kit de tintas corantes CMYK para impressoras Epson, composto por 04 frascos de 250 ml, sendo preto, ciano, magenta e amarelo, base água, tipo </w:t>
            </w:r>
            <w:proofErr w:type="spellStart"/>
            <w:r w:rsidRPr="00F97084">
              <w:rPr>
                <w:rFonts w:ascii="Bookman Old Style" w:hAnsi="Bookman Old Style"/>
                <w:sz w:val="16"/>
                <w:szCs w:val="16"/>
              </w:rPr>
              <w:t>Dye</w:t>
            </w:r>
            <w:proofErr w:type="spellEnd"/>
            <w:r w:rsidRPr="00F97084">
              <w:rPr>
                <w:rFonts w:ascii="Bookman Old Style" w:hAnsi="Bookman Old Style"/>
                <w:sz w:val="16"/>
                <w:szCs w:val="16"/>
              </w:rPr>
              <w:t xml:space="preserve">/corante, adequado a cabeçotes </w:t>
            </w:r>
            <w:proofErr w:type="spellStart"/>
            <w:r w:rsidRPr="00F97084">
              <w:rPr>
                <w:rFonts w:ascii="Bookman Old Style" w:hAnsi="Bookman Old Style"/>
                <w:sz w:val="16"/>
                <w:szCs w:val="16"/>
              </w:rPr>
              <w:t>piezoelétricos</w:t>
            </w:r>
            <w:proofErr w:type="spellEnd"/>
            <w:r w:rsidRPr="00F97084">
              <w:rPr>
                <w:rFonts w:ascii="Bookman Old Style" w:hAnsi="Bookman Old Style"/>
                <w:sz w:val="16"/>
                <w:szCs w:val="16"/>
              </w:rPr>
              <w:t xml:space="preserve">. Referência técnica </w:t>
            </w:r>
            <w:proofErr w:type="spellStart"/>
            <w:r w:rsidRPr="00F97084">
              <w:rPr>
                <w:rFonts w:ascii="Bookman Old Style" w:hAnsi="Bookman Old Style"/>
                <w:sz w:val="16"/>
                <w:szCs w:val="16"/>
              </w:rPr>
              <w:t>InkTec</w:t>
            </w:r>
            <w:proofErr w:type="spellEnd"/>
            <w:r w:rsidRPr="00F97084">
              <w:rPr>
                <w:rFonts w:ascii="Bookman Old Style" w:hAnsi="Bookman Old Style"/>
                <w:sz w:val="16"/>
                <w:szCs w:val="16"/>
              </w:rPr>
              <w:t xml:space="preserve"> </w:t>
            </w:r>
            <w:proofErr w:type="spellStart"/>
            <w:r w:rsidRPr="00F97084">
              <w:rPr>
                <w:rFonts w:ascii="Bookman Old Style" w:hAnsi="Bookman Old Style"/>
                <w:sz w:val="16"/>
                <w:szCs w:val="16"/>
              </w:rPr>
              <w:t>Profeel</w:t>
            </w:r>
            <w:proofErr w:type="spellEnd"/>
            <w:r w:rsidRPr="00F97084">
              <w:rPr>
                <w:rFonts w:ascii="Bookman Old Style" w:hAnsi="Bookman Old Style"/>
                <w:sz w:val="16"/>
                <w:szCs w:val="16"/>
              </w:rPr>
              <w:t xml:space="preserve"> E0017 ou equivalente, similar ou superior, com fabricante, linha, lote e procedência identificados.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26,00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KT</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209,33</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5.442,58</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27</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30673</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Cartucho de toner compatível Brother TN-2370, cor preta, novo e de primeiro uso, compatível com Brother MFC-L2740DW e DCP-L2540DW, completo e pronto para instalação. Não serão aceitos cartuchos recarregados, </w:t>
            </w:r>
            <w:proofErr w:type="spellStart"/>
            <w:r w:rsidRPr="00F97084">
              <w:rPr>
                <w:rFonts w:ascii="Bookman Old Style" w:hAnsi="Bookman Old Style"/>
                <w:sz w:val="16"/>
                <w:szCs w:val="16"/>
              </w:rPr>
              <w:t>remanufaturados</w:t>
            </w:r>
            <w:proofErr w:type="spellEnd"/>
            <w:r w:rsidRPr="00F97084">
              <w:rPr>
                <w:rFonts w:ascii="Bookman Old Style" w:hAnsi="Bookman Old Style"/>
                <w:sz w:val="16"/>
                <w:szCs w:val="16"/>
              </w:rPr>
              <w:t xml:space="preserve">, recondicionados, recuperados ou com reaproveitamento de componentes usados. Chip/circuito de reconhecimento funcional quando aplicável.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250,00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50,52</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12.630,00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28</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30674</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Unidade de cilindro/fotocondutor compatível Brother DR-2340, nova e de primeiro uso, compatível com Brother MFC-L2740DW e DCP-L2540DW, completa e pronta para instalação, sem sinais de uso, recuperação, recondicionamento ou reaproveitamento.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70,00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64,95</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4.546,50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29</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30675</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Cartucho de toner compatível Brother TN-419BK, cor preta, novo e de primeiro uso, compatível com Brother HL-L8360CDW, completo e pronto para instalação. Não serão aceitos produtos recarregados, </w:t>
            </w:r>
            <w:proofErr w:type="spellStart"/>
            <w:r w:rsidRPr="00F97084">
              <w:rPr>
                <w:rFonts w:ascii="Bookman Old Style" w:hAnsi="Bookman Old Style"/>
                <w:sz w:val="16"/>
                <w:szCs w:val="16"/>
              </w:rPr>
              <w:t>remanufaturados</w:t>
            </w:r>
            <w:proofErr w:type="spellEnd"/>
            <w:r w:rsidRPr="00F97084">
              <w:rPr>
                <w:rFonts w:ascii="Bookman Old Style" w:hAnsi="Bookman Old Style"/>
                <w:sz w:val="16"/>
                <w:szCs w:val="16"/>
              </w:rPr>
              <w:t xml:space="preserve">, recondicionados, recuperados ou com reaproveitamento de cartucho usado. Chip/circuito de reconhecimento funcional quando aplicável.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12,00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86,33</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1.035,96</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30676</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Cartucho de toner compatível Brother TN-419C, cor ciano, novo e de primeiro uso, compatível com Brother HL-L8360CDW, completo e pronto para instalação. Não serão aceitos produtos recarregados, </w:t>
            </w:r>
            <w:proofErr w:type="spellStart"/>
            <w:r w:rsidRPr="00F97084">
              <w:rPr>
                <w:rFonts w:ascii="Bookman Old Style" w:hAnsi="Bookman Old Style"/>
                <w:sz w:val="16"/>
                <w:szCs w:val="16"/>
              </w:rPr>
              <w:t>remanufaturados</w:t>
            </w:r>
            <w:proofErr w:type="spellEnd"/>
            <w:r w:rsidRPr="00F97084">
              <w:rPr>
                <w:rFonts w:ascii="Bookman Old Style" w:hAnsi="Bookman Old Style"/>
                <w:sz w:val="16"/>
                <w:szCs w:val="16"/>
              </w:rPr>
              <w:t xml:space="preserve">, recondicionados, recuperados ou com reaproveitamento de cartucho usado. Chip/circuito de reconhecimento funcional quando aplicável.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8,00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86,33</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690,64</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31</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30677</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Cartucho de toner compatível Brother TN-419M, cor magenta, novo e de primeiro uso, compatível com Brother HL-L8360CDW, completo e pronto para instalação. Não serão aceitos produtos recarregados, </w:t>
            </w:r>
            <w:proofErr w:type="spellStart"/>
            <w:r w:rsidRPr="00F97084">
              <w:rPr>
                <w:rFonts w:ascii="Bookman Old Style" w:hAnsi="Bookman Old Style"/>
                <w:sz w:val="16"/>
                <w:szCs w:val="16"/>
              </w:rPr>
              <w:t>remanufaturados</w:t>
            </w:r>
            <w:proofErr w:type="spellEnd"/>
            <w:r w:rsidRPr="00F97084">
              <w:rPr>
                <w:rFonts w:ascii="Bookman Old Style" w:hAnsi="Bookman Old Style"/>
                <w:sz w:val="16"/>
                <w:szCs w:val="16"/>
              </w:rPr>
              <w:t xml:space="preserve">, recondicionados, recuperados ou com reaproveitamento de cartucho usado. Chip/circuito de reconhecimento funcional quando aplicável.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8,00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86,33</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690,64</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32</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30678</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Cartucho de toner compatível Brother TN-419Y, cor amarela, novo e de primeiro uso, compatível com Brother HL-L8360CDW, completo e pronto para instalação. Não serão aceitos produtos recarregados, </w:t>
            </w:r>
            <w:proofErr w:type="spellStart"/>
            <w:r w:rsidRPr="00F97084">
              <w:rPr>
                <w:rFonts w:ascii="Bookman Old Style" w:hAnsi="Bookman Old Style"/>
                <w:sz w:val="16"/>
                <w:szCs w:val="16"/>
              </w:rPr>
              <w:t>remanufaturados</w:t>
            </w:r>
            <w:proofErr w:type="spellEnd"/>
            <w:r w:rsidRPr="00F97084">
              <w:rPr>
                <w:rFonts w:ascii="Bookman Old Style" w:hAnsi="Bookman Old Style"/>
                <w:sz w:val="16"/>
                <w:szCs w:val="16"/>
              </w:rPr>
              <w:t xml:space="preserve">, recondicionados, recuperados ou com reaproveitamento de cartucho usado. Chip/circuito de reconhecimento funcional quando aplicável.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8,00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86,33</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690,64</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33</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30679</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Unidade de cilindro/fotocondutor compatível Brother DR-411CL, nova e de primeiro uso, compatível com Brother HL-L8360CDW, completa e pronta para instalação, sem sinais de uso, recuperação, recondicionamento ou reaproveitamento.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4,00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1.217,00</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4.868,00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34</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30680</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Cartucho de toner compatível HP 105A / W1105A, cor preta, novo e de primeiro uso, compatível com HP 107W e HP Laser MFP 135A, </w:t>
            </w:r>
            <w:r w:rsidRPr="00F97084">
              <w:rPr>
                <w:rFonts w:ascii="Bookman Old Style" w:hAnsi="Bookman Old Style"/>
                <w:sz w:val="16"/>
                <w:szCs w:val="16"/>
              </w:rPr>
              <w:lastRenderedPageBreak/>
              <w:t xml:space="preserve">completo e pronto para instalação, com chip/circuito eletrônico novo e funcional quando aplicável, sem necessidade de transferência de chip, adaptação ou reutilização de componente de cartucho anterior.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lastRenderedPageBreak/>
              <w:t>40,00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86,33</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3.453,20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lastRenderedPageBreak/>
              <w:t>35</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30681</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Cartucho de toner compatível HP 85A / CE285A, cor preta, novo e de primeiro uso, compatível com HP LaserJet P1102W, M1212NF e M1132 MFP, completo e pronto para instalação, não recarregado, não </w:t>
            </w:r>
            <w:proofErr w:type="spellStart"/>
            <w:r w:rsidRPr="00F97084">
              <w:rPr>
                <w:rFonts w:ascii="Bookman Old Style" w:hAnsi="Bookman Old Style"/>
                <w:sz w:val="16"/>
                <w:szCs w:val="16"/>
              </w:rPr>
              <w:t>remanufaturado</w:t>
            </w:r>
            <w:proofErr w:type="spellEnd"/>
            <w:r w:rsidRPr="00F97084">
              <w:rPr>
                <w:rFonts w:ascii="Bookman Old Style" w:hAnsi="Bookman Old Style"/>
                <w:sz w:val="16"/>
                <w:szCs w:val="16"/>
              </w:rPr>
              <w:t xml:space="preserve"> e não recondicionado.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100,00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50,50</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5.050,00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36</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30682</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Cartucho de toner compatível HP 36A / CB436A, cor preta, novo e de primeiro uso, compatível com HP LaserJet M1120 MFP, completo e pronto para instalação, não recarregado, não </w:t>
            </w:r>
            <w:proofErr w:type="spellStart"/>
            <w:r w:rsidRPr="00F97084">
              <w:rPr>
                <w:rFonts w:ascii="Bookman Old Style" w:hAnsi="Bookman Old Style"/>
                <w:sz w:val="16"/>
                <w:szCs w:val="16"/>
              </w:rPr>
              <w:t>remanufaturado</w:t>
            </w:r>
            <w:proofErr w:type="spellEnd"/>
            <w:r w:rsidRPr="00F97084">
              <w:rPr>
                <w:rFonts w:ascii="Bookman Old Style" w:hAnsi="Bookman Old Style"/>
                <w:sz w:val="16"/>
                <w:szCs w:val="16"/>
              </w:rPr>
              <w:t xml:space="preserve"> e não recondicionado.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24,00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50,50</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1.212,00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37</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30683</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Cartucho de toner compatível HP 83A / CF283A, cor preta, novo e de primeiro uso, compatível com HP LaserJet Pro MFP M125A, completo e pronto para instalação, não recarregado, não </w:t>
            </w:r>
            <w:proofErr w:type="spellStart"/>
            <w:r w:rsidRPr="00F97084">
              <w:rPr>
                <w:rFonts w:ascii="Bookman Old Style" w:hAnsi="Bookman Old Style"/>
                <w:sz w:val="16"/>
                <w:szCs w:val="16"/>
              </w:rPr>
              <w:t>remanufaturado</w:t>
            </w:r>
            <w:proofErr w:type="spellEnd"/>
            <w:r w:rsidRPr="00F97084">
              <w:rPr>
                <w:rFonts w:ascii="Bookman Old Style" w:hAnsi="Bookman Old Style"/>
                <w:sz w:val="16"/>
                <w:szCs w:val="16"/>
              </w:rPr>
              <w:t xml:space="preserve"> e não recondicionado.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50,00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50,50</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2.525,00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38</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30684</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Cartucho de toner compatível HP 17A / CF217A, cor preta, novo e de primeiro uso, compatível com HP LaserJet Pro MFP M130FW, completo e pronto para instalação, com chip/circuito eletrônico novo e funcional quando aplicável, sem transferência ou reutilização de chip de cartucho usado.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60,00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55,00</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3.300,00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39</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30685</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Unidade de imagem/cilindro compatível HP 19A / CF219A, nova e de primeiro uso, compatível com HP LaserJet Pro MFP M130FW, completa e pronta para instalação, com sistema de reconhecimento/contador quando aplicável, sem recuperação ou recondicionamento.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72,17</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2.165,10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40</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30686</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Cartucho de toner compatível HP 30X / CF230X, cor preta, novo e de primeiro uso, compatível com HP LaserJet Pro M203DW, completo e pronto para instalação, com chip/circuito eletrônico novo e funcional quando aplicável, sem transferência ou reutilização de chip de cartucho usado.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18,00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64,95</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1.169,10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41</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30687</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Unidade de imagem/cilindro compatível HP 32A / CF232A, nova e de primeiro uso, compatível com HP LaserJet Pro M203DW, completa e pronta para instalação, com sistema de reconhecimento/contador quando aplicável, sem recuperação ou recondicionamento.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6,00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72,17</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433,02</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42</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30690</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Cartucho de toner compatível HP 151X / W1510X, cor preta, novo e de primeiro uso, compatível com HP LaserJet Pro MFP 4103FDW, completo e pronto para instalação, com chip/circuito eletrônico novo e funcional quando aplicável, sem transferência de chip, adaptação ou reutilização de componentes usados.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12,00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151,33</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1.815,96</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43</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30691</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Kit de cartuchos de tinta compatíveis Epson Série 140, composto por 04 cartuchos, sendo 01 preto T1401/T140120, 01 ciano T1402/T140220, 01 magenta T1403/T140320 e 01 amarelo T1404/T140420, compatíveis com a impressora Epson </w:t>
            </w:r>
            <w:proofErr w:type="spellStart"/>
            <w:r w:rsidRPr="00F97084">
              <w:rPr>
                <w:rFonts w:ascii="Bookman Old Style" w:hAnsi="Bookman Old Style"/>
                <w:sz w:val="16"/>
                <w:szCs w:val="16"/>
              </w:rPr>
              <w:t>Stylus</w:t>
            </w:r>
            <w:proofErr w:type="spellEnd"/>
            <w:r w:rsidRPr="00F97084">
              <w:rPr>
                <w:rFonts w:ascii="Bookman Old Style" w:hAnsi="Bookman Old Style"/>
                <w:sz w:val="16"/>
                <w:szCs w:val="16"/>
              </w:rPr>
              <w:t xml:space="preserve"> Office TX620FWD. Os cartuchos deverão ser novos, de primeiro uso, completos e prontos para instalação, com chip ou circuito eletrônico de reconhecimento compatível e funcional, quando aplicável. Não serão aceitos cartuchos recarregados, </w:t>
            </w:r>
            <w:proofErr w:type="spellStart"/>
            <w:r w:rsidRPr="00F97084">
              <w:rPr>
                <w:rFonts w:ascii="Bookman Old Style" w:hAnsi="Bookman Old Style"/>
                <w:sz w:val="16"/>
                <w:szCs w:val="16"/>
              </w:rPr>
              <w:t>remanufaturados</w:t>
            </w:r>
            <w:proofErr w:type="spellEnd"/>
            <w:r w:rsidRPr="00F97084">
              <w:rPr>
                <w:rFonts w:ascii="Bookman Old Style" w:hAnsi="Bookman Old Style"/>
                <w:sz w:val="16"/>
                <w:szCs w:val="16"/>
              </w:rPr>
              <w:t xml:space="preserve">, recondicionados, recuperados ou resultantes do reaproveitamento de cartuchos anteriormente utilizados.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20,00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KT</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93,83</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1.876,60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44</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30692</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Cartucho de fita matricial preta, referência Epson S015631 ou equivalente, similar ou superior, novo e de primeiro uso, completo e pronto para </w:t>
            </w:r>
            <w:r w:rsidRPr="00F97084">
              <w:rPr>
                <w:rFonts w:ascii="Bookman Old Style" w:hAnsi="Bookman Old Style"/>
                <w:sz w:val="16"/>
                <w:szCs w:val="16"/>
              </w:rPr>
              <w:lastRenderedPageBreak/>
              <w:t xml:space="preserve">instalação, compatível com os equipamentos correspondentes à referência especificada. Produto fornecido em embalagem íntegra e devidamente identificada, contendo fabricante, modelo ou referência e demais informações necessárias à comprovação de procedência e compatibilidade. Não serão aceitos produtos usados, recuperados, recondicionados ou provenientes de reaproveitamento.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lastRenderedPageBreak/>
              <w:t>20,00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36,08</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721,60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lastRenderedPageBreak/>
              <w:t>45</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30693</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Cartucho de fita matricial preta, referência Epson S015329 ou equivalente, similar ou superior, novo e de primeiro uso, completo e pronto para instalação, compatível com os equipamentos correspondentes à referência especificada. Produto fornecido em embalagem íntegra e devidamente identificada, contendo fabricante, modelo ou referência e demais informações necessárias à comprovação de procedência e compatibilidade. Não serão aceitos produtos usados, recuperados, recondicionados ou provenientes de reaproveitamento.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25,00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79,38</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1.984,50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46</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30694</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Cartucho de toner monocromático compatível Samsung ML-2850D5, cor preta, novo e de primeiro uso, completo e pronto para instalação. Não serão aceitos cartuchos recarregados, </w:t>
            </w:r>
            <w:proofErr w:type="spellStart"/>
            <w:r w:rsidRPr="00F97084">
              <w:rPr>
                <w:rFonts w:ascii="Bookman Old Style" w:hAnsi="Bookman Old Style"/>
                <w:sz w:val="16"/>
                <w:szCs w:val="16"/>
              </w:rPr>
              <w:t>remanufaturados</w:t>
            </w:r>
            <w:proofErr w:type="spellEnd"/>
            <w:r w:rsidRPr="00F97084">
              <w:rPr>
                <w:rFonts w:ascii="Bookman Old Style" w:hAnsi="Bookman Old Style"/>
                <w:sz w:val="16"/>
                <w:szCs w:val="16"/>
              </w:rPr>
              <w:t xml:space="preserve">, recondicionados, recuperados ou resultantes do reaproveitamento de cartuchos anteriormente utilizados. O produto deverá ser fornecido em embalagem íntegra e identificada, contendo fabricante, referência e informações necessárias à comprovação de procedência e compatibilidade.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36,00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108,25</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3.897,00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47</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30695</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Cartucho de toner monocromático compatível Samsung MLT-D204E, cor preta, novo e de primeiro uso, completo e pronto para instalação, com sistema de reconhecimento eletrônico funcional quando aplicável. Não serão aceitos produtos recarregados, </w:t>
            </w:r>
            <w:proofErr w:type="spellStart"/>
            <w:r w:rsidRPr="00F97084">
              <w:rPr>
                <w:rFonts w:ascii="Bookman Old Style" w:hAnsi="Bookman Old Style"/>
                <w:sz w:val="16"/>
                <w:szCs w:val="16"/>
              </w:rPr>
              <w:t>remanufaturados</w:t>
            </w:r>
            <w:proofErr w:type="spellEnd"/>
            <w:r w:rsidRPr="00F97084">
              <w:rPr>
                <w:rFonts w:ascii="Bookman Old Style" w:hAnsi="Bookman Old Style"/>
                <w:sz w:val="16"/>
                <w:szCs w:val="16"/>
              </w:rPr>
              <w:t xml:space="preserve">, recondicionados ou recuperados. O produto deverá ser fornecido em embalagem íntegra e devidamente identificada.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36,00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108,25</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3.897,00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48</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30696</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proofErr w:type="spellStart"/>
            <w:r w:rsidRPr="00F97084">
              <w:rPr>
                <w:rFonts w:ascii="Bookman Old Style" w:hAnsi="Bookman Old Style"/>
                <w:sz w:val="16"/>
                <w:szCs w:val="16"/>
              </w:rPr>
              <w:t>Ribbon</w:t>
            </w:r>
            <w:proofErr w:type="spellEnd"/>
            <w:r w:rsidRPr="00F97084">
              <w:rPr>
                <w:rFonts w:ascii="Bookman Old Style" w:hAnsi="Bookman Old Style"/>
                <w:sz w:val="16"/>
                <w:szCs w:val="16"/>
              </w:rPr>
              <w:t xml:space="preserve"> para impressão por transferência térmica, composição em cera, largura de 110 mm e comprimento de 74 metros, compatível com impressora </w:t>
            </w:r>
            <w:proofErr w:type="spellStart"/>
            <w:r w:rsidRPr="00F97084">
              <w:rPr>
                <w:rFonts w:ascii="Bookman Old Style" w:hAnsi="Bookman Old Style"/>
                <w:sz w:val="16"/>
                <w:szCs w:val="16"/>
              </w:rPr>
              <w:t>Argox</w:t>
            </w:r>
            <w:proofErr w:type="spellEnd"/>
            <w:r w:rsidRPr="00F97084">
              <w:rPr>
                <w:rFonts w:ascii="Bookman Old Style" w:hAnsi="Bookman Old Style"/>
                <w:sz w:val="16"/>
                <w:szCs w:val="16"/>
              </w:rPr>
              <w:t xml:space="preserve"> OS-214 Plus. Produto novo e de primeiro uso, com enrolamento e dimensões adequados ao equipamento, garantindo alimentação regular e impressão uniforme. Deverá ser fornecido em embalagem íntegra e identificada, sem deformações, danos ou sinais de armazenamento inadequado.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ROLO</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14,43</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432,90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49</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30697</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Rolo de etiquetas adesivas com dimensões individuais de 55 mm x 33 mm, distribuídas em duas colunas, contendo 1.000 etiquetas por rolo, compatível com impressora </w:t>
            </w:r>
            <w:proofErr w:type="spellStart"/>
            <w:r w:rsidRPr="00F97084">
              <w:rPr>
                <w:rFonts w:ascii="Bookman Old Style" w:hAnsi="Bookman Old Style"/>
                <w:sz w:val="16"/>
                <w:szCs w:val="16"/>
              </w:rPr>
              <w:t>Argox</w:t>
            </w:r>
            <w:proofErr w:type="spellEnd"/>
            <w:r w:rsidRPr="00F97084">
              <w:rPr>
                <w:rFonts w:ascii="Bookman Old Style" w:hAnsi="Bookman Old Style"/>
                <w:sz w:val="16"/>
                <w:szCs w:val="16"/>
              </w:rPr>
              <w:t xml:space="preserve"> OS-214 Plus. As etiquetas deverão apresentar corte uniforme, boa aderência, </w:t>
            </w:r>
            <w:proofErr w:type="spellStart"/>
            <w:r w:rsidRPr="00F97084">
              <w:rPr>
                <w:rFonts w:ascii="Bookman Old Style" w:hAnsi="Bookman Old Style"/>
                <w:sz w:val="16"/>
                <w:szCs w:val="16"/>
              </w:rPr>
              <w:t>liner</w:t>
            </w:r>
            <w:proofErr w:type="spellEnd"/>
            <w:r w:rsidRPr="00F97084">
              <w:rPr>
                <w:rFonts w:ascii="Bookman Old Style" w:hAnsi="Bookman Old Style"/>
                <w:sz w:val="16"/>
                <w:szCs w:val="16"/>
              </w:rPr>
              <w:t xml:space="preserve"> adequado ao mecanismo de alimentação da impressora e dimensões compatíveis com o equipamento. Produto novo e de primeiro uso, fornecido acondicionado de forma a evitar deformações, umidade ou danos durante transporte e armazenamento.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20,00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ROLO</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43,30</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866,00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50</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30698</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Cartucho de tinta preta para duplicador digital RISO SF-5230EIIU, capacidade de 1.000 ml, novo e de primeiro uso, próprio para utilização no equipamento especificado, completo e pronto para instalação, fornecido em embalagem íntegra, lacrada e devidamente identificada, contendo fabricante, referência, lote e demais informações necessárias à comprovação de procedência e </w:t>
            </w:r>
            <w:r w:rsidRPr="00F97084">
              <w:rPr>
                <w:rFonts w:ascii="Bookman Old Style" w:hAnsi="Bookman Old Style"/>
                <w:sz w:val="16"/>
                <w:szCs w:val="16"/>
              </w:rPr>
              <w:lastRenderedPageBreak/>
              <w:t xml:space="preserve">compatibilidade. O produto deverá permitir instalação e funcionamento regular no equipamento, sem adaptações, modificações ou reaproveitamento de componentes usados.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lastRenderedPageBreak/>
              <w:t>16,00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433,00</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6.928,00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lastRenderedPageBreak/>
              <w:t>51</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30699</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Rolo de </w:t>
            </w:r>
            <w:proofErr w:type="spellStart"/>
            <w:r w:rsidRPr="00F97084">
              <w:rPr>
                <w:rFonts w:ascii="Bookman Old Style" w:hAnsi="Bookman Old Style"/>
                <w:sz w:val="16"/>
                <w:szCs w:val="16"/>
              </w:rPr>
              <w:t>master</w:t>
            </w:r>
            <w:proofErr w:type="spellEnd"/>
            <w:r w:rsidRPr="00F97084">
              <w:rPr>
                <w:rFonts w:ascii="Bookman Old Style" w:hAnsi="Bookman Old Style"/>
                <w:sz w:val="16"/>
                <w:szCs w:val="16"/>
              </w:rPr>
              <w:t xml:space="preserve"> formato B4 para duplicador digital RISO SF-5230EIIU, novo e de primeiro uso, compatível com o sistema automático de criação e alimentação de matrizes do equipamento, com capacidade aproximada de 250 matrizes por rolo, completo e pronto para utilização, fornecido em embalagem íntegra, lacrada e devidamente identificada, contendo fabricante, referência e demais informações necessárias à comprovação de procedência e compatibilidade.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12,00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ROLO</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793,83</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9.525,96</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52</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30700</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Fita flexível laminada para identificação de cabos e componentes de infraestrutura, largura de 12 mm, comprimento de 8 metros, impressão preta sobre fundo branco, referência técnica Brother TZe-FX231 ou produto equivalente, similar ou superior, compatível com etiquetadora correspondente ao padrão especificado. Produto novo e de primeiro uso, próprio para aplicação em superfícies curvas, cabos e condutores, com boa aderência e resistência ao manuseio, fornecido em embalagem íntegra e devidamente identificada.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50,67</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1.520,10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53</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30701</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Solução para limpeza de cabeçotes de impressão, embalagem de 1 litro, apropriada para manutenção e desobstrução de cabeçotes de tecnologia </w:t>
            </w:r>
            <w:proofErr w:type="spellStart"/>
            <w:r w:rsidRPr="00F97084">
              <w:rPr>
                <w:rFonts w:ascii="Bookman Old Style" w:hAnsi="Bookman Old Style"/>
                <w:sz w:val="16"/>
                <w:szCs w:val="16"/>
              </w:rPr>
              <w:t>piezoelétrica</w:t>
            </w:r>
            <w:proofErr w:type="spellEnd"/>
            <w:r w:rsidRPr="00F97084">
              <w:rPr>
                <w:rFonts w:ascii="Bookman Old Style" w:hAnsi="Bookman Old Style"/>
                <w:sz w:val="16"/>
                <w:szCs w:val="16"/>
              </w:rPr>
              <w:t xml:space="preserve"> utilizados em impressoras jato de tinta, própria para uso técnico em bancada e sem características que possam provocar corrosão ou danos aos componentes quando utilizada conforme orientação do fabricante.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25,00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FRASC</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86,33</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2.158,25</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54</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30702</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Aspirador técnico </w:t>
            </w:r>
            <w:proofErr w:type="spellStart"/>
            <w:r w:rsidRPr="00F97084">
              <w:rPr>
                <w:rFonts w:ascii="Bookman Old Style" w:hAnsi="Bookman Old Style"/>
                <w:sz w:val="16"/>
                <w:szCs w:val="16"/>
              </w:rPr>
              <w:t>antiestático</w:t>
            </w:r>
            <w:proofErr w:type="spellEnd"/>
            <w:r w:rsidRPr="00F97084">
              <w:rPr>
                <w:rFonts w:ascii="Bookman Old Style" w:hAnsi="Bookman Old Style"/>
                <w:sz w:val="16"/>
                <w:szCs w:val="16"/>
              </w:rPr>
              <w:t xml:space="preserve"> para pó de toner e partículas finas, destinado à manutenção de impressoras e equipamentos de impressão, com sistema de filtragem adequado à retenção de partículas finas de toner, construção apropriada para uso técnico e alimentação elétrica 127 V ou bivolt. Não será aceito aspirador doméstico comum em substituição.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1.700,00</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1.700,00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55</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30703</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Bomba de sucção a vácuo para bancada técnica, destinada a procedimentos de manutenção e limpeza de sistemas de tinta, com regulagem de sucção, manômetro ou vacuômetro, reservatório para retenção de líquidos e alimentação 127/220 V ou bivolt, completa e pronta para utilização.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694,00</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1.388,00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56</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30704</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Cabeça de impressão nova, de 4 cores, compatível com impressoras Epson </w:t>
            </w:r>
            <w:proofErr w:type="spellStart"/>
            <w:r w:rsidRPr="00F97084">
              <w:rPr>
                <w:rFonts w:ascii="Bookman Old Style" w:hAnsi="Bookman Old Style"/>
                <w:sz w:val="16"/>
                <w:szCs w:val="16"/>
              </w:rPr>
              <w:t>EcoTank</w:t>
            </w:r>
            <w:proofErr w:type="spellEnd"/>
            <w:r w:rsidRPr="00F97084">
              <w:rPr>
                <w:rFonts w:ascii="Bookman Old Style" w:hAnsi="Bookman Old Style"/>
                <w:sz w:val="16"/>
                <w:szCs w:val="16"/>
              </w:rPr>
              <w:t xml:space="preserve"> L3110, L3150 e L3250, sem sinais de uso, desmontagem, recuperação ou reparo, com características elétricas, mecânicas e de conexão compatíveis com os equipamentos indicados.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10,00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689,00</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6.890,00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57</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30705</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Kit de cabo flat e sensor compatível com impressoras Epson </w:t>
            </w:r>
            <w:proofErr w:type="spellStart"/>
            <w:r w:rsidRPr="00F97084">
              <w:rPr>
                <w:rFonts w:ascii="Bookman Old Style" w:hAnsi="Bookman Old Style"/>
                <w:sz w:val="16"/>
                <w:szCs w:val="16"/>
              </w:rPr>
              <w:t>EcoTank</w:t>
            </w:r>
            <w:proofErr w:type="spellEnd"/>
            <w:r w:rsidRPr="00F97084">
              <w:rPr>
                <w:rFonts w:ascii="Bookman Old Style" w:hAnsi="Bookman Old Style"/>
                <w:sz w:val="16"/>
                <w:szCs w:val="16"/>
              </w:rPr>
              <w:t xml:space="preserve"> L3110, L3150 e L3250, composto por peças novas e de primeiro uso, com dimensões, conectores e características elétricas e mecânicas compatíveis com os equipamentos indicados.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KT</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50,00</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1.500,00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58</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30706</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Kit contendo 4 </w:t>
            </w:r>
            <w:proofErr w:type="spellStart"/>
            <w:r w:rsidRPr="00F97084">
              <w:rPr>
                <w:rFonts w:ascii="Bookman Old Style" w:hAnsi="Bookman Old Style"/>
                <w:sz w:val="16"/>
                <w:szCs w:val="16"/>
              </w:rPr>
              <w:t>dampers</w:t>
            </w:r>
            <w:proofErr w:type="spellEnd"/>
            <w:r w:rsidRPr="00F97084">
              <w:rPr>
                <w:rFonts w:ascii="Bookman Old Style" w:hAnsi="Bookman Old Style"/>
                <w:sz w:val="16"/>
                <w:szCs w:val="16"/>
              </w:rPr>
              <w:t xml:space="preserve"> com pré-filtro, novos e de primeiro uso, compatíveis com impressoras Epson </w:t>
            </w:r>
            <w:proofErr w:type="spellStart"/>
            <w:r w:rsidRPr="00F97084">
              <w:rPr>
                <w:rFonts w:ascii="Bookman Old Style" w:hAnsi="Bookman Old Style"/>
                <w:sz w:val="16"/>
                <w:szCs w:val="16"/>
              </w:rPr>
              <w:t>EcoTank</w:t>
            </w:r>
            <w:proofErr w:type="spellEnd"/>
            <w:r w:rsidRPr="00F97084">
              <w:rPr>
                <w:rFonts w:ascii="Bookman Old Style" w:hAnsi="Bookman Old Style"/>
                <w:sz w:val="16"/>
                <w:szCs w:val="16"/>
              </w:rPr>
              <w:t xml:space="preserve"> L3110, L3150 e L3250, adequados ao sistema de alimentação de tinta, com conexões e dimensões compatíveis com os equipamentos indicados.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10,00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KT</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290,00</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2.900,00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59</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30707</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Reservatório/tanque de tinta novo e de primeiro uso, compatível com impressoras Epson </w:t>
            </w:r>
            <w:proofErr w:type="spellStart"/>
            <w:r w:rsidRPr="00F97084">
              <w:rPr>
                <w:rFonts w:ascii="Bookman Old Style" w:hAnsi="Bookman Old Style"/>
                <w:sz w:val="16"/>
                <w:szCs w:val="16"/>
              </w:rPr>
              <w:t>EcoTank</w:t>
            </w:r>
            <w:proofErr w:type="spellEnd"/>
            <w:r w:rsidRPr="00F97084">
              <w:rPr>
                <w:rFonts w:ascii="Bookman Old Style" w:hAnsi="Bookman Old Style"/>
                <w:sz w:val="16"/>
                <w:szCs w:val="16"/>
              </w:rPr>
              <w:t xml:space="preserve"> </w:t>
            </w:r>
            <w:r w:rsidRPr="00F97084">
              <w:rPr>
                <w:rFonts w:ascii="Bookman Old Style" w:hAnsi="Bookman Old Style"/>
                <w:sz w:val="16"/>
                <w:szCs w:val="16"/>
              </w:rPr>
              <w:lastRenderedPageBreak/>
              <w:t xml:space="preserve">L3110, L3150 e L3250, com dimensões, conexões, vedações e encaixes compatíveis com o sistema original dos equipamentos.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lastRenderedPageBreak/>
              <w:t>20,00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95,00</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1.900,00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lastRenderedPageBreak/>
              <w:t>60</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30708</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Kit de roletes e/ou borrachas de tração para alimentação de papel, novo e de primeiro uso, compatível com impressoras Epson </w:t>
            </w:r>
            <w:proofErr w:type="spellStart"/>
            <w:r w:rsidRPr="00F97084">
              <w:rPr>
                <w:rFonts w:ascii="Bookman Old Style" w:hAnsi="Bookman Old Style"/>
                <w:sz w:val="16"/>
                <w:szCs w:val="16"/>
              </w:rPr>
              <w:t>EcoTank</w:t>
            </w:r>
            <w:proofErr w:type="spellEnd"/>
            <w:r w:rsidRPr="00F97084">
              <w:rPr>
                <w:rFonts w:ascii="Bookman Old Style" w:hAnsi="Bookman Old Style"/>
                <w:sz w:val="16"/>
                <w:szCs w:val="16"/>
              </w:rPr>
              <w:t xml:space="preserve"> L3110, L3150 e L3250, destinado à manutenção do sistema de tração/alimentação de papel, com dimensões e características mecânicas compatíveis.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20,00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KT</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51,00</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1.020,00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61</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30709</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Kit reservatório Bulk </w:t>
            </w:r>
            <w:proofErr w:type="spellStart"/>
            <w:r w:rsidRPr="00F97084">
              <w:rPr>
                <w:rFonts w:ascii="Bookman Old Style" w:hAnsi="Bookman Old Style"/>
                <w:sz w:val="16"/>
                <w:szCs w:val="16"/>
              </w:rPr>
              <w:t>Ink</w:t>
            </w:r>
            <w:proofErr w:type="spellEnd"/>
            <w:r w:rsidRPr="00F97084">
              <w:rPr>
                <w:rFonts w:ascii="Bookman Old Style" w:hAnsi="Bookman Old Style"/>
                <w:sz w:val="16"/>
                <w:szCs w:val="16"/>
              </w:rPr>
              <w:t xml:space="preserve"> para testes de bancada, destinado à alimentação externa temporária de tinta durante testes, diagnósticos e procedimentos de manutenção de impressoras, completo com reservatórios e conexões necessárias ao uso técnico.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KT</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216,00</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432,00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62</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30710</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Fita </w:t>
            </w:r>
            <w:proofErr w:type="spellStart"/>
            <w:r w:rsidRPr="00F97084">
              <w:rPr>
                <w:rFonts w:ascii="Bookman Old Style" w:hAnsi="Bookman Old Style"/>
                <w:sz w:val="16"/>
                <w:szCs w:val="16"/>
              </w:rPr>
              <w:t>encoder</w:t>
            </w:r>
            <w:proofErr w:type="spellEnd"/>
            <w:r w:rsidRPr="00F97084">
              <w:rPr>
                <w:rFonts w:ascii="Bookman Old Style" w:hAnsi="Bookman Old Style"/>
                <w:sz w:val="16"/>
                <w:szCs w:val="16"/>
              </w:rPr>
              <w:t xml:space="preserve"> nova e de primeiro uso, compatível com impressoras Epson </w:t>
            </w:r>
            <w:proofErr w:type="spellStart"/>
            <w:r w:rsidRPr="00F97084">
              <w:rPr>
                <w:rFonts w:ascii="Bookman Old Style" w:hAnsi="Bookman Old Style"/>
                <w:sz w:val="16"/>
                <w:szCs w:val="16"/>
              </w:rPr>
              <w:t>EcoTank</w:t>
            </w:r>
            <w:proofErr w:type="spellEnd"/>
            <w:r w:rsidRPr="00F97084">
              <w:rPr>
                <w:rFonts w:ascii="Bookman Old Style" w:hAnsi="Bookman Old Style"/>
                <w:sz w:val="16"/>
                <w:szCs w:val="16"/>
              </w:rPr>
              <w:t xml:space="preserve"> L3110, L3150 e L3250, com marcações, dimensões e características adequadas ao sistema de posicionamento do carro de impressão.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10,00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64,30</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643,00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63</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30711</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Mangueira de silicone para bomba peristáltica e sistema de limpeza/manutenção de impressoras, flexível, resistente ao uso com fluidos de limpeza e adequada às conexões utilizadas em bancada técnica. Fornecimento por metro.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20,00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METRO</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37,00</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740,00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64</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30712</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Etiquetadora/</w:t>
            </w:r>
            <w:proofErr w:type="spellStart"/>
            <w:r w:rsidRPr="00F97084">
              <w:rPr>
                <w:rFonts w:ascii="Bookman Old Style" w:hAnsi="Bookman Old Style"/>
                <w:sz w:val="16"/>
                <w:szCs w:val="16"/>
              </w:rPr>
              <w:t>rotuladora</w:t>
            </w:r>
            <w:proofErr w:type="spellEnd"/>
            <w:r w:rsidRPr="00F97084">
              <w:rPr>
                <w:rFonts w:ascii="Bookman Old Style" w:hAnsi="Bookman Old Style"/>
                <w:sz w:val="16"/>
                <w:szCs w:val="16"/>
              </w:rPr>
              <w:t xml:space="preserve"> eletrônica portátil destinada à identificação de cabos e infraestrutura de Tecnologia da Informação, referência técnica Brother PT-E110 ou equipamento equivalente, similar ou superior, apta à impressão de etiquetas laminadas e identificação técnica, completa e pronta para uso.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4,00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675,00</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2.700,00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65</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30713</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Graxa lubrificante de uso técnico, própria para mecanismos de impressoras, indicada para lubrificação de engrenagens, eixos, pontos de contato e componentes mecânicos plásticos ou metálicos, compatível com materiais normalmente utilizados em mecanismos de impressoras Epson. Produto de boa estabilidade, não corrosivo e adequado para manutenção preventiva e corretiva, fornecido em embalagem íntegra e devidamente identificada pelo fabricante.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5,00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57,73</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288,65</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66</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30714</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Conjunto coletor de tinta residual, também comercializado como caixa de manutenção ou reservatório de descarte de tinta, compatível com impressora Epson </w:t>
            </w:r>
            <w:proofErr w:type="spellStart"/>
            <w:r w:rsidRPr="00F97084">
              <w:rPr>
                <w:rFonts w:ascii="Bookman Old Style" w:hAnsi="Bookman Old Style"/>
                <w:sz w:val="16"/>
                <w:szCs w:val="16"/>
              </w:rPr>
              <w:t>EcoTank</w:t>
            </w:r>
            <w:proofErr w:type="spellEnd"/>
            <w:r w:rsidRPr="00F97084">
              <w:rPr>
                <w:rFonts w:ascii="Bookman Old Style" w:hAnsi="Bookman Old Style"/>
                <w:sz w:val="16"/>
                <w:szCs w:val="16"/>
              </w:rPr>
              <w:t xml:space="preserve"> L3250, novo e de primeiro uso, destinado ao armazenamento da tinta residual proveniente dos processos de limpeza e manutenção do cabeçote de impressão. Deverá possuir dimensões, encaixes, estrutura e demais características físicas compatíveis com o equipamento, permitindo instalação adequada sem adaptações permanentes.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5,00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57,73</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288,65</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67</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30715</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Kit de feltros ou almofadas absorventes destinadas ao sistema coletor de tinta residual da impressora Epson </w:t>
            </w:r>
            <w:proofErr w:type="spellStart"/>
            <w:r w:rsidRPr="00F97084">
              <w:rPr>
                <w:rFonts w:ascii="Bookman Old Style" w:hAnsi="Bookman Old Style"/>
                <w:sz w:val="16"/>
                <w:szCs w:val="16"/>
              </w:rPr>
              <w:t>EcoTank</w:t>
            </w:r>
            <w:proofErr w:type="spellEnd"/>
            <w:r w:rsidRPr="00F97084">
              <w:rPr>
                <w:rFonts w:ascii="Bookman Old Style" w:hAnsi="Bookman Old Style"/>
                <w:sz w:val="16"/>
                <w:szCs w:val="16"/>
              </w:rPr>
              <w:t xml:space="preserve"> L3250, composto por elementos absorventes novos e de primeiro uso, com dimensões, formato, espessura e capacidade de absorção compatíveis com o alojamento original do equipamento, permitindo substituição adequada sem cortes ou adaptações improvisadas.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20,00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KT</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50,52</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1.010,40</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68</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30716</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 xml:space="preserve">Unidade </w:t>
            </w:r>
            <w:proofErr w:type="spellStart"/>
            <w:r w:rsidRPr="00F97084">
              <w:rPr>
                <w:rFonts w:ascii="Bookman Old Style" w:hAnsi="Bookman Old Style"/>
                <w:sz w:val="16"/>
                <w:szCs w:val="16"/>
              </w:rPr>
              <w:t>fusora</w:t>
            </w:r>
            <w:proofErr w:type="spellEnd"/>
            <w:r w:rsidRPr="00F97084">
              <w:rPr>
                <w:rFonts w:ascii="Bookman Old Style" w:hAnsi="Bookman Old Style"/>
                <w:sz w:val="16"/>
                <w:szCs w:val="16"/>
              </w:rPr>
              <w:t xml:space="preserve"> completa, nova e de primeiro uso, compatível com impressora multifuncional Brother MFC-L2740DW, tensão 120 V, destinada ao sistema de fusão do toner ao papel. Deverá ser fornecida completa, pronta para instalação, com rolos, engrenagens, </w:t>
            </w:r>
            <w:proofErr w:type="spellStart"/>
            <w:r w:rsidRPr="00F97084">
              <w:rPr>
                <w:rFonts w:ascii="Bookman Old Style" w:hAnsi="Bookman Old Style"/>
                <w:sz w:val="16"/>
                <w:szCs w:val="16"/>
              </w:rPr>
              <w:t>termistores</w:t>
            </w:r>
            <w:proofErr w:type="spellEnd"/>
            <w:r w:rsidRPr="00F97084">
              <w:rPr>
                <w:rFonts w:ascii="Bookman Old Style" w:hAnsi="Bookman Old Style"/>
                <w:sz w:val="16"/>
                <w:szCs w:val="16"/>
              </w:rPr>
              <w:t xml:space="preserve">, fusíveis e demais </w:t>
            </w:r>
            <w:r w:rsidRPr="00F97084">
              <w:rPr>
                <w:rFonts w:ascii="Bookman Old Style" w:hAnsi="Bookman Old Style"/>
                <w:sz w:val="16"/>
                <w:szCs w:val="16"/>
              </w:rPr>
              <w:lastRenderedPageBreak/>
              <w:t xml:space="preserve">componentes integrantes do conjunto, conforme configuração aplicável ao equipamento. Não serão aceitas unidades usadas, recuperadas, recondicionadas ou provenientes do reaproveitamento de componentes anteriormente utilizados. Referência técnica: Brother LJB857001 / LY9388001 ou equivalente plenamente compatível.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lastRenderedPageBreak/>
              <w:t>4,00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548,47</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2.193,88</w:t>
            </w:r>
          </w:p>
        </w:tc>
      </w:tr>
      <w:tr w:rsidR="002228AB" w:rsidRPr="00F97084" w:rsidTr="00387425">
        <w:tc>
          <w:tcPr>
            <w:tcW w:w="697"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lastRenderedPageBreak/>
              <w:t>59</w:t>
            </w:r>
          </w:p>
        </w:tc>
        <w:tc>
          <w:tcPr>
            <w:tcW w:w="73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30717</w:t>
            </w:r>
          </w:p>
        </w:tc>
        <w:tc>
          <w:tcPr>
            <w:tcW w:w="396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Placa fonte de baixa tensão (</w:t>
            </w:r>
            <w:proofErr w:type="spellStart"/>
            <w:r w:rsidRPr="00F97084">
              <w:rPr>
                <w:rFonts w:ascii="Bookman Old Style" w:hAnsi="Bookman Old Style"/>
                <w:sz w:val="16"/>
                <w:szCs w:val="16"/>
              </w:rPr>
              <w:t>Low-Voltage</w:t>
            </w:r>
            <w:proofErr w:type="spellEnd"/>
            <w:r w:rsidRPr="00F97084">
              <w:rPr>
                <w:rFonts w:ascii="Bookman Old Style" w:hAnsi="Bookman Old Style"/>
                <w:sz w:val="16"/>
                <w:szCs w:val="16"/>
              </w:rPr>
              <w:t xml:space="preserve"> Power </w:t>
            </w:r>
            <w:proofErr w:type="spellStart"/>
            <w:r w:rsidRPr="00F97084">
              <w:rPr>
                <w:rFonts w:ascii="Bookman Old Style" w:hAnsi="Bookman Old Style"/>
                <w:sz w:val="16"/>
                <w:szCs w:val="16"/>
              </w:rPr>
              <w:t>Supply</w:t>
            </w:r>
            <w:proofErr w:type="spellEnd"/>
            <w:r w:rsidRPr="00F97084">
              <w:rPr>
                <w:rFonts w:ascii="Bookman Old Style" w:hAnsi="Bookman Old Style"/>
                <w:sz w:val="16"/>
                <w:szCs w:val="16"/>
              </w:rPr>
              <w:t xml:space="preserve"> PCB Assembly), nova e de primeiro uso, compatível com impressora multifuncional Brother MFC-L2740DW, destinada à alimentação e distribuição das tensões internas do equipamento. Deverá possuir características elétricas, conectores, dimensões, pontos de fixação e configuração compatíveis com a versão brasileira do equipamento, permitindo instalação direta, sem adaptações ou modificações. Não serão aceitas placas usadas, recuperadas, reparadas ou recondicionadas. Referência técnica: Brother LT3281001 ou equivalente plenamente compatível.  </w:t>
            </w:r>
          </w:p>
        </w:tc>
        <w:tc>
          <w:tcPr>
            <w:tcW w:w="992"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2,00</w:t>
            </w:r>
          </w:p>
        </w:tc>
        <w:tc>
          <w:tcPr>
            <w:tcW w:w="709"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UN</w:t>
            </w:r>
          </w:p>
        </w:tc>
        <w:tc>
          <w:tcPr>
            <w:tcW w:w="1134"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577,33</w:t>
            </w:r>
          </w:p>
        </w:tc>
        <w:tc>
          <w:tcPr>
            <w:tcW w:w="1276" w:type="dxa"/>
            <w:shd w:val="clear" w:color="auto" w:fill="FFFFFF"/>
          </w:tcPr>
          <w:p w:rsidR="002228AB" w:rsidRPr="00F97084" w:rsidRDefault="002228AB" w:rsidP="00387425">
            <w:pPr>
              <w:spacing w:after="0" w:line="240" w:lineRule="auto"/>
              <w:rPr>
                <w:rFonts w:ascii="Bookman Old Style" w:hAnsi="Bookman Old Style"/>
                <w:sz w:val="16"/>
                <w:szCs w:val="16"/>
              </w:rPr>
            </w:pPr>
            <w:r w:rsidRPr="00F97084">
              <w:rPr>
                <w:rFonts w:ascii="Bookman Old Style" w:hAnsi="Bookman Old Style"/>
                <w:sz w:val="16"/>
                <w:szCs w:val="16"/>
              </w:rPr>
              <w:t>1.154,66</w:t>
            </w:r>
          </w:p>
        </w:tc>
      </w:tr>
      <w:tr w:rsidR="002228AB" w:rsidRPr="00F97084" w:rsidTr="00387425">
        <w:tc>
          <w:tcPr>
            <w:tcW w:w="8237" w:type="dxa"/>
            <w:gridSpan w:val="6"/>
            <w:shd w:val="clear" w:color="auto" w:fill="FFFFFF"/>
          </w:tcPr>
          <w:p w:rsidR="002228AB" w:rsidRPr="00F97084" w:rsidRDefault="002228AB" w:rsidP="00387425">
            <w:pPr>
              <w:spacing w:after="0" w:line="240" w:lineRule="auto"/>
              <w:rPr>
                <w:rFonts w:ascii="Bookman Old Style" w:hAnsi="Bookman Old Style"/>
                <w:b/>
                <w:sz w:val="16"/>
                <w:szCs w:val="16"/>
              </w:rPr>
            </w:pPr>
          </w:p>
          <w:p w:rsidR="002228AB" w:rsidRPr="00F97084" w:rsidRDefault="002228AB" w:rsidP="00387425">
            <w:pPr>
              <w:spacing w:after="0" w:line="240" w:lineRule="auto"/>
              <w:rPr>
                <w:rFonts w:ascii="Bookman Old Style" w:hAnsi="Bookman Old Style"/>
                <w:b/>
                <w:sz w:val="16"/>
                <w:szCs w:val="16"/>
              </w:rPr>
            </w:pPr>
            <w:r w:rsidRPr="00F97084">
              <w:rPr>
                <w:rFonts w:ascii="Bookman Old Style" w:hAnsi="Bookman Old Style"/>
                <w:b/>
                <w:sz w:val="16"/>
                <w:szCs w:val="16"/>
              </w:rPr>
              <w:t>TOTAL</w:t>
            </w:r>
          </w:p>
        </w:tc>
        <w:tc>
          <w:tcPr>
            <w:tcW w:w="1276" w:type="dxa"/>
            <w:shd w:val="clear" w:color="auto" w:fill="FFFFFF"/>
          </w:tcPr>
          <w:p w:rsidR="002228AB" w:rsidRPr="00F97084" w:rsidRDefault="002228AB" w:rsidP="00387425">
            <w:pPr>
              <w:spacing w:after="0" w:line="240" w:lineRule="auto"/>
              <w:rPr>
                <w:rFonts w:ascii="Bookman Old Style" w:hAnsi="Bookman Old Style"/>
                <w:b/>
                <w:sz w:val="16"/>
                <w:szCs w:val="16"/>
              </w:rPr>
            </w:pPr>
          </w:p>
          <w:p w:rsidR="002228AB" w:rsidRPr="00F97084" w:rsidRDefault="002228AB" w:rsidP="00387425">
            <w:pPr>
              <w:spacing w:after="0" w:line="240" w:lineRule="auto"/>
              <w:rPr>
                <w:rFonts w:ascii="Bookman Old Style" w:hAnsi="Bookman Old Style"/>
                <w:b/>
                <w:sz w:val="16"/>
                <w:szCs w:val="16"/>
              </w:rPr>
            </w:pPr>
            <w:r w:rsidRPr="00F97084">
              <w:rPr>
                <w:rFonts w:ascii="Bookman Old Style" w:hAnsi="Bookman Old Style"/>
                <w:b/>
                <w:sz w:val="16"/>
                <w:szCs w:val="16"/>
              </w:rPr>
              <w:t>147.375,49</w:t>
            </w:r>
          </w:p>
        </w:tc>
      </w:tr>
    </w:tbl>
    <w:p w:rsidR="002228AB" w:rsidRPr="00F97084" w:rsidRDefault="002228AB" w:rsidP="002228AB">
      <w:pPr>
        <w:spacing w:before="100" w:beforeAutospacing="1" w:after="100" w:afterAutospacing="1" w:line="240" w:lineRule="auto"/>
        <w:jc w:val="both"/>
        <w:rPr>
          <w:rFonts w:ascii="Bookman Old Style" w:eastAsia="Times New Roman" w:hAnsi="Bookman Old Style" w:cs="Times New Roman"/>
          <w:szCs w:val="20"/>
          <w:lang w:eastAsia="pt-BR"/>
        </w:rPr>
      </w:pPr>
      <w:r w:rsidRPr="00F97084">
        <w:rPr>
          <w:rFonts w:ascii="Bookman Old Style" w:eastAsia="Bookman Old Style" w:hAnsi="Bookman Old Style" w:cs="Bookman Old Style"/>
          <w:b/>
          <w:i/>
          <w:sz w:val="24"/>
          <w:u w:val="single"/>
          <w:shd w:val="clear" w:color="auto" w:fill="FFFF00"/>
        </w:rPr>
        <w:t>OBS: Havendo qualquer discordância entre a descrição do CATMAT e a do Edital, prevalecerá a descrição constante no Edital.</w:t>
      </w:r>
    </w:p>
    <w:p w:rsidR="008D2A52" w:rsidRPr="00F97084" w:rsidRDefault="008D2A52" w:rsidP="002228AB">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Agrupamento organizacional – julgamento e adjudicação por item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utilização da linha </w:t>
      </w:r>
      <w:proofErr w:type="spellStart"/>
      <w:r w:rsidRPr="00F97084">
        <w:rPr>
          <w:rFonts w:ascii="Bookman Old Style" w:eastAsia="Times New Roman" w:hAnsi="Bookman Old Style" w:cs="Times New Roman"/>
          <w:sz w:val="20"/>
          <w:szCs w:val="20"/>
          <w:lang w:eastAsia="pt-BR"/>
        </w:rPr>
        <w:t>InkTec</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Profeel</w:t>
      </w:r>
      <w:proofErr w:type="spellEnd"/>
      <w:r w:rsidRPr="00F97084">
        <w:rPr>
          <w:rFonts w:ascii="Bookman Old Style" w:eastAsia="Times New Roman" w:hAnsi="Bookman Old Style" w:cs="Times New Roman"/>
          <w:sz w:val="20"/>
          <w:szCs w:val="20"/>
          <w:lang w:eastAsia="pt-BR"/>
        </w:rPr>
        <w:t xml:space="preserve"> E0017 como referência técnica já constava da contratação anterior, que admitia produto equivalente, similar ou superior e vedava tinta universal sem identificação de fabricante e procedência. </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Nos cartuchos, cilindros e unidades de imagem que utilizem chip, contador eletrônico ou sistema equivalente de reconhecimento, o produto deverá ser fornecido </w:t>
      </w:r>
      <w:r w:rsidRPr="00F97084">
        <w:rPr>
          <w:rFonts w:ascii="Bookman Old Style" w:eastAsia="Times New Roman" w:hAnsi="Bookman Old Style" w:cs="Times New Roman"/>
          <w:b/>
          <w:bCs/>
          <w:sz w:val="20"/>
          <w:szCs w:val="20"/>
          <w:lang w:eastAsia="pt-BR"/>
        </w:rPr>
        <w:t>com o respectivo componente novo, instalado e funcional</w:t>
      </w:r>
      <w:r w:rsidRPr="00F97084">
        <w:rPr>
          <w:rFonts w:ascii="Bookman Old Style" w:eastAsia="Times New Roman" w:hAnsi="Bookman Old Style" w:cs="Times New Roman"/>
          <w:sz w:val="20"/>
          <w:szCs w:val="20"/>
          <w:lang w:eastAsia="pt-BR"/>
        </w:rPr>
        <w:t>, quando aplicável ao modelo, permitindo sua utilização imediata sem transferência de chip, adaptação ou reutilização de componentes provenientes de suprimento anteriormente utilizado.</w:t>
      </w:r>
    </w:p>
    <w:p w:rsidR="008D2A52" w:rsidRPr="00F97084" w:rsidRDefault="00AD62EF" w:rsidP="00CF6858">
      <w:pPr>
        <w:spacing w:after="0" w:line="240" w:lineRule="auto"/>
        <w:jc w:val="both"/>
        <w:rPr>
          <w:rFonts w:ascii="Bookman Old Style" w:eastAsia="Times New Roman" w:hAnsi="Bookman Old Style" w:cs="Times New Roman"/>
          <w:sz w:val="20"/>
          <w:szCs w:val="20"/>
          <w:lang w:eastAsia="pt-BR"/>
        </w:rPr>
      </w:pPr>
      <w:r>
        <w:rPr>
          <w:rFonts w:ascii="Bookman Old Style" w:eastAsia="Times New Roman" w:hAnsi="Bookman Old Style" w:cs="Times New Roman"/>
          <w:sz w:val="20"/>
          <w:szCs w:val="20"/>
          <w:lang w:eastAsia="pt-BR"/>
        </w:rPr>
        <w:pict>
          <v:rect id="_x0000_i1048" style="width:0;height:1.5pt" o:hralign="center" o:bullet="t" o:hrstd="t" o:hr="t" fillcolor="#a0a0a0" stroked="f"/>
        </w:pict>
      </w:r>
    </w:p>
    <w:p w:rsidR="008D2A52" w:rsidRPr="00F97084" w:rsidRDefault="008D2A52" w:rsidP="008D2A52">
      <w:pPr>
        <w:spacing w:after="0" w:line="240" w:lineRule="auto"/>
        <w:rPr>
          <w:rFonts w:ascii="Bookman Old Style" w:eastAsia="Times New Roman" w:hAnsi="Bookman Old Style" w:cs="Times New Roman"/>
          <w:sz w:val="20"/>
          <w:szCs w:val="20"/>
          <w:lang w:eastAsia="pt-BR"/>
        </w:rPr>
      </w:pPr>
    </w:p>
    <w:p w:rsidR="008D2A52" w:rsidRPr="00F97084" w:rsidRDefault="008D2A52" w:rsidP="008D2A52">
      <w:pPr>
        <w:spacing w:before="100" w:beforeAutospacing="1" w:after="100" w:afterAutospacing="1" w:line="240" w:lineRule="auto"/>
        <w:jc w:val="both"/>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1.2 – Forma de julgamento e adjudicação</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Para o Lote 01, o fornecedor deverá apresentar proposta para todos os 21 itens, não sendo admitida proposta parcial. O julgamento ocorrerá pelo menor preço global do lote, desde que atendidas integralmente as especificações estabelecidas e observada a aceitabilidade dos preços unitários que compõem a proposta.</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existência de julgamento global não autoriza a apresentação de preços unitários excessivos ou incompatíveis com os valores referenciais estabelecidos pela Administração. Cada item permanecerá sujeito à análise individual de aceitabilidade.</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No Lote 02, o agrupamento possui finalidade exclusivamente de organização e classificação do objeto. O julgamento, a classificação das propostas e a adjudicação ocorrerão individualmente por item, podendo haver fornecedores vencedores distintos para os itens que compõem o lote.</w:t>
      </w:r>
    </w:p>
    <w:p w:rsidR="008D2A52" w:rsidRPr="00F97084" w:rsidRDefault="008D2A52" w:rsidP="008D2A52">
      <w:pPr>
        <w:spacing w:before="100" w:beforeAutospacing="1" w:after="100" w:afterAutospacing="1" w:line="240" w:lineRule="auto"/>
        <w:jc w:val="both"/>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1.3 – Natureza e prazo da contratação</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A contratação possui natureza de fornecimento de bens, destinados ao consumo, reposição, manutenção e suporte do parque municipal de impressão.</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 prazo de vigência da contratação será de 12 (doze) meses, contados na forma estabelecida no instrumento contratual, observadas as disposições da Lei nº 14.133/2021.</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 fornecimento ocorrerá de acordo com as necessidades da Administração, mediante emissão de Ordem de Compra, Nota de Empenho ou instrumento equivalente, respeitados os quantitativos contratados e as condições estabelecidas neste Termo de Referência.</w:t>
      </w:r>
    </w:p>
    <w:p w:rsidR="008D2A52" w:rsidRPr="00F97084" w:rsidRDefault="008D2A52" w:rsidP="008D2A52">
      <w:pPr>
        <w:spacing w:before="100" w:beforeAutospacing="1" w:after="100" w:afterAutospacing="1" w:line="240" w:lineRule="auto"/>
        <w:rPr>
          <w:rFonts w:ascii="Bookman Old Style" w:eastAsia="Times New Roman" w:hAnsi="Bookman Old Style" w:cs="Times New Roman"/>
          <w:sz w:val="20"/>
          <w:szCs w:val="20"/>
          <w:lang w:eastAsia="pt-BR"/>
        </w:rPr>
      </w:pPr>
    </w:p>
    <w:p w:rsidR="008D2A52" w:rsidRPr="00F97084" w:rsidRDefault="008D2A52" w:rsidP="008D2A52">
      <w:pPr>
        <w:spacing w:before="100" w:beforeAutospacing="1" w:after="100" w:afterAutospacing="1" w:line="240" w:lineRule="auto"/>
        <w:outlineLvl w:val="1"/>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b/>
          <w:bCs/>
          <w:sz w:val="20"/>
          <w:szCs w:val="20"/>
          <w:lang w:eastAsia="pt-BR"/>
        </w:rPr>
        <w:t xml:space="preserve">2. FUNDAMENTAÇÃO DA CONTRATAÇÃO </w:t>
      </w:r>
      <w:r w:rsidRPr="00F97084">
        <w:rPr>
          <w:rFonts w:ascii="Bookman Old Style" w:eastAsia="Times New Roman" w:hAnsi="Bookman Old Style" w:cs="Times New Roman"/>
          <w:i/>
          <w:iCs/>
          <w:sz w:val="20"/>
          <w:szCs w:val="20"/>
          <w:lang w:eastAsia="pt-BR"/>
        </w:rPr>
        <w:t>(Art. 6º, inciso XXIII, alínea “b”, da Lei nº 14.133/2021)</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presente contratação fundamenta-se na necessidade de assegurar a continuidade, disponibilidade e adequado funcionamento do parque de impressão do Município de Santo Antônio do Sudoeste – PR, mediante o fornecimento regular de suprimentos de impressão, peças, componentes, materiais, ferramentas e equipamentos destinados ao abastecimento e à manutenção preventiva e corretiva dos equipamentos existentes.</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As impressoras são utilizadas de forma contínua pelas Secretarias, Departamentos e demais unidades municipais na produção de documentos administrativos, materiais pedagógicos, formulários, relatórios, atendimentos, registros, certificados, comunicados e demais documentos necessários à execução dos serviços públicos.</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parque municipal é composto por equipamentos de diferentes fabricantes, modelos e tecnologias, incluindo impressoras Epson, Brother, HP, Samsung, impressora térmica </w:t>
      </w:r>
      <w:proofErr w:type="spellStart"/>
      <w:r w:rsidRPr="00F97084">
        <w:rPr>
          <w:rFonts w:ascii="Bookman Old Style" w:eastAsia="Times New Roman" w:hAnsi="Bookman Old Style" w:cs="Times New Roman"/>
          <w:sz w:val="20"/>
          <w:szCs w:val="20"/>
          <w:lang w:eastAsia="pt-BR"/>
        </w:rPr>
        <w:t>Argox</w:t>
      </w:r>
      <w:proofErr w:type="spellEnd"/>
      <w:r w:rsidRPr="00F97084">
        <w:rPr>
          <w:rFonts w:ascii="Bookman Old Style" w:eastAsia="Times New Roman" w:hAnsi="Bookman Old Style" w:cs="Times New Roman"/>
          <w:sz w:val="20"/>
          <w:szCs w:val="20"/>
          <w:lang w:eastAsia="pt-BR"/>
        </w:rPr>
        <w:t>, duplicador digital RISO e 02 (duas) impressoras digitais Xerox Color C70 Pro, circunstância que exige suprimentos e componentes específicos e tecnicamente compatíveis com cada equipamento.</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indisponibilidade desses materiais pode provocar paralisações, atrasos na produção de documentos, aumento do tempo de indisponibilidade das impressoras e maior necessidade de encaminhamento para manutenção externa. O processo anterior destinado aos suprimentos gerais já reconhecia a necessidade de reposição periódica de tintas, toners, peças e componentes para manutenção preventiva e corretiva.</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p>
    <w:p w:rsidR="008D2A52" w:rsidRPr="00F97084" w:rsidRDefault="008D2A52" w:rsidP="008D2A52">
      <w:pPr>
        <w:spacing w:before="100" w:beforeAutospacing="1" w:after="100" w:afterAutospacing="1" w:line="240" w:lineRule="auto"/>
        <w:jc w:val="both"/>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2.1 – Necessidade relacionada às impressoras Xerox Color C70 Pro</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 Município dispõe de 02 (duas) impressoras digitais Xerox Color C70 Pro, utilizadas na produção de materiais que demandam volume, qualidade e características próprias de impressão digital.</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Esses equipamentos utilizam conjunto específico de consumíveis e componentes sujeitos ao consumo e ao desgaste natural, incluindo toners, </w:t>
      </w:r>
      <w:proofErr w:type="spellStart"/>
      <w:r w:rsidRPr="00F97084">
        <w:rPr>
          <w:rFonts w:ascii="Bookman Old Style" w:eastAsia="Times New Roman" w:hAnsi="Bookman Old Style" w:cs="Times New Roman"/>
          <w:sz w:val="20"/>
          <w:szCs w:val="20"/>
          <w:lang w:eastAsia="pt-BR"/>
        </w:rPr>
        <w:t>drums</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developers</w:t>
      </w:r>
      <w:proofErr w:type="spellEnd"/>
      <w:r w:rsidRPr="00F97084">
        <w:rPr>
          <w:rFonts w:ascii="Bookman Old Style" w:eastAsia="Times New Roman" w:hAnsi="Bookman Old Style" w:cs="Times New Roman"/>
          <w:sz w:val="20"/>
          <w:szCs w:val="20"/>
          <w:lang w:eastAsia="pt-BR"/>
        </w:rPr>
        <w:t xml:space="preserve">, unidade </w:t>
      </w:r>
      <w:proofErr w:type="spellStart"/>
      <w:r w:rsidRPr="00F97084">
        <w:rPr>
          <w:rFonts w:ascii="Bookman Old Style" w:eastAsia="Times New Roman" w:hAnsi="Bookman Old Style" w:cs="Times New Roman"/>
          <w:sz w:val="20"/>
          <w:szCs w:val="20"/>
          <w:lang w:eastAsia="pt-BR"/>
        </w:rPr>
        <w:t>fusora</w:t>
      </w:r>
      <w:proofErr w:type="spellEnd"/>
      <w:r w:rsidRPr="00F97084">
        <w:rPr>
          <w:rFonts w:ascii="Bookman Old Style" w:eastAsia="Times New Roman" w:hAnsi="Bookman Old Style" w:cs="Times New Roman"/>
          <w:sz w:val="20"/>
          <w:szCs w:val="20"/>
          <w:lang w:eastAsia="pt-BR"/>
        </w:rPr>
        <w:t xml:space="preserve">, correia de transferência, reservatório de toner residual, </w:t>
      </w:r>
      <w:proofErr w:type="spellStart"/>
      <w:r w:rsidRPr="00F97084">
        <w:rPr>
          <w:rFonts w:ascii="Bookman Old Style" w:eastAsia="Times New Roman" w:hAnsi="Bookman Old Style" w:cs="Times New Roman"/>
          <w:sz w:val="20"/>
          <w:szCs w:val="20"/>
          <w:lang w:eastAsia="pt-BR"/>
        </w:rPr>
        <w:t>corotrons</w:t>
      </w:r>
      <w:proofErr w:type="spellEnd"/>
      <w:r w:rsidRPr="00F97084">
        <w:rPr>
          <w:rFonts w:ascii="Bookman Old Style" w:eastAsia="Times New Roman" w:hAnsi="Bookman Old Style" w:cs="Times New Roman"/>
          <w:sz w:val="20"/>
          <w:szCs w:val="20"/>
          <w:lang w:eastAsia="pt-BR"/>
        </w:rPr>
        <w:t>, roletes, componentes BTR, caixas reveladoras e demais elementos necessários ao funcionamento do sistema.</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 processo anteriormente elaborado para essa plataforma já registrava que a utilização contínua e o volume de impressão tornam necessária a substituição periódica de diversos componentes.</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 xml:space="preserve">Para esses equipamentos, a contratação contempla exclusivamente produtos novos e originais Xerox, identificados pelos respectivos códigos oficiais de referência – </w:t>
      </w:r>
      <w:proofErr w:type="spellStart"/>
      <w:r w:rsidRPr="00F97084">
        <w:rPr>
          <w:rFonts w:ascii="Bookman Old Style" w:eastAsia="Times New Roman" w:hAnsi="Bookman Old Style" w:cs="Times New Roman"/>
          <w:sz w:val="20"/>
          <w:szCs w:val="20"/>
          <w:lang w:eastAsia="pt-BR"/>
        </w:rPr>
        <w:t>part</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numbers</w:t>
      </w:r>
      <w:proofErr w:type="spellEnd"/>
      <w:r w:rsidRPr="00F97084">
        <w:rPr>
          <w:rFonts w:ascii="Bookman Old Style" w:eastAsia="Times New Roman" w:hAnsi="Bookman Old Style" w:cs="Times New Roman"/>
          <w:sz w:val="20"/>
          <w:szCs w:val="20"/>
          <w:lang w:eastAsia="pt-BR"/>
        </w:rPr>
        <w:t>.</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exigência decorre das características da plataforma, da necessidade de assegurar compatibilidade entre os componentes, rastreabilidade, confiabilidade operacional, qualidade das impressões e preservação das condições de garantia aplicáveis aos equipamentos.</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Os estudos anteriores também registraram que a utilização de componentes originais proporciona maior compatibilidade e confiabilidade operacional e reduz os riscos de falhas que possam ocasionar interrupções dos serviços.</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Considerando que os 21 componentes do Lote 01 possuem destinação comum, pertencem à mesma plataforma tecnológica e estão submetidos ao mesmo requisito de originalidade e rastreabilidade, seu fornecimento encontra-se estruturado em lote único, com julgamento pelo menor preço global, mantendo-se a análise individual da aceitabilidade dos valores unitários.</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p>
    <w:p w:rsidR="008D2A52" w:rsidRPr="00F97084" w:rsidRDefault="008D2A52" w:rsidP="008D2A52">
      <w:pPr>
        <w:spacing w:before="100" w:beforeAutospacing="1" w:after="100" w:afterAutospacing="1" w:line="240" w:lineRule="auto"/>
        <w:jc w:val="both"/>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2.2 – Necessidade de tintas para o parque de impressoras Epson</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As impressoras Epson existentes nas unidades municipais demandam reposição periódica de tinta para manutenção de sua disponibilidade operacional.</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Administração possui experiência de utilização da linha </w:t>
      </w:r>
      <w:proofErr w:type="spellStart"/>
      <w:r w:rsidRPr="00F97084">
        <w:rPr>
          <w:rFonts w:ascii="Bookman Old Style" w:eastAsia="Times New Roman" w:hAnsi="Bookman Old Style" w:cs="Times New Roman"/>
          <w:sz w:val="20"/>
          <w:szCs w:val="20"/>
          <w:lang w:eastAsia="pt-BR"/>
        </w:rPr>
        <w:t>InkTec</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Profeel</w:t>
      </w:r>
      <w:proofErr w:type="spellEnd"/>
      <w:r w:rsidRPr="00F97084">
        <w:rPr>
          <w:rFonts w:ascii="Bookman Old Style" w:eastAsia="Times New Roman" w:hAnsi="Bookman Old Style" w:cs="Times New Roman"/>
          <w:sz w:val="20"/>
          <w:szCs w:val="20"/>
          <w:lang w:eastAsia="pt-BR"/>
        </w:rPr>
        <w:t xml:space="preserve"> E0017, adotada como referência técnica de qualidade e desempenho para os equipamentos abrangidos pela especificação.</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contratação anterior já registrava a utilização dessa linha como referência em razão do desempenho satisfatório observado, da possibilidade de padronização dos suprimentos e da racionalização do estoque e das atividades de manutenção.</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indicação da </w:t>
      </w:r>
      <w:proofErr w:type="spellStart"/>
      <w:r w:rsidRPr="00F97084">
        <w:rPr>
          <w:rFonts w:ascii="Bookman Old Style" w:eastAsia="Times New Roman" w:hAnsi="Bookman Old Style" w:cs="Times New Roman"/>
          <w:sz w:val="20"/>
          <w:szCs w:val="20"/>
          <w:lang w:eastAsia="pt-BR"/>
        </w:rPr>
        <w:t>InkTec</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Profeel</w:t>
      </w:r>
      <w:proofErr w:type="spellEnd"/>
      <w:r w:rsidRPr="00F97084">
        <w:rPr>
          <w:rFonts w:ascii="Bookman Old Style" w:eastAsia="Times New Roman" w:hAnsi="Bookman Old Style" w:cs="Times New Roman"/>
          <w:sz w:val="20"/>
          <w:szCs w:val="20"/>
          <w:lang w:eastAsia="pt-BR"/>
        </w:rPr>
        <w:t xml:space="preserve"> E0017 não representa exclusividade de marca. São admitidos produtos equivalentes, similares ou superiores, desde que comprovadamente atendam às características técnicas e aos critérios de qualidade estabelecidos neste Termo de Referência.</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padronização técnica busca reduzir os riscos associados à utilização de tintas sem procedência definida, formulação inadequada ou qualidade insuficiente, que podem ocasionar falhas de impressão, entupimentos, limpezas excessivas e intervenções adicionais de manutenção.</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p>
    <w:p w:rsidR="008D2A52" w:rsidRPr="00F97084" w:rsidRDefault="008D2A52" w:rsidP="008D2A52">
      <w:pPr>
        <w:spacing w:before="100" w:beforeAutospacing="1" w:after="100" w:afterAutospacing="1" w:line="240" w:lineRule="auto"/>
        <w:jc w:val="both"/>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2.3 – Necessidade dos demais suprimentos de impressão</w:t>
      </w:r>
    </w:p>
    <w:p w:rsidR="008D2A52" w:rsidRPr="00F97084" w:rsidRDefault="008D2A52" w:rsidP="008D2A52">
      <w:pPr>
        <w:spacing w:after="0" w:line="240" w:lineRule="auto"/>
        <w:ind w:firstLine="709"/>
        <w:jc w:val="both"/>
        <w:rPr>
          <w:rFonts w:ascii="Bookman Old Style" w:eastAsia="Times New Roman" w:hAnsi="Bookman Old Style" w:cs="Tahoma"/>
          <w:sz w:val="20"/>
          <w:szCs w:val="20"/>
          <w:lang w:eastAsia="pt-BR"/>
        </w:rPr>
      </w:pPr>
      <w:r w:rsidRPr="00F97084">
        <w:rPr>
          <w:rFonts w:ascii="Bookman Old Style" w:eastAsia="Times New Roman" w:hAnsi="Bookman Old Style" w:cs="Tahoma"/>
          <w:sz w:val="20"/>
          <w:szCs w:val="20"/>
          <w:lang w:eastAsia="pt-BR"/>
        </w:rPr>
        <w:t xml:space="preserve">Além das tintas utilizadas nos equipamentos Epson com sistema de tanque, o parque municipal demanda reposição periódica de cartuchos de toner, cilindros, unidades de imagem, cartuchos de tinta, fitas matriciais, </w:t>
      </w:r>
      <w:proofErr w:type="spellStart"/>
      <w:r w:rsidRPr="00F97084">
        <w:rPr>
          <w:rFonts w:ascii="Bookman Old Style" w:eastAsia="Times New Roman" w:hAnsi="Bookman Old Style" w:cs="Tahoma"/>
          <w:sz w:val="20"/>
          <w:szCs w:val="20"/>
          <w:lang w:eastAsia="pt-BR"/>
        </w:rPr>
        <w:t>ribbons</w:t>
      </w:r>
      <w:proofErr w:type="spellEnd"/>
      <w:r w:rsidRPr="00F97084">
        <w:rPr>
          <w:rFonts w:ascii="Bookman Old Style" w:eastAsia="Times New Roman" w:hAnsi="Bookman Old Style" w:cs="Tahoma"/>
          <w:sz w:val="20"/>
          <w:szCs w:val="20"/>
          <w:lang w:eastAsia="pt-BR"/>
        </w:rPr>
        <w:t xml:space="preserve">, etiquetas, </w:t>
      </w:r>
      <w:proofErr w:type="spellStart"/>
      <w:r w:rsidRPr="00F97084">
        <w:rPr>
          <w:rFonts w:ascii="Bookman Old Style" w:eastAsia="Times New Roman" w:hAnsi="Bookman Old Style" w:cs="Tahoma"/>
          <w:sz w:val="20"/>
          <w:szCs w:val="20"/>
          <w:lang w:eastAsia="pt-BR"/>
        </w:rPr>
        <w:t>masters</w:t>
      </w:r>
      <w:proofErr w:type="spellEnd"/>
      <w:r w:rsidRPr="00F97084">
        <w:rPr>
          <w:rFonts w:ascii="Bookman Old Style" w:eastAsia="Times New Roman" w:hAnsi="Bookman Old Style" w:cs="Tahoma"/>
          <w:sz w:val="20"/>
          <w:szCs w:val="20"/>
          <w:lang w:eastAsia="pt-BR"/>
        </w:rPr>
        <w:t xml:space="preserve"> e demais consumíveis destinados aos diferentes equipamentos existentes.</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contratação contempla produtos novos, de primeiro uso e tecnicamente compatíveis com os respectivos equipamentos, incluindo suprimentos destinados a impressoras Brother, HP, Samsung, Epson, </w:t>
      </w:r>
      <w:proofErr w:type="spellStart"/>
      <w:r w:rsidRPr="00F97084">
        <w:rPr>
          <w:rFonts w:ascii="Bookman Old Style" w:eastAsia="Times New Roman" w:hAnsi="Bookman Old Style" w:cs="Times New Roman"/>
          <w:sz w:val="20"/>
          <w:szCs w:val="20"/>
          <w:lang w:eastAsia="pt-BR"/>
        </w:rPr>
        <w:t>Argox</w:t>
      </w:r>
      <w:proofErr w:type="spellEnd"/>
      <w:r w:rsidRPr="00F97084">
        <w:rPr>
          <w:rFonts w:ascii="Bookman Old Style" w:eastAsia="Times New Roman" w:hAnsi="Bookman Old Style" w:cs="Times New Roman"/>
          <w:sz w:val="20"/>
          <w:szCs w:val="20"/>
          <w:lang w:eastAsia="pt-BR"/>
        </w:rPr>
        <w:t>, duplicador digital RISO e demais modelos relacionados neste Termo de Referência.</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Nos produtos que utilizem chip, contador eletrônico ou outro sistema de reconhecimento, o item deverá ser fornecido completo e funcional, dispensando adaptações, transferência de componentes ou reaproveitamento de elementos anteriormente utilizados.</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admissão de produtos compatíveis nos itens em que não existe exigência específica de originalidade amplia a competitividade e permite racionalizar os custos de operação, preservados os requisitos mínimos de qualidade, procedência, compatibilidade e desempenho.</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p>
    <w:p w:rsidR="008D2A52" w:rsidRPr="00F97084" w:rsidRDefault="008D2A52" w:rsidP="008D2A52">
      <w:pPr>
        <w:spacing w:before="100" w:beforeAutospacing="1" w:after="100" w:afterAutospacing="1" w:line="240" w:lineRule="auto"/>
        <w:jc w:val="both"/>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2.4 – Necessidade de peças e materiais para manutenção</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Além do abastecimento de consumíveis, o funcionamento contínuo do parque de impressão depende da execução de manutenções preventivas e corretivas.</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equipe municipal de Tecnologia da Informação realiza intervenções compatíveis com sua capacidade técnica, incluindo diagnóstico, limpeza, substituição de cabeçotes, cabos flat, sensores, </w:t>
      </w:r>
      <w:proofErr w:type="spellStart"/>
      <w:r w:rsidRPr="00F97084">
        <w:rPr>
          <w:rFonts w:ascii="Bookman Old Style" w:eastAsia="Times New Roman" w:hAnsi="Bookman Old Style" w:cs="Times New Roman"/>
          <w:sz w:val="20"/>
          <w:szCs w:val="20"/>
          <w:lang w:eastAsia="pt-BR"/>
        </w:rPr>
        <w:t>dampers</w:t>
      </w:r>
      <w:proofErr w:type="spellEnd"/>
      <w:r w:rsidRPr="00F97084">
        <w:rPr>
          <w:rFonts w:ascii="Bookman Old Style" w:eastAsia="Times New Roman" w:hAnsi="Bookman Old Style" w:cs="Times New Roman"/>
          <w:sz w:val="20"/>
          <w:szCs w:val="20"/>
          <w:lang w:eastAsia="pt-BR"/>
        </w:rPr>
        <w:t xml:space="preserve">, reservatórios, roletes, fitas </w:t>
      </w:r>
      <w:proofErr w:type="spellStart"/>
      <w:r w:rsidRPr="00F97084">
        <w:rPr>
          <w:rFonts w:ascii="Bookman Old Style" w:eastAsia="Times New Roman" w:hAnsi="Bookman Old Style" w:cs="Times New Roman"/>
          <w:sz w:val="20"/>
          <w:szCs w:val="20"/>
          <w:lang w:eastAsia="pt-BR"/>
        </w:rPr>
        <w:t>encoder</w:t>
      </w:r>
      <w:proofErr w:type="spellEnd"/>
      <w:r w:rsidRPr="00F97084">
        <w:rPr>
          <w:rFonts w:ascii="Bookman Old Style" w:eastAsia="Times New Roman" w:hAnsi="Bookman Old Style" w:cs="Times New Roman"/>
          <w:sz w:val="20"/>
          <w:szCs w:val="20"/>
          <w:lang w:eastAsia="pt-BR"/>
        </w:rPr>
        <w:t>, mangueiras e demais componentes.</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contratação anterior já identificava que a aquisição direta desses materiais, ferramentas e equipamentos de bancada proporciona maior autonomia à equipe técnica e contribui para reduzir o tempo de indisponibilidade dos equipamentos e a necessidade de serviços externos.</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Integram, portanto, a presente contratação peças de reposição, solução para limpeza de cabeçotes, aspirador técnico para pó de toner, bomba de sucção a vácuo, sistema de reservatórios para testes e etiquetadora portátil. </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disponibilidade desses itens permite solucionar internamente ocorrências compatíveis com a estrutura existente, preservando a utilização do patrimônio público e reduzindo a substituição prematura de equipamentos por defeitos reparáveis.</w:t>
      </w:r>
    </w:p>
    <w:p w:rsidR="008D2A52" w:rsidRPr="00F97084" w:rsidRDefault="008D2A52" w:rsidP="008D2A52">
      <w:pPr>
        <w:spacing w:before="100" w:beforeAutospacing="1" w:after="100" w:afterAutospacing="1" w:line="240" w:lineRule="auto"/>
        <w:jc w:val="both"/>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2.5 – Consolidação da contratação</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presente contratação consolida em um único procedimento necessidades relacionadas ao abastecimento e à manutenção do parque municipal de impressão, anteriormente tratadas em processos distintos.</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consolidação proporciona maior organização administrativa, uniformização das especificações, planejamento dos estoques, acompanhamento do consumo, controle da compatibilidade dos produtos e racionalização dos procedimentos de aquisição.</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reunião das demandas em um mesmo processo não implica contratação global de todos os produtos por uma única empresa.</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 objeto foi estruturado de forma compatível com as características de cada grupo:</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Lote 01: componentes específicos e originais das Xerox Color C70 Pro, com julgamento pelo menor preço global do lote;</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Lote 02: tintas, toners, cilindros, fitas, peças, materiais, ferramentas e equipamentos para impressão e manutenção, com julgamento, classificação das propostas e adjudicação individual por item.</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Essa estrutura preserva a integração técnica necessária aos componentes específicos das Xerox e, ao mesmo tempo, permite maior participação de fornecedores especializados nos demais itens.</w:t>
      </w:r>
    </w:p>
    <w:p w:rsidR="008D2A52" w:rsidRPr="00F97084" w:rsidRDefault="008D2A52" w:rsidP="008D2A52">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necessidade, as alternativas de mercado, os critérios de parcelamento, a estimativa dos quantitativos e a viabilidade da solução encontram-se detalhados no Estudo Técnico Preliminar – ETP, que fundamenta a presente contratação.</w:t>
      </w:r>
    </w:p>
    <w:p w:rsidR="008D2A52" w:rsidRPr="00F97084" w:rsidRDefault="008D2A52" w:rsidP="00CF6858">
      <w:pPr>
        <w:spacing w:before="100" w:beforeAutospacing="1" w:after="100" w:afterAutospacing="1" w:line="240" w:lineRule="auto"/>
        <w:ind w:firstLine="709"/>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Dessa forma, a contratação mostra-se necessária para assegurar a continuidade dos serviços de impressão, reduzir períodos de indisponibilidade, preservar o patrimônio tecnológico municipal, ampliar a capacidade de manutenção interna e proporcionar maior eficiência no planejamento e na a</w:t>
      </w:r>
      <w:r w:rsidR="00CF6858">
        <w:rPr>
          <w:rFonts w:ascii="Bookman Old Style" w:eastAsia="Times New Roman" w:hAnsi="Bookman Old Style" w:cs="Times New Roman"/>
          <w:sz w:val="20"/>
          <w:szCs w:val="20"/>
          <w:lang w:eastAsia="pt-BR"/>
        </w:rPr>
        <w:t>plicação dos recursos públicos.</w:t>
      </w:r>
    </w:p>
    <w:p w:rsidR="008D2A52" w:rsidRPr="00F97084" w:rsidRDefault="008D2A52" w:rsidP="008D2A52">
      <w:pPr>
        <w:spacing w:before="100" w:beforeAutospacing="1" w:after="100" w:afterAutospacing="1" w:line="240" w:lineRule="auto"/>
        <w:outlineLvl w:val="1"/>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b/>
          <w:bCs/>
          <w:sz w:val="20"/>
          <w:szCs w:val="20"/>
          <w:lang w:eastAsia="pt-BR"/>
        </w:rPr>
        <w:t xml:space="preserve">3. DESCRIÇÃO DA SOLUÇÃO COMO UM TODO, CONSIDERADO O CICLO DE VIDA DO OBJETO E A ESPECIFICAÇÃO DOS PRODUTOS </w:t>
      </w:r>
      <w:r w:rsidRPr="00F97084">
        <w:rPr>
          <w:rFonts w:ascii="Bookman Old Style" w:eastAsia="Times New Roman" w:hAnsi="Bookman Old Style" w:cs="Times New Roman"/>
          <w:i/>
          <w:iCs/>
          <w:sz w:val="20"/>
          <w:szCs w:val="20"/>
          <w:lang w:eastAsia="pt-BR"/>
        </w:rPr>
        <w:t>(Art. 6º, inciso XXIII, alínea “c”, da Lei nº 14.133/2021)</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solução consiste na aquisição de </w:t>
      </w:r>
      <w:r w:rsidRPr="00F97084">
        <w:rPr>
          <w:rFonts w:ascii="Bookman Old Style" w:eastAsia="Times New Roman" w:hAnsi="Bookman Old Style" w:cs="Times New Roman"/>
          <w:b/>
          <w:bCs/>
          <w:sz w:val="20"/>
          <w:szCs w:val="20"/>
          <w:lang w:eastAsia="pt-BR"/>
        </w:rPr>
        <w:t>suprimentos de impressão, tintas, toners, cilindros, unidades de imagem, reveladores, peças, componentes, materiais, ferramentas e equipamentos destinados ao abastecimento e à manutenção preventiva e corretiva do parque municipal de impressoras</w:t>
      </w:r>
      <w:r w:rsidRPr="00F97084">
        <w:rPr>
          <w:rFonts w:ascii="Bookman Old Style" w:eastAsia="Times New Roman" w:hAnsi="Bookman Old Style" w:cs="Times New Roman"/>
          <w:sz w:val="20"/>
          <w:szCs w:val="20"/>
          <w:lang w:eastAsia="pt-BR"/>
        </w:rPr>
        <w:t>, conforme especificações, quantitativos e condições estabelecidos neste Termo de Referência.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contratação abrange todo o conjunto de materiais necessários à continuidade operacional dos equipamentos atualmente utilizados pelas Secretarias, Departamentos e demais unidades municipais, contemplando impressoras jato de tinta, impressoras laser monocromáticas e coloridas e as </w:t>
      </w:r>
      <w:r w:rsidRPr="00F97084">
        <w:rPr>
          <w:rFonts w:ascii="Bookman Old Style" w:eastAsia="Times New Roman" w:hAnsi="Bookman Old Style" w:cs="Times New Roman"/>
          <w:b/>
          <w:bCs/>
          <w:sz w:val="20"/>
          <w:szCs w:val="20"/>
          <w:lang w:eastAsia="pt-BR"/>
        </w:rPr>
        <w:t>02 (duas) impressoras digitais Xerox Color C70 Pro</w:t>
      </w:r>
      <w:r w:rsidRPr="00F97084">
        <w:rPr>
          <w:rFonts w:ascii="Bookman Old Style" w:eastAsia="Times New Roman" w:hAnsi="Bookman Old Style" w:cs="Times New Roman"/>
          <w:sz w:val="20"/>
          <w:szCs w:val="20"/>
          <w:lang w:eastAsia="pt-BR"/>
        </w:rPr>
        <w:t>.</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solução foi estruturada em dois grupos, permitindo tratamento técnico diferenciado conforme a natureza, finalidade, compatibilidade e relação existente entre os produtos</w:t>
      </w:r>
      <w:proofErr w:type="gramStart"/>
      <w:r w:rsidRPr="00F97084">
        <w:rPr>
          <w:rFonts w:ascii="Bookman Old Style" w:eastAsia="Times New Roman" w:hAnsi="Bookman Old Style" w:cs="Times New Roman"/>
          <w:sz w:val="20"/>
          <w:szCs w:val="20"/>
          <w:lang w:eastAsia="pt-BR"/>
        </w:rPr>
        <w:t>..</w:t>
      </w:r>
      <w:proofErr w:type="gramEnd"/>
    </w:p>
    <w:p w:rsidR="008D2A52" w:rsidRPr="00F97084" w:rsidRDefault="008D2A52" w:rsidP="00CF6858">
      <w:pPr>
        <w:spacing w:before="100" w:beforeAutospacing="1" w:after="100" w:afterAutospacing="1" w:line="240" w:lineRule="auto"/>
        <w:jc w:val="both"/>
        <w:outlineLvl w:val="2"/>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3.1 – Lote 01 – Suprimentos e componentes originais Xerox Color C70 Pro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Lote 01 compreende os suprimentos e componentes destinados exclusivamente às duas impressoras Xerox Color C70 Pro, incluindo toners, unidades de imagem – </w:t>
      </w:r>
      <w:proofErr w:type="spellStart"/>
      <w:r w:rsidRPr="00F97084">
        <w:rPr>
          <w:rFonts w:ascii="Bookman Old Style" w:eastAsia="Times New Roman" w:hAnsi="Bookman Old Style" w:cs="Times New Roman"/>
          <w:sz w:val="20"/>
          <w:szCs w:val="20"/>
          <w:lang w:eastAsia="pt-BR"/>
        </w:rPr>
        <w:t>drums</w:t>
      </w:r>
      <w:proofErr w:type="spellEnd"/>
      <w:r w:rsidRPr="00F97084">
        <w:rPr>
          <w:rFonts w:ascii="Bookman Old Style" w:eastAsia="Times New Roman" w:hAnsi="Bookman Old Style" w:cs="Times New Roman"/>
          <w:sz w:val="20"/>
          <w:szCs w:val="20"/>
          <w:lang w:eastAsia="pt-BR"/>
        </w:rPr>
        <w:t xml:space="preserve">, reveladores – </w:t>
      </w:r>
      <w:proofErr w:type="spellStart"/>
      <w:r w:rsidRPr="00F97084">
        <w:rPr>
          <w:rFonts w:ascii="Bookman Old Style" w:eastAsia="Times New Roman" w:hAnsi="Bookman Old Style" w:cs="Times New Roman"/>
          <w:sz w:val="20"/>
          <w:szCs w:val="20"/>
          <w:lang w:eastAsia="pt-BR"/>
        </w:rPr>
        <w:t>developers</w:t>
      </w:r>
      <w:proofErr w:type="spellEnd"/>
      <w:r w:rsidRPr="00F97084">
        <w:rPr>
          <w:rFonts w:ascii="Bookman Old Style" w:eastAsia="Times New Roman" w:hAnsi="Bookman Old Style" w:cs="Times New Roman"/>
          <w:sz w:val="20"/>
          <w:szCs w:val="20"/>
          <w:lang w:eastAsia="pt-BR"/>
        </w:rPr>
        <w:t xml:space="preserve">, reservatório de toner residual, unidade </w:t>
      </w:r>
      <w:proofErr w:type="spellStart"/>
      <w:r w:rsidRPr="00F97084">
        <w:rPr>
          <w:rFonts w:ascii="Bookman Old Style" w:eastAsia="Times New Roman" w:hAnsi="Bookman Old Style" w:cs="Times New Roman"/>
          <w:sz w:val="20"/>
          <w:szCs w:val="20"/>
          <w:lang w:eastAsia="pt-BR"/>
        </w:rPr>
        <w:t>fusora</w:t>
      </w:r>
      <w:proofErr w:type="spellEnd"/>
      <w:r w:rsidRPr="00F97084">
        <w:rPr>
          <w:rFonts w:ascii="Bookman Old Style" w:eastAsia="Times New Roman" w:hAnsi="Bookman Old Style" w:cs="Times New Roman"/>
          <w:sz w:val="20"/>
          <w:szCs w:val="20"/>
          <w:lang w:eastAsia="pt-BR"/>
        </w:rPr>
        <w:t xml:space="preserve">, charge </w:t>
      </w:r>
      <w:proofErr w:type="spellStart"/>
      <w:r w:rsidRPr="00F97084">
        <w:rPr>
          <w:rFonts w:ascii="Bookman Old Style" w:eastAsia="Times New Roman" w:hAnsi="Bookman Old Style" w:cs="Times New Roman"/>
          <w:sz w:val="20"/>
          <w:szCs w:val="20"/>
          <w:lang w:eastAsia="pt-BR"/>
        </w:rPr>
        <w:t>corotron</w:t>
      </w:r>
      <w:proofErr w:type="spellEnd"/>
      <w:r w:rsidRPr="00F97084">
        <w:rPr>
          <w:rFonts w:ascii="Bookman Old Style" w:eastAsia="Times New Roman" w:hAnsi="Bookman Old Style" w:cs="Times New Roman"/>
          <w:sz w:val="20"/>
          <w:szCs w:val="20"/>
          <w:lang w:eastAsia="pt-BR"/>
        </w:rPr>
        <w:t xml:space="preserve">, correia de transferência – ITB </w:t>
      </w:r>
      <w:proofErr w:type="spellStart"/>
      <w:r w:rsidRPr="00F97084">
        <w:rPr>
          <w:rFonts w:ascii="Bookman Old Style" w:eastAsia="Times New Roman" w:hAnsi="Bookman Old Style" w:cs="Times New Roman"/>
          <w:sz w:val="20"/>
          <w:szCs w:val="20"/>
          <w:lang w:eastAsia="pt-BR"/>
        </w:rPr>
        <w:t>Transfer</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Belt</w:t>
      </w:r>
      <w:proofErr w:type="spellEnd"/>
      <w:r w:rsidRPr="00F97084">
        <w:rPr>
          <w:rFonts w:ascii="Bookman Old Style" w:eastAsia="Times New Roman" w:hAnsi="Bookman Old Style" w:cs="Times New Roman"/>
          <w:sz w:val="20"/>
          <w:szCs w:val="20"/>
          <w:lang w:eastAsia="pt-BR"/>
        </w:rPr>
        <w:t>, kits de roletes, conjunto 2nd BTR, lâmina de limpeza do IBT, rolo 1st BTR, caixas reveladoras e demais componentes individualizados neste Termo de Referência.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Esses componentes já eram tratados no processo anterior como integrantes do mesmo sistema de impressão da Xerox Color C70 Pro, sujeitos à substituição decorrente do consumo e do desgaste natural do equipamento. </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Todos os produtos integrantes do Lote 01 deverão ser </w:t>
      </w:r>
      <w:r w:rsidRPr="00F97084">
        <w:rPr>
          <w:rFonts w:ascii="Bookman Old Style" w:eastAsia="Times New Roman" w:hAnsi="Bookman Old Style" w:cs="Times New Roman"/>
          <w:b/>
          <w:bCs/>
          <w:sz w:val="20"/>
          <w:szCs w:val="20"/>
          <w:lang w:eastAsia="pt-BR"/>
        </w:rPr>
        <w:t xml:space="preserve">novos, originais do fabricante Xerox, de primeiro uso, fornecidos em embalagem original, devidamente lacrada e identificada e correspondentes exatamente aos códigos de referência – </w:t>
      </w:r>
      <w:proofErr w:type="spellStart"/>
      <w:r w:rsidRPr="00F97084">
        <w:rPr>
          <w:rFonts w:ascii="Bookman Old Style" w:eastAsia="Times New Roman" w:hAnsi="Bookman Old Style" w:cs="Times New Roman"/>
          <w:b/>
          <w:bCs/>
          <w:sz w:val="20"/>
          <w:szCs w:val="20"/>
          <w:lang w:eastAsia="pt-BR"/>
        </w:rPr>
        <w:t>part</w:t>
      </w:r>
      <w:proofErr w:type="spellEnd"/>
      <w:r w:rsidRPr="00F97084">
        <w:rPr>
          <w:rFonts w:ascii="Bookman Old Style" w:eastAsia="Times New Roman" w:hAnsi="Bookman Old Style" w:cs="Times New Roman"/>
          <w:b/>
          <w:bCs/>
          <w:sz w:val="20"/>
          <w:szCs w:val="20"/>
          <w:lang w:eastAsia="pt-BR"/>
        </w:rPr>
        <w:t xml:space="preserve"> </w:t>
      </w:r>
      <w:proofErr w:type="spellStart"/>
      <w:r w:rsidRPr="00F97084">
        <w:rPr>
          <w:rFonts w:ascii="Bookman Old Style" w:eastAsia="Times New Roman" w:hAnsi="Bookman Old Style" w:cs="Times New Roman"/>
          <w:b/>
          <w:bCs/>
          <w:sz w:val="20"/>
          <w:szCs w:val="20"/>
          <w:lang w:eastAsia="pt-BR"/>
        </w:rPr>
        <w:t>numbers</w:t>
      </w:r>
      <w:proofErr w:type="spellEnd"/>
      <w:r w:rsidRPr="00F97084">
        <w:rPr>
          <w:rFonts w:ascii="Bookman Old Style" w:eastAsia="Times New Roman" w:hAnsi="Bookman Old Style" w:cs="Times New Roman"/>
          <w:b/>
          <w:bCs/>
          <w:sz w:val="20"/>
          <w:szCs w:val="20"/>
          <w:lang w:eastAsia="pt-BR"/>
        </w:rPr>
        <w:t xml:space="preserve"> – estabelecidos para cada item</w:t>
      </w:r>
      <w:r w:rsidRPr="00F97084">
        <w:rPr>
          <w:rFonts w:ascii="Bookman Old Style" w:eastAsia="Times New Roman" w:hAnsi="Bookman Old Style" w:cs="Times New Roman"/>
          <w:sz w:val="20"/>
          <w:szCs w:val="20"/>
          <w:lang w:eastAsia="pt-BR"/>
        </w:rPr>
        <w:t>.</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Não serão admitidos, para esse lote, produtos compatíveis, similares, </w:t>
      </w:r>
      <w:proofErr w:type="spellStart"/>
      <w:r w:rsidRPr="00F97084">
        <w:rPr>
          <w:rFonts w:ascii="Bookman Old Style" w:eastAsia="Times New Roman" w:hAnsi="Bookman Old Style" w:cs="Times New Roman"/>
          <w:sz w:val="20"/>
          <w:szCs w:val="20"/>
          <w:lang w:eastAsia="pt-BR"/>
        </w:rPr>
        <w:t>remanufaturados</w:t>
      </w:r>
      <w:proofErr w:type="spellEnd"/>
      <w:r w:rsidRPr="00F97084">
        <w:rPr>
          <w:rFonts w:ascii="Bookman Old Style" w:eastAsia="Times New Roman" w:hAnsi="Bookman Old Style" w:cs="Times New Roman"/>
          <w:sz w:val="20"/>
          <w:szCs w:val="20"/>
          <w:lang w:eastAsia="pt-BR"/>
        </w:rPr>
        <w:t>, recondicionados, reciclados, recarregados ou fabricados por terceiros.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utilização de componentes originais busca assegurar compatibilidade entre os elementos do sistema, rastreabilidade, confiabilidade operacional, manutenção da qualidade das impressões e preservação das condições de garantia aplicáveis aos equipamentos. O Termo de Referência </w:t>
      </w:r>
      <w:r w:rsidRPr="00F97084">
        <w:rPr>
          <w:rFonts w:ascii="Bookman Old Style" w:eastAsia="Times New Roman" w:hAnsi="Bookman Old Style" w:cs="Times New Roman"/>
          <w:sz w:val="20"/>
          <w:szCs w:val="20"/>
          <w:lang w:eastAsia="pt-BR"/>
        </w:rPr>
        <w:lastRenderedPageBreak/>
        <w:t xml:space="preserve">anterior da Xerox já estabelecia esses mesmos requisitos de originalidade, embalagem, identificação e correspondência aos códigos oficiais. </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Sob a perspectiva do ciclo de vida, a reposição dos componentes sujeitos ao consumo ou desgaste contribui para preservar a capacidade operacional das impressoras, reduzir paradas não programadas e prolongar a utilização dos equipamentos pertencentes à Administração. </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fornecimento dos 21 itens ocorrerá de forma integrada, mediante julgamento pelo </w:t>
      </w:r>
      <w:r w:rsidRPr="00F97084">
        <w:rPr>
          <w:rFonts w:ascii="Bookman Old Style" w:eastAsia="Times New Roman" w:hAnsi="Bookman Old Style" w:cs="Times New Roman"/>
          <w:b/>
          <w:bCs/>
          <w:sz w:val="20"/>
          <w:szCs w:val="20"/>
          <w:lang w:eastAsia="pt-BR"/>
        </w:rPr>
        <w:t>menor preço global do lote</w:t>
      </w:r>
      <w:r w:rsidRPr="00F97084">
        <w:rPr>
          <w:rFonts w:ascii="Bookman Old Style" w:eastAsia="Times New Roman" w:hAnsi="Bookman Old Style" w:cs="Times New Roman"/>
          <w:sz w:val="20"/>
          <w:szCs w:val="20"/>
          <w:lang w:eastAsia="pt-BR"/>
        </w:rPr>
        <w:t>, preservada a análise dos valores unitários e das especificações de cada componente.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b/>
          <w:bCs/>
          <w:sz w:val="20"/>
          <w:szCs w:val="20"/>
          <w:lang w:eastAsia="pt-BR"/>
        </w:rPr>
        <w:t>3.2 – Lote 02 – Tintas, toners, cilindros, fitas, peças, materiais, ferramentas e equipamentos para impressão e manutenção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Lote 02 compreende os suprimentos de consumo destinados aos equipamentos Epson, Brother, HP, Samsung, </w:t>
      </w:r>
      <w:proofErr w:type="spellStart"/>
      <w:r w:rsidRPr="00F97084">
        <w:rPr>
          <w:rFonts w:ascii="Bookman Old Style" w:eastAsia="Times New Roman" w:hAnsi="Bookman Old Style" w:cs="Times New Roman"/>
          <w:sz w:val="20"/>
          <w:szCs w:val="20"/>
          <w:lang w:eastAsia="pt-BR"/>
        </w:rPr>
        <w:t>Argox</w:t>
      </w:r>
      <w:proofErr w:type="spellEnd"/>
      <w:r w:rsidRPr="00F97084">
        <w:rPr>
          <w:rFonts w:ascii="Bookman Old Style" w:eastAsia="Times New Roman" w:hAnsi="Bookman Old Style" w:cs="Times New Roman"/>
          <w:sz w:val="20"/>
          <w:szCs w:val="20"/>
          <w:lang w:eastAsia="pt-BR"/>
        </w:rPr>
        <w:t>, RISO e demais equipamentos integrantes do parque municipal, bem como as peças, materiais, ferramentas e equipamentos destinados às atividades de manutenção preventiva e corretiva.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Para as impressoras jato de tinta, a solução contempla tintas corantes do tipo </w:t>
      </w:r>
      <w:proofErr w:type="spellStart"/>
      <w:r w:rsidRPr="00F97084">
        <w:rPr>
          <w:rFonts w:ascii="Bookman Old Style" w:eastAsia="Times New Roman" w:hAnsi="Bookman Old Style" w:cs="Times New Roman"/>
          <w:sz w:val="20"/>
          <w:szCs w:val="20"/>
          <w:lang w:eastAsia="pt-BR"/>
        </w:rPr>
        <w:t>Dye</w:t>
      </w:r>
      <w:proofErr w:type="spellEnd"/>
      <w:r w:rsidRPr="00F97084">
        <w:rPr>
          <w:rFonts w:ascii="Bookman Old Style" w:eastAsia="Times New Roman" w:hAnsi="Bookman Old Style" w:cs="Times New Roman"/>
          <w:sz w:val="20"/>
          <w:szCs w:val="20"/>
          <w:lang w:eastAsia="pt-BR"/>
        </w:rPr>
        <w:t xml:space="preserve">, base água, adequadas a cabeçotes </w:t>
      </w:r>
      <w:proofErr w:type="spellStart"/>
      <w:r w:rsidRPr="00F97084">
        <w:rPr>
          <w:rFonts w:ascii="Bookman Old Style" w:eastAsia="Times New Roman" w:hAnsi="Bookman Old Style" w:cs="Times New Roman"/>
          <w:sz w:val="20"/>
          <w:szCs w:val="20"/>
          <w:lang w:eastAsia="pt-BR"/>
        </w:rPr>
        <w:t>piezoelétricos</w:t>
      </w:r>
      <w:proofErr w:type="spellEnd"/>
      <w:r w:rsidRPr="00F97084">
        <w:rPr>
          <w:rFonts w:ascii="Bookman Old Style" w:eastAsia="Times New Roman" w:hAnsi="Bookman Old Style" w:cs="Times New Roman"/>
          <w:sz w:val="20"/>
          <w:szCs w:val="20"/>
          <w:lang w:eastAsia="pt-BR"/>
        </w:rPr>
        <w:t xml:space="preserve">, adotando-se a linha </w:t>
      </w:r>
      <w:proofErr w:type="spellStart"/>
      <w:r w:rsidRPr="00F97084">
        <w:rPr>
          <w:rFonts w:ascii="Bookman Old Style" w:eastAsia="Times New Roman" w:hAnsi="Bookman Old Style" w:cs="Times New Roman"/>
          <w:sz w:val="20"/>
          <w:szCs w:val="20"/>
          <w:lang w:eastAsia="pt-BR"/>
        </w:rPr>
        <w:t>InkTec</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Profeel</w:t>
      </w:r>
      <w:proofErr w:type="spellEnd"/>
      <w:r w:rsidRPr="00F97084">
        <w:rPr>
          <w:rFonts w:ascii="Bookman Old Style" w:eastAsia="Times New Roman" w:hAnsi="Bookman Old Style" w:cs="Times New Roman"/>
          <w:sz w:val="20"/>
          <w:szCs w:val="20"/>
          <w:lang w:eastAsia="pt-BR"/>
        </w:rPr>
        <w:t xml:space="preserve"> E0017 como referência técnica de qualidade e desempenho, admitidos produtos equivalentes, similares ou superiores que comprovadamente atendam aos requisitos definidos neste Termo de Referência.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solução anteriormente adotada para as tintas já utilizava a </w:t>
      </w:r>
      <w:proofErr w:type="spellStart"/>
      <w:r w:rsidRPr="00F97084">
        <w:rPr>
          <w:rFonts w:ascii="Bookman Old Style" w:eastAsia="Times New Roman" w:hAnsi="Bookman Old Style" w:cs="Times New Roman"/>
          <w:sz w:val="20"/>
          <w:szCs w:val="20"/>
          <w:lang w:eastAsia="pt-BR"/>
        </w:rPr>
        <w:t>InkTec</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Profeel</w:t>
      </w:r>
      <w:proofErr w:type="spellEnd"/>
      <w:r w:rsidRPr="00F97084">
        <w:rPr>
          <w:rFonts w:ascii="Bookman Old Style" w:eastAsia="Times New Roman" w:hAnsi="Bookman Old Style" w:cs="Times New Roman"/>
          <w:sz w:val="20"/>
          <w:szCs w:val="20"/>
          <w:lang w:eastAsia="pt-BR"/>
        </w:rPr>
        <w:t xml:space="preserve"> E0017 como referência técnica e admitia produto equivalente, similar ou superior, bem como previa a rejeição de tintas universais sem identificação clara de fabricante, linha ou procedência.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Integram ainda este grupo cartuchos de tinta para equipamentos Epson específicos, fitas matriciais, suprimentos para impressoras Samsung, </w:t>
      </w:r>
      <w:proofErr w:type="spellStart"/>
      <w:r w:rsidRPr="00F97084">
        <w:rPr>
          <w:rFonts w:ascii="Bookman Old Style" w:eastAsia="Times New Roman" w:hAnsi="Bookman Old Style" w:cs="Times New Roman"/>
          <w:sz w:val="20"/>
          <w:szCs w:val="20"/>
          <w:lang w:eastAsia="pt-BR"/>
        </w:rPr>
        <w:t>ribbon</w:t>
      </w:r>
      <w:proofErr w:type="spellEnd"/>
      <w:r w:rsidRPr="00F97084">
        <w:rPr>
          <w:rFonts w:ascii="Bookman Old Style" w:eastAsia="Times New Roman" w:hAnsi="Bookman Old Style" w:cs="Times New Roman"/>
          <w:sz w:val="20"/>
          <w:szCs w:val="20"/>
          <w:lang w:eastAsia="pt-BR"/>
        </w:rPr>
        <w:t xml:space="preserve"> e etiquetas para impressora térmica </w:t>
      </w:r>
      <w:proofErr w:type="spellStart"/>
      <w:r w:rsidRPr="00F97084">
        <w:rPr>
          <w:rFonts w:ascii="Bookman Old Style" w:eastAsia="Times New Roman" w:hAnsi="Bookman Old Style" w:cs="Times New Roman"/>
          <w:sz w:val="20"/>
          <w:szCs w:val="20"/>
          <w:lang w:eastAsia="pt-BR"/>
        </w:rPr>
        <w:t>Argox</w:t>
      </w:r>
      <w:proofErr w:type="spellEnd"/>
      <w:r w:rsidRPr="00F97084">
        <w:rPr>
          <w:rFonts w:ascii="Bookman Old Style" w:eastAsia="Times New Roman" w:hAnsi="Bookman Old Style" w:cs="Times New Roman"/>
          <w:sz w:val="20"/>
          <w:szCs w:val="20"/>
          <w:lang w:eastAsia="pt-BR"/>
        </w:rPr>
        <w:t xml:space="preserve">, tinta e </w:t>
      </w:r>
      <w:proofErr w:type="spellStart"/>
      <w:r w:rsidRPr="00F97084">
        <w:rPr>
          <w:rFonts w:ascii="Bookman Old Style" w:eastAsia="Times New Roman" w:hAnsi="Bookman Old Style" w:cs="Times New Roman"/>
          <w:sz w:val="20"/>
          <w:szCs w:val="20"/>
          <w:lang w:eastAsia="pt-BR"/>
        </w:rPr>
        <w:t>master</w:t>
      </w:r>
      <w:proofErr w:type="spellEnd"/>
      <w:r w:rsidRPr="00F97084">
        <w:rPr>
          <w:rFonts w:ascii="Bookman Old Style" w:eastAsia="Times New Roman" w:hAnsi="Bookman Old Style" w:cs="Times New Roman"/>
          <w:sz w:val="20"/>
          <w:szCs w:val="20"/>
          <w:lang w:eastAsia="pt-BR"/>
        </w:rPr>
        <w:t xml:space="preserve"> para duplicador digital RISO e fita flexível laminada destinada à identificação de cabos e componentes.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adoção dessa referência busca manter padrão técnico conhecido, racionalizar o estoque, reduzir a diversidade de formulações utilizadas e diminuir riscos de falhas, entupimentos ou necessidade excessiva de procedimentos de limpeza.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Para as impressoras a laser, a solução contempla cartuchos de toner, cilindros fotocondutores e unidades de imagem novos e compatíveis com os respectivos fabricantes e modelos existentes no Município.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Os produtos deverão ser fornecidos completos e prontos para instalação, apresentando características compatíveis com os equipamentos aos quais se destinam.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Quando o modelo utilizar chip, contador eletrônico ou sistema de reconhecimento, o componente deverá acompanhar o produto, devidamente instalado e funcional, não sendo admitida solução que dependa da transferência ou reutilização de chip proveniente de cartucho anteriormente utilizado.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Integram também o Lote 02 os materiais destinados à execução das atividades de manutenção preventiva, corretiva, limpeza, diagnóstico e testes realizados pela equipe municipal de Tecnologia da Informação, incluindo cabeçotes de impressão, cabos flat, sensores, </w:t>
      </w:r>
      <w:proofErr w:type="spellStart"/>
      <w:r w:rsidRPr="00F97084">
        <w:rPr>
          <w:rFonts w:ascii="Bookman Old Style" w:eastAsia="Times New Roman" w:hAnsi="Bookman Old Style" w:cs="Times New Roman"/>
          <w:sz w:val="20"/>
          <w:szCs w:val="20"/>
          <w:lang w:eastAsia="pt-BR"/>
        </w:rPr>
        <w:t>dampers</w:t>
      </w:r>
      <w:proofErr w:type="spellEnd"/>
      <w:r w:rsidRPr="00F97084">
        <w:rPr>
          <w:rFonts w:ascii="Bookman Old Style" w:eastAsia="Times New Roman" w:hAnsi="Bookman Old Style" w:cs="Times New Roman"/>
          <w:sz w:val="20"/>
          <w:szCs w:val="20"/>
          <w:lang w:eastAsia="pt-BR"/>
        </w:rPr>
        <w:t xml:space="preserve">, reservatórios de tinta, roletes, borrachas de tração, fitas </w:t>
      </w:r>
      <w:proofErr w:type="spellStart"/>
      <w:r w:rsidRPr="00F97084">
        <w:rPr>
          <w:rFonts w:ascii="Bookman Old Style" w:eastAsia="Times New Roman" w:hAnsi="Bookman Old Style" w:cs="Times New Roman"/>
          <w:sz w:val="20"/>
          <w:szCs w:val="20"/>
          <w:lang w:eastAsia="pt-BR"/>
        </w:rPr>
        <w:t>encoder</w:t>
      </w:r>
      <w:proofErr w:type="spellEnd"/>
      <w:r w:rsidRPr="00F97084">
        <w:rPr>
          <w:rFonts w:ascii="Bookman Old Style" w:eastAsia="Times New Roman" w:hAnsi="Bookman Old Style" w:cs="Times New Roman"/>
          <w:sz w:val="20"/>
          <w:szCs w:val="20"/>
          <w:lang w:eastAsia="pt-BR"/>
        </w:rPr>
        <w:t>, mangueiras e demais componentes relacionados às intervenções realizadas nos equipamentos.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 xml:space="preserve">Também fazem parte da solução os materiais, ferramentas e equipamentos destinados à bancada técnica, incluindo solução para limpeza de cabeçotes, aspirador apropriado para resíduos de toner e partículas finas, bomba de sucção a vácuo, reservatório Bulk </w:t>
      </w:r>
      <w:proofErr w:type="spellStart"/>
      <w:r w:rsidRPr="00F97084">
        <w:rPr>
          <w:rFonts w:ascii="Bookman Old Style" w:eastAsia="Times New Roman" w:hAnsi="Bookman Old Style" w:cs="Times New Roman"/>
          <w:sz w:val="20"/>
          <w:szCs w:val="20"/>
          <w:lang w:eastAsia="pt-BR"/>
        </w:rPr>
        <w:t>Ink</w:t>
      </w:r>
      <w:proofErr w:type="spellEnd"/>
      <w:r w:rsidRPr="00F97084">
        <w:rPr>
          <w:rFonts w:ascii="Bookman Old Style" w:eastAsia="Times New Roman" w:hAnsi="Bookman Old Style" w:cs="Times New Roman"/>
          <w:sz w:val="20"/>
          <w:szCs w:val="20"/>
          <w:lang w:eastAsia="pt-BR"/>
        </w:rPr>
        <w:t xml:space="preserve"> para testes e etiquetadora portátil.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As peças deverão ser novas, de primeiro uso e compatíveis com os equipamentos especificados, observando-se, quando aplicável, dimensões, conectores e características mecânicas, elétricas e eletrônicas necessárias à correta instalação e funcionamento.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disponibilidade desses materiais reduz a necessidade de encaminhamento de equipamentos para assistência externa em ocorrências que possam ser resolvidas internamente e contribui para a recuperação de impressoras que permaneceriam indisponíveis pela ausência de componentes de reposição.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b/>
          <w:bCs/>
          <w:sz w:val="20"/>
          <w:szCs w:val="20"/>
          <w:lang w:eastAsia="pt-BR"/>
        </w:rPr>
        <w:t>Os 48 (quarenta e oito) itens integrantes do Lote 02 serão objeto de julgamento, classificação das propostas e adjudicação individual por item, podendo haver fornecedores vencedores distintos.</w:t>
      </w:r>
    </w:p>
    <w:p w:rsidR="008D2A52" w:rsidRPr="00F97084" w:rsidRDefault="008D2A52" w:rsidP="00CF6858">
      <w:pPr>
        <w:spacing w:before="100" w:beforeAutospacing="1" w:after="100" w:afterAutospacing="1" w:line="240" w:lineRule="auto"/>
        <w:jc w:val="both"/>
        <w:outlineLvl w:val="2"/>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3.3 – Ciclo de vida e preservação do patrimônio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Sob a perspectiva do ciclo de vida, a solução não se limita ao fornecimento imediato de suprimentos, mas busca assegurar condições para a </w:t>
      </w:r>
      <w:r w:rsidRPr="00F97084">
        <w:rPr>
          <w:rFonts w:ascii="Bookman Old Style" w:eastAsia="Times New Roman" w:hAnsi="Bookman Old Style" w:cs="Times New Roman"/>
          <w:b/>
          <w:bCs/>
          <w:sz w:val="20"/>
          <w:szCs w:val="20"/>
          <w:lang w:eastAsia="pt-BR"/>
        </w:rPr>
        <w:t>utilização contínua e prolongada do parque de impressão já pertencente ao Município</w:t>
      </w:r>
      <w:r w:rsidRPr="00F97084">
        <w:rPr>
          <w:rFonts w:ascii="Bookman Old Style" w:eastAsia="Times New Roman" w:hAnsi="Bookman Old Style" w:cs="Times New Roman"/>
          <w:sz w:val="20"/>
          <w:szCs w:val="20"/>
          <w:lang w:eastAsia="pt-BR"/>
        </w:rPr>
        <w:t>.</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aquisição de consumíveis adequados permite manter os equipamentos em operação regular, enquanto a disponibilidade de peças e ferramentas possibilita corrigir defeitos localizados sem necessidade de substituição prematura das impressoras.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Termo de Referência anterior já reconhecia que a disponibilidade de peças, ferramentas e suprimentos adequados contribui para reduzir a substituição prematura dos equipamentos e o encaminhamento para assistência técnica externa. </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solução contempla, dessa forma: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abastecimento regular dos equipamentos;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substituição dos consumíveis sujeitos ao desgaste normal;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manutenção preventiva e corretiva;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recuperação de equipamentos sempre que tecnicamente viável;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prolongamento da vida útil do patrimônio existente;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redução do tempo de indisponibilidade;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g) racionalização dos estoques;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h) redução da necessidade de aquisições emergenciais;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i) destinação ambientalmente adequada dos materiais ao final de sua vida útil.</w:t>
      </w:r>
    </w:p>
    <w:p w:rsidR="008D2A52" w:rsidRPr="00F97084" w:rsidRDefault="008D2A52" w:rsidP="00CF6858">
      <w:pPr>
        <w:spacing w:before="100" w:beforeAutospacing="1" w:after="100" w:afterAutospacing="1" w:line="240" w:lineRule="auto"/>
        <w:jc w:val="both"/>
        <w:outlineLvl w:val="2"/>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3.4 – Qualidade</w:t>
      </w:r>
      <w:proofErr w:type="gramStart"/>
      <w:r w:rsidRPr="00F97084">
        <w:rPr>
          <w:rFonts w:ascii="Bookman Old Style" w:eastAsia="Times New Roman" w:hAnsi="Bookman Old Style" w:cs="Times New Roman"/>
          <w:b/>
          <w:bCs/>
          <w:sz w:val="20"/>
          <w:szCs w:val="20"/>
          <w:lang w:eastAsia="pt-BR"/>
        </w:rPr>
        <w:t>, garantia</w:t>
      </w:r>
      <w:proofErr w:type="gramEnd"/>
      <w:r w:rsidRPr="00F97084">
        <w:rPr>
          <w:rFonts w:ascii="Bookman Old Style" w:eastAsia="Times New Roman" w:hAnsi="Bookman Old Style" w:cs="Times New Roman"/>
          <w:b/>
          <w:bCs/>
          <w:sz w:val="20"/>
          <w:szCs w:val="20"/>
          <w:lang w:eastAsia="pt-BR"/>
        </w:rPr>
        <w:t xml:space="preserve"> e substituição dos produtos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Todos os produtos deverão ser entregues em perfeito estado de conservação, atender integralmente às especificações estabelecidas e possuir procedência identificável.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Quando aplicável, deverão ser fornecidos em embalagem original, íntegra, lacrada e identificada, contendo informações suficientes para conferência de marca, fabricante, modelo, código, lote, validade e demais características pertinentes.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Os materiais que apresentarem defeitos, avarias, incompatibilidade, divergência em relação às especificações, violação da embalagem, problemas de reconhecimento eletrônico ou qualquer condição que impeça sua utilização adequada serão recusados.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contratada será responsável pela substituição dos produtos recusados, sem qualquer ônus adicional para a Administração.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No processo anterior da Xerox, a responsabilidade pela substituição de itens defeituosos, incompatíveis ou desconformes já integrava a solução durante o respectivo período de garantia. </w:t>
      </w:r>
    </w:p>
    <w:p w:rsidR="008D2A52" w:rsidRPr="00F97084" w:rsidRDefault="008D2A52" w:rsidP="00CF6858">
      <w:pPr>
        <w:spacing w:before="100" w:beforeAutospacing="1" w:after="100" w:afterAutospacing="1" w:line="240" w:lineRule="auto"/>
        <w:jc w:val="both"/>
        <w:outlineLvl w:val="2"/>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3.5 – Resultado da solução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solução definida proporciona atendimento integrado às necessidades de abastecimento e manutenção do parque municipal de impressão, preservando as particularidades técnicas de cada grupo.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 Lote 01 concentra os componentes originais e tecnicamente relacionados às Xerox Color C70 Pro.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 Lote 02 reúne os consumíveis utilizados nas demais impressoras, bem como as peças, materiais, ferramentas e equipamentos necessários às atividades de manutenção executadas pela equipe municipal, mantendo o julgamento, a classificação das propostas e a adjudicação individual por item.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contratação possibilita, portanto, continuidade dos serviços de impressão, maior disponibilidade dos equipamentos, padronização dos requisitos técnicos, melhor controle dos estoques, maior autonomia de manutenção, preservação do patrimônio público e utilização mais eficiente dos recursos municipais.</w:t>
      </w:r>
    </w:p>
    <w:p w:rsidR="008D2A52" w:rsidRPr="00F97084" w:rsidRDefault="008D2A52" w:rsidP="00CF6858">
      <w:pPr>
        <w:spacing w:before="240" w:after="0" w:line="240" w:lineRule="auto"/>
        <w:jc w:val="both"/>
        <w:rPr>
          <w:rFonts w:ascii="Bookman Old Style" w:eastAsia="MS Mincho" w:hAnsi="Bookman Old Style" w:cs="Tahoma"/>
          <w:color w:val="FF0000"/>
          <w:sz w:val="20"/>
          <w:szCs w:val="20"/>
          <w:lang w:eastAsia="pt-BR"/>
        </w:rPr>
      </w:pP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b/>
          <w:bCs/>
          <w:sz w:val="20"/>
          <w:szCs w:val="20"/>
          <w:lang w:eastAsia="pt-BR"/>
        </w:rPr>
        <w:t xml:space="preserve">4. REQUISITOS DA CONTRATAÇÃO </w:t>
      </w:r>
      <w:r w:rsidRPr="00F97084">
        <w:rPr>
          <w:rFonts w:ascii="Bookman Old Style" w:eastAsia="Times New Roman" w:hAnsi="Bookman Old Style" w:cs="Times New Roman"/>
          <w:i/>
          <w:iCs/>
          <w:sz w:val="20"/>
          <w:szCs w:val="20"/>
          <w:lang w:eastAsia="pt-BR"/>
        </w:rPr>
        <w:t>(Art. 6º, inciso XXIII, alínea “d”, da Lei nº 14.133/2021)</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contratação deverá observar requisitos mínimos de </w:t>
      </w:r>
      <w:r w:rsidRPr="00F97084">
        <w:rPr>
          <w:rFonts w:ascii="Bookman Old Style" w:eastAsia="Times New Roman" w:hAnsi="Bookman Old Style" w:cs="Times New Roman"/>
          <w:b/>
          <w:bCs/>
          <w:sz w:val="20"/>
          <w:szCs w:val="20"/>
          <w:lang w:eastAsia="pt-BR"/>
        </w:rPr>
        <w:t>qualidade, compatibilidade, procedência, desempenho, segurança, rastreabilidade e garantia</w:t>
      </w:r>
      <w:r w:rsidRPr="00F97084">
        <w:rPr>
          <w:rFonts w:ascii="Bookman Old Style" w:eastAsia="Times New Roman" w:hAnsi="Bookman Old Style" w:cs="Times New Roman"/>
          <w:sz w:val="20"/>
          <w:szCs w:val="20"/>
          <w:lang w:eastAsia="pt-BR"/>
        </w:rPr>
        <w:t>, de acordo com a natureza de cada item e com os equipamentos aos quais os produtos se destinam.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As exigências estabelecidas neste Termo de Referência têm como finalidade assegurar o fornecimento de produtos adequados ao parque municipal de impressão, reduzir riscos de incompatibilidade, evitar a aquisição de materiais usados ou de procedência desconhecida, preservar os equipamentos existentes e garantir condições adequadas para execução das atividades de manutenção pela equipe municipal.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4.1 – Requisitos gerais dos produtos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Todos os materiais, suprimentos, peças, componentes, ferramentas e equipamentos deverão atender às seguintes condições gerais: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ser </w:t>
      </w:r>
      <w:r w:rsidRPr="00F97084">
        <w:rPr>
          <w:rFonts w:ascii="Bookman Old Style" w:eastAsia="Times New Roman" w:hAnsi="Bookman Old Style" w:cs="Times New Roman"/>
          <w:b/>
          <w:bCs/>
          <w:sz w:val="20"/>
          <w:szCs w:val="20"/>
          <w:lang w:eastAsia="pt-BR"/>
        </w:rPr>
        <w:t>novos e de primeiro uso</w:t>
      </w:r>
      <w:r w:rsidRPr="00F97084">
        <w:rPr>
          <w:rFonts w:ascii="Bookman Old Style" w:eastAsia="Times New Roman" w:hAnsi="Bookman Old Style" w:cs="Times New Roman"/>
          <w:sz w:val="20"/>
          <w:szCs w:val="20"/>
          <w:lang w:eastAsia="pt-BR"/>
        </w:rPr>
        <w:t>, salvo disposição expressa em contrário na especificação individual do item;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não apresentar sinais de utilização anterior, desgaste, reparo, recuperação ou adulteração;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atender integralmente às características, capacidades, códigos, dimensões, compatibilidades e demais requisitos estabelecidos na descrição individual de cada item;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possuir procedência identificável e condições adequadas de armazenamento, transporte e conservação;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ser entregues em perfeito estado, sem avarias, vazamentos, trincas, deformações, oxidação ou qualquer condição capaz de comprometer seu funcionamento;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quando aplicável, ser fornecidos em embalagem original, íntegra, lacrada e identificada;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g) apresentar, quando pertinente, identificação de marca, fabricante, modelo, linha, referência comercial, lote, </w:t>
      </w:r>
      <w:proofErr w:type="spellStart"/>
      <w:r w:rsidRPr="00F97084">
        <w:rPr>
          <w:rFonts w:ascii="Bookman Old Style" w:eastAsia="Times New Roman" w:hAnsi="Bookman Old Style" w:cs="Times New Roman"/>
          <w:sz w:val="20"/>
          <w:szCs w:val="20"/>
          <w:lang w:eastAsia="pt-BR"/>
        </w:rPr>
        <w:t>part</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number</w:t>
      </w:r>
      <w:proofErr w:type="spellEnd"/>
      <w:r w:rsidRPr="00F97084">
        <w:rPr>
          <w:rFonts w:ascii="Bookman Old Style" w:eastAsia="Times New Roman" w:hAnsi="Bookman Old Style" w:cs="Times New Roman"/>
          <w:sz w:val="20"/>
          <w:szCs w:val="20"/>
          <w:lang w:eastAsia="pt-BR"/>
        </w:rPr>
        <w:t>, capacidade, rendimento e prazo de validade;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h) possuir prazo de validade compatível com o período normal de utilização pela Administração, nos produtos sujeitos a validade;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i) atender às normas, certificações e regulamentações legalmente aplicáveis à respectiva categoria de produto;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j) ser fornecidos completos e prontos para utilização, incluindo os componentes indispensáveis ao funcionamento normal do item.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proposta comercial deverá identificar, sempre que aplicável, </w:t>
      </w:r>
      <w:r w:rsidRPr="00F97084">
        <w:rPr>
          <w:rFonts w:ascii="Bookman Old Style" w:eastAsia="Times New Roman" w:hAnsi="Bookman Old Style" w:cs="Times New Roman"/>
          <w:b/>
          <w:bCs/>
          <w:sz w:val="20"/>
          <w:szCs w:val="20"/>
          <w:lang w:eastAsia="pt-BR"/>
        </w:rPr>
        <w:t>marca, fabricante, modelo, referência e/ou código do produto ofertado</w:t>
      </w:r>
      <w:r w:rsidRPr="00F97084">
        <w:rPr>
          <w:rFonts w:ascii="Bookman Old Style" w:eastAsia="Times New Roman" w:hAnsi="Bookman Old Style" w:cs="Times New Roman"/>
          <w:sz w:val="20"/>
          <w:szCs w:val="20"/>
          <w:lang w:eastAsia="pt-BR"/>
        </w:rPr>
        <w:t>, possibilitando a conferência de sua compatibilidade com as especificações deste Termo de Referência.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Os requisitos gerais de fornecimento de produtos novos, identificados e tecnicamente compatíveis já constavam dos Termos de Referência anteriores utilizados como base para esta contratação. </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4.2 – Requisitos específicos do Lote 01 – Xerox Color C70 Pro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Todos os 21 itens integrantes do </w:t>
      </w:r>
      <w:r w:rsidRPr="00F97084">
        <w:rPr>
          <w:rFonts w:ascii="Bookman Old Style" w:eastAsia="Times New Roman" w:hAnsi="Bookman Old Style" w:cs="Times New Roman"/>
          <w:b/>
          <w:bCs/>
          <w:sz w:val="20"/>
          <w:szCs w:val="20"/>
          <w:lang w:eastAsia="pt-BR"/>
        </w:rPr>
        <w:t>Lote 01</w:t>
      </w:r>
      <w:r w:rsidRPr="00F97084">
        <w:rPr>
          <w:rFonts w:ascii="Bookman Old Style" w:eastAsia="Times New Roman" w:hAnsi="Bookman Old Style" w:cs="Times New Roman"/>
          <w:sz w:val="20"/>
          <w:szCs w:val="20"/>
          <w:lang w:eastAsia="pt-BR"/>
        </w:rPr>
        <w:t xml:space="preserve"> deverão ser:</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w:t>
      </w:r>
      <w:r w:rsidRPr="00F97084">
        <w:rPr>
          <w:rFonts w:ascii="Bookman Old Style" w:eastAsia="Times New Roman" w:hAnsi="Bookman Old Style" w:cs="Times New Roman"/>
          <w:b/>
          <w:bCs/>
          <w:sz w:val="20"/>
          <w:szCs w:val="20"/>
          <w:lang w:eastAsia="pt-BR"/>
        </w:rPr>
        <w:t>originais do fabricante Xerox</w:t>
      </w:r>
      <w:r w:rsidRPr="00F97084">
        <w:rPr>
          <w:rFonts w:ascii="Bookman Old Style" w:eastAsia="Times New Roman" w:hAnsi="Bookman Old Style" w:cs="Times New Roman"/>
          <w:sz w:val="20"/>
          <w:szCs w:val="20"/>
          <w:lang w:eastAsia="pt-BR"/>
        </w:rPr>
        <w:t>;</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novos e de primeiro uso;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fornecidos em embalagem original do fabricante, devidamente lacrada e identificada;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integralmente compatíveis com a impressora digital Xerox Color C70 Pro;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e) correspondentes exatamente aos respectivos </w:t>
      </w:r>
      <w:r w:rsidRPr="00F97084">
        <w:rPr>
          <w:rFonts w:ascii="Bookman Old Style" w:eastAsia="Times New Roman" w:hAnsi="Bookman Old Style" w:cs="Times New Roman"/>
          <w:b/>
          <w:bCs/>
          <w:sz w:val="20"/>
          <w:szCs w:val="20"/>
          <w:lang w:eastAsia="pt-BR"/>
        </w:rPr>
        <w:t xml:space="preserve">códigos oficiais de referência – </w:t>
      </w:r>
      <w:proofErr w:type="spellStart"/>
      <w:r w:rsidRPr="00F97084">
        <w:rPr>
          <w:rFonts w:ascii="Bookman Old Style" w:eastAsia="Times New Roman" w:hAnsi="Bookman Old Style" w:cs="Times New Roman"/>
          <w:b/>
          <w:bCs/>
          <w:sz w:val="20"/>
          <w:szCs w:val="20"/>
          <w:lang w:eastAsia="pt-BR"/>
        </w:rPr>
        <w:t>part</w:t>
      </w:r>
      <w:proofErr w:type="spellEnd"/>
      <w:r w:rsidRPr="00F97084">
        <w:rPr>
          <w:rFonts w:ascii="Bookman Old Style" w:eastAsia="Times New Roman" w:hAnsi="Bookman Old Style" w:cs="Times New Roman"/>
          <w:b/>
          <w:bCs/>
          <w:sz w:val="20"/>
          <w:szCs w:val="20"/>
          <w:lang w:eastAsia="pt-BR"/>
        </w:rPr>
        <w:t xml:space="preserve"> </w:t>
      </w:r>
      <w:proofErr w:type="spellStart"/>
      <w:r w:rsidRPr="00F97084">
        <w:rPr>
          <w:rFonts w:ascii="Bookman Old Style" w:eastAsia="Times New Roman" w:hAnsi="Bookman Old Style" w:cs="Times New Roman"/>
          <w:b/>
          <w:bCs/>
          <w:sz w:val="20"/>
          <w:szCs w:val="20"/>
          <w:lang w:eastAsia="pt-BR"/>
        </w:rPr>
        <w:t>numbers</w:t>
      </w:r>
      <w:proofErr w:type="spellEnd"/>
      <w:r w:rsidRPr="00F97084">
        <w:rPr>
          <w:rFonts w:ascii="Bookman Old Style" w:eastAsia="Times New Roman" w:hAnsi="Bookman Old Style" w:cs="Times New Roman"/>
          <w:b/>
          <w:bCs/>
          <w:sz w:val="20"/>
          <w:szCs w:val="20"/>
          <w:lang w:eastAsia="pt-BR"/>
        </w:rPr>
        <w:t xml:space="preserve"> – estabelecidos na relação de itens</w:t>
      </w:r>
      <w:r w:rsidRPr="00F97084">
        <w:rPr>
          <w:rFonts w:ascii="Bookman Old Style" w:eastAsia="Times New Roman" w:hAnsi="Bookman Old Style" w:cs="Times New Roman"/>
          <w:sz w:val="20"/>
          <w:szCs w:val="20"/>
          <w:lang w:eastAsia="pt-BR"/>
        </w:rPr>
        <w:t>;</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f) fornecidos com identificação suficiente para possibilitar a rastreabilidade e a conferência de sua origem;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g) isentos de sinais de utilização anterior, </w:t>
      </w:r>
      <w:proofErr w:type="spellStart"/>
      <w:r w:rsidRPr="00F97084">
        <w:rPr>
          <w:rFonts w:ascii="Bookman Old Style" w:eastAsia="Times New Roman" w:hAnsi="Bookman Old Style" w:cs="Times New Roman"/>
          <w:sz w:val="20"/>
          <w:szCs w:val="20"/>
          <w:lang w:eastAsia="pt-BR"/>
        </w:rPr>
        <w:t>remanufatura</w:t>
      </w:r>
      <w:proofErr w:type="spellEnd"/>
      <w:r w:rsidRPr="00F97084">
        <w:rPr>
          <w:rFonts w:ascii="Bookman Old Style" w:eastAsia="Times New Roman" w:hAnsi="Bookman Old Style" w:cs="Times New Roman"/>
          <w:sz w:val="20"/>
          <w:szCs w:val="20"/>
          <w:lang w:eastAsia="pt-BR"/>
        </w:rPr>
        <w:t>, recondicionamento, recarga ou reaproveitamento.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Não serão aceitos no Lote 01 produtos:</w:t>
      </w:r>
    </w:p>
    <w:p w:rsidR="008D2A52" w:rsidRPr="00F97084" w:rsidRDefault="008D2A52" w:rsidP="00CF6858">
      <w:pPr>
        <w:numPr>
          <w:ilvl w:val="0"/>
          <w:numId w:val="9"/>
        </w:numPr>
        <w:spacing w:before="100" w:beforeAutospacing="1" w:after="100" w:afterAutospacing="1" w:line="240" w:lineRule="auto"/>
        <w:jc w:val="both"/>
        <w:rPr>
          <w:rFonts w:ascii="Bookman Old Style" w:eastAsia="Times New Roman" w:hAnsi="Bookman Old Style" w:cs="Times New Roman"/>
          <w:sz w:val="20"/>
          <w:szCs w:val="20"/>
          <w:lang w:eastAsia="pt-BR"/>
        </w:rPr>
      </w:pPr>
      <w:proofErr w:type="gramStart"/>
      <w:r w:rsidRPr="00F97084">
        <w:rPr>
          <w:rFonts w:ascii="Bookman Old Style" w:eastAsia="Times New Roman" w:hAnsi="Bookman Old Style" w:cs="Times New Roman"/>
          <w:sz w:val="20"/>
          <w:szCs w:val="20"/>
          <w:lang w:eastAsia="pt-BR"/>
        </w:rPr>
        <w:t>compatíveis</w:t>
      </w:r>
      <w:proofErr w:type="gramEnd"/>
      <w:r w:rsidRPr="00F97084">
        <w:rPr>
          <w:rFonts w:ascii="Bookman Old Style" w:eastAsia="Times New Roman" w:hAnsi="Bookman Old Style" w:cs="Times New Roman"/>
          <w:sz w:val="20"/>
          <w:szCs w:val="20"/>
          <w:lang w:eastAsia="pt-BR"/>
        </w:rPr>
        <w:t>;</w:t>
      </w:r>
    </w:p>
    <w:p w:rsidR="008D2A52" w:rsidRPr="00F97084" w:rsidRDefault="008D2A52" w:rsidP="00CF6858">
      <w:pPr>
        <w:numPr>
          <w:ilvl w:val="0"/>
          <w:numId w:val="9"/>
        </w:numPr>
        <w:spacing w:before="100" w:beforeAutospacing="1" w:after="100" w:afterAutospacing="1" w:line="240" w:lineRule="auto"/>
        <w:jc w:val="both"/>
        <w:rPr>
          <w:rFonts w:ascii="Bookman Old Style" w:eastAsia="Times New Roman" w:hAnsi="Bookman Old Style" w:cs="Times New Roman"/>
          <w:sz w:val="20"/>
          <w:szCs w:val="20"/>
          <w:lang w:eastAsia="pt-BR"/>
        </w:rPr>
      </w:pPr>
      <w:proofErr w:type="gramStart"/>
      <w:r w:rsidRPr="00F97084">
        <w:rPr>
          <w:rFonts w:ascii="Bookman Old Style" w:eastAsia="Times New Roman" w:hAnsi="Bookman Old Style" w:cs="Times New Roman"/>
          <w:sz w:val="20"/>
          <w:szCs w:val="20"/>
          <w:lang w:eastAsia="pt-BR"/>
        </w:rPr>
        <w:t>similares</w:t>
      </w:r>
      <w:proofErr w:type="gramEnd"/>
      <w:r w:rsidRPr="00F97084">
        <w:rPr>
          <w:rFonts w:ascii="Bookman Old Style" w:eastAsia="Times New Roman" w:hAnsi="Bookman Old Style" w:cs="Times New Roman"/>
          <w:sz w:val="20"/>
          <w:szCs w:val="20"/>
          <w:lang w:eastAsia="pt-BR"/>
        </w:rPr>
        <w:t>;</w:t>
      </w:r>
    </w:p>
    <w:p w:rsidR="008D2A52" w:rsidRPr="00F97084" w:rsidRDefault="008D2A52" w:rsidP="00CF6858">
      <w:pPr>
        <w:numPr>
          <w:ilvl w:val="0"/>
          <w:numId w:val="9"/>
        </w:numPr>
        <w:spacing w:before="100" w:beforeAutospacing="1" w:after="100" w:afterAutospacing="1" w:line="240" w:lineRule="auto"/>
        <w:jc w:val="both"/>
        <w:rPr>
          <w:rFonts w:ascii="Bookman Old Style" w:eastAsia="Times New Roman" w:hAnsi="Bookman Old Style" w:cs="Times New Roman"/>
          <w:sz w:val="20"/>
          <w:szCs w:val="20"/>
          <w:lang w:eastAsia="pt-BR"/>
        </w:rPr>
      </w:pPr>
      <w:proofErr w:type="spellStart"/>
      <w:proofErr w:type="gramStart"/>
      <w:r w:rsidRPr="00F97084">
        <w:rPr>
          <w:rFonts w:ascii="Bookman Old Style" w:eastAsia="Times New Roman" w:hAnsi="Bookman Old Style" w:cs="Times New Roman"/>
          <w:sz w:val="20"/>
          <w:szCs w:val="20"/>
          <w:lang w:eastAsia="pt-BR"/>
        </w:rPr>
        <w:t>remanufaturados</w:t>
      </w:r>
      <w:proofErr w:type="spellEnd"/>
      <w:proofErr w:type="gramEnd"/>
      <w:r w:rsidRPr="00F97084">
        <w:rPr>
          <w:rFonts w:ascii="Bookman Old Style" w:eastAsia="Times New Roman" w:hAnsi="Bookman Old Style" w:cs="Times New Roman"/>
          <w:sz w:val="20"/>
          <w:szCs w:val="20"/>
          <w:lang w:eastAsia="pt-BR"/>
        </w:rPr>
        <w:t>;</w:t>
      </w:r>
    </w:p>
    <w:p w:rsidR="008D2A52" w:rsidRPr="00F97084" w:rsidRDefault="008D2A52" w:rsidP="00CF6858">
      <w:pPr>
        <w:numPr>
          <w:ilvl w:val="0"/>
          <w:numId w:val="9"/>
        </w:numPr>
        <w:spacing w:before="100" w:beforeAutospacing="1" w:after="100" w:afterAutospacing="1" w:line="240" w:lineRule="auto"/>
        <w:jc w:val="both"/>
        <w:rPr>
          <w:rFonts w:ascii="Bookman Old Style" w:eastAsia="Times New Roman" w:hAnsi="Bookman Old Style" w:cs="Times New Roman"/>
          <w:sz w:val="20"/>
          <w:szCs w:val="20"/>
          <w:lang w:eastAsia="pt-BR"/>
        </w:rPr>
      </w:pPr>
      <w:proofErr w:type="gramStart"/>
      <w:r w:rsidRPr="00F97084">
        <w:rPr>
          <w:rFonts w:ascii="Bookman Old Style" w:eastAsia="Times New Roman" w:hAnsi="Bookman Old Style" w:cs="Times New Roman"/>
          <w:sz w:val="20"/>
          <w:szCs w:val="20"/>
          <w:lang w:eastAsia="pt-BR"/>
        </w:rPr>
        <w:t>recondicionados</w:t>
      </w:r>
      <w:proofErr w:type="gramEnd"/>
      <w:r w:rsidRPr="00F97084">
        <w:rPr>
          <w:rFonts w:ascii="Bookman Old Style" w:eastAsia="Times New Roman" w:hAnsi="Bookman Old Style" w:cs="Times New Roman"/>
          <w:sz w:val="20"/>
          <w:szCs w:val="20"/>
          <w:lang w:eastAsia="pt-BR"/>
        </w:rPr>
        <w:t>;</w:t>
      </w:r>
    </w:p>
    <w:p w:rsidR="008D2A52" w:rsidRPr="00F97084" w:rsidRDefault="008D2A52" w:rsidP="00CF6858">
      <w:pPr>
        <w:numPr>
          <w:ilvl w:val="0"/>
          <w:numId w:val="9"/>
        </w:numPr>
        <w:spacing w:before="100" w:beforeAutospacing="1" w:after="100" w:afterAutospacing="1" w:line="240" w:lineRule="auto"/>
        <w:jc w:val="both"/>
        <w:rPr>
          <w:rFonts w:ascii="Bookman Old Style" w:eastAsia="Times New Roman" w:hAnsi="Bookman Old Style" w:cs="Times New Roman"/>
          <w:sz w:val="20"/>
          <w:szCs w:val="20"/>
          <w:lang w:eastAsia="pt-BR"/>
        </w:rPr>
      </w:pPr>
      <w:proofErr w:type="gramStart"/>
      <w:r w:rsidRPr="00F97084">
        <w:rPr>
          <w:rFonts w:ascii="Bookman Old Style" w:eastAsia="Times New Roman" w:hAnsi="Bookman Old Style" w:cs="Times New Roman"/>
          <w:sz w:val="20"/>
          <w:szCs w:val="20"/>
          <w:lang w:eastAsia="pt-BR"/>
        </w:rPr>
        <w:t>reciclados</w:t>
      </w:r>
      <w:proofErr w:type="gramEnd"/>
      <w:r w:rsidRPr="00F97084">
        <w:rPr>
          <w:rFonts w:ascii="Bookman Old Style" w:eastAsia="Times New Roman" w:hAnsi="Bookman Old Style" w:cs="Times New Roman"/>
          <w:sz w:val="20"/>
          <w:szCs w:val="20"/>
          <w:lang w:eastAsia="pt-BR"/>
        </w:rPr>
        <w:t>;</w:t>
      </w:r>
    </w:p>
    <w:p w:rsidR="008D2A52" w:rsidRPr="00F97084" w:rsidRDefault="008D2A52" w:rsidP="00CF6858">
      <w:pPr>
        <w:numPr>
          <w:ilvl w:val="0"/>
          <w:numId w:val="9"/>
        </w:numPr>
        <w:spacing w:before="100" w:beforeAutospacing="1" w:after="100" w:afterAutospacing="1" w:line="240" w:lineRule="auto"/>
        <w:jc w:val="both"/>
        <w:rPr>
          <w:rFonts w:ascii="Bookman Old Style" w:eastAsia="Times New Roman" w:hAnsi="Bookman Old Style" w:cs="Times New Roman"/>
          <w:sz w:val="20"/>
          <w:szCs w:val="20"/>
          <w:lang w:eastAsia="pt-BR"/>
        </w:rPr>
      </w:pPr>
      <w:proofErr w:type="gramStart"/>
      <w:r w:rsidRPr="00F97084">
        <w:rPr>
          <w:rFonts w:ascii="Bookman Old Style" w:eastAsia="Times New Roman" w:hAnsi="Bookman Old Style" w:cs="Times New Roman"/>
          <w:sz w:val="20"/>
          <w:szCs w:val="20"/>
          <w:lang w:eastAsia="pt-BR"/>
        </w:rPr>
        <w:t>recarregados</w:t>
      </w:r>
      <w:proofErr w:type="gramEnd"/>
      <w:r w:rsidRPr="00F97084">
        <w:rPr>
          <w:rFonts w:ascii="Bookman Old Style" w:eastAsia="Times New Roman" w:hAnsi="Bookman Old Style" w:cs="Times New Roman"/>
          <w:sz w:val="20"/>
          <w:szCs w:val="20"/>
          <w:lang w:eastAsia="pt-BR"/>
        </w:rPr>
        <w:t>;</w:t>
      </w:r>
    </w:p>
    <w:p w:rsidR="008D2A52" w:rsidRPr="00F97084" w:rsidRDefault="008D2A52" w:rsidP="00CF6858">
      <w:pPr>
        <w:numPr>
          <w:ilvl w:val="0"/>
          <w:numId w:val="9"/>
        </w:numPr>
        <w:spacing w:before="100" w:beforeAutospacing="1" w:after="100" w:afterAutospacing="1" w:line="240" w:lineRule="auto"/>
        <w:jc w:val="both"/>
        <w:rPr>
          <w:rFonts w:ascii="Bookman Old Style" w:eastAsia="Times New Roman" w:hAnsi="Bookman Old Style" w:cs="Times New Roman"/>
          <w:sz w:val="20"/>
          <w:szCs w:val="20"/>
          <w:lang w:eastAsia="pt-BR"/>
        </w:rPr>
      </w:pPr>
      <w:proofErr w:type="gramStart"/>
      <w:r w:rsidRPr="00F97084">
        <w:rPr>
          <w:rFonts w:ascii="Bookman Old Style" w:eastAsia="Times New Roman" w:hAnsi="Bookman Old Style" w:cs="Times New Roman"/>
          <w:sz w:val="20"/>
          <w:szCs w:val="20"/>
          <w:lang w:eastAsia="pt-BR"/>
        </w:rPr>
        <w:t>recuperados</w:t>
      </w:r>
      <w:proofErr w:type="gramEnd"/>
      <w:r w:rsidRPr="00F97084">
        <w:rPr>
          <w:rFonts w:ascii="Bookman Old Style" w:eastAsia="Times New Roman" w:hAnsi="Bookman Old Style" w:cs="Times New Roman"/>
          <w:sz w:val="20"/>
          <w:szCs w:val="20"/>
          <w:lang w:eastAsia="pt-BR"/>
        </w:rPr>
        <w:t>;</w:t>
      </w:r>
    </w:p>
    <w:p w:rsidR="008D2A52" w:rsidRPr="00F97084" w:rsidRDefault="008D2A52" w:rsidP="00CF6858">
      <w:pPr>
        <w:numPr>
          <w:ilvl w:val="0"/>
          <w:numId w:val="9"/>
        </w:numPr>
        <w:spacing w:before="100" w:beforeAutospacing="1" w:after="100" w:afterAutospacing="1" w:line="240" w:lineRule="auto"/>
        <w:jc w:val="both"/>
        <w:rPr>
          <w:rFonts w:ascii="Bookman Old Style" w:eastAsia="Times New Roman" w:hAnsi="Bookman Old Style" w:cs="Times New Roman"/>
          <w:sz w:val="20"/>
          <w:szCs w:val="20"/>
          <w:lang w:eastAsia="pt-BR"/>
        </w:rPr>
      </w:pPr>
      <w:proofErr w:type="gramStart"/>
      <w:r w:rsidRPr="00F97084">
        <w:rPr>
          <w:rFonts w:ascii="Bookman Old Style" w:eastAsia="Times New Roman" w:hAnsi="Bookman Old Style" w:cs="Times New Roman"/>
          <w:sz w:val="20"/>
          <w:szCs w:val="20"/>
          <w:lang w:eastAsia="pt-BR"/>
        </w:rPr>
        <w:t>produzidos</w:t>
      </w:r>
      <w:proofErr w:type="gramEnd"/>
      <w:r w:rsidRPr="00F97084">
        <w:rPr>
          <w:rFonts w:ascii="Bookman Old Style" w:eastAsia="Times New Roman" w:hAnsi="Bookman Old Style" w:cs="Times New Roman"/>
          <w:sz w:val="20"/>
          <w:szCs w:val="20"/>
          <w:lang w:eastAsia="pt-BR"/>
        </w:rPr>
        <w:t xml:space="preserve"> por fabricante diverso da Xerox.</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exigência de originalidade restringe-se aos itens integrantes desse lote e decorre das características específicas das duas impressoras Xerox Color C70 Pro, da necessidade de compatibilidade entre os componentes, rastreabilidade, confiabilidade operacional, preservação da qualidade de impressão e das condições de garantia aplicáveis aos equipamentos.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Essas exigências já integravam o Termo de Referência específico da Xerox, que estabelecia produtos originais, novos, em embalagem identificada e correspondentes rigorosamente aos códigos de referência. </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4.3 – Comprovação da originalidade dos produtos Xerox</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simples indicação da marca Xerox na proposta não impede a Administração de realizar diligências destinadas à confirmação da originalidade e procedência dos produtos ofertados ou entregues.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Para fins de comprovação poderão ser utilizados, isolada ou conjuntamente, conforme a natureza do item: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catálogo técnico oficial do fabricante;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ficha técnica oficial do produto;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identificação do produto em documentação oficial da Xerox;</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declaração do fabricante ou de distribuidor autorizado;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e) documentação contendo o respectivo </w:t>
      </w:r>
      <w:proofErr w:type="spellStart"/>
      <w:r w:rsidRPr="00F97084">
        <w:rPr>
          <w:rFonts w:ascii="Bookman Old Style" w:eastAsia="Times New Roman" w:hAnsi="Bookman Old Style" w:cs="Times New Roman"/>
          <w:sz w:val="20"/>
          <w:szCs w:val="20"/>
          <w:lang w:eastAsia="pt-BR"/>
        </w:rPr>
        <w:t>part</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number</w:t>
      </w:r>
      <w:proofErr w:type="spellEnd"/>
      <w:r w:rsidRPr="00F97084">
        <w:rPr>
          <w:rFonts w:ascii="Bookman Old Style" w:eastAsia="Times New Roman" w:hAnsi="Bookman Old Style" w:cs="Times New Roman"/>
          <w:sz w:val="20"/>
          <w:szCs w:val="20"/>
          <w:lang w:eastAsia="pt-BR"/>
        </w:rPr>
        <w:t>;</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página ou consulta em canal oficial do fabricante;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g) elementos de identificação, códigos, etiquetas, números de série, selos ou demais informações presentes na embalagem ou no produto;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h) outros documentos idôneos que permitam confirmar a originalidade e a correspondência do item ofertado.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A Administração poderá realizar consulta ao fabricante, representante oficial ou canais oficiais da marca quando houver dúvida quanto à autenticidade, procedência ou correspondência do produto.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Caso não seja possível confirmar o atendimento à exigência de originalidade, ou seja, identificada divergência entre o produto ofertado e o código estabelecido, o item poderá ser recusado.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Termo de Referência anterior já previa catálogo técnico, ficha técnica, declaração do fabricante ou distribuidor autorizado, comprovação do </w:t>
      </w:r>
      <w:proofErr w:type="spellStart"/>
      <w:r w:rsidRPr="00F97084">
        <w:rPr>
          <w:rFonts w:ascii="Bookman Old Style" w:eastAsia="Times New Roman" w:hAnsi="Bookman Old Style" w:cs="Times New Roman"/>
          <w:sz w:val="20"/>
          <w:szCs w:val="20"/>
          <w:lang w:eastAsia="pt-BR"/>
        </w:rPr>
        <w:t>part</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number</w:t>
      </w:r>
      <w:proofErr w:type="spellEnd"/>
      <w:r w:rsidRPr="00F97084">
        <w:rPr>
          <w:rFonts w:ascii="Bookman Old Style" w:eastAsia="Times New Roman" w:hAnsi="Bookman Old Style" w:cs="Times New Roman"/>
          <w:sz w:val="20"/>
          <w:szCs w:val="20"/>
          <w:lang w:eastAsia="pt-BR"/>
        </w:rPr>
        <w:t xml:space="preserve"> e outros documentos idôneos como meios de comprovação da originalidade. </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4.4 – Requisitos específicos das tintas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As tintas destinadas às impressoras jato de tinta deverão ser do tipo </w:t>
      </w:r>
      <w:r w:rsidRPr="00F97084">
        <w:rPr>
          <w:rFonts w:ascii="Bookman Old Style" w:eastAsia="Times New Roman" w:hAnsi="Bookman Old Style" w:cs="Times New Roman"/>
          <w:b/>
          <w:bCs/>
          <w:sz w:val="20"/>
          <w:szCs w:val="20"/>
          <w:lang w:eastAsia="pt-BR"/>
        </w:rPr>
        <w:t xml:space="preserve">corante – </w:t>
      </w:r>
      <w:proofErr w:type="spellStart"/>
      <w:r w:rsidRPr="00F97084">
        <w:rPr>
          <w:rFonts w:ascii="Bookman Old Style" w:eastAsia="Times New Roman" w:hAnsi="Bookman Old Style" w:cs="Times New Roman"/>
          <w:b/>
          <w:bCs/>
          <w:sz w:val="20"/>
          <w:szCs w:val="20"/>
          <w:lang w:eastAsia="pt-BR"/>
        </w:rPr>
        <w:t>Dye</w:t>
      </w:r>
      <w:proofErr w:type="spellEnd"/>
      <w:r w:rsidRPr="00F97084">
        <w:rPr>
          <w:rFonts w:ascii="Bookman Old Style" w:eastAsia="Times New Roman" w:hAnsi="Bookman Old Style" w:cs="Times New Roman"/>
          <w:b/>
          <w:bCs/>
          <w:sz w:val="20"/>
          <w:szCs w:val="20"/>
          <w:lang w:eastAsia="pt-BR"/>
        </w:rPr>
        <w:t>, base água</w:t>
      </w:r>
      <w:r w:rsidRPr="00F97084">
        <w:rPr>
          <w:rFonts w:ascii="Bookman Old Style" w:eastAsia="Times New Roman" w:hAnsi="Bookman Old Style" w:cs="Times New Roman"/>
          <w:sz w:val="20"/>
          <w:szCs w:val="20"/>
          <w:lang w:eastAsia="pt-BR"/>
        </w:rPr>
        <w:t xml:space="preserve">, adequadas a sistemas de impressão com cabeçotes </w:t>
      </w:r>
      <w:proofErr w:type="spellStart"/>
      <w:r w:rsidRPr="00F97084">
        <w:rPr>
          <w:rFonts w:ascii="Bookman Old Style" w:eastAsia="Times New Roman" w:hAnsi="Bookman Old Style" w:cs="Times New Roman"/>
          <w:sz w:val="20"/>
          <w:szCs w:val="20"/>
          <w:lang w:eastAsia="pt-BR"/>
        </w:rPr>
        <w:t>piezoelétricos</w:t>
      </w:r>
      <w:proofErr w:type="spellEnd"/>
      <w:r w:rsidRPr="00F97084">
        <w:rPr>
          <w:rFonts w:ascii="Bookman Old Style" w:eastAsia="Times New Roman" w:hAnsi="Bookman Old Style" w:cs="Times New Roman"/>
          <w:sz w:val="20"/>
          <w:szCs w:val="20"/>
          <w:lang w:eastAsia="pt-BR"/>
        </w:rPr>
        <w:t xml:space="preserve"> e atender integralmente às características estabelecidas na descrição dos respectivos itens.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Adota-se a linha </w:t>
      </w:r>
      <w:proofErr w:type="spellStart"/>
      <w:r w:rsidRPr="00F97084">
        <w:rPr>
          <w:rFonts w:ascii="Bookman Old Style" w:eastAsia="Times New Roman" w:hAnsi="Bookman Old Style" w:cs="Times New Roman"/>
          <w:b/>
          <w:bCs/>
          <w:sz w:val="20"/>
          <w:szCs w:val="20"/>
          <w:lang w:eastAsia="pt-BR"/>
        </w:rPr>
        <w:t>InkTec</w:t>
      </w:r>
      <w:proofErr w:type="spellEnd"/>
      <w:r w:rsidRPr="00F97084">
        <w:rPr>
          <w:rFonts w:ascii="Bookman Old Style" w:eastAsia="Times New Roman" w:hAnsi="Bookman Old Style" w:cs="Times New Roman"/>
          <w:b/>
          <w:bCs/>
          <w:sz w:val="20"/>
          <w:szCs w:val="20"/>
          <w:lang w:eastAsia="pt-BR"/>
        </w:rPr>
        <w:t xml:space="preserve"> </w:t>
      </w:r>
      <w:proofErr w:type="spellStart"/>
      <w:r w:rsidRPr="00F97084">
        <w:rPr>
          <w:rFonts w:ascii="Bookman Old Style" w:eastAsia="Times New Roman" w:hAnsi="Bookman Old Style" w:cs="Times New Roman"/>
          <w:b/>
          <w:bCs/>
          <w:sz w:val="20"/>
          <w:szCs w:val="20"/>
          <w:lang w:eastAsia="pt-BR"/>
        </w:rPr>
        <w:t>Profeel</w:t>
      </w:r>
      <w:proofErr w:type="spellEnd"/>
      <w:r w:rsidRPr="00F97084">
        <w:rPr>
          <w:rFonts w:ascii="Bookman Old Style" w:eastAsia="Times New Roman" w:hAnsi="Bookman Old Style" w:cs="Times New Roman"/>
          <w:b/>
          <w:bCs/>
          <w:sz w:val="20"/>
          <w:szCs w:val="20"/>
          <w:lang w:eastAsia="pt-BR"/>
        </w:rPr>
        <w:t xml:space="preserve"> E0017 como referência técnica de qualidade e desempenho</w:t>
      </w:r>
      <w:r w:rsidRPr="00F97084">
        <w:rPr>
          <w:rFonts w:ascii="Bookman Old Style" w:eastAsia="Times New Roman" w:hAnsi="Bookman Old Style" w:cs="Times New Roman"/>
          <w:sz w:val="20"/>
          <w:szCs w:val="20"/>
          <w:lang w:eastAsia="pt-BR"/>
        </w:rPr>
        <w:t>, sendo admitido produto equivalente, similar ou superior que apresente características adequadas à finalidade pretendida.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referência indicada não constitui exigência exclusiva de marca, mas estabelece o padrão técnico conhecido pela Administração.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Não serão aceitas tintas comercializadas simplesmente como </w:t>
      </w:r>
      <w:r w:rsidRPr="00F97084">
        <w:rPr>
          <w:rFonts w:ascii="Bookman Old Style" w:eastAsia="Times New Roman" w:hAnsi="Bookman Old Style" w:cs="Times New Roman"/>
          <w:b/>
          <w:bCs/>
          <w:sz w:val="20"/>
          <w:szCs w:val="20"/>
          <w:lang w:eastAsia="pt-BR"/>
        </w:rPr>
        <w:t>“universais” ou “genéricas”</w:t>
      </w:r>
      <w:r w:rsidRPr="00F97084">
        <w:rPr>
          <w:rFonts w:ascii="Bookman Old Style" w:eastAsia="Times New Roman" w:hAnsi="Bookman Old Style" w:cs="Times New Roman"/>
          <w:sz w:val="20"/>
          <w:szCs w:val="20"/>
          <w:lang w:eastAsia="pt-BR"/>
        </w:rPr>
        <w:t>, sem identificação clara do fabricante, linha, referência, procedência e características técnicas.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As tintas deverão apresentar:</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homogeneidade adequada;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estabilidade da formulação;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ausência de sedimentação anormal;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ausência de partículas, resíduos ou separações visíveis incompatíveis com o produto;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fluidez adequada ao sistema de alimentação e aos cabeçotes;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embalagem lacrada e devidamente identificada;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g) identificação de fabricante, marca ou linha, referência, lote e demais informações disponíveis de rastreabilidade;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h) prazo de validade compatível com a utilização prevista.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Quando ofertado produto diferente da referência técnica indicada, a Administração poderá solicitar documentação que demonstre sua adequação, incluindo ficha técnica, Ficha de Dados de Segurança – FDS, catálogo do fabricante ou importador ou outro documento tecnicamente idôneo.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TR anterior já estabelecia a </w:t>
      </w:r>
      <w:proofErr w:type="spellStart"/>
      <w:r w:rsidRPr="00F97084">
        <w:rPr>
          <w:rFonts w:ascii="Bookman Old Style" w:eastAsia="Times New Roman" w:hAnsi="Bookman Old Style" w:cs="Times New Roman"/>
          <w:sz w:val="20"/>
          <w:szCs w:val="20"/>
          <w:lang w:eastAsia="pt-BR"/>
        </w:rPr>
        <w:t>InkTec</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Profeel</w:t>
      </w:r>
      <w:proofErr w:type="spellEnd"/>
      <w:r w:rsidRPr="00F97084">
        <w:rPr>
          <w:rFonts w:ascii="Bookman Old Style" w:eastAsia="Times New Roman" w:hAnsi="Bookman Old Style" w:cs="Times New Roman"/>
          <w:sz w:val="20"/>
          <w:szCs w:val="20"/>
          <w:lang w:eastAsia="pt-BR"/>
        </w:rPr>
        <w:t xml:space="preserve"> E0017 como referência, admitia equivalente/similar/superior e vedava tinta universal sem identificação de fabricante e procedência. </w:t>
      </w:r>
    </w:p>
    <w:p w:rsidR="008D2A52" w:rsidRPr="00F97084" w:rsidRDefault="008D2A52" w:rsidP="00CF6858">
      <w:pPr>
        <w:spacing w:before="100" w:beforeAutospacing="1" w:after="100" w:afterAutospacing="1" w:line="240" w:lineRule="auto"/>
        <w:jc w:val="both"/>
        <w:outlineLvl w:val="2"/>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lastRenderedPageBreak/>
        <w:t>4.4.1 – Avaliação técnica das tintas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Quando existir dúvida tecnicamente fundamentada quanto à equivalência ou adequação de produto ofertado em marca diversa da referência, a Administração poderá realizar avaliação técnica do material.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avaliação poderá considerar:</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identificação e procedência;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documentação técnica;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homogeneidade;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ausência de sedimentação anormal;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comportamento durante o abastecimento;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fluidez;</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g) qualidade e estabilidade da impressão;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h) funcionamento regular do equipamento durante o teste.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eventual solicitação de amostra deverá ser formalizada, com identificação do item e dos critérios utilizados para sua avaliação.</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4.5 – Requisitos dos cartuchos de toner compatíveis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Os cartuchos de toner compatíveis destinados às impressoras Brother, HP e Samsung deverão apresentar compatibilidade integral com os equipamentos indicados na especificação de cada item.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Quando especificado toner compatível, o produto deverá ser:</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novo;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de primeiro uso;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fornecido completo;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destinado especificamente ao modelo ou família de equipamentos indicada;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pronto para instalação e utilização;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livre de vazamentos ou dispersão anormal de pó;</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g) capaz de proporcionar funcionamento regular sem causar manchas, riscos, falhas recorrentes ou outros defeitos atribuíveis ao suprimento.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Não serão aceitos, quando a especificação exigir produto novo, cartuchos: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simplesmente recarregados;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 xml:space="preserve">b) </w:t>
      </w:r>
      <w:proofErr w:type="spellStart"/>
      <w:r w:rsidRPr="00F97084">
        <w:rPr>
          <w:rFonts w:ascii="Bookman Old Style" w:eastAsia="Times New Roman" w:hAnsi="Bookman Old Style" w:cs="Times New Roman"/>
          <w:sz w:val="20"/>
          <w:szCs w:val="20"/>
          <w:lang w:eastAsia="pt-BR"/>
        </w:rPr>
        <w:t>remanufaturados</w:t>
      </w:r>
      <w:proofErr w:type="spellEnd"/>
      <w:r w:rsidRPr="00F97084">
        <w:rPr>
          <w:rFonts w:ascii="Bookman Old Style" w:eastAsia="Times New Roman" w:hAnsi="Bookman Old Style" w:cs="Times New Roman"/>
          <w:sz w:val="20"/>
          <w:szCs w:val="20"/>
          <w:lang w:eastAsia="pt-BR"/>
        </w:rPr>
        <w:t>;</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recondicionados;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recuperados;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fabricados mediante simples reutilização de carcaça ou componentes provenientes de cartucho anteriormente utilizado.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TR anterior já estabelecia que os toners compatíveis deveriam ser novos, de primeiro uso e não provenientes de simples recarga, </w:t>
      </w:r>
      <w:proofErr w:type="spellStart"/>
      <w:r w:rsidRPr="00F97084">
        <w:rPr>
          <w:rFonts w:ascii="Bookman Old Style" w:eastAsia="Times New Roman" w:hAnsi="Bookman Old Style" w:cs="Times New Roman"/>
          <w:sz w:val="20"/>
          <w:szCs w:val="20"/>
          <w:lang w:eastAsia="pt-BR"/>
        </w:rPr>
        <w:t>remanufatura</w:t>
      </w:r>
      <w:proofErr w:type="spellEnd"/>
      <w:r w:rsidRPr="00F97084">
        <w:rPr>
          <w:rFonts w:ascii="Bookman Old Style" w:eastAsia="Times New Roman" w:hAnsi="Bookman Old Style" w:cs="Times New Roman"/>
          <w:sz w:val="20"/>
          <w:szCs w:val="20"/>
          <w:lang w:eastAsia="pt-BR"/>
        </w:rPr>
        <w:t xml:space="preserve"> ou reaproveitamento de carcaças. </w:t>
      </w:r>
    </w:p>
    <w:p w:rsidR="008D2A52" w:rsidRPr="00F97084" w:rsidRDefault="008D2A52" w:rsidP="00CF6858">
      <w:pPr>
        <w:spacing w:before="100" w:beforeAutospacing="1" w:after="100" w:afterAutospacing="1" w:line="240" w:lineRule="auto"/>
        <w:jc w:val="both"/>
        <w:outlineLvl w:val="2"/>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4.5.1 – Chip e sistema de reconhecimento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Nos modelos que utilizem chip, circuito eletrônico, contador ou outro mecanismo de reconhecimento, o cartucho deverá ser fornecido com o respectivo sistema </w:t>
      </w:r>
      <w:r w:rsidRPr="00F97084">
        <w:rPr>
          <w:rFonts w:ascii="Bookman Old Style" w:eastAsia="Times New Roman" w:hAnsi="Bookman Old Style" w:cs="Times New Roman"/>
          <w:b/>
          <w:bCs/>
          <w:sz w:val="20"/>
          <w:szCs w:val="20"/>
          <w:lang w:eastAsia="pt-BR"/>
        </w:rPr>
        <w:t>novo, devidamente instalado e funcional</w:t>
      </w:r>
      <w:r w:rsidRPr="00F97084">
        <w:rPr>
          <w:rFonts w:ascii="Bookman Old Style" w:eastAsia="Times New Roman" w:hAnsi="Bookman Old Style" w:cs="Times New Roman"/>
          <w:sz w:val="20"/>
          <w:szCs w:val="20"/>
          <w:lang w:eastAsia="pt-BR"/>
        </w:rPr>
        <w:t>, quando aplicável ao modelo.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 produto deverá permitir o reconhecimento e a utilização pelo equipamento sem necessidade de: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transferência de chip do cartucho anteriormente utilizado;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reutilização de circuito eletrônico;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adaptação física;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alteração do equipamento;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intervenção técnica destinada apenas a tornar o suprimento reconhecível.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 chip ou circuito fornecido deverá apresentar compatibilidade com o equipamento e possibilitar seu funcionamento normal nas condições existentes na data do fornecimento.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Essa exigência aplica-se </w:t>
      </w:r>
      <w:r w:rsidRPr="00F97084">
        <w:rPr>
          <w:rFonts w:ascii="Bookman Old Style" w:eastAsia="Times New Roman" w:hAnsi="Bookman Old Style" w:cs="Times New Roman"/>
          <w:b/>
          <w:bCs/>
          <w:sz w:val="20"/>
          <w:szCs w:val="20"/>
          <w:lang w:eastAsia="pt-BR"/>
        </w:rPr>
        <w:t>somente aos modelos que utilizem sistema eletrônico de reconhecimento</w:t>
      </w:r>
      <w:r w:rsidRPr="00F97084">
        <w:rPr>
          <w:rFonts w:ascii="Bookman Old Style" w:eastAsia="Times New Roman" w:hAnsi="Bookman Old Style" w:cs="Times New Roman"/>
          <w:sz w:val="20"/>
          <w:szCs w:val="20"/>
          <w:lang w:eastAsia="pt-BR"/>
        </w:rPr>
        <w:t>, não alcançando cartuchos cuja tecnologia original não empregue esse recurso.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4.6 – Rendimento dos cartuchos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Quando a descrição do item estabelecer rendimento mínimo, o produto fornecido deverá atender ao rendimento indicado, considerado o padrão de medição tecnicamente aplicável ao respectivo produto.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 rendimento declarado deverá estar amparado em informação do fabricante, documentação técnica ou metodologia reconhecida aplicável ao suprimento.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Não será considerado equivalente produto de </w:t>
      </w:r>
      <w:r w:rsidRPr="00F97084">
        <w:rPr>
          <w:rFonts w:ascii="Bookman Old Style" w:eastAsia="Times New Roman" w:hAnsi="Bookman Old Style" w:cs="Times New Roman"/>
          <w:b/>
          <w:bCs/>
          <w:sz w:val="20"/>
          <w:szCs w:val="20"/>
          <w:lang w:eastAsia="pt-BR"/>
        </w:rPr>
        <w:t>capacidade ou rendimento inferior</w:t>
      </w:r>
      <w:r w:rsidRPr="00F97084">
        <w:rPr>
          <w:rFonts w:ascii="Bookman Old Style" w:eastAsia="Times New Roman" w:hAnsi="Bookman Old Style" w:cs="Times New Roman"/>
          <w:sz w:val="20"/>
          <w:szCs w:val="20"/>
          <w:lang w:eastAsia="pt-BR"/>
        </w:rPr>
        <w:t xml:space="preserve"> ao estabelecido para o respectivo item apenas em razão de apresentar menor preço.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exigência de rendimento busca possibilitar comparação adequada entre as propostas e impedir que cartuchos de baixa capacidade sejam considerados equivalentes a produtos de maior rendimento.</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lastRenderedPageBreak/>
        <w:t>4.7 – Cilindros fotocondutores e unidades de imagem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Os cilindros fotocondutores e unidades de imagem deverão ser:</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novos e de primeiro uso;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integralmente compatíveis com os equipamentos indicados;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fornecidos completos e prontos para instalação;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isentos de sinais de desgaste, uso ou recuperação;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mecanicamente e eletronicamente compatíveis com o equipamento, quando aplicável.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Nos modelos em que o cilindro ou unidade de imagem possua chip, contador eletrônico ou sistema próprio de reconhecimento, o produto deverá ser fornecido com o respectivo componente instalado e funcional.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Não serão aceitos cilindros usados, recuperados, recondicionados ou provenientes de reaproveitamento quando especificado produto novo.</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4.8 – Peças e componentes para manutenção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As peças integrantes do Lote 02 deverão ser novas, de primeiro uso e compatíveis com os modelos indicados, observando-se as características mecânicas, elétricas e eletrônicas necessárias à correta instalação e funcionamento.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Não serão aceitas peças: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usadas;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recuperadas;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recondicionadas;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reparadas;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provenientes do desmonte de equipamentos;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com sinais de desgaste ou utilização anterior.</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Os componentes deverão apresentar integridade estrutural, encaixes adequados e ausência de oxidação, trincas, deformações, rompimentos, danos em terminais ou qualquer condição capaz de comprometer sua instalação ou funcionamento.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Para cabeçotes, cabos flat, sensores, </w:t>
      </w:r>
      <w:proofErr w:type="spellStart"/>
      <w:r w:rsidRPr="00F97084">
        <w:rPr>
          <w:rFonts w:ascii="Bookman Old Style" w:eastAsia="Times New Roman" w:hAnsi="Bookman Old Style" w:cs="Times New Roman"/>
          <w:sz w:val="20"/>
          <w:szCs w:val="20"/>
          <w:lang w:eastAsia="pt-BR"/>
        </w:rPr>
        <w:t>dampers</w:t>
      </w:r>
      <w:proofErr w:type="spellEnd"/>
      <w:r w:rsidRPr="00F97084">
        <w:rPr>
          <w:rFonts w:ascii="Bookman Old Style" w:eastAsia="Times New Roman" w:hAnsi="Bookman Old Style" w:cs="Times New Roman"/>
          <w:sz w:val="20"/>
          <w:szCs w:val="20"/>
          <w:lang w:eastAsia="pt-BR"/>
        </w:rPr>
        <w:t xml:space="preserve">, reservatórios, roletes, fitas </w:t>
      </w:r>
      <w:proofErr w:type="spellStart"/>
      <w:r w:rsidRPr="00F97084">
        <w:rPr>
          <w:rFonts w:ascii="Bookman Old Style" w:eastAsia="Times New Roman" w:hAnsi="Bookman Old Style" w:cs="Times New Roman"/>
          <w:sz w:val="20"/>
          <w:szCs w:val="20"/>
          <w:lang w:eastAsia="pt-BR"/>
        </w:rPr>
        <w:t>encoder</w:t>
      </w:r>
      <w:proofErr w:type="spellEnd"/>
      <w:r w:rsidRPr="00F97084">
        <w:rPr>
          <w:rFonts w:ascii="Bookman Old Style" w:eastAsia="Times New Roman" w:hAnsi="Bookman Old Style" w:cs="Times New Roman"/>
          <w:sz w:val="20"/>
          <w:szCs w:val="20"/>
          <w:lang w:eastAsia="pt-BR"/>
        </w:rPr>
        <w:t xml:space="preserve"> e demais componentes, a compatibilidade deverá corresponder exatamente aos modelos indicados na descrição do item.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TR anterior também exigia peças novas e compatibilidade mecânica, elétrica e eletrônica com os equipamentos especificados. </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 xml:space="preserve">4.9 – Produtos, ferramentas e equipamentos destinados à manutenção </w:t>
      </w:r>
      <w:proofErr w:type="gramStart"/>
      <w:r w:rsidRPr="00F97084">
        <w:rPr>
          <w:rFonts w:ascii="Bookman Old Style" w:eastAsia="Times New Roman" w:hAnsi="Bookman Old Style" w:cs="Times New Roman"/>
          <w:b/>
          <w:bCs/>
          <w:sz w:val="20"/>
          <w:szCs w:val="20"/>
          <w:lang w:eastAsia="pt-BR"/>
        </w:rPr>
        <w:t>técnica</w:t>
      </w:r>
      <w:proofErr w:type="gramEnd"/>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 xml:space="preserve">A solução destinada à limpeza de cabeçotes deverá ser adequada a sistemas de impressão jato de tinta com tecnologia </w:t>
      </w:r>
      <w:proofErr w:type="spellStart"/>
      <w:r w:rsidRPr="00F97084">
        <w:rPr>
          <w:rFonts w:ascii="Bookman Old Style" w:eastAsia="Times New Roman" w:hAnsi="Bookman Old Style" w:cs="Times New Roman"/>
          <w:sz w:val="20"/>
          <w:szCs w:val="20"/>
          <w:lang w:eastAsia="pt-BR"/>
        </w:rPr>
        <w:t>piezoelétrica</w:t>
      </w:r>
      <w:proofErr w:type="spellEnd"/>
      <w:r w:rsidRPr="00F97084">
        <w:rPr>
          <w:rFonts w:ascii="Bookman Old Style" w:eastAsia="Times New Roman" w:hAnsi="Bookman Old Style" w:cs="Times New Roman"/>
          <w:sz w:val="20"/>
          <w:szCs w:val="20"/>
          <w:lang w:eastAsia="pt-BR"/>
        </w:rPr>
        <w:t xml:space="preserve"> e não poderá apresentar características incompatíveis com os materiais e componentes dos equipamentos aos quais se destina.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w:t>
      </w:r>
      <w:r w:rsidRPr="00F97084">
        <w:rPr>
          <w:rFonts w:ascii="Bookman Old Style" w:eastAsia="Times New Roman" w:hAnsi="Bookman Old Style" w:cs="Times New Roman"/>
          <w:b/>
          <w:bCs/>
          <w:sz w:val="20"/>
          <w:szCs w:val="20"/>
          <w:lang w:eastAsia="pt-BR"/>
        </w:rPr>
        <w:t>aspirador técnico para pó de toner</w:t>
      </w:r>
      <w:r w:rsidRPr="00F97084">
        <w:rPr>
          <w:rFonts w:ascii="Bookman Old Style" w:eastAsia="Times New Roman" w:hAnsi="Bookman Old Style" w:cs="Times New Roman"/>
          <w:sz w:val="20"/>
          <w:szCs w:val="20"/>
          <w:lang w:eastAsia="pt-BR"/>
        </w:rPr>
        <w:t xml:space="preserve"> deverá possuir sistema de filtragem apropriado à retenção de partículas finas e características adequadas à utilização em manutenção de impressoras a laser, não sendo aceito aspirador doméstico comum sem indicação técnica compatível com essa finalidade.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w:t>
      </w:r>
      <w:r w:rsidRPr="00F97084">
        <w:rPr>
          <w:rFonts w:ascii="Bookman Old Style" w:eastAsia="Times New Roman" w:hAnsi="Bookman Old Style" w:cs="Times New Roman"/>
          <w:b/>
          <w:bCs/>
          <w:sz w:val="20"/>
          <w:szCs w:val="20"/>
          <w:lang w:eastAsia="pt-BR"/>
        </w:rPr>
        <w:t>bomba de sucção a vácuo</w:t>
      </w:r>
      <w:r w:rsidRPr="00F97084">
        <w:rPr>
          <w:rFonts w:ascii="Bookman Old Style" w:eastAsia="Times New Roman" w:hAnsi="Bookman Old Style" w:cs="Times New Roman"/>
          <w:sz w:val="20"/>
          <w:szCs w:val="20"/>
          <w:lang w:eastAsia="pt-BR"/>
        </w:rPr>
        <w:t xml:space="preserve"> deverá apresentar os recursos estabelecidos na especificação individual do item e ser adequada aos procedimentos de bancada previstos.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etiquetadora, a fita flexível de identificação, os reservatórios de teste, mangueiras e demais materiais integrantes do Lote 02 deverão atender integralmente às dimensões, características e compatibilidades descritas nos respectivos itens.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Esses requisitos de utilização técnica específica também já integravam o TR anterior dos materiais de manutenção. </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4.10 – Comprovação das especificações técnicas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Administração poderá solicitar, durante a análise da proposta, diligência ou recebimento dos materiais, documentação suficiente para comprovação do atendimento às especificações.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Constituem meios possíveis de comprovação: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catálogo oficial;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ficha técnica;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manual do fabricante;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documentação do fabricante ou importador;</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Ficha de Dados de Segurança – FDS, quando aplicável;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f) código de referência ou </w:t>
      </w:r>
      <w:proofErr w:type="spellStart"/>
      <w:r w:rsidRPr="00F97084">
        <w:rPr>
          <w:rFonts w:ascii="Bookman Old Style" w:eastAsia="Times New Roman" w:hAnsi="Bookman Old Style" w:cs="Times New Roman"/>
          <w:sz w:val="20"/>
          <w:szCs w:val="20"/>
          <w:lang w:eastAsia="pt-BR"/>
        </w:rPr>
        <w:t>part</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number</w:t>
      </w:r>
      <w:proofErr w:type="spellEnd"/>
      <w:r w:rsidRPr="00F97084">
        <w:rPr>
          <w:rFonts w:ascii="Bookman Old Style" w:eastAsia="Times New Roman" w:hAnsi="Bookman Old Style" w:cs="Times New Roman"/>
          <w:sz w:val="20"/>
          <w:szCs w:val="20"/>
          <w:lang w:eastAsia="pt-BR"/>
        </w:rPr>
        <w:t>;</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g) página oficial do fabricante;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h) declaração tecnicamente idônea do fabricante ou distribuidor, quando pertinente;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i) fotografias e informações técnicas acompanhadas de elementos que permitam identificar inequivocamente o produto;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j) outros documentos adequados à comprovação das características exigidas.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documentação apresentada deverá permitir relacionar de maneira inequívoca o produto ofertado às características exigidas neste Termo de Referência.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ausência de informação suficiente, quando solicitada em diligência e necessária à confirmação do atendimento da especificação, poderá resultar na recusa da proposta ou do produto, conforme o estágio do procedimento.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 xml:space="preserve">O Termo de Referência anterior já previa catálogo, ficha técnica, manual, declaração do fabricante ou importador, FDS e </w:t>
      </w:r>
      <w:proofErr w:type="spellStart"/>
      <w:r w:rsidRPr="00F97084">
        <w:rPr>
          <w:rFonts w:ascii="Bookman Old Style" w:eastAsia="Times New Roman" w:hAnsi="Bookman Old Style" w:cs="Times New Roman"/>
          <w:sz w:val="20"/>
          <w:szCs w:val="20"/>
          <w:lang w:eastAsia="pt-BR"/>
        </w:rPr>
        <w:t>part</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number</w:t>
      </w:r>
      <w:proofErr w:type="spellEnd"/>
      <w:r w:rsidRPr="00F97084">
        <w:rPr>
          <w:rFonts w:ascii="Bookman Old Style" w:eastAsia="Times New Roman" w:hAnsi="Bookman Old Style" w:cs="Times New Roman"/>
          <w:sz w:val="20"/>
          <w:szCs w:val="20"/>
          <w:lang w:eastAsia="pt-BR"/>
        </w:rPr>
        <w:t xml:space="preserve"> entre os meios de comprovação. </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4.11 – Garantia dos produtos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Os materiais fornecidos deverão possuir </w:t>
      </w:r>
      <w:r w:rsidRPr="00F97084">
        <w:rPr>
          <w:rFonts w:ascii="Bookman Old Style" w:eastAsia="Times New Roman" w:hAnsi="Bookman Old Style" w:cs="Times New Roman"/>
          <w:b/>
          <w:bCs/>
          <w:sz w:val="20"/>
          <w:szCs w:val="20"/>
          <w:lang w:eastAsia="pt-BR"/>
        </w:rPr>
        <w:t>garantia legal contra vícios e defeitos</w:t>
      </w:r>
      <w:r w:rsidRPr="00F97084">
        <w:rPr>
          <w:rFonts w:ascii="Bookman Old Style" w:eastAsia="Times New Roman" w:hAnsi="Bookman Old Style" w:cs="Times New Roman"/>
          <w:sz w:val="20"/>
          <w:szCs w:val="20"/>
          <w:lang w:eastAsia="pt-BR"/>
        </w:rPr>
        <w:t>, sem prejuízo de eventual garantia comercial oferecida pelo fabricante ou fornecedor.</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Quando houver garantia comercial superior à garantia legal, prevalecerá a condição mais favorável à Administração.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Durante o período de garantia, a contratada permanecerá responsável pelos produtos fornecidos que apresentarem defeitos de fabricação, vícios, falhas ou incompatibilidades atribuíveis ao material.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garantia não será afastada em razão do recebimento definitivo quando se tratar de vício oculto ou problema cuja identificação somente seja possível durante a utilização do produto.</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4.12 – Recusa e substituição dos produtos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Serão recusados os produtos que apresentarem, entre outras situações: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divergência em relação à especificação contratada;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marca, modelo ou código diferente do ofertado ou contratado;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incompatibilidade com o equipamento indicado;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d) sinais de uso, recuperação, </w:t>
      </w:r>
      <w:proofErr w:type="spellStart"/>
      <w:r w:rsidRPr="00F97084">
        <w:rPr>
          <w:rFonts w:ascii="Bookman Old Style" w:eastAsia="Times New Roman" w:hAnsi="Bookman Old Style" w:cs="Times New Roman"/>
          <w:sz w:val="20"/>
          <w:szCs w:val="20"/>
          <w:lang w:eastAsia="pt-BR"/>
        </w:rPr>
        <w:t>remanufatura</w:t>
      </w:r>
      <w:proofErr w:type="spellEnd"/>
      <w:r w:rsidRPr="00F97084">
        <w:rPr>
          <w:rFonts w:ascii="Bookman Old Style" w:eastAsia="Times New Roman" w:hAnsi="Bookman Old Style" w:cs="Times New Roman"/>
          <w:sz w:val="20"/>
          <w:szCs w:val="20"/>
          <w:lang w:eastAsia="pt-BR"/>
        </w:rPr>
        <w:t xml:space="preserve"> ou recondicionamento quando exigido produto novo;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embalagem violada ou inadequada, quando exigida embalagem original;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defeito de fabricação;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g) avaria;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h) vazamento;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i) prazo de validade inadequado;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j) falha de reconhecimento eletrônico atribuível ao suprimento;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k) rendimento ou capacidade inferior ao exigido;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l) ausência de componentes necessários à utilização;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m) impossibilidade de comprovação da originalidade nos itens do Lote 01;</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n) </w:t>
      </w:r>
      <w:proofErr w:type="spellStart"/>
      <w:r w:rsidRPr="00F97084">
        <w:rPr>
          <w:rFonts w:ascii="Bookman Old Style" w:eastAsia="Times New Roman" w:hAnsi="Bookman Old Style" w:cs="Times New Roman"/>
          <w:sz w:val="20"/>
          <w:szCs w:val="20"/>
          <w:lang w:eastAsia="pt-BR"/>
        </w:rPr>
        <w:t>part</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number</w:t>
      </w:r>
      <w:proofErr w:type="spellEnd"/>
      <w:r w:rsidRPr="00F97084">
        <w:rPr>
          <w:rFonts w:ascii="Bookman Old Style" w:eastAsia="Times New Roman" w:hAnsi="Bookman Old Style" w:cs="Times New Roman"/>
          <w:sz w:val="20"/>
          <w:szCs w:val="20"/>
          <w:lang w:eastAsia="pt-BR"/>
        </w:rPr>
        <w:t xml:space="preserve"> divergente do estabelecido para os produtos Xerox;</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 qualquer outra desconformidade que impeça sua utilização adequada.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 xml:space="preserve">A contratada deverá promover a substituição integral do item recusado </w:t>
      </w:r>
      <w:r w:rsidRPr="00F97084">
        <w:rPr>
          <w:rFonts w:ascii="Bookman Old Style" w:eastAsia="Times New Roman" w:hAnsi="Bookman Old Style" w:cs="Times New Roman"/>
          <w:b/>
          <w:bCs/>
          <w:sz w:val="20"/>
          <w:szCs w:val="20"/>
          <w:lang w:eastAsia="pt-BR"/>
        </w:rPr>
        <w:t>no prazo máximo de 05 (cinco) dias úteis</w:t>
      </w:r>
      <w:r w:rsidRPr="00F97084">
        <w:rPr>
          <w:rFonts w:ascii="Bookman Old Style" w:eastAsia="Times New Roman" w:hAnsi="Bookman Old Style" w:cs="Times New Roman"/>
          <w:sz w:val="20"/>
          <w:szCs w:val="20"/>
          <w:lang w:eastAsia="pt-BR"/>
        </w:rPr>
        <w:t>, contados da comunicação formal da Administração, sem qualquer ônus adicional.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Todas as despesas relacionadas à coleta do produto recusado, transporte e entrega do material substituto serão de responsabilidade da contratada.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prazo de cinco dias úteis para substituição e a responsabilidade integral da contratada já constavam do Termo de Referência anterior da Xerox. </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4.13 – Sustentabilidade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contratada deverá observar a legislação ambiental aplicável às suas atividades e ao fornecimento dos produtos.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Sempre que disponível e aplicável, deverão ser utilizados mecanismos de </w:t>
      </w:r>
      <w:r w:rsidRPr="00F97084">
        <w:rPr>
          <w:rFonts w:ascii="Bookman Old Style" w:eastAsia="Times New Roman" w:hAnsi="Bookman Old Style" w:cs="Times New Roman"/>
          <w:b/>
          <w:bCs/>
          <w:sz w:val="20"/>
          <w:szCs w:val="20"/>
          <w:lang w:eastAsia="pt-BR"/>
        </w:rPr>
        <w:t>logística reversa</w:t>
      </w:r>
      <w:r w:rsidRPr="00F97084">
        <w:rPr>
          <w:rFonts w:ascii="Bookman Old Style" w:eastAsia="Times New Roman" w:hAnsi="Bookman Old Style" w:cs="Times New Roman"/>
          <w:sz w:val="20"/>
          <w:szCs w:val="20"/>
          <w:lang w:eastAsia="pt-BR"/>
        </w:rPr>
        <w:t xml:space="preserve"> para cartuchos, toners, cilindros, unidades de imagem, componentes eletrônicos, embalagens e demais materiais sujeitos a destinação específica.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As embalagens deverão ser compatíveis com a proteção necessária ao produto, evitando-se materiais de acondicionamento excessivos sem função relacionada à conservação ou segurança do item.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Administração promoverá a destinação adequada dos materiais inservíveis conforme os procedimentos municipais e a legislação pertinente, em consonância com as diretrizes ambientais já previstas nos documentos anteriores. </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b/>
          <w:bCs/>
          <w:sz w:val="20"/>
          <w:szCs w:val="20"/>
          <w:lang w:eastAsia="pt-BR"/>
        </w:rPr>
        <w:t xml:space="preserve">5. MODELO DE EXECUÇÃO DO OBJETO </w:t>
      </w:r>
      <w:r w:rsidRPr="00F97084">
        <w:rPr>
          <w:rFonts w:ascii="Bookman Old Style" w:eastAsia="Times New Roman" w:hAnsi="Bookman Old Style" w:cs="Times New Roman"/>
          <w:i/>
          <w:iCs/>
          <w:sz w:val="20"/>
          <w:szCs w:val="20"/>
          <w:lang w:eastAsia="pt-BR"/>
        </w:rPr>
        <w:t>(Art. 6º, inciso XXIII, alínea “e”, da Lei nº 14.133/2021)</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execução do objeto ocorrerá mediante o fornecimento dos produtos constantes neste Termo de Referência, de acordo com as necessidades da Administração e mediante emissão de </w:t>
      </w:r>
      <w:r w:rsidRPr="00F97084">
        <w:rPr>
          <w:rFonts w:ascii="Bookman Old Style" w:eastAsia="Times New Roman" w:hAnsi="Bookman Old Style" w:cs="Times New Roman"/>
          <w:b/>
          <w:bCs/>
          <w:sz w:val="20"/>
          <w:szCs w:val="20"/>
          <w:lang w:eastAsia="pt-BR"/>
        </w:rPr>
        <w:t>Ordem de Compra, Nota de Empenho ou instrumento equivalente</w:t>
      </w:r>
      <w:r w:rsidRPr="00F97084">
        <w:rPr>
          <w:rFonts w:ascii="Bookman Old Style" w:eastAsia="Times New Roman" w:hAnsi="Bookman Old Style" w:cs="Times New Roman"/>
          <w:sz w:val="20"/>
          <w:szCs w:val="20"/>
          <w:lang w:eastAsia="pt-BR"/>
        </w:rPr>
        <w:t>, observados os quantitativos contratados, as especificações técnicas e as demais condições estabelecidas.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 fornecimento ocorrerá de forma parcelada durante a vigência da contratação, conforme a demanda efetiva das Secretarias, Departamentos e unidades municipais, não havendo obrigatoriedade de aquisição simultânea da totalidade dos quantitativos contratados.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No </w:t>
      </w:r>
      <w:r w:rsidRPr="00F97084">
        <w:rPr>
          <w:rFonts w:ascii="Bookman Old Style" w:eastAsia="Times New Roman" w:hAnsi="Bookman Old Style" w:cs="Times New Roman"/>
          <w:b/>
          <w:bCs/>
          <w:sz w:val="20"/>
          <w:szCs w:val="20"/>
          <w:lang w:eastAsia="pt-BR"/>
        </w:rPr>
        <w:t>Lote 01</w:t>
      </w:r>
      <w:r w:rsidRPr="00F97084">
        <w:rPr>
          <w:rFonts w:ascii="Bookman Old Style" w:eastAsia="Times New Roman" w:hAnsi="Bookman Old Style" w:cs="Times New Roman"/>
          <w:sz w:val="20"/>
          <w:szCs w:val="20"/>
          <w:lang w:eastAsia="pt-BR"/>
        </w:rPr>
        <w:t>, embora o julgamento e a adjudicação ocorram pelo menor preço global do lote e um único fornecedor seja responsável pelo conjunto, a Administração poderá solicitar os diferentes componentes Xerox em momentos e quantidades distintas, de acordo com o consumo, desgaste e necessidade de manutenção das duas impressoras Xerox Color C70 Pro.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No </w:t>
      </w:r>
      <w:r w:rsidRPr="00F97084">
        <w:rPr>
          <w:rFonts w:ascii="Bookman Old Style" w:eastAsia="Times New Roman" w:hAnsi="Bookman Old Style" w:cs="Times New Roman"/>
          <w:b/>
          <w:bCs/>
          <w:sz w:val="20"/>
          <w:szCs w:val="20"/>
          <w:lang w:eastAsia="pt-BR"/>
        </w:rPr>
        <w:t>Lote 02</w:t>
      </w:r>
      <w:r w:rsidRPr="00F97084">
        <w:rPr>
          <w:rFonts w:ascii="Bookman Old Style" w:eastAsia="Times New Roman" w:hAnsi="Bookman Old Style" w:cs="Times New Roman"/>
          <w:sz w:val="20"/>
          <w:szCs w:val="20"/>
          <w:lang w:eastAsia="pt-BR"/>
        </w:rPr>
        <w:t>, as solicitações ocorrerão individualmente conforme os itens adjudicados a cada fornecedor.</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5.1 – Prazo de entrega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contratada deverá realizar a entrega dos produtos no prazo máximo de </w:t>
      </w:r>
      <w:r w:rsidRPr="00F97084">
        <w:rPr>
          <w:rFonts w:ascii="Bookman Old Style" w:eastAsia="Times New Roman" w:hAnsi="Bookman Old Style" w:cs="Times New Roman"/>
          <w:b/>
          <w:bCs/>
          <w:sz w:val="20"/>
          <w:szCs w:val="20"/>
          <w:lang w:eastAsia="pt-BR"/>
        </w:rPr>
        <w:t>10 (dez) dias úteis</w:t>
      </w:r>
      <w:r w:rsidRPr="00F97084">
        <w:rPr>
          <w:rFonts w:ascii="Bookman Old Style" w:eastAsia="Times New Roman" w:hAnsi="Bookman Old Style" w:cs="Times New Roman"/>
          <w:sz w:val="20"/>
          <w:szCs w:val="20"/>
          <w:lang w:eastAsia="pt-BR"/>
        </w:rPr>
        <w:t>, contados do recebimento da Ordem de Compra, Nota de Empenho ou instrumento equivalente.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 prazo de 10 (dez) dias úteis já era adotado nos Termos de Referência anteriores tanto para os suprimentos Xerox quanto para os demais materiais de impressão.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Eventual impossibilidade de cumprimento do prazo deverá ser comunicada formalmente à Administração antes de seu vencimento, acompanhada de justificativa, ficando qualquer prorrogação condicionada à análise e autorização do setor competente.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comunicação da contratada, por si só, não implica prorrogação automática do prazo.</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5.2 – Local e horário de entrega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Os produtos deverão ser entregues na </w:t>
      </w:r>
      <w:r w:rsidRPr="00F97084">
        <w:rPr>
          <w:rFonts w:ascii="Bookman Old Style" w:eastAsia="Times New Roman" w:hAnsi="Bookman Old Style" w:cs="Times New Roman"/>
          <w:b/>
          <w:bCs/>
          <w:sz w:val="20"/>
          <w:szCs w:val="20"/>
          <w:lang w:eastAsia="pt-BR"/>
        </w:rPr>
        <w:t>Secretaria Municipal de Educação, Cultura e Esportes de Santo Antônio do Sudoeste – PR</w:t>
      </w:r>
      <w:r w:rsidRPr="00F97084">
        <w:rPr>
          <w:rFonts w:ascii="Bookman Old Style" w:eastAsia="Times New Roman" w:hAnsi="Bookman Old Style" w:cs="Times New Roman"/>
          <w:sz w:val="20"/>
          <w:szCs w:val="20"/>
          <w:lang w:eastAsia="pt-BR"/>
        </w:rPr>
        <w:t>, ou em outro local expressamente indicado pela Administração na respectiva Ordem de Compra.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As entregas deverão ocorrer em dias úteis, durante o horário normal de expediente do setor responsável pelo recebimento, salvo ajuste prévio entre a contratada e a Administração.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 local indicado para entrega deverá constar da respectiva Ordem de Compra ou instrumento equivalente, permitindo o direcionamento dos materiais de acordo com a unidade responsável pelo recebimento e controle.</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5.3 – Condições de entrega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Os produtos deverão ser entregues: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nas quantidades efetivamente solicitadas pela Administração;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dentro do prazo estabelecido;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em perfeito estado de conservação e funcionamento;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adequadamente acondicionados e protegidos contra danos durante o transporte;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em embalagem original do fabricante, quando exigido ou aplicável;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acompanhados da respectiva Nota Fiscal;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g) identificados com marca, fabricante, modelo, referência, código ou </w:t>
      </w:r>
      <w:proofErr w:type="spellStart"/>
      <w:r w:rsidRPr="00F97084">
        <w:rPr>
          <w:rFonts w:ascii="Bookman Old Style" w:eastAsia="Times New Roman" w:hAnsi="Bookman Old Style" w:cs="Times New Roman"/>
          <w:sz w:val="20"/>
          <w:szCs w:val="20"/>
          <w:lang w:eastAsia="pt-BR"/>
        </w:rPr>
        <w:t>part</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number</w:t>
      </w:r>
      <w:proofErr w:type="spellEnd"/>
      <w:r w:rsidRPr="00F97084">
        <w:rPr>
          <w:rFonts w:ascii="Bookman Old Style" w:eastAsia="Times New Roman" w:hAnsi="Bookman Old Style" w:cs="Times New Roman"/>
          <w:sz w:val="20"/>
          <w:szCs w:val="20"/>
          <w:lang w:eastAsia="pt-BR"/>
        </w:rPr>
        <w:t>, quando aplicável;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h) acompanhados dos acessórios, componentes, documentação técnica e demais elementos previstos na especificação de cada item;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i) em condições que permitam sua conferência e rastreabilidade.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Nota Fiscal deverá apresentar informações suficientes para relacionar os produtos entregues à respectiva Ordem de Compra, indicando descrição, quantidade e demais elementos necessários à conferência.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Todas as despesas relativas a </w:t>
      </w:r>
      <w:r w:rsidRPr="00F97084">
        <w:rPr>
          <w:rFonts w:ascii="Bookman Old Style" w:eastAsia="Times New Roman" w:hAnsi="Bookman Old Style" w:cs="Times New Roman"/>
          <w:b/>
          <w:bCs/>
          <w:sz w:val="20"/>
          <w:szCs w:val="20"/>
          <w:lang w:eastAsia="pt-BR"/>
        </w:rPr>
        <w:t>transporte, frete, carga, descarga, seguros, tributos, encargos e demais custos necessários à entrega</w:t>
      </w:r>
      <w:r w:rsidRPr="00F97084">
        <w:rPr>
          <w:rFonts w:ascii="Bookman Old Style" w:eastAsia="Times New Roman" w:hAnsi="Bookman Old Style" w:cs="Times New Roman"/>
          <w:sz w:val="20"/>
          <w:szCs w:val="20"/>
          <w:lang w:eastAsia="pt-BR"/>
        </w:rPr>
        <w:t xml:space="preserve"> serão de responsabilidade exclusiva da contratada, não cabendo cobrança adicional à Administração. Essas condições também constavam dos modelos de execução das contratações anteriores. </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Não será admitida entrega parcial da quantidade solicitada de determinado item sem prévia autorização da Administração.</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5.4 – Fornecimento do Lote 01 – Xerox Color C70 Pro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empresa vencedora do Lote 01 será responsável pelo fornecimento de todos os 21 itens que integram o lote durante o período da contratação.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As Ordens de Compra poderão contemplar um ou mais componentes do lote, de acordo com a necessidade efetiva das duas impressoras Xerox Color C70 Pro.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Os produtos deverão corresponder exatamente aos </w:t>
      </w:r>
      <w:proofErr w:type="spellStart"/>
      <w:r w:rsidRPr="00F97084">
        <w:rPr>
          <w:rFonts w:ascii="Bookman Old Style" w:eastAsia="Times New Roman" w:hAnsi="Bookman Old Style" w:cs="Times New Roman"/>
          <w:b/>
          <w:bCs/>
          <w:sz w:val="20"/>
          <w:szCs w:val="20"/>
          <w:lang w:eastAsia="pt-BR"/>
        </w:rPr>
        <w:t>part</w:t>
      </w:r>
      <w:proofErr w:type="spellEnd"/>
      <w:r w:rsidRPr="00F97084">
        <w:rPr>
          <w:rFonts w:ascii="Bookman Old Style" w:eastAsia="Times New Roman" w:hAnsi="Bookman Old Style" w:cs="Times New Roman"/>
          <w:b/>
          <w:bCs/>
          <w:sz w:val="20"/>
          <w:szCs w:val="20"/>
          <w:lang w:eastAsia="pt-BR"/>
        </w:rPr>
        <w:t xml:space="preserve"> </w:t>
      </w:r>
      <w:proofErr w:type="spellStart"/>
      <w:r w:rsidRPr="00F97084">
        <w:rPr>
          <w:rFonts w:ascii="Bookman Old Style" w:eastAsia="Times New Roman" w:hAnsi="Bookman Old Style" w:cs="Times New Roman"/>
          <w:b/>
          <w:bCs/>
          <w:sz w:val="20"/>
          <w:szCs w:val="20"/>
          <w:lang w:eastAsia="pt-BR"/>
        </w:rPr>
        <w:t>numbers</w:t>
      </w:r>
      <w:proofErr w:type="spellEnd"/>
      <w:r w:rsidRPr="00F97084">
        <w:rPr>
          <w:rFonts w:ascii="Bookman Old Style" w:eastAsia="Times New Roman" w:hAnsi="Bookman Old Style" w:cs="Times New Roman"/>
          <w:b/>
          <w:bCs/>
          <w:sz w:val="20"/>
          <w:szCs w:val="20"/>
          <w:lang w:eastAsia="pt-BR"/>
        </w:rPr>
        <w:t xml:space="preserve"> especificados</w:t>
      </w:r>
      <w:r w:rsidRPr="00F97084">
        <w:rPr>
          <w:rFonts w:ascii="Bookman Old Style" w:eastAsia="Times New Roman" w:hAnsi="Bookman Old Style" w:cs="Times New Roman"/>
          <w:sz w:val="20"/>
          <w:szCs w:val="20"/>
          <w:lang w:eastAsia="pt-BR"/>
        </w:rPr>
        <w:t>, ser originais Xerox, novos e de primeiro uso e apresentar embalagem original devidamente identificada.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entrega de produto com código diverso somente será aceita quando houver comprovação oficial do próprio fabricante Xerox de que ocorreu substituição, atualização ou alteração do código e que o novo produto é integralmente correspondente e compatível com a referência contratada, ficando sua aceitação condicionada à análise técnica da Administração.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contratada não poderá substituir unilateralmente o produto por item compatível, similar ou de outro fabricante.</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5.5 – Recebimento provisório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 recebimento provisório ocorrerá no ato da entrega, mediante conferência inicial pelo servidor ou setor responsável, abrangendo, no mínimo: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quantidade entregue;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correspondência com a Ordem de Compra e Nota Fiscal;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integridade das embalagens;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existência de danos aparentes;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identificação do produto;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marca e fabricante;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g) modelo, código ou </w:t>
      </w:r>
      <w:proofErr w:type="spellStart"/>
      <w:r w:rsidRPr="00F97084">
        <w:rPr>
          <w:rFonts w:ascii="Bookman Old Style" w:eastAsia="Times New Roman" w:hAnsi="Bookman Old Style" w:cs="Times New Roman"/>
          <w:sz w:val="20"/>
          <w:szCs w:val="20"/>
          <w:lang w:eastAsia="pt-BR"/>
        </w:rPr>
        <w:t>part</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number</w:t>
      </w:r>
      <w:proofErr w:type="spellEnd"/>
      <w:r w:rsidRPr="00F97084">
        <w:rPr>
          <w:rFonts w:ascii="Bookman Old Style" w:eastAsia="Times New Roman" w:hAnsi="Bookman Old Style" w:cs="Times New Roman"/>
          <w:sz w:val="20"/>
          <w:szCs w:val="20"/>
          <w:lang w:eastAsia="pt-BR"/>
        </w:rPr>
        <w:t>, quando aplicável;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h) presença dos acessórios ou componentes exigidos.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recebimento provisório </w:t>
      </w:r>
      <w:r w:rsidRPr="00F97084">
        <w:rPr>
          <w:rFonts w:ascii="Bookman Old Style" w:eastAsia="Times New Roman" w:hAnsi="Bookman Old Style" w:cs="Times New Roman"/>
          <w:b/>
          <w:bCs/>
          <w:sz w:val="20"/>
          <w:szCs w:val="20"/>
          <w:lang w:eastAsia="pt-BR"/>
        </w:rPr>
        <w:t>não representa aceitação definitiva</w:t>
      </w:r>
      <w:r w:rsidRPr="00F97084">
        <w:rPr>
          <w:rFonts w:ascii="Bookman Old Style" w:eastAsia="Times New Roman" w:hAnsi="Bookman Old Style" w:cs="Times New Roman"/>
          <w:sz w:val="20"/>
          <w:szCs w:val="20"/>
          <w:lang w:eastAsia="pt-BR"/>
        </w:rPr>
        <w:t xml:space="preserve"> dos produtos e não impede posterior conferência técnica, realização de diligências, testes de compatibilidade ou recusa de materiais que apresentem irregularidades não identificadas no momento da entrega.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Essa sistemática de recebimento provisório e posterior conferência técnica já era utilizada nos Termos de Referência anteriores. </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5.6 – Recebimento definitivo e conferência técnica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O recebimento definitivo ocorrerá após a verificação da conformidade dos produtos com as especificações deste Termo de Referência e com a proposta aceita.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análise poderá abranger, conforme a natureza do item: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marca e fabricante;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modelo e referência comercial;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c) código ou </w:t>
      </w:r>
      <w:proofErr w:type="spellStart"/>
      <w:r w:rsidRPr="00F97084">
        <w:rPr>
          <w:rFonts w:ascii="Bookman Old Style" w:eastAsia="Times New Roman" w:hAnsi="Bookman Old Style" w:cs="Times New Roman"/>
          <w:sz w:val="20"/>
          <w:szCs w:val="20"/>
          <w:lang w:eastAsia="pt-BR"/>
        </w:rPr>
        <w:t>part</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number</w:t>
      </w:r>
      <w:proofErr w:type="spellEnd"/>
      <w:r w:rsidRPr="00F97084">
        <w:rPr>
          <w:rFonts w:ascii="Bookman Old Style" w:eastAsia="Times New Roman" w:hAnsi="Bookman Old Style" w:cs="Times New Roman"/>
          <w:sz w:val="20"/>
          <w:szCs w:val="20"/>
          <w:lang w:eastAsia="pt-BR"/>
        </w:rPr>
        <w:t>;</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condição de produto novo e de primeiro uso;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integridade e identificação da embalagem;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procedência;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g) compatibilidade com o equipamento indicado;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h) características técnicas;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i) rendimento ou capacidade, quando estabelecidos;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j) presença e funcionamento do chip ou sistema de reconhecimento, quando aplicável;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k) funcionamento ou instalação do produto;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l) originalidade, nos itens do Lote 01.</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Quando a simples inspeção documental ou visual não for suficiente, poderão ser realizados testes de funcionamento ou compatibilidade.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 recebimento definitivo será formalizado mediante conferência e ateste pelo responsável competente.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recebimento definitivo não exclui a responsabilidade da contratada por </w:t>
      </w:r>
      <w:r w:rsidRPr="00F97084">
        <w:rPr>
          <w:rFonts w:ascii="Bookman Old Style" w:eastAsia="Times New Roman" w:hAnsi="Bookman Old Style" w:cs="Times New Roman"/>
          <w:b/>
          <w:bCs/>
          <w:sz w:val="20"/>
          <w:szCs w:val="20"/>
          <w:lang w:eastAsia="pt-BR"/>
        </w:rPr>
        <w:t>vícios ocultos, defeitos de fabricação, incompatibilidades ou desconformidades identificadas posteriormente durante a utilização</w:t>
      </w:r>
      <w:r w:rsidRPr="00F97084">
        <w:rPr>
          <w:rFonts w:ascii="Bookman Old Style" w:eastAsia="Times New Roman" w:hAnsi="Bookman Old Style" w:cs="Times New Roman"/>
          <w:sz w:val="20"/>
          <w:szCs w:val="20"/>
          <w:lang w:eastAsia="pt-BR"/>
        </w:rPr>
        <w:t xml:space="preserve">. </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5.7 – Verificação específica da autenticidade dos produtos Xerox</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Para os produtos integrantes do Lote 01, a Administração poderá realizar diligências destinadas à confirmação da autenticidade e procedência dos materiais.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conferência poderá ser realizada mediante: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verificação dos códigos oficiais – </w:t>
      </w:r>
      <w:proofErr w:type="spellStart"/>
      <w:r w:rsidRPr="00F97084">
        <w:rPr>
          <w:rFonts w:ascii="Bookman Old Style" w:eastAsia="Times New Roman" w:hAnsi="Bookman Old Style" w:cs="Times New Roman"/>
          <w:sz w:val="20"/>
          <w:szCs w:val="20"/>
          <w:lang w:eastAsia="pt-BR"/>
        </w:rPr>
        <w:t>part</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numbers</w:t>
      </w:r>
      <w:proofErr w:type="spellEnd"/>
      <w:r w:rsidRPr="00F97084">
        <w:rPr>
          <w:rFonts w:ascii="Bookman Old Style" w:eastAsia="Times New Roman" w:hAnsi="Bookman Old Style" w:cs="Times New Roman"/>
          <w:sz w:val="20"/>
          <w:szCs w:val="20"/>
          <w:lang w:eastAsia="pt-BR"/>
        </w:rPr>
        <w:t>;</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conferência das embalagens e etiquetas;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análise de elementos de rastreabilidade;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consulta a catálogos e documentação oficial Xerox;</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e) consulta ao fabricante, representante ou canal oficial da marca;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análise de declaração do fabricante ou distribuidor autorizado;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g) outros meios idôneos capazes de confirmar a originalidade.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TR anterior específico da Xerox já previa consulta ao fabricante ou representante oficial e conferência de </w:t>
      </w:r>
      <w:proofErr w:type="spellStart"/>
      <w:r w:rsidRPr="00F97084">
        <w:rPr>
          <w:rFonts w:ascii="Bookman Old Style" w:eastAsia="Times New Roman" w:hAnsi="Bookman Old Style" w:cs="Times New Roman"/>
          <w:sz w:val="20"/>
          <w:szCs w:val="20"/>
          <w:lang w:eastAsia="pt-BR"/>
        </w:rPr>
        <w:t>part</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numbers</w:t>
      </w:r>
      <w:proofErr w:type="spellEnd"/>
      <w:r w:rsidRPr="00F97084">
        <w:rPr>
          <w:rFonts w:ascii="Bookman Old Style" w:eastAsia="Times New Roman" w:hAnsi="Bookman Old Style" w:cs="Times New Roman"/>
          <w:sz w:val="20"/>
          <w:szCs w:val="20"/>
          <w:lang w:eastAsia="pt-BR"/>
        </w:rPr>
        <w:t xml:space="preserve">, etiquetas e demais elementos de identificação. </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Constatada a entrega de produto não original, incompatível ou divergente da referência contratada, o material será recusado e sua substituição será exigida, sem prejuízo das demais providências administrativas cabíveis.</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5.8 – Verificação de conformidade dos produtos do Lote 02</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Nos produtos integrantes do Lote 02, a Administração poderá confrontar o produto recebido com a documentação técnica e com as informações constantes da proposta aceita.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Para as tintas, poderão ser avaliados procedência, fabricante, linha, referência, integridade, características da formulação e, quando necessário, seu comportamento durante a utilização.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Para toners, cilindros e unidades de imagem, poderão ser verificados compatibilidade, rendimento, condição de produto novo, funcionamento, reconhecimento eletrônico e ausência de defeitos relacionados ao suprimento.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Para peças e componentes de manutenção, poderão ser verificados dimensões, conectores, encaixes e compatibilidade mecânica, elétrica ou eletrônica.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Para ferramentas e equipamentos de bancada, poderão ser realizados testes básicos de funcionamento e verificação das características exigidas na especificação.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Administração poderá consultar documentação oficial, catálogo, ficha técnica, manual, FDS, fabricante ou outras fontes técnicas adequadas para confirmar o atendimento aos requisitos. O TR anterior já previa esse tipo de diligência de conformidade. </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5.9 – Recusa dos produtos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Serão recusados, total ou parcialmente, os produtos que: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não correspondam às especificações deste Termo de Referência;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apresentem quantidade divergente da solicitada;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c) apresentem sinais de uso, recuperação, recondicionamento, </w:t>
      </w:r>
      <w:proofErr w:type="spellStart"/>
      <w:r w:rsidRPr="00F97084">
        <w:rPr>
          <w:rFonts w:ascii="Bookman Old Style" w:eastAsia="Times New Roman" w:hAnsi="Bookman Old Style" w:cs="Times New Roman"/>
          <w:sz w:val="20"/>
          <w:szCs w:val="20"/>
          <w:lang w:eastAsia="pt-BR"/>
        </w:rPr>
        <w:t>remanufatura</w:t>
      </w:r>
      <w:proofErr w:type="spellEnd"/>
      <w:r w:rsidRPr="00F97084">
        <w:rPr>
          <w:rFonts w:ascii="Bookman Old Style" w:eastAsia="Times New Roman" w:hAnsi="Bookman Old Style" w:cs="Times New Roman"/>
          <w:sz w:val="20"/>
          <w:szCs w:val="20"/>
          <w:lang w:eastAsia="pt-BR"/>
        </w:rPr>
        <w:t xml:space="preserve"> ou reaproveitamento quando exigido produto novo;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estejam danificados ou com embalagem violada, quando aplicável;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apresentem defeitos, avarias, vazamentos ou danos físicos;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sejam incompatíveis com os equipamentos indicados;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g) apresentem marca, modelo, referência ou código diferente do ofertado ou contratado;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h) não possuam os componentes necessários à utilização;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i) apresentem problemas de reconhecimento atribuíveis ao suprimento;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j) apresentem capacidade ou rendimento inferior ao exigido;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k) não permitam comprovação adequada de suas características técnicas quando solicitada;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l) no Lote 01, não permitam comprovação da originalidade Xerox ou apresentem </w:t>
      </w:r>
      <w:proofErr w:type="spellStart"/>
      <w:r w:rsidRPr="00F97084">
        <w:rPr>
          <w:rFonts w:ascii="Bookman Old Style" w:eastAsia="Times New Roman" w:hAnsi="Bookman Old Style" w:cs="Times New Roman"/>
          <w:sz w:val="20"/>
          <w:szCs w:val="20"/>
          <w:lang w:eastAsia="pt-BR"/>
        </w:rPr>
        <w:t>part</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number</w:t>
      </w:r>
      <w:proofErr w:type="spellEnd"/>
      <w:r w:rsidRPr="00F97084">
        <w:rPr>
          <w:rFonts w:ascii="Bookman Old Style" w:eastAsia="Times New Roman" w:hAnsi="Bookman Old Style" w:cs="Times New Roman"/>
          <w:sz w:val="20"/>
          <w:szCs w:val="20"/>
          <w:lang w:eastAsia="pt-BR"/>
        </w:rPr>
        <w:t xml:space="preserve"> divergente sem documentação oficial que demonstre sua substituição pelo fabricante.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recusa poderá ocorrer no recebimento provisório, durante a conferência técnica ou posteriormente, caso a irregularidade somente se manifeste durante a utilização.</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5.10 – Substituição de produtos recusados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Os produtos recusados deverão ser substituídos pela contratada no prazo máximo de </w:t>
      </w:r>
      <w:r w:rsidRPr="00F97084">
        <w:rPr>
          <w:rFonts w:ascii="Bookman Old Style" w:eastAsia="Times New Roman" w:hAnsi="Bookman Old Style" w:cs="Times New Roman"/>
          <w:b/>
          <w:bCs/>
          <w:sz w:val="20"/>
          <w:szCs w:val="20"/>
          <w:lang w:eastAsia="pt-BR"/>
        </w:rPr>
        <w:t>05 (cinco) dias úteis</w:t>
      </w:r>
      <w:r w:rsidRPr="00F97084">
        <w:rPr>
          <w:rFonts w:ascii="Bookman Old Style" w:eastAsia="Times New Roman" w:hAnsi="Bookman Old Style" w:cs="Times New Roman"/>
          <w:sz w:val="20"/>
          <w:szCs w:val="20"/>
          <w:lang w:eastAsia="pt-BR"/>
        </w:rPr>
        <w:t>, contados do recebimento da comunicação formal da Administração.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substituição deverá ocorrer sem qualquer ônus adicional, incluindo despesas com retirada, transporte, frete, seguro, entrega e demais custos relacionados.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prazo de cinco dias úteis mantém a condição adotada no Termo de Referência específico dos produtos Xerox. </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substituição do produto não afasta eventual aplicação de sanções administrativas quando caracterizado descumprimento das obrigações assumidas.</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5.11 – Garantia durante a execução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contratada responderá pela qualidade e conformidade dos produtos durante o período da garantia legal e da eventual garantia comercial aplicável.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Os itens que apresentarem defeito de fabricação, vício, falha ou incompatibilidade atribuível ao produto deverão ser substituídos ou, quando tecnicamente cabível para equipamentos duráveis, reparados sem custos adicionais para a Administração.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As obrigações relacionadas à garantia permanecem válidas durante o respectivo período, ainda que o defeito seja constatado após o recebimento definitivo.</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5.12 – Responsabilidade pela execução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contratada permanecerá integralmente responsável pela correta execução do fornecimento, inclusive pela qualidade, procedência, transporte, integridade e conformidade dos produtos entregues.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fiscalização ou o recebimento realizado pela Administração não exclui nem reduz a responsabilidade da contratada por vícios, defeitos, irregularidades ou danos decorrentes do fornecimento.</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b/>
          <w:bCs/>
          <w:sz w:val="20"/>
          <w:szCs w:val="20"/>
          <w:lang w:eastAsia="pt-BR"/>
        </w:rPr>
        <w:t xml:space="preserve">6. MODELO DE GESTÃO DO CONTRATO </w:t>
      </w:r>
      <w:r w:rsidRPr="00F97084">
        <w:rPr>
          <w:rFonts w:ascii="Bookman Old Style" w:eastAsia="Times New Roman" w:hAnsi="Bookman Old Style" w:cs="Times New Roman"/>
          <w:i/>
          <w:iCs/>
          <w:sz w:val="20"/>
          <w:szCs w:val="20"/>
          <w:lang w:eastAsia="pt-BR"/>
        </w:rPr>
        <w:t>(Art. 6º, inciso XXIII, alínea “f”, da Lei nº 14.133/2021)</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 xml:space="preserve">A execução da contratação será acompanhada e fiscalizada pela Administração, mediante atuação do </w:t>
      </w:r>
      <w:r w:rsidRPr="00F97084">
        <w:rPr>
          <w:rFonts w:ascii="Bookman Old Style" w:eastAsia="Times New Roman" w:hAnsi="Bookman Old Style" w:cs="Times New Roman"/>
          <w:b/>
          <w:bCs/>
          <w:sz w:val="20"/>
          <w:szCs w:val="20"/>
          <w:lang w:eastAsia="pt-BR"/>
        </w:rPr>
        <w:t>Gestor da Contratação</w:t>
      </w:r>
      <w:r w:rsidRPr="00F97084">
        <w:rPr>
          <w:rFonts w:ascii="Bookman Old Style" w:eastAsia="Times New Roman" w:hAnsi="Bookman Old Style" w:cs="Times New Roman"/>
          <w:sz w:val="20"/>
          <w:szCs w:val="20"/>
          <w:lang w:eastAsia="pt-BR"/>
        </w:rPr>
        <w:t xml:space="preserve"> e do </w:t>
      </w:r>
      <w:r w:rsidRPr="00F97084">
        <w:rPr>
          <w:rFonts w:ascii="Bookman Old Style" w:eastAsia="Times New Roman" w:hAnsi="Bookman Old Style" w:cs="Times New Roman"/>
          <w:b/>
          <w:bCs/>
          <w:sz w:val="20"/>
          <w:szCs w:val="20"/>
          <w:lang w:eastAsia="pt-BR"/>
        </w:rPr>
        <w:t>Fiscal da Contratação</w:t>
      </w:r>
      <w:r w:rsidRPr="00F97084">
        <w:rPr>
          <w:rFonts w:ascii="Bookman Old Style" w:eastAsia="Times New Roman" w:hAnsi="Bookman Old Style" w:cs="Times New Roman"/>
          <w:sz w:val="20"/>
          <w:szCs w:val="20"/>
          <w:lang w:eastAsia="pt-BR"/>
        </w:rPr>
        <w:t>, responsáveis pelo acompanhamento administrativo, técnico e operacional do fornecimento e pela verificação do cumprimento das obrigações assumidas pela contratada.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Para fins deste Termo de Referência, as referências ao contrato compreendem também, quando cabível, a </w:t>
      </w:r>
      <w:r w:rsidRPr="00F97084">
        <w:rPr>
          <w:rFonts w:ascii="Bookman Old Style" w:eastAsia="Times New Roman" w:hAnsi="Bookman Old Style" w:cs="Times New Roman"/>
          <w:b/>
          <w:bCs/>
          <w:sz w:val="20"/>
          <w:szCs w:val="20"/>
          <w:lang w:eastAsia="pt-BR"/>
        </w:rPr>
        <w:t>Nota de Empenho, Ordem de Compra, autorização de fornecimento ou outro instrumento equivalente</w:t>
      </w:r>
      <w:r w:rsidRPr="00F97084">
        <w:rPr>
          <w:rFonts w:ascii="Bookman Old Style" w:eastAsia="Times New Roman" w:hAnsi="Bookman Old Style" w:cs="Times New Roman"/>
          <w:sz w:val="20"/>
          <w:szCs w:val="20"/>
          <w:lang w:eastAsia="pt-BR"/>
        </w:rPr>
        <w:t xml:space="preserve"> utilizado para formalização da contratação.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modelo de gestão adotado segue a sistemática já utilizada nos Termos de Referência anteriores, com acompanhamento de prazos, conferência dos produtos, registro de ocorrências, solicitação de substituições e ateste do recebimento definitivo. </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6.1 – Gestor da Contratação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 xml:space="preserve">Gestor da Contratação: </w:t>
      </w:r>
      <w:r w:rsidRPr="00F97084">
        <w:rPr>
          <w:rFonts w:ascii="Bookman Old Style" w:eastAsia="Yu Mincho" w:hAnsi="Bookman Old Style" w:cs="Cambria"/>
          <w:sz w:val="20"/>
          <w:szCs w:val="20"/>
          <w:lang w:eastAsia="pt-BR"/>
        </w:rPr>
        <w:t xml:space="preserve">Elisandra Schneider </w:t>
      </w:r>
      <w:proofErr w:type="spellStart"/>
      <w:r w:rsidRPr="00F97084">
        <w:rPr>
          <w:rFonts w:ascii="Bookman Old Style" w:eastAsia="Yu Mincho" w:hAnsi="Bookman Old Style" w:cs="Cambria"/>
          <w:sz w:val="20"/>
          <w:szCs w:val="20"/>
          <w:lang w:eastAsia="pt-BR"/>
        </w:rPr>
        <w:t>Tonini</w:t>
      </w:r>
      <w:proofErr w:type="spellEnd"/>
      <w:r w:rsidRPr="00F97084">
        <w:rPr>
          <w:rFonts w:ascii="Bookman Old Style" w:eastAsia="Times New Roman" w:hAnsi="Bookman Old Style" w:cs="Times New Roman"/>
          <w:sz w:val="20"/>
          <w:szCs w:val="20"/>
          <w:lang w:eastAsia="pt-BR"/>
        </w:rPr>
        <w:br/>
      </w:r>
      <w:r w:rsidRPr="00F97084">
        <w:rPr>
          <w:rFonts w:ascii="Bookman Old Style" w:eastAsia="Times New Roman" w:hAnsi="Bookman Old Style" w:cs="Times New Roman"/>
          <w:b/>
          <w:bCs/>
          <w:sz w:val="20"/>
          <w:szCs w:val="20"/>
          <w:lang w:eastAsia="pt-BR"/>
        </w:rPr>
        <w:t xml:space="preserve">Fiscal de Contrato: </w:t>
      </w:r>
      <w:r w:rsidRPr="00F97084">
        <w:rPr>
          <w:rFonts w:ascii="Bookman Old Style" w:eastAsia="Times New Roman" w:hAnsi="Bookman Old Style" w:cs="Times New Roman"/>
          <w:bCs/>
          <w:sz w:val="20"/>
          <w:szCs w:val="20"/>
          <w:lang w:eastAsia="pt-BR"/>
        </w:rPr>
        <w:t>Guilherme Schreiner</w:t>
      </w:r>
      <w:r w:rsidRPr="00F97084">
        <w:rPr>
          <w:rFonts w:ascii="Bookman Old Style" w:eastAsia="Times New Roman" w:hAnsi="Bookman Old Style" w:cs="Times New Roman"/>
          <w:b/>
          <w:bCs/>
          <w:sz w:val="20"/>
          <w:szCs w:val="20"/>
          <w:lang w:eastAsia="pt-BR"/>
        </w:rPr>
        <w:t xml:space="preserve"> </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Compete ao Gestor da Contratação: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acompanhar a execução da contratação em seus aspectos administrativos e operacionais;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acompanhar os prazos de vigência, entrega, substituição, garantia e demais obrigações assumidas pela contratada;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acompanhar a emissão e o atendimento das Ordens de Compra, Notas de Empenho ou instrumentos equivalentes;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promover e manter as comunicações necessárias entre a Administração e a contratada;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acompanhar o cumprimento das condições estabelecidas no Edital, neste Termo de Referência, na proposta aceita e no instrumento de contratação;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coordenar, quando necessário, a atuação do Fiscal da Contratação;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g) acompanhar as ocorrências comunicadas pelo Fiscal;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h) registrar e encaminhar ao setor competente os casos de descumprimento das obrigações assumidas;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i) acompanhar as providências relacionadas à substituição de produtos recusados, defeituosos ou em desconformidade;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j) solicitar a adoção das providências administrativas cabíveis quando constatada irregularidade na execução;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k) acompanhar o cumprimento dos prazos concedidos à contratada para correção das irregularidades;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l) comunicar ao setor competente situações que possam ensejar aplicação de sanções administrativas;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m) acompanhar o encerramento das obrigações decorrentes da contratação, inclusive aquelas relacionadas à garantia dos produtos;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n) adotar as demais providências necessárias ao adequado acompanhamento administrativo da contratação.</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6.2 – Fiscalização da Contratação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fiscalização da execução será exercida por </w:t>
      </w:r>
      <w:r w:rsidRPr="00F97084">
        <w:rPr>
          <w:rFonts w:ascii="Bookman Old Style" w:eastAsia="Times New Roman" w:hAnsi="Bookman Old Style" w:cs="Times New Roman"/>
          <w:b/>
          <w:bCs/>
          <w:sz w:val="20"/>
          <w:szCs w:val="20"/>
          <w:lang w:eastAsia="pt-BR"/>
        </w:rPr>
        <w:t xml:space="preserve">servidor </w:t>
      </w:r>
      <w:r w:rsidRPr="00F97084">
        <w:rPr>
          <w:rFonts w:ascii="Bookman Old Style" w:eastAsia="Times New Roman" w:hAnsi="Bookman Old Style" w:cs="Times New Roman"/>
          <w:bCs/>
          <w:sz w:val="20"/>
          <w:szCs w:val="20"/>
          <w:lang w:eastAsia="pt-BR"/>
        </w:rPr>
        <w:t xml:space="preserve">Guilherme </w:t>
      </w:r>
      <w:proofErr w:type="gramStart"/>
      <w:r w:rsidRPr="00F97084">
        <w:rPr>
          <w:rFonts w:ascii="Bookman Old Style" w:eastAsia="Times New Roman" w:hAnsi="Bookman Old Style" w:cs="Times New Roman"/>
          <w:bCs/>
          <w:sz w:val="20"/>
          <w:szCs w:val="20"/>
          <w:lang w:eastAsia="pt-BR"/>
        </w:rPr>
        <w:t>Schreiner</w:t>
      </w:r>
      <w:r w:rsidRPr="00F97084">
        <w:rPr>
          <w:rFonts w:ascii="Bookman Old Style" w:eastAsia="Times New Roman" w:hAnsi="Bookman Old Style" w:cs="Times New Roman"/>
          <w:b/>
          <w:bCs/>
          <w:sz w:val="20"/>
          <w:szCs w:val="20"/>
          <w:lang w:eastAsia="pt-BR"/>
        </w:rPr>
        <w:t xml:space="preserve"> </w:t>
      </w:r>
      <w:r w:rsidRPr="00F97084">
        <w:rPr>
          <w:rFonts w:ascii="Bookman Old Style" w:eastAsia="Times New Roman" w:hAnsi="Bookman Old Style" w:cs="Times New Roman"/>
          <w:sz w:val="20"/>
          <w:szCs w:val="20"/>
          <w:lang w:eastAsia="pt-BR"/>
        </w:rPr>
        <w:t>,</w:t>
      </w:r>
      <w:proofErr w:type="gramEnd"/>
      <w:r w:rsidRPr="00F97084">
        <w:rPr>
          <w:rFonts w:ascii="Bookman Old Style" w:eastAsia="Times New Roman" w:hAnsi="Bookman Old Style" w:cs="Times New Roman"/>
          <w:sz w:val="20"/>
          <w:szCs w:val="20"/>
          <w:lang w:eastAsia="pt-BR"/>
        </w:rPr>
        <w:t xml:space="preserve"> ao qual compete acompanhar diretamente o fornecimento e verificar a conformidade dos produtos entregues.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Compete ao Fiscal da Contratação: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acompanhar o recebimento dos produtos;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conferir as quantidades entregues e sua correspondência com a Ordem de Compra, Nota de Empenho ou instrumento equivalente;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verificar a integridade das embalagens e as condições físicas dos materiais;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d) conferir marca, fabricante, modelo, linha, referência, código, </w:t>
      </w:r>
      <w:proofErr w:type="spellStart"/>
      <w:r w:rsidRPr="00F97084">
        <w:rPr>
          <w:rFonts w:ascii="Bookman Old Style" w:eastAsia="Times New Roman" w:hAnsi="Bookman Old Style" w:cs="Times New Roman"/>
          <w:sz w:val="20"/>
          <w:szCs w:val="20"/>
          <w:lang w:eastAsia="pt-BR"/>
        </w:rPr>
        <w:t>part</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number</w:t>
      </w:r>
      <w:proofErr w:type="spellEnd"/>
      <w:r w:rsidRPr="00F97084">
        <w:rPr>
          <w:rFonts w:ascii="Bookman Old Style" w:eastAsia="Times New Roman" w:hAnsi="Bookman Old Style" w:cs="Times New Roman"/>
          <w:sz w:val="20"/>
          <w:szCs w:val="20"/>
          <w:lang w:eastAsia="pt-BR"/>
        </w:rPr>
        <w:t>, lote e demais elementos de identificação, quando aplicáveis;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verificar se os produtos entregues correspondem àqueles constantes da proposta aceita;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conferir o atendimento às especificações técnicas estabelecidas neste Termo de Referência;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g) realizar ou acompanhar testes de funcionamento, instalação ou compatibilidade, quando necessários;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h) verificar o atendimento aos requisitos de produto novo e de primeiro uso;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i) solicitar catálogos, fichas técnicas, manuais, FDS ou outros documentos previstos neste Termo de Referência quando necessários à conferência;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j) registrar as irregularidades constatadas durante o recebimento ou utilização dos produtos;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k) rejeitar, total ou parcialmente, materiais entregues em desacordo com as especificações;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l) solicitar a substituição de materiais que apresentem defeitos, avarias, incompatibilidade ou qualquer outra desconformidade;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m) acompanhar os prazos concedidos para substituição dos produtos recusados;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n) comunicar ao Gestor da Contratação as ocorrências que demandem providências administrativas;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 manter registros dos fatos relevantes relacionados à execução;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p) atestar o recebimento definitivo dos produtos que tenham atendido integralmente às condições estabelecidas;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q) atestar a Nota Fiscal para fins de liquidação e pagamento após a confirmação da regular execução do fornecimento.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 xml:space="preserve">Essas atribuições seguem o modelo anteriormente adotado para o acompanhamento das aquisições de suprimentos, que previa conferência de quantidades, especificações técnicas, documentação, rejeição de produtos desconformes e ateste do recebimento definitivo. </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6.3 – Fiscalização específica do Lote 01 – Xerox Color C70 Pro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No </w:t>
      </w:r>
      <w:r w:rsidRPr="00F97084">
        <w:rPr>
          <w:rFonts w:ascii="Bookman Old Style" w:eastAsia="Times New Roman" w:hAnsi="Bookman Old Style" w:cs="Times New Roman"/>
          <w:b/>
          <w:bCs/>
          <w:sz w:val="20"/>
          <w:szCs w:val="20"/>
          <w:lang w:eastAsia="pt-BR"/>
        </w:rPr>
        <w:t>Lote 01</w:t>
      </w:r>
      <w:r w:rsidRPr="00F97084">
        <w:rPr>
          <w:rFonts w:ascii="Bookman Old Style" w:eastAsia="Times New Roman" w:hAnsi="Bookman Old Style" w:cs="Times New Roman"/>
          <w:sz w:val="20"/>
          <w:szCs w:val="20"/>
          <w:lang w:eastAsia="pt-BR"/>
        </w:rPr>
        <w:t>, além das verificações gerais, a fiscalização deverá observar especialmente: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correspondência entre o produto entregue e o respectivo </w:t>
      </w:r>
      <w:proofErr w:type="spellStart"/>
      <w:r w:rsidRPr="00F97084">
        <w:rPr>
          <w:rFonts w:ascii="Bookman Old Style" w:eastAsia="Times New Roman" w:hAnsi="Bookman Old Style" w:cs="Times New Roman"/>
          <w:b/>
          <w:bCs/>
          <w:sz w:val="20"/>
          <w:szCs w:val="20"/>
          <w:lang w:eastAsia="pt-BR"/>
        </w:rPr>
        <w:t>part</w:t>
      </w:r>
      <w:proofErr w:type="spellEnd"/>
      <w:r w:rsidRPr="00F97084">
        <w:rPr>
          <w:rFonts w:ascii="Bookman Old Style" w:eastAsia="Times New Roman" w:hAnsi="Bookman Old Style" w:cs="Times New Roman"/>
          <w:b/>
          <w:bCs/>
          <w:sz w:val="20"/>
          <w:szCs w:val="20"/>
          <w:lang w:eastAsia="pt-BR"/>
        </w:rPr>
        <w:t xml:space="preserve"> </w:t>
      </w:r>
      <w:proofErr w:type="spellStart"/>
      <w:r w:rsidRPr="00F97084">
        <w:rPr>
          <w:rFonts w:ascii="Bookman Old Style" w:eastAsia="Times New Roman" w:hAnsi="Bookman Old Style" w:cs="Times New Roman"/>
          <w:b/>
          <w:bCs/>
          <w:sz w:val="20"/>
          <w:szCs w:val="20"/>
          <w:lang w:eastAsia="pt-BR"/>
        </w:rPr>
        <w:t>number</w:t>
      </w:r>
      <w:proofErr w:type="spellEnd"/>
      <w:r w:rsidRPr="00F97084">
        <w:rPr>
          <w:rFonts w:ascii="Bookman Old Style" w:eastAsia="Times New Roman" w:hAnsi="Bookman Old Style" w:cs="Times New Roman"/>
          <w:sz w:val="20"/>
          <w:szCs w:val="20"/>
          <w:lang w:eastAsia="pt-BR"/>
        </w:rPr>
        <w:t xml:space="preserve"> previsto neste Termo de Referência;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identificação da marca Xerox;</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condição de produto novo e de primeiro uso;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integridade e identificação da embalagem original;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e) ausência de sinais de </w:t>
      </w:r>
      <w:proofErr w:type="spellStart"/>
      <w:r w:rsidRPr="00F97084">
        <w:rPr>
          <w:rFonts w:ascii="Bookman Old Style" w:eastAsia="Times New Roman" w:hAnsi="Bookman Old Style" w:cs="Times New Roman"/>
          <w:sz w:val="20"/>
          <w:szCs w:val="20"/>
          <w:lang w:eastAsia="pt-BR"/>
        </w:rPr>
        <w:t>remanufatura</w:t>
      </w:r>
      <w:proofErr w:type="spellEnd"/>
      <w:r w:rsidRPr="00F97084">
        <w:rPr>
          <w:rFonts w:ascii="Bookman Old Style" w:eastAsia="Times New Roman" w:hAnsi="Bookman Old Style" w:cs="Times New Roman"/>
          <w:sz w:val="20"/>
          <w:szCs w:val="20"/>
          <w:lang w:eastAsia="pt-BR"/>
        </w:rPr>
        <w:t>, recondicionamento, recarga, recuperação ou reutilização;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elementos de rastreabilidade e identificação existentes no produto e na embalagem;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g) autenticidade e procedência do material;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h) correspondência do produto com a documentação técnica apresentada, quando exigida.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Havendo dúvida quanto à originalidade ou procedência, a fiscalização poderá promover diligência por meio de documentação oficial, consulta ao fabricante, representante ou canal oficial da marca e conferência de códigos, etiquetas e demais elementos de identificação.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TR anterior da Xerox já atribuía expressamente à fiscalização a conferência dos </w:t>
      </w:r>
      <w:proofErr w:type="spellStart"/>
      <w:r w:rsidRPr="00F97084">
        <w:rPr>
          <w:rFonts w:ascii="Bookman Old Style" w:eastAsia="Times New Roman" w:hAnsi="Bookman Old Style" w:cs="Times New Roman"/>
          <w:b/>
          <w:bCs/>
          <w:sz w:val="20"/>
          <w:szCs w:val="20"/>
          <w:lang w:eastAsia="pt-BR"/>
        </w:rPr>
        <w:t>part</w:t>
      </w:r>
      <w:proofErr w:type="spellEnd"/>
      <w:r w:rsidRPr="00F97084">
        <w:rPr>
          <w:rFonts w:ascii="Bookman Old Style" w:eastAsia="Times New Roman" w:hAnsi="Bookman Old Style" w:cs="Times New Roman"/>
          <w:b/>
          <w:bCs/>
          <w:sz w:val="20"/>
          <w:szCs w:val="20"/>
          <w:lang w:eastAsia="pt-BR"/>
        </w:rPr>
        <w:t xml:space="preserve"> </w:t>
      </w:r>
      <w:proofErr w:type="spellStart"/>
      <w:r w:rsidRPr="00F97084">
        <w:rPr>
          <w:rFonts w:ascii="Bookman Old Style" w:eastAsia="Times New Roman" w:hAnsi="Bookman Old Style" w:cs="Times New Roman"/>
          <w:b/>
          <w:bCs/>
          <w:sz w:val="20"/>
          <w:szCs w:val="20"/>
          <w:lang w:eastAsia="pt-BR"/>
        </w:rPr>
        <w:t>numbers</w:t>
      </w:r>
      <w:proofErr w:type="spellEnd"/>
      <w:r w:rsidRPr="00F97084">
        <w:rPr>
          <w:rFonts w:ascii="Bookman Old Style" w:eastAsia="Times New Roman" w:hAnsi="Bookman Old Style" w:cs="Times New Roman"/>
          <w:sz w:val="20"/>
          <w:szCs w:val="20"/>
          <w:lang w:eastAsia="pt-BR"/>
        </w:rPr>
        <w:t xml:space="preserve">, etiquetas de autenticidade, embalagens e demais elementos capazes de comprovar a originalidade dos produtos. </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identificação de produto não original, de código divergente ou em desconformidade acarretará sua recusa e a adoção das medidas previstas neste Termo de Referência.</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6.4 – Fiscalização específica do Lote 02</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Para os produtos integrantes do Lote 02, a fiscalização deverá verificar, conforme a natureza de cada item: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fabricante, marca, linha e referência;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compatibilidade com os equipamentos indicados;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condição de produto novo e de primeiro uso;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integridade física e da embalagem;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capacidade ou rendimento, quando especificado;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existência e funcionamento do chip ou sistema de reconhecimento, quando aplicável;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 xml:space="preserve">g) inexistência de sinais de recarga, </w:t>
      </w:r>
      <w:proofErr w:type="spellStart"/>
      <w:r w:rsidRPr="00F97084">
        <w:rPr>
          <w:rFonts w:ascii="Bookman Old Style" w:eastAsia="Times New Roman" w:hAnsi="Bookman Old Style" w:cs="Times New Roman"/>
          <w:sz w:val="20"/>
          <w:szCs w:val="20"/>
          <w:lang w:eastAsia="pt-BR"/>
        </w:rPr>
        <w:t>remanufatura</w:t>
      </w:r>
      <w:proofErr w:type="spellEnd"/>
      <w:r w:rsidRPr="00F97084">
        <w:rPr>
          <w:rFonts w:ascii="Bookman Old Style" w:eastAsia="Times New Roman" w:hAnsi="Bookman Old Style" w:cs="Times New Roman"/>
          <w:sz w:val="20"/>
          <w:szCs w:val="20"/>
          <w:lang w:eastAsia="pt-BR"/>
        </w:rPr>
        <w:t>, recuperação, reparo ou reaproveitamento de componentes quando exigido produto novo;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h) procedência e características técnicas das tintas;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i) correspondência de eventual produto equivalente à referência técnica estabelecida;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j) dimensões, conectores, encaixes e características físicas dos componentes;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k) características mecânicas, elétricas ou eletrônicas, quando aplicável;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l) funcionamento de ferramentas e equipamentos de bancada;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m) adequação dos produtos à finalidade de manutenção técnica prevista na especificação;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n) comportamento e funcionamento do produto quando submetido a teste.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No caso das tintas ofertadas em marca diferente da referência </w:t>
      </w:r>
      <w:proofErr w:type="spellStart"/>
      <w:r w:rsidRPr="00F97084">
        <w:rPr>
          <w:rFonts w:ascii="Bookman Old Style" w:eastAsia="Times New Roman" w:hAnsi="Bookman Old Style" w:cs="Times New Roman"/>
          <w:sz w:val="20"/>
          <w:szCs w:val="20"/>
          <w:lang w:eastAsia="pt-BR"/>
        </w:rPr>
        <w:t>InkTec</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Profeel</w:t>
      </w:r>
      <w:proofErr w:type="spellEnd"/>
      <w:r w:rsidRPr="00F97084">
        <w:rPr>
          <w:rFonts w:ascii="Bookman Old Style" w:eastAsia="Times New Roman" w:hAnsi="Bookman Old Style" w:cs="Times New Roman"/>
          <w:sz w:val="20"/>
          <w:szCs w:val="20"/>
          <w:lang w:eastAsia="pt-BR"/>
        </w:rPr>
        <w:t xml:space="preserve"> E0017, poderão ser utilizados os documentos e procedimentos de avaliação estabelecidos neste Termo de Referência para confirmação da equivalência técnica.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4"/>
          <w:szCs w:val="24"/>
          <w:lang w:eastAsia="pt-BR"/>
        </w:rPr>
      </w:pPr>
      <w:r w:rsidRPr="00F97084">
        <w:rPr>
          <w:rFonts w:ascii="Bookman Old Style" w:eastAsia="Times New Roman" w:hAnsi="Bookman Old Style" w:cs="Times New Roman"/>
          <w:sz w:val="20"/>
          <w:szCs w:val="20"/>
          <w:lang w:eastAsia="pt-BR"/>
        </w:rPr>
        <w:t>Peças, componentes, ferramentas ou equipamentos que apresentem sinais de uso, recuperação, reparo, desgaste, incompatibilidade ou qualquer outra desconformidade deverão ser recusados</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6.5 – Registro e comunicação das ocorrências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As ocorrências relevantes relacionadas à execução deverão ser registradas pelo Gestor ou Fiscal da Contratação, conforme a natureza do fato.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As comunicações com a contratada poderão ocorrer por </w:t>
      </w:r>
      <w:r w:rsidRPr="00F97084">
        <w:rPr>
          <w:rFonts w:ascii="Bookman Old Style" w:eastAsia="Times New Roman" w:hAnsi="Bookman Old Style" w:cs="Times New Roman"/>
          <w:bCs/>
          <w:sz w:val="20"/>
          <w:szCs w:val="20"/>
          <w:lang w:eastAsia="pt-BR"/>
        </w:rPr>
        <w:t>correspondência eletrônica, notificação, ofício, sistema administrativo utilizado pelo Município ou outro meio formal que permita comprovar o envio e o recebimento</w:t>
      </w:r>
      <w:r w:rsidRPr="00F97084">
        <w:rPr>
          <w:rFonts w:ascii="Bookman Old Style" w:eastAsia="Times New Roman" w:hAnsi="Bookman Old Style" w:cs="Times New Roman"/>
          <w:sz w:val="20"/>
          <w:szCs w:val="20"/>
          <w:lang w:eastAsia="pt-BR"/>
        </w:rPr>
        <w:t>.</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Nas notificações relacionadas a irregularidades deverão constar, sempre que aplicável: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identificação da contratação;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identificação da Ordem de Compra ou fornecimento;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produto envolvido;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descrição da irregularidade;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providência exigida;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prazo concedido para regularização.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manutenção de registros das comunicações e ocorrências permite o acompanhamento do histórico da execução e subsidia eventual adoção de providências administrativas.</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6.6 – Responsabilidade da contratada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 xml:space="preserve">A atuação do Gestor e do Fiscal </w:t>
      </w:r>
      <w:r w:rsidRPr="00F97084">
        <w:rPr>
          <w:rFonts w:ascii="Bookman Old Style" w:eastAsia="Times New Roman" w:hAnsi="Bookman Old Style" w:cs="Times New Roman"/>
          <w:b/>
          <w:bCs/>
          <w:sz w:val="20"/>
          <w:szCs w:val="20"/>
          <w:lang w:eastAsia="pt-BR"/>
        </w:rPr>
        <w:t>não exclui nem reduz a responsabilidade da contratada</w:t>
      </w:r>
      <w:r w:rsidRPr="00F97084">
        <w:rPr>
          <w:rFonts w:ascii="Bookman Old Style" w:eastAsia="Times New Roman" w:hAnsi="Bookman Old Style" w:cs="Times New Roman"/>
          <w:sz w:val="20"/>
          <w:szCs w:val="20"/>
          <w:lang w:eastAsia="pt-BR"/>
        </w:rPr>
        <w:t xml:space="preserve"> pela correta execução do objeto, pela qualidade, procedência, compatibilidade e conformidade dos produtos fornecidos e pelo integral cumprimento das obrigações assumidas.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contratada permanece responsável pelos produtos fornecidos, inclusive em relação 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defeitos de fabricação;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vícios ocultos;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incompatibilidades;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divergências de especificação;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problemas de reconhecimento ou funcionamento atribuíveis ao suprimento;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fornecimento de produto diverso daquele contratado;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g) ausência de originalidade nos produtos do Lote 01;</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h) danos decorrentes de produto comprovadamente defeituoso ou desconforme, observadas as responsabilidades legalmente aplicáveis.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Quando constatada qualquer irregularidade atribuível ao produto ou ao fornecimento, a contratada deverá promover a substituição, correção ou regularização sem custos adicionais para o Município e dentro dos prazos estabelecidos neste Termo de Referência.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responsabilidade da contratada independentemente da atuação da fiscalização também constava expressamente dos documentos anteriores. </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6.7 – Recebimento e ateste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ateste para fins de liquidação e pagamento somente ocorrerá em relação aos produtos </w:t>
      </w:r>
      <w:r w:rsidRPr="00F97084">
        <w:rPr>
          <w:rFonts w:ascii="Bookman Old Style" w:eastAsia="Times New Roman" w:hAnsi="Bookman Old Style" w:cs="Times New Roman"/>
          <w:bCs/>
          <w:sz w:val="20"/>
          <w:szCs w:val="20"/>
          <w:lang w:eastAsia="pt-BR"/>
        </w:rPr>
        <w:t>efetivamente entregues e considerados conformes</w:t>
      </w:r>
      <w:r w:rsidRPr="00F97084">
        <w:rPr>
          <w:rFonts w:ascii="Bookman Old Style" w:eastAsia="Times New Roman" w:hAnsi="Bookman Old Style" w:cs="Times New Roman"/>
          <w:sz w:val="20"/>
          <w:szCs w:val="20"/>
          <w:lang w:eastAsia="pt-BR"/>
        </w:rPr>
        <w:t xml:space="preserve"> com este Termo de Referência.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 recebimento ou ateste não afasta a responsabilidade por vícios ocultos, defeitos ou irregularidades identificadas posteriormente durante o período de garantia.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Produtos recusados ou pendentes de substituição não serão considerados definitivamente recebidos enquanto não houver sua regularização.</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b/>
          <w:bCs/>
          <w:sz w:val="20"/>
          <w:szCs w:val="20"/>
          <w:lang w:eastAsia="pt-BR"/>
        </w:rPr>
        <w:t xml:space="preserve">7. CRITÉRIOS DE MEDIÇÃO E DE PAGAMENTO </w:t>
      </w:r>
      <w:r w:rsidRPr="00F97084">
        <w:rPr>
          <w:rFonts w:ascii="Bookman Old Style" w:eastAsia="Times New Roman" w:hAnsi="Bookman Old Style" w:cs="Times New Roman"/>
          <w:i/>
          <w:iCs/>
          <w:sz w:val="20"/>
          <w:szCs w:val="20"/>
          <w:lang w:eastAsia="pt-BR"/>
        </w:rPr>
        <w:t>(Art. 6º, inciso XXIII, alínea “g”, da Lei nº 14.133/2021)</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medição e o pagamento da contratação terão como base os produtos </w:t>
      </w:r>
      <w:r w:rsidRPr="00F97084">
        <w:rPr>
          <w:rFonts w:ascii="Bookman Old Style" w:eastAsia="Times New Roman" w:hAnsi="Bookman Old Style" w:cs="Times New Roman"/>
          <w:bCs/>
          <w:sz w:val="20"/>
          <w:szCs w:val="20"/>
          <w:lang w:eastAsia="pt-BR"/>
        </w:rPr>
        <w:t>efetivamente solicitados, entregues, conferidos e recebidos definitivamente pela Administração</w:t>
      </w:r>
      <w:r w:rsidRPr="00F97084">
        <w:rPr>
          <w:rFonts w:ascii="Bookman Old Style" w:eastAsia="Times New Roman" w:hAnsi="Bookman Old Style" w:cs="Times New Roman"/>
          <w:sz w:val="20"/>
          <w:szCs w:val="20"/>
          <w:lang w:eastAsia="pt-BR"/>
        </w:rPr>
        <w:t>, observadas as quantidades constantes das respectivas Ordens de Compra, Notas de Empenho ou instrumentos equivalentes.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Considerando que o fornecimento ocorrerá de forma parcelada, o pagamento corresponderá exclusivamente aos itens e quantitativos efetivamente fornecidos e aceitos em cada entrega, não estando condicionado à aquisição integral dos quantitativos previstos para a vigência da contratação.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 xml:space="preserve">O modelo anteriormente utilizado para os suprimentos gerais já adotava essa sistemática de pagamento conforme os produtos efetivamente entregues e definitivamente recebidos. </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7.1 – Medição do objeto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Para fins de medição, serão considerados os produtos efetivamente fornecidos e recebidos definitivamente pela Administração.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conferência compreenderá, conforme a natureza de cada item: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quantidade efetivamente entregue;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correspondência com a Ordem de Compra, Nota de Empenho ou instrumento equivalente;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atendimento às especificações técnicas deste Termo de Referência;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d) correspondência entre o produto entregue e a marca, fabricante, modelo, linha, referência, código ou </w:t>
      </w:r>
      <w:proofErr w:type="spellStart"/>
      <w:r w:rsidRPr="00F97084">
        <w:rPr>
          <w:rFonts w:ascii="Bookman Old Style" w:eastAsia="Times New Roman" w:hAnsi="Bookman Old Style" w:cs="Times New Roman"/>
          <w:sz w:val="20"/>
          <w:szCs w:val="20"/>
          <w:lang w:eastAsia="pt-BR"/>
        </w:rPr>
        <w:t>part</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number</w:t>
      </w:r>
      <w:proofErr w:type="spellEnd"/>
      <w:r w:rsidRPr="00F97084">
        <w:rPr>
          <w:rFonts w:ascii="Bookman Old Style" w:eastAsia="Times New Roman" w:hAnsi="Bookman Old Style" w:cs="Times New Roman"/>
          <w:sz w:val="20"/>
          <w:szCs w:val="20"/>
          <w:lang w:eastAsia="pt-BR"/>
        </w:rPr>
        <w:t xml:space="preserve"> constante da proposta aceita, quando aplicável;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condição de produto novo e de primeiro uso;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integridade física do produto e de sua embalagem;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g) compatibilidade com os equipamentos aos quais o material se destina;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h) capacidade ou rendimento, quando especificado;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i) presença de chip ou sistema de reconhecimento funcional, quando aplicável;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j) fornecimento dos componentes, acessórios ou documentação exigidos;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k) originalidade e correspondência aos respectivos </w:t>
      </w:r>
      <w:proofErr w:type="spellStart"/>
      <w:r w:rsidRPr="00F97084">
        <w:rPr>
          <w:rFonts w:ascii="Bookman Old Style" w:eastAsia="Times New Roman" w:hAnsi="Bookman Old Style" w:cs="Times New Roman"/>
          <w:sz w:val="20"/>
          <w:szCs w:val="20"/>
          <w:lang w:eastAsia="pt-BR"/>
        </w:rPr>
        <w:t>part</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numbers</w:t>
      </w:r>
      <w:proofErr w:type="spellEnd"/>
      <w:r w:rsidRPr="00F97084">
        <w:rPr>
          <w:rFonts w:ascii="Bookman Old Style" w:eastAsia="Times New Roman" w:hAnsi="Bookman Old Style" w:cs="Times New Roman"/>
          <w:sz w:val="20"/>
          <w:szCs w:val="20"/>
          <w:lang w:eastAsia="pt-BR"/>
        </w:rPr>
        <w:t xml:space="preserve"> para os produtos integrantes do Lote 01;</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l) atendimento às demais condições estabelecidas neste Termo de Referência.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Somente serão considerados aptos para liquidação e pagamento os produtos que tenham sido </w:t>
      </w:r>
      <w:r w:rsidRPr="00F97084">
        <w:rPr>
          <w:rFonts w:ascii="Bookman Old Style" w:eastAsia="Times New Roman" w:hAnsi="Bookman Old Style" w:cs="Times New Roman"/>
          <w:bCs/>
          <w:sz w:val="20"/>
          <w:szCs w:val="20"/>
          <w:lang w:eastAsia="pt-BR"/>
        </w:rPr>
        <w:t>recebidos definitivamente</w:t>
      </w:r>
      <w:r w:rsidRPr="00F97084">
        <w:rPr>
          <w:rFonts w:ascii="Bookman Old Style" w:eastAsia="Times New Roman" w:hAnsi="Bookman Old Style" w:cs="Times New Roman"/>
          <w:sz w:val="20"/>
          <w:szCs w:val="20"/>
          <w:lang w:eastAsia="pt-BR"/>
        </w:rPr>
        <w:t>, após conferência e ateste do servidor responsável.</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7.2 – Medição do Lote 01 – Xerox Color C70 Pro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Embora o </w:t>
      </w:r>
      <w:r w:rsidRPr="00F97084">
        <w:rPr>
          <w:rFonts w:ascii="Bookman Old Style" w:eastAsia="Times New Roman" w:hAnsi="Bookman Old Style" w:cs="Times New Roman"/>
          <w:bCs/>
          <w:sz w:val="20"/>
          <w:szCs w:val="20"/>
          <w:lang w:eastAsia="pt-BR"/>
        </w:rPr>
        <w:t>Lote 01 seja adjudicado pelo menor preço global</w:t>
      </w:r>
      <w:r w:rsidRPr="00F97084">
        <w:rPr>
          <w:rFonts w:ascii="Bookman Old Style" w:eastAsia="Times New Roman" w:hAnsi="Bookman Old Style" w:cs="Times New Roman"/>
          <w:sz w:val="20"/>
          <w:szCs w:val="20"/>
          <w:lang w:eastAsia="pt-BR"/>
        </w:rPr>
        <w:t>, a execução financeira ocorrerá de acordo com os itens e quantitativos efetivamente solicitados e fornecidos.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Dessa forma, o Município não fica obrigado a solicitar simultaneamente os 21 componentes integrantes do lote.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Cada Ordem de Compra identificará os produtos e as respectivas quantidades necessárias, aplicando-se os </w:t>
      </w:r>
      <w:r w:rsidRPr="00F97084">
        <w:rPr>
          <w:rFonts w:ascii="Bookman Old Style" w:eastAsia="Times New Roman" w:hAnsi="Bookman Old Style" w:cs="Times New Roman"/>
          <w:bCs/>
          <w:sz w:val="20"/>
          <w:szCs w:val="20"/>
          <w:lang w:eastAsia="pt-BR"/>
        </w:rPr>
        <w:t>preços unitários constantes da proposta vencedora</w:t>
      </w:r>
      <w:r w:rsidRPr="00F97084">
        <w:rPr>
          <w:rFonts w:ascii="Bookman Old Style" w:eastAsia="Times New Roman" w:hAnsi="Bookman Old Style" w:cs="Times New Roman"/>
          <w:sz w:val="20"/>
          <w:szCs w:val="20"/>
          <w:lang w:eastAsia="pt-BR"/>
        </w:rPr>
        <w:t xml:space="preserve"> para apuração do valor correspondente a cada fornecimento.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Para fins de pagamento dos produtos do Lote 01, deverão estar confirmados: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a) o fornecimento do item efetivamente solicitado;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a quantidade entregue;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c) a correspondência ao </w:t>
      </w:r>
      <w:proofErr w:type="spellStart"/>
      <w:r w:rsidRPr="00F97084">
        <w:rPr>
          <w:rFonts w:ascii="Bookman Old Style" w:eastAsia="Times New Roman" w:hAnsi="Bookman Old Style" w:cs="Times New Roman"/>
          <w:sz w:val="20"/>
          <w:szCs w:val="20"/>
          <w:lang w:eastAsia="pt-BR"/>
        </w:rPr>
        <w:t>part</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number</w:t>
      </w:r>
      <w:proofErr w:type="spellEnd"/>
      <w:r w:rsidRPr="00F97084">
        <w:rPr>
          <w:rFonts w:ascii="Bookman Old Style" w:eastAsia="Times New Roman" w:hAnsi="Bookman Old Style" w:cs="Times New Roman"/>
          <w:sz w:val="20"/>
          <w:szCs w:val="20"/>
          <w:lang w:eastAsia="pt-BR"/>
        </w:rPr>
        <w:t xml:space="preserve"> contratado;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a originalidade Xerox;</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a integridade e identificação da embalagem;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o atendimento às demais exigências estabelecidas neste Termo de Referência.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Assim, o julgamento global do lote define o fornecedor vencedor e o valor total da proposta, enquanto os preços unitários que compõem a proposta permanecem vinculados à execução, faturamento e controle dos fornecimentos realizados durante a vigência.</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 xml:space="preserve">7.3 – Medição do Lote 02 </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No Lote 02, cujo julgamento e adjudicação ocorrem individualmente por item, a medição corresponderá à quantidade efetivamente fornecida e aceita de cada produto.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valor devido em cada fornecimento será calculado mediante aplicação do respectivo </w:t>
      </w:r>
      <w:r w:rsidRPr="00F97084">
        <w:rPr>
          <w:rFonts w:ascii="Bookman Old Style" w:eastAsia="Times New Roman" w:hAnsi="Bookman Old Style" w:cs="Times New Roman"/>
          <w:bCs/>
          <w:sz w:val="20"/>
          <w:szCs w:val="20"/>
          <w:lang w:eastAsia="pt-BR"/>
        </w:rPr>
        <w:t>preço unitário contratado</w:t>
      </w:r>
      <w:r w:rsidRPr="00F97084">
        <w:rPr>
          <w:rFonts w:ascii="Bookman Old Style" w:eastAsia="Times New Roman" w:hAnsi="Bookman Old Style" w:cs="Times New Roman"/>
          <w:sz w:val="20"/>
          <w:szCs w:val="20"/>
          <w:lang w:eastAsia="pt-BR"/>
        </w:rPr>
        <w:t xml:space="preserve"> sobre a quantidade definitivamente recebida.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Produtos entregues em quantidade superior à solicitada não gerarão obrigação de pagamento, salvo quando houver autorização expressa da Administração.</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7.4 – Condições para pagamento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 pagamento será realizado exclusivamente em relação aos produtos efetivamente entregues e recebidos definitivamente pela Administração.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contratada deverá emitir </w:t>
      </w:r>
      <w:r w:rsidRPr="00F97084">
        <w:rPr>
          <w:rFonts w:ascii="Bookman Old Style" w:eastAsia="Times New Roman" w:hAnsi="Bookman Old Style" w:cs="Times New Roman"/>
          <w:bCs/>
          <w:sz w:val="20"/>
          <w:szCs w:val="20"/>
          <w:lang w:eastAsia="pt-BR"/>
        </w:rPr>
        <w:t>Nota Fiscal/Fatura correspondente aos produtos efetivamente fornecidos</w:t>
      </w:r>
      <w:r w:rsidRPr="00F97084">
        <w:rPr>
          <w:rFonts w:ascii="Bookman Old Style" w:eastAsia="Times New Roman" w:hAnsi="Bookman Old Style" w:cs="Times New Roman"/>
          <w:sz w:val="20"/>
          <w:szCs w:val="20"/>
          <w:lang w:eastAsia="pt-BR"/>
        </w:rPr>
        <w:t>, observando os valores unitários contratados e as quantidades aceitas pela Administração.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 pagamento ficará condicionado: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ao efetivo fornecimento dos produtos;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ao recebimento definitivo;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ao ateste da Nota Fiscal/Fatura pelo servidor responsável;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à conformidade dos produtos com as especificações deste Termo de Referência;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à correspondência entre os valores faturados e os preços contratados;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à inexistência de pendência relacionada ao respectivo fornecimento;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g) à manutenção das condições de habilitação e regularidade exigidas, quando aplicável.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 xml:space="preserve">Essa sistemática também constava dos Termos de Referência anteriores, que condicionavam o pagamento ao recebimento definitivo, à conformidade do objeto e ao devido ateste da documentação fiscal. </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7.5 – Prazo para pagamento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pagamento será efetuado no prazo de até </w:t>
      </w:r>
      <w:r w:rsidRPr="00F97084">
        <w:rPr>
          <w:rFonts w:ascii="Bookman Old Style" w:eastAsia="Times New Roman" w:hAnsi="Bookman Old Style" w:cs="Times New Roman"/>
          <w:b/>
          <w:bCs/>
          <w:sz w:val="20"/>
          <w:szCs w:val="20"/>
          <w:lang w:eastAsia="pt-BR"/>
        </w:rPr>
        <w:t>30 (trinta) dias</w:t>
      </w:r>
      <w:r w:rsidRPr="00F97084">
        <w:rPr>
          <w:rFonts w:ascii="Bookman Old Style" w:eastAsia="Times New Roman" w:hAnsi="Bookman Old Style" w:cs="Times New Roman"/>
          <w:sz w:val="20"/>
          <w:szCs w:val="20"/>
          <w:lang w:eastAsia="pt-BR"/>
        </w:rPr>
        <w:t>, contados do recebimento definitivo dos produtos e da apresentação da respectiva Nota Fiscal/Fatura devidamente atestada, observados os procedimentos administrativos e financeiros adotados pelo Município.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mesmo prazo de até 30 (trinta) dias já era adotado nos Termos de Referência anteriores. </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Caso sejam identificados erros, divergências ou inconsistências na Nota Fiscal/Fatura ou no fornecimento correspondente, a contratada deverá promover a respectiva regularização.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contagem do prazo para pagamento do valor relacionado à pendência terá como referência sua efetiva regularização e o correspondente aceite pela Administração.</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7.6 – Produtos recusados ou pendentes de substituição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Não serão considerados aptos para pagamento os produtos que: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tenham sido recusados pela Administração;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estejam em desacordo com as especificações deste Termo de Referência;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apresentem defeitos, avarias ou incompatibilidades;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apresentem quantidade, marca, modelo, código ou referência divergente do contratado;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dependam de substituição, complementação ou regularização;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não tenham sido definitivamente recebidos;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g) no caso do Lote 01, não tenham sua originalidade ou correspondência ao </w:t>
      </w:r>
      <w:proofErr w:type="spellStart"/>
      <w:r w:rsidRPr="00F97084">
        <w:rPr>
          <w:rFonts w:ascii="Bookman Old Style" w:eastAsia="Times New Roman" w:hAnsi="Bookman Old Style" w:cs="Times New Roman"/>
          <w:sz w:val="20"/>
          <w:szCs w:val="20"/>
          <w:lang w:eastAsia="pt-BR"/>
        </w:rPr>
        <w:t>part</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number</w:t>
      </w:r>
      <w:proofErr w:type="spellEnd"/>
      <w:r w:rsidRPr="00F97084">
        <w:rPr>
          <w:rFonts w:ascii="Bookman Old Style" w:eastAsia="Times New Roman" w:hAnsi="Bookman Old Style" w:cs="Times New Roman"/>
          <w:sz w:val="20"/>
          <w:szCs w:val="20"/>
          <w:lang w:eastAsia="pt-BR"/>
        </w:rPr>
        <w:t xml:space="preserve"> devidamente confirmada.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 pagamento correspondente ao produto recusado ou irregular somente ocorrerá após sua substituição ou regularização e posterior recebimento definitivo.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Quando a desconformidade atingir apenas parte dos produtos de uma determinada entrega e for possível individualizar os valores correspondentes, a Administração poderá prosseguir com o pagamento dos itens regularmente recebidos, permanecendo pendente apenas a parcela relacionada aos produtos irregulares.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Essa sistemática de individualização dos produtos conformes e pendentes também constava do TR anterior de suprimentos. </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 xml:space="preserve">7.7 – Glosas, retenções e suspensão do </w:t>
      </w:r>
      <w:proofErr w:type="gramStart"/>
      <w:r w:rsidRPr="00F97084">
        <w:rPr>
          <w:rFonts w:ascii="Bookman Old Style" w:eastAsia="Times New Roman" w:hAnsi="Bookman Old Style" w:cs="Times New Roman"/>
          <w:b/>
          <w:bCs/>
          <w:sz w:val="20"/>
          <w:szCs w:val="20"/>
          <w:lang w:eastAsia="pt-BR"/>
        </w:rPr>
        <w:t>pagamento</w:t>
      </w:r>
      <w:proofErr w:type="gramEnd"/>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Administração poderá suspender ou reter o pagamento correspondente aos produtos cuja execução apresente irregularidade ou desconformidade, limitando a medida aos valores relacionados à obrigação pendente.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Eventuais glosas, retenções ou suspensões deverão possuir fundamento na irregularidade constatada e observar os procedimentos administrativos aplicáveis.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existência de pendência relativa a determinado produto não impede o pagamento de outros itens regularmente fornecidos e recebidos, quando os respectivos valores puderem ser individualizados.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modelo anterior igualmente previa que retenções e suspensões ficassem limitadas aos valores diretamente relacionados à obrigação pendente. </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7.8 – Custos compreendidos nos preços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Os preços contratados compreenderão </w:t>
      </w:r>
      <w:r w:rsidRPr="00F97084">
        <w:rPr>
          <w:rFonts w:ascii="Bookman Old Style" w:eastAsia="Times New Roman" w:hAnsi="Bookman Old Style" w:cs="Times New Roman"/>
          <w:bCs/>
          <w:sz w:val="20"/>
          <w:szCs w:val="20"/>
          <w:lang w:eastAsia="pt-BR"/>
        </w:rPr>
        <w:t>todos os custos diretos e indiretos necessários ao integral cumprimento do objeto</w:t>
      </w:r>
      <w:r w:rsidRPr="00F97084">
        <w:rPr>
          <w:rFonts w:ascii="Bookman Old Style" w:eastAsia="Times New Roman" w:hAnsi="Bookman Old Style" w:cs="Times New Roman"/>
          <w:sz w:val="20"/>
          <w:szCs w:val="20"/>
          <w:lang w:eastAsia="pt-BR"/>
        </w:rPr>
        <w:t>, incluindo: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tributos, impostos, taxas e contribuições;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transporte e frete;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carga e descarga;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seguros;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embalagens;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acessórios e componentes;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g) documentação técnica;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h) garantias;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i) retirada e substituição de produtos recusados;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j) demais despesas necessárias ao cumprimento das obrigações assumidas.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Não serão devidos pagamentos adicionais por despesas que devam integrar normalmente a composição dos preços ofertados pela contratada.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Os documentos anteriores igualmente estabeleciam que frete, transporte, seguros, embalagens e demais despesas necessárias ao fornecimento deveriam estar incorporadas aos preços contratados. </w:t>
      </w:r>
    </w:p>
    <w:p w:rsidR="008D2A52" w:rsidRPr="00F97084" w:rsidRDefault="008D2A52" w:rsidP="008D2A52">
      <w:pPr>
        <w:spacing w:before="100" w:beforeAutospacing="1" w:after="100" w:afterAutospacing="1" w:line="240" w:lineRule="auto"/>
        <w:jc w:val="both"/>
        <w:outlineLvl w:val="1"/>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b/>
          <w:bCs/>
          <w:sz w:val="20"/>
          <w:szCs w:val="20"/>
          <w:lang w:eastAsia="pt-BR"/>
        </w:rPr>
        <w:t xml:space="preserve">8. FORMA E CRITÉRIOS DE SELEÇÃO DO FORNECEDOR </w:t>
      </w:r>
      <w:r w:rsidRPr="00F97084">
        <w:rPr>
          <w:rFonts w:ascii="Bookman Old Style" w:eastAsia="Times New Roman" w:hAnsi="Bookman Old Style" w:cs="Times New Roman"/>
          <w:i/>
          <w:iCs/>
          <w:sz w:val="20"/>
          <w:szCs w:val="20"/>
          <w:lang w:eastAsia="pt-BR"/>
        </w:rPr>
        <w:t>(Art. 6º, inciso XXIII, alínea “h”, da Lei nº 14.133/2021)</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Os produtos objeto da contratação possuem especificações e padrões de qualidade passíveis de definição objetiva, permitindo a comparação das propostas com base nas características técnicas estabelecidas para cada item.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Em razão da estrutura adotada para o objeto, serão aplicados critérios distintos de julgamento: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a) Lote 01 – Suprimentos e componentes originais Xerox Color C70 Pro: julgamento pelo menor preço global do lote, com obrigatoriedade de apresentação de proposta para todos os 21 itens que o compõem e análise da aceitabilidade dos respectivos preços unitários;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Lote 02 – Tintas, toners, cilindros, fitas, peças, materiais, ferramentas e equipamentos para impressão e manutenção: julgamento pelo menor preço por item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proposta de menor preço somente será aceita quando atender integralmente às especificações técnicas, requisitos de qualidade, compatibilidade, procedência e demais condições estabelecidas neste Termo de Referência.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TR anterior de suprimentos gerais já previa a seleção com base no menor preço condicionada ao atendimento integral das especificações técnicas e dos requisitos de qualidade e compatibilidade. </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8.1 – Critério de julgamento do Lote 01</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w:t>
      </w:r>
      <w:r w:rsidRPr="00F97084">
        <w:rPr>
          <w:rFonts w:ascii="Bookman Old Style" w:eastAsia="Times New Roman" w:hAnsi="Bookman Old Style" w:cs="Times New Roman"/>
          <w:b/>
          <w:bCs/>
          <w:sz w:val="20"/>
          <w:szCs w:val="20"/>
          <w:lang w:eastAsia="pt-BR"/>
        </w:rPr>
        <w:t>Lote 01</w:t>
      </w:r>
      <w:r w:rsidRPr="00F97084">
        <w:rPr>
          <w:rFonts w:ascii="Bookman Old Style" w:eastAsia="Times New Roman" w:hAnsi="Bookman Old Style" w:cs="Times New Roman"/>
          <w:sz w:val="20"/>
          <w:szCs w:val="20"/>
          <w:lang w:eastAsia="pt-BR"/>
        </w:rPr>
        <w:t xml:space="preserve"> será julgado pelo critério de </w:t>
      </w:r>
      <w:r w:rsidRPr="00F97084">
        <w:rPr>
          <w:rFonts w:ascii="Bookman Old Style" w:eastAsia="Times New Roman" w:hAnsi="Bookman Old Style" w:cs="Times New Roman"/>
          <w:b/>
          <w:bCs/>
          <w:sz w:val="20"/>
          <w:szCs w:val="20"/>
          <w:lang w:eastAsia="pt-BR"/>
        </w:rPr>
        <w:t>menor preço global do lote</w:t>
      </w:r>
      <w:r w:rsidRPr="00F97084">
        <w:rPr>
          <w:rFonts w:ascii="Bookman Old Style" w:eastAsia="Times New Roman" w:hAnsi="Bookman Old Style" w:cs="Times New Roman"/>
          <w:sz w:val="20"/>
          <w:szCs w:val="20"/>
          <w:lang w:eastAsia="pt-BR"/>
        </w:rPr>
        <w:t>.</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licitante deverá apresentar proposta para a totalidade dos 21 itens que integram o lote, contendo, no mínimo: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número do item;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descrição do produto;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marca;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fabricante;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e) código de referência – </w:t>
      </w:r>
      <w:proofErr w:type="spellStart"/>
      <w:r w:rsidRPr="00F97084">
        <w:rPr>
          <w:rFonts w:ascii="Bookman Old Style" w:eastAsia="Times New Roman" w:hAnsi="Bookman Old Style" w:cs="Times New Roman"/>
          <w:sz w:val="20"/>
          <w:szCs w:val="20"/>
          <w:lang w:eastAsia="pt-BR"/>
        </w:rPr>
        <w:t>part</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number</w:t>
      </w:r>
      <w:proofErr w:type="spellEnd"/>
      <w:r w:rsidRPr="00F97084">
        <w:rPr>
          <w:rFonts w:ascii="Bookman Old Style" w:eastAsia="Times New Roman" w:hAnsi="Bookman Old Style" w:cs="Times New Roman"/>
          <w:sz w:val="20"/>
          <w:szCs w:val="20"/>
          <w:lang w:eastAsia="pt-BR"/>
        </w:rPr>
        <w:t>;</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quantidade;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g) preço unitário;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h) preço total do item;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i) valor global do lote.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 valor global da proposta corresponderá à soma dos valores totais de todos os itens que compõem o Lote 01.</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Não será admitida proposta que contemple apenas parte dos itens do lote.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condição de vencedora será atribuída à licitante que apresentar o </w:t>
      </w:r>
      <w:r w:rsidRPr="00F97084">
        <w:rPr>
          <w:rFonts w:ascii="Bookman Old Style" w:eastAsia="Times New Roman" w:hAnsi="Bookman Old Style" w:cs="Times New Roman"/>
          <w:b/>
          <w:bCs/>
          <w:sz w:val="20"/>
          <w:szCs w:val="20"/>
          <w:lang w:eastAsia="pt-BR"/>
        </w:rPr>
        <w:t>menor valor global</w:t>
      </w:r>
      <w:r w:rsidRPr="00F97084">
        <w:rPr>
          <w:rFonts w:ascii="Bookman Old Style" w:eastAsia="Times New Roman" w:hAnsi="Bookman Old Style" w:cs="Times New Roman"/>
          <w:sz w:val="20"/>
          <w:szCs w:val="20"/>
          <w:lang w:eastAsia="pt-BR"/>
        </w:rPr>
        <w:t>, desde que todos os produtos ofertados atendam integralmente às especificações e que os valores unitários sejam considerados aceitáveis pela Administração.</w:t>
      </w:r>
    </w:p>
    <w:p w:rsidR="008D2A52" w:rsidRPr="00F97084" w:rsidRDefault="008D2A52" w:rsidP="00CF6858">
      <w:pPr>
        <w:spacing w:before="100" w:beforeAutospacing="1" w:after="100" w:afterAutospacing="1" w:line="240" w:lineRule="auto"/>
        <w:jc w:val="both"/>
        <w:outlineLvl w:val="2"/>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8.1.1 – Aceitabilidade dos preços unitários do Lote 01</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Embora o julgamento seja realizado pelo valor global, os </w:t>
      </w:r>
      <w:r w:rsidRPr="00F97084">
        <w:rPr>
          <w:rFonts w:ascii="Bookman Old Style" w:eastAsia="Times New Roman" w:hAnsi="Bookman Old Style" w:cs="Times New Roman"/>
          <w:b/>
          <w:bCs/>
          <w:sz w:val="20"/>
          <w:szCs w:val="20"/>
          <w:lang w:eastAsia="pt-BR"/>
        </w:rPr>
        <w:t>preços unitários dos 21 itens permanecerão sujeitos à análise individual de aceitabilidade</w:t>
      </w:r>
      <w:r w:rsidRPr="00F97084">
        <w:rPr>
          <w:rFonts w:ascii="Bookman Old Style" w:eastAsia="Times New Roman" w:hAnsi="Bookman Old Style" w:cs="Times New Roman"/>
          <w:sz w:val="20"/>
          <w:szCs w:val="20"/>
          <w:lang w:eastAsia="pt-BR"/>
        </w:rPr>
        <w:t>.</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Não serão admitidos preços unitários superiores aos valores máximos estabelecidos pela Administração para os respectivos itens, ainda que o valor global da proposta permaneça inferior ao valor máximo do lote.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Também não serão admitidas composições de preços que concentrem valores artificialmente elevados em determinados componentes com compensação mediante redução desproporcional de outros itens.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medida busca evitar distorções na execução parcelada do lote, uma vez que os diferentes componentes poderão ser solicitados em momentos e quantidades distintas durante a vigência da contratação.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Os preços unitários constantes da proposta vencedora permanecerão vinculados à execução e serão utilizados para emissão das Ordens de Compra, faturamento, medição e pagamento dos produtos efetivamente solicitados.</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 xml:space="preserve">8.2 – Critério de julgamento do Lote 02 </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No Lote 02, a denominação do agrupamento possui finalidade de organização e classificação dos produtos </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julgamento e a adjudicação ocorrerão </w:t>
      </w:r>
      <w:r w:rsidRPr="00F97084">
        <w:rPr>
          <w:rFonts w:ascii="Bookman Old Style" w:eastAsia="Times New Roman" w:hAnsi="Bookman Old Style" w:cs="Times New Roman"/>
          <w:b/>
          <w:bCs/>
          <w:sz w:val="20"/>
          <w:szCs w:val="20"/>
          <w:lang w:eastAsia="pt-BR"/>
        </w:rPr>
        <w:t>individualmente por item</w:t>
      </w:r>
      <w:r w:rsidRPr="00F97084">
        <w:rPr>
          <w:rFonts w:ascii="Bookman Old Style" w:eastAsia="Times New Roman" w:hAnsi="Bookman Old Style" w:cs="Times New Roman"/>
          <w:sz w:val="20"/>
          <w:szCs w:val="20"/>
          <w:lang w:eastAsia="pt-BR"/>
        </w:rPr>
        <w:t>, pelo critério de menor preço.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Dessa forma, empresas distintas poderão ser vencedoras de diferentes itens integrantes do mesmo lote.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Cada item será analisado separadamente quanto: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ao preço;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às especificações técnicas;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à compatibilidade;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à qualidade;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à identificação do produto;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à documentação técnica exigível;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g) às demais condições previstas neste Termo de Referência.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apresentação do menor preço não assegura a aceitação da proposta quando o produto ofertado não atender integralmente às especificações estabelecidas.</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8.3 – Identificação obrigatória dos produtos ofertados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proposta deverá identificar de forma suficiente e inequívoca o produto ofertado.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Deverão constar, sempre que aplicável: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marca;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b) fabricante;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modelo;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linha;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referência comercial;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f) código ou </w:t>
      </w:r>
      <w:proofErr w:type="spellStart"/>
      <w:r w:rsidRPr="00F97084">
        <w:rPr>
          <w:rFonts w:ascii="Bookman Old Style" w:eastAsia="Times New Roman" w:hAnsi="Bookman Old Style" w:cs="Times New Roman"/>
          <w:sz w:val="20"/>
          <w:szCs w:val="20"/>
          <w:lang w:eastAsia="pt-BR"/>
        </w:rPr>
        <w:t>part</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number</w:t>
      </w:r>
      <w:proofErr w:type="spellEnd"/>
      <w:r w:rsidRPr="00F97084">
        <w:rPr>
          <w:rFonts w:ascii="Bookman Old Style" w:eastAsia="Times New Roman" w:hAnsi="Bookman Old Style" w:cs="Times New Roman"/>
          <w:sz w:val="20"/>
          <w:szCs w:val="20"/>
          <w:lang w:eastAsia="pt-BR"/>
        </w:rPr>
        <w:t>;</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g) capacidade ou rendimento, quando pertinente;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h) demais informações necessárias à identificação do produto.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Não serão consideradas suficientes descrições genéricas como </w:t>
      </w:r>
      <w:r w:rsidRPr="00F97084">
        <w:rPr>
          <w:rFonts w:ascii="Bookman Old Style" w:eastAsia="Times New Roman" w:hAnsi="Bookman Old Style" w:cs="Times New Roman"/>
          <w:bCs/>
          <w:sz w:val="20"/>
          <w:szCs w:val="20"/>
          <w:lang w:eastAsia="pt-BR"/>
        </w:rPr>
        <w:t>“conforme edital”, “compatível”, “similar” ou expressões equivalentes</w:t>
      </w:r>
      <w:r w:rsidRPr="00F97084">
        <w:rPr>
          <w:rFonts w:ascii="Bookman Old Style" w:eastAsia="Times New Roman" w:hAnsi="Bookman Old Style" w:cs="Times New Roman"/>
          <w:sz w:val="20"/>
          <w:szCs w:val="20"/>
          <w:lang w:eastAsia="pt-BR"/>
        </w:rPr>
        <w:t xml:space="preserve"> quando desacompanhadas das informações necessárias à identificação e avaliação técnica do produto.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marca, modelo, linha e referência informados na proposta vincularão a contratada durante a execução.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Termo de Referência anterior já estabelecia a necessidade de identificação de marca, fabricante, modelo, linha, referência e </w:t>
      </w:r>
      <w:proofErr w:type="spellStart"/>
      <w:r w:rsidRPr="00F97084">
        <w:rPr>
          <w:rFonts w:ascii="Bookman Old Style" w:eastAsia="Times New Roman" w:hAnsi="Bookman Old Style" w:cs="Times New Roman"/>
          <w:sz w:val="20"/>
          <w:szCs w:val="20"/>
          <w:lang w:eastAsia="pt-BR"/>
        </w:rPr>
        <w:t>part</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number</w:t>
      </w:r>
      <w:proofErr w:type="spellEnd"/>
      <w:r w:rsidRPr="00F97084">
        <w:rPr>
          <w:rFonts w:ascii="Bookman Old Style" w:eastAsia="Times New Roman" w:hAnsi="Bookman Old Style" w:cs="Times New Roman"/>
          <w:sz w:val="20"/>
          <w:szCs w:val="20"/>
          <w:lang w:eastAsia="pt-BR"/>
        </w:rPr>
        <w:t xml:space="preserve"> para permitir a análise técnica das propostas. </w:t>
      </w:r>
    </w:p>
    <w:p w:rsidR="008D2A52" w:rsidRPr="00F97084" w:rsidRDefault="008D2A52" w:rsidP="00CF6858">
      <w:pPr>
        <w:spacing w:before="100" w:beforeAutospacing="1" w:after="100" w:afterAutospacing="1" w:line="240" w:lineRule="auto"/>
        <w:jc w:val="both"/>
        <w:outlineLvl w:val="2"/>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8.3.1 – Utilização do código CATMAT</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Os códigos </w:t>
      </w:r>
      <w:r w:rsidRPr="00F97084">
        <w:rPr>
          <w:rFonts w:ascii="Bookman Old Style" w:eastAsia="Times New Roman" w:hAnsi="Bookman Old Style" w:cs="Times New Roman"/>
          <w:bCs/>
          <w:sz w:val="20"/>
          <w:szCs w:val="20"/>
          <w:lang w:eastAsia="pt-BR"/>
        </w:rPr>
        <w:t>CATMAT</w:t>
      </w:r>
      <w:r w:rsidRPr="00F97084">
        <w:rPr>
          <w:rFonts w:ascii="Bookman Old Style" w:eastAsia="Times New Roman" w:hAnsi="Bookman Old Style" w:cs="Times New Roman"/>
          <w:sz w:val="20"/>
          <w:szCs w:val="20"/>
          <w:lang w:eastAsia="pt-BR"/>
        </w:rPr>
        <w:t xml:space="preserve"> constantes da relação de itens possuem função auxiliar de cadastramento e identificação no sistema.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Para fins de análise da proposta, fornecimento e recebimento, </w:t>
      </w:r>
      <w:r w:rsidRPr="00F97084">
        <w:rPr>
          <w:rFonts w:ascii="Bookman Old Style" w:eastAsia="Times New Roman" w:hAnsi="Bookman Old Style" w:cs="Times New Roman"/>
          <w:bCs/>
          <w:sz w:val="20"/>
          <w:szCs w:val="20"/>
          <w:lang w:eastAsia="pt-BR"/>
        </w:rPr>
        <w:t>prevalecem as especificações técnicas detalhadas constantes deste Termo de Referência</w:t>
      </w:r>
      <w:r w:rsidRPr="00F97084">
        <w:rPr>
          <w:rFonts w:ascii="Bookman Old Style" w:eastAsia="Times New Roman" w:hAnsi="Bookman Old Style" w:cs="Times New Roman"/>
          <w:sz w:val="20"/>
          <w:szCs w:val="20"/>
          <w:lang w:eastAsia="pt-BR"/>
        </w:rPr>
        <w:t>.</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Eventual descrição resumida vinculada ao código CATMAT não autoriza o fornecimento de produto com características inferiores ou divergentes daquelas expressamente exigidas pela Administração.</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8.4 – Exigências específicas para o Lote 01 – Xerox</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Para o Lote 01 serão aceitos exclusivamente produtos: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w:t>
      </w:r>
      <w:r w:rsidRPr="00F97084">
        <w:rPr>
          <w:rFonts w:ascii="Bookman Old Style" w:eastAsia="Times New Roman" w:hAnsi="Bookman Old Style" w:cs="Times New Roman"/>
          <w:bCs/>
          <w:sz w:val="20"/>
          <w:szCs w:val="20"/>
          <w:lang w:eastAsia="pt-BR"/>
        </w:rPr>
        <w:t>originais Xerox</w:t>
      </w:r>
      <w:r w:rsidRPr="00F97084">
        <w:rPr>
          <w:rFonts w:ascii="Bookman Old Style" w:eastAsia="Times New Roman" w:hAnsi="Bookman Old Style" w:cs="Times New Roman"/>
          <w:sz w:val="20"/>
          <w:szCs w:val="20"/>
          <w:lang w:eastAsia="pt-BR"/>
        </w:rPr>
        <w:t>;</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novos;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de primeiro uso;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d) correspondentes aos </w:t>
      </w:r>
      <w:proofErr w:type="spellStart"/>
      <w:r w:rsidRPr="00F97084">
        <w:rPr>
          <w:rFonts w:ascii="Bookman Old Style" w:eastAsia="Times New Roman" w:hAnsi="Bookman Old Style" w:cs="Times New Roman"/>
          <w:sz w:val="20"/>
          <w:szCs w:val="20"/>
          <w:lang w:eastAsia="pt-BR"/>
        </w:rPr>
        <w:t>part</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numbers</w:t>
      </w:r>
      <w:proofErr w:type="spellEnd"/>
      <w:r w:rsidRPr="00F97084">
        <w:rPr>
          <w:rFonts w:ascii="Bookman Old Style" w:eastAsia="Times New Roman" w:hAnsi="Bookman Old Style" w:cs="Times New Roman"/>
          <w:sz w:val="20"/>
          <w:szCs w:val="20"/>
          <w:lang w:eastAsia="pt-BR"/>
        </w:rPr>
        <w:t xml:space="preserve"> indicados;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em embalagem original do fabricante;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devidamente identificados e rastreáveis.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 xml:space="preserve">Não serão aceitos produtos compatíveis, similares, </w:t>
      </w:r>
      <w:proofErr w:type="spellStart"/>
      <w:r w:rsidRPr="00F97084">
        <w:rPr>
          <w:rFonts w:ascii="Bookman Old Style" w:eastAsia="Times New Roman" w:hAnsi="Bookman Old Style" w:cs="Times New Roman"/>
          <w:sz w:val="20"/>
          <w:szCs w:val="20"/>
          <w:lang w:eastAsia="pt-BR"/>
        </w:rPr>
        <w:t>remanufaturados</w:t>
      </w:r>
      <w:proofErr w:type="spellEnd"/>
      <w:r w:rsidRPr="00F97084">
        <w:rPr>
          <w:rFonts w:ascii="Bookman Old Style" w:eastAsia="Times New Roman" w:hAnsi="Bookman Old Style" w:cs="Times New Roman"/>
          <w:sz w:val="20"/>
          <w:szCs w:val="20"/>
          <w:lang w:eastAsia="pt-BR"/>
        </w:rPr>
        <w:t>, recondicionados, reciclados, recuperados ou recarregados.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proposta deverá identificar expressamente a marca </w:t>
      </w:r>
      <w:r w:rsidRPr="00F97084">
        <w:rPr>
          <w:rFonts w:ascii="Bookman Old Style" w:eastAsia="Times New Roman" w:hAnsi="Bookman Old Style" w:cs="Times New Roman"/>
          <w:b/>
          <w:bCs/>
          <w:sz w:val="20"/>
          <w:szCs w:val="20"/>
          <w:lang w:eastAsia="pt-BR"/>
        </w:rPr>
        <w:t>Xerox</w:t>
      </w:r>
      <w:r w:rsidRPr="00F97084">
        <w:rPr>
          <w:rFonts w:ascii="Bookman Old Style" w:eastAsia="Times New Roman" w:hAnsi="Bookman Old Style" w:cs="Times New Roman"/>
          <w:sz w:val="20"/>
          <w:szCs w:val="20"/>
          <w:lang w:eastAsia="pt-BR"/>
        </w:rPr>
        <w:t xml:space="preserve"> e o respectivo </w:t>
      </w:r>
      <w:proofErr w:type="spellStart"/>
      <w:r w:rsidRPr="00F97084">
        <w:rPr>
          <w:rFonts w:ascii="Bookman Old Style" w:eastAsia="Times New Roman" w:hAnsi="Bookman Old Style" w:cs="Times New Roman"/>
          <w:sz w:val="20"/>
          <w:szCs w:val="20"/>
          <w:lang w:eastAsia="pt-BR"/>
        </w:rPr>
        <w:t>part</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number</w:t>
      </w:r>
      <w:proofErr w:type="spellEnd"/>
      <w:r w:rsidRPr="00F97084">
        <w:rPr>
          <w:rFonts w:ascii="Bookman Old Style" w:eastAsia="Times New Roman" w:hAnsi="Bookman Old Style" w:cs="Times New Roman"/>
          <w:sz w:val="20"/>
          <w:szCs w:val="20"/>
          <w:lang w:eastAsia="pt-BR"/>
        </w:rPr>
        <w:t xml:space="preserve"> para cada um dos 21 itens.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processo anterior da Xerox já condicionava a aceitação dos produtos à originalidade, à compatibilidade e à identificação pelos respectivos códigos de referência. </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8.5 – Comprovação da originalidade dos produtos Xerox</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Administração poderá exigir da licitante provisoriamente classificada em primeiro lugar documentação suficiente para comprovar que os produtos ofertados no Lote 01 são originais Xerox e correspondem às referências especificadas.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Poderão ser apresentados, conforme aplicável: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catálogo técnico oficial da Xerox;</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ficha técnica oficial;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documentação oficial do fabricante;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declaração do fabricante;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declaração de distribuidor autorizado;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f) documento que demonstre a correspondência entre o produto e o </w:t>
      </w:r>
      <w:proofErr w:type="spellStart"/>
      <w:r w:rsidRPr="00F97084">
        <w:rPr>
          <w:rFonts w:ascii="Bookman Old Style" w:eastAsia="Times New Roman" w:hAnsi="Bookman Old Style" w:cs="Times New Roman"/>
          <w:sz w:val="20"/>
          <w:szCs w:val="20"/>
          <w:lang w:eastAsia="pt-BR"/>
        </w:rPr>
        <w:t>part</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number</w:t>
      </w:r>
      <w:proofErr w:type="spellEnd"/>
      <w:r w:rsidRPr="00F97084">
        <w:rPr>
          <w:rFonts w:ascii="Bookman Old Style" w:eastAsia="Times New Roman" w:hAnsi="Bookman Old Style" w:cs="Times New Roman"/>
          <w:sz w:val="20"/>
          <w:szCs w:val="20"/>
          <w:lang w:eastAsia="pt-BR"/>
        </w:rPr>
        <w:t>;</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g) indicação de página ou consulta em canal oficial da Xerox;</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h) outros documentos idôneos capazes de demonstrar a originalidade e procedência.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Administração poderá realizar diligências diretamente em fontes oficiais para confirmação das informações apresentadas.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w:t>
      </w:r>
      <w:r w:rsidRPr="00F97084">
        <w:rPr>
          <w:rFonts w:ascii="Bookman Old Style" w:eastAsia="Times New Roman" w:hAnsi="Bookman Old Style" w:cs="Times New Roman"/>
          <w:b/>
          <w:bCs/>
          <w:sz w:val="20"/>
          <w:szCs w:val="20"/>
          <w:lang w:eastAsia="pt-BR"/>
        </w:rPr>
        <w:t>simples declaração da licitante de que o produto é original</w:t>
      </w:r>
      <w:r w:rsidRPr="00F97084">
        <w:rPr>
          <w:rFonts w:ascii="Bookman Old Style" w:eastAsia="Times New Roman" w:hAnsi="Bookman Old Style" w:cs="Times New Roman"/>
          <w:sz w:val="20"/>
          <w:szCs w:val="20"/>
          <w:lang w:eastAsia="pt-BR"/>
        </w:rPr>
        <w:t xml:space="preserve"> não impede a Administração de exigir elementos adicionais de comprovação quando necessários à análise da proposta.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TR anterior já admitia catálogo, ficha técnica, declaração do fabricante ou distribuidor e outros documentos idôneos para verificação da originalidade dos produtos Xerox. </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8.6 – Produtos indicados como referência técnica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Nos itens em que determinada marca, linha ou modelo estiver indicado </w:t>
      </w:r>
      <w:r w:rsidRPr="00F97084">
        <w:rPr>
          <w:rFonts w:ascii="Bookman Old Style" w:eastAsia="Times New Roman" w:hAnsi="Bookman Old Style" w:cs="Times New Roman"/>
          <w:b/>
          <w:bCs/>
          <w:sz w:val="20"/>
          <w:szCs w:val="20"/>
          <w:lang w:eastAsia="pt-BR"/>
        </w:rPr>
        <w:t>como referência técnica</w:t>
      </w:r>
      <w:r w:rsidRPr="00F97084">
        <w:rPr>
          <w:rFonts w:ascii="Bookman Old Style" w:eastAsia="Times New Roman" w:hAnsi="Bookman Old Style" w:cs="Times New Roman"/>
          <w:sz w:val="20"/>
          <w:szCs w:val="20"/>
          <w:lang w:eastAsia="pt-BR"/>
        </w:rPr>
        <w:t>, será admitida a oferta de produto equivalente, similar ou superior, desde que atendidas integralmente as características mínimas estabelecidas.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indicação de referência tem como finalidade estabelecer padrão mínimo de qualidade, desempenho e características técnicas, não configurando exclusividade quando expressamente admitida equivalência.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Essa regra aplica-se, entre outros, à:</w:t>
      </w:r>
    </w:p>
    <w:p w:rsidR="008D2A52" w:rsidRPr="00F97084" w:rsidRDefault="008D2A52" w:rsidP="00CF6858">
      <w:pPr>
        <w:numPr>
          <w:ilvl w:val="0"/>
          <w:numId w:val="10"/>
        </w:num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b/>
          <w:sz w:val="20"/>
          <w:szCs w:val="20"/>
          <w:lang w:eastAsia="pt-BR"/>
        </w:rPr>
        <w:lastRenderedPageBreak/>
        <w:t>Linha</w:t>
      </w:r>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b/>
          <w:bCs/>
          <w:sz w:val="20"/>
          <w:szCs w:val="20"/>
          <w:lang w:eastAsia="pt-BR"/>
        </w:rPr>
        <w:t>InkTec</w:t>
      </w:r>
      <w:proofErr w:type="spellEnd"/>
      <w:r w:rsidRPr="00F97084">
        <w:rPr>
          <w:rFonts w:ascii="Bookman Old Style" w:eastAsia="Times New Roman" w:hAnsi="Bookman Old Style" w:cs="Times New Roman"/>
          <w:b/>
          <w:bCs/>
          <w:sz w:val="20"/>
          <w:szCs w:val="20"/>
          <w:lang w:eastAsia="pt-BR"/>
        </w:rPr>
        <w:t xml:space="preserve"> </w:t>
      </w:r>
      <w:proofErr w:type="spellStart"/>
      <w:r w:rsidRPr="00F97084">
        <w:rPr>
          <w:rFonts w:ascii="Bookman Old Style" w:eastAsia="Times New Roman" w:hAnsi="Bookman Old Style" w:cs="Times New Roman"/>
          <w:b/>
          <w:bCs/>
          <w:sz w:val="20"/>
          <w:szCs w:val="20"/>
          <w:lang w:eastAsia="pt-BR"/>
        </w:rPr>
        <w:t>Profeel</w:t>
      </w:r>
      <w:proofErr w:type="spellEnd"/>
      <w:r w:rsidRPr="00F97084">
        <w:rPr>
          <w:rFonts w:ascii="Bookman Old Style" w:eastAsia="Times New Roman" w:hAnsi="Bookman Old Style" w:cs="Times New Roman"/>
          <w:b/>
          <w:bCs/>
          <w:sz w:val="20"/>
          <w:szCs w:val="20"/>
          <w:lang w:eastAsia="pt-BR"/>
        </w:rPr>
        <w:t xml:space="preserve"> E0017</w:t>
      </w:r>
      <w:r w:rsidRPr="00F97084">
        <w:rPr>
          <w:rFonts w:ascii="Bookman Old Style" w:eastAsia="Times New Roman" w:hAnsi="Bookman Old Style" w:cs="Times New Roman"/>
          <w:sz w:val="20"/>
          <w:szCs w:val="20"/>
          <w:lang w:eastAsia="pt-BR"/>
        </w:rPr>
        <w:t>, utilizada como referência técnica para as tintas;</w:t>
      </w:r>
    </w:p>
    <w:p w:rsidR="008D2A52" w:rsidRPr="00F97084" w:rsidRDefault="008D2A52" w:rsidP="00CF6858">
      <w:pPr>
        <w:numPr>
          <w:ilvl w:val="0"/>
          <w:numId w:val="10"/>
        </w:num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b/>
          <w:bCs/>
          <w:sz w:val="20"/>
          <w:szCs w:val="20"/>
          <w:lang w:eastAsia="pt-BR"/>
        </w:rPr>
        <w:t>Brother PT-E110</w:t>
      </w:r>
      <w:r w:rsidRPr="00F97084">
        <w:rPr>
          <w:rFonts w:ascii="Bookman Old Style" w:eastAsia="Times New Roman" w:hAnsi="Bookman Old Style" w:cs="Times New Roman"/>
          <w:sz w:val="20"/>
          <w:szCs w:val="20"/>
          <w:lang w:eastAsia="pt-BR"/>
        </w:rPr>
        <w:t>, utilizada como referência para a etiquetadora;</w:t>
      </w:r>
    </w:p>
    <w:p w:rsidR="008D2A52" w:rsidRPr="00F97084" w:rsidRDefault="008D2A52" w:rsidP="00CF6858">
      <w:pPr>
        <w:numPr>
          <w:ilvl w:val="0"/>
          <w:numId w:val="10"/>
        </w:num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b/>
          <w:bCs/>
          <w:sz w:val="20"/>
          <w:szCs w:val="20"/>
          <w:lang w:eastAsia="pt-BR"/>
        </w:rPr>
        <w:t>Brother TZe-FX231</w:t>
      </w:r>
      <w:r w:rsidRPr="00F97084">
        <w:rPr>
          <w:rFonts w:ascii="Bookman Old Style" w:eastAsia="Times New Roman" w:hAnsi="Bookman Old Style" w:cs="Times New Roman"/>
          <w:sz w:val="20"/>
          <w:szCs w:val="20"/>
          <w:lang w:eastAsia="pt-BR"/>
        </w:rPr>
        <w:t>, utilizada como referência para a fita flexível laminada.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sistemática de utilização da </w:t>
      </w:r>
      <w:proofErr w:type="spellStart"/>
      <w:r w:rsidRPr="00F97084">
        <w:rPr>
          <w:rFonts w:ascii="Bookman Old Style" w:eastAsia="Times New Roman" w:hAnsi="Bookman Old Style" w:cs="Times New Roman"/>
          <w:sz w:val="20"/>
          <w:szCs w:val="20"/>
          <w:lang w:eastAsia="pt-BR"/>
        </w:rPr>
        <w:t>InkTec</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Profeel</w:t>
      </w:r>
      <w:proofErr w:type="spellEnd"/>
      <w:r w:rsidRPr="00F97084">
        <w:rPr>
          <w:rFonts w:ascii="Bookman Old Style" w:eastAsia="Times New Roman" w:hAnsi="Bookman Old Style" w:cs="Times New Roman"/>
          <w:sz w:val="20"/>
          <w:szCs w:val="20"/>
          <w:lang w:eastAsia="pt-BR"/>
        </w:rPr>
        <w:t xml:space="preserve"> E0017 como referência, com admissão de produto equivalente, similar ou superior, já constava do Termo de Referência anterior. </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Essa possibilidade </w:t>
      </w:r>
      <w:r w:rsidRPr="00F97084">
        <w:rPr>
          <w:rFonts w:ascii="Bookman Old Style" w:eastAsia="Times New Roman" w:hAnsi="Bookman Old Style" w:cs="Times New Roman"/>
          <w:b/>
          <w:bCs/>
          <w:sz w:val="20"/>
          <w:szCs w:val="20"/>
          <w:lang w:eastAsia="pt-BR"/>
        </w:rPr>
        <w:t>não se aplica ao Lote 01</w:t>
      </w:r>
      <w:r w:rsidRPr="00F97084">
        <w:rPr>
          <w:rFonts w:ascii="Bookman Old Style" w:eastAsia="Times New Roman" w:hAnsi="Bookman Old Style" w:cs="Times New Roman"/>
          <w:sz w:val="20"/>
          <w:szCs w:val="20"/>
          <w:lang w:eastAsia="pt-BR"/>
        </w:rPr>
        <w:t>, no qual a exigência de produtos originais Xerox constitui requisito técnico específico da contratação.</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8.7 – Comprovação das especificações técnicas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Quando as informações constantes da proposta não forem suficientes para verificar o atendimento às especificações, a Administração poderá solicitar documentação complementar à licitante provisoriamente classificada.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Poderão ser solicitados: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catálogo oficial;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ficha técnica;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manual do fabricante;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documentação do fabricante ou importador;</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declaração do fabricante ou distribuidor, quando pertinente;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Ficha de Dados de Segurança – FDS, quando aplicável;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g) código ou </w:t>
      </w:r>
      <w:proofErr w:type="spellStart"/>
      <w:r w:rsidRPr="00F97084">
        <w:rPr>
          <w:rFonts w:ascii="Bookman Old Style" w:eastAsia="Times New Roman" w:hAnsi="Bookman Old Style" w:cs="Times New Roman"/>
          <w:sz w:val="20"/>
          <w:szCs w:val="20"/>
          <w:lang w:eastAsia="pt-BR"/>
        </w:rPr>
        <w:t>part</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number</w:t>
      </w:r>
      <w:proofErr w:type="spellEnd"/>
      <w:r w:rsidRPr="00F97084">
        <w:rPr>
          <w:rFonts w:ascii="Bookman Old Style" w:eastAsia="Times New Roman" w:hAnsi="Bookman Old Style" w:cs="Times New Roman"/>
          <w:sz w:val="20"/>
          <w:szCs w:val="20"/>
          <w:lang w:eastAsia="pt-BR"/>
        </w:rPr>
        <w:t>;</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h) indicação de página oficial do fabricante;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i) documentação técnica equivalente;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j) outros documentos idôneos necessários à comprovação das características exigidas.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documentação apresentada deverá possibilitar a identificação do produto e a verificação objetiva das especificações.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Administração poderá promover diligências destinadas ao esclarecimento ou complementação das informações apresentadas, observados os procedimentos aplicáveis ao certame.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Esse conjunto de documentos de comprovação técnica também já era previsto no TR anterior. </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8.8 – Avaliação de amostras das tintas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Não será exigida apresentação prévia de amostra como condição geral de participação.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Entretanto, quando a licitante provisoriamente classificada em primeiro lugar nos itens de tinta ofertar produto de marca ou linha diferente da referência </w:t>
      </w:r>
      <w:proofErr w:type="spellStart"/>
      <w:r w:rsidRPr="00F97084">
        <w:rPr>
          <w:rFonts w:ascii="Bookman Old Style" w:eastAsia="Times New Roman" w:hAnsi="Bookman Old Style" w:cs="Times New Roman"/>
          <w:b/>
          <w:bCs/>
          <w:sz w:val="20"/>
          <w:szCs w:val="20"/>
          <w:lang w:eastAsia="pt-BR"/>
        </w:rPr>
        <w:t>InkTec</w:t>
      </w:r>
      <w:proofErr w:type="spellEnd"/>
      <w:r w:rsidRPr="00F97084">
        <w:rPr>
          <w:rFonts w:ascii="Bookman Old Style" w:eastAsia="Times New Roman" w:hAnsi="Bookman Old Style" w:cs="Times New Roman"/>
          <w:b/>
          <w:bCs/>
          <w:sz w:val="20"/>
          <w:szCs w:val="20"/>
          <w:lang w:eastAsia="pt-BR"/>
        </w:rPr>
        <w:t xml:space="preserve"> </w:t>
      </w:r>
      <w:proofErr w:type="spellStart"/>
      <w:r w:rsidRPr="00F97084">
        <w:rPr>
          <w:rFonts w:ascii="Bookman Old Style" w:eastAsia="Times New Roman" w:hAnsi="Bookman Old Style" w:cs="Times New Roman"/>
          <w:b/>
          <w:bCs/>
          <w:sz w:val="20"/>
          <w:szCs w:val="20"/>
          <w:lang w:eastAsia="pt-BR"/>
        </w:rPr>
        <w:t>Profeel</w:t>
      </w:r>
      <w:proofErr w:type="spellEnd"/>
      <w:r w:rsidRPr="00F97084">
        <w:rPr>
          <w:rFonts w:ascii="Bookman Old Style" w:eastAsia="Times New Roman" w:hAnsi="Bookman Old Style" w:cs="Times New Roman"/>
          <w:b/>
          <w:bCs/>
          <w:sz w:val="20"/>
          <w:szCs w:val="20"/>
          <w:lang w:eastAsia="pt-BR"/>
        </w:rPr>
        <w:t xml:space="preserve"> E0017</w:t>
      </w:r>
      <w:r w:rsidRPr="00F97084">
        <w:rPr>
          <w:rFonts w:ascii="Bookman Old Style" w:eastAsia="Times New Roman" w:hAnsi="Bookman Old Style" w:cs="Times New Roman"/>
          <w:sz w:val="20"/>
          <w:szCs w:val="20"/>
          <w:lang w:eastAsia="pt-BR"/>
        </w:rPr>
        <w:t xml:space="preserve"> e a </w:t>
      </w:r>
      <w:r w:rsidRPr="00F97084">
        <w:rPr>
          <w:rFonts w:ascii="Bookman Old Style" w:eastAsia="Times New Roman" w:hAnsi="Bookman Old Style" w:cs="Times New Roman"/>
          <w:sz w:val="20"/>
          <w:szCs w:val="20"/>
          <w:lang w:eastAsia="pt-BR"/>
        </w:rPr>
        <w:lastRenderedPageBreak/>
        <w:t xml:space="preserve">documentação técnica apresentada não for suficiente para comprovar sua equivalência e adequação, a Administração poderá solicitar </w:t>
      </w:r>
      <w:r w:rsidRPr="00F97084">
        <w:rPr>
          <w:rFonts w:ascii="Bookman Old Style" w:eastAsia="Times New Roman" w:hAnsi="Bookman Old Style" w:cs="Times New Roman"/>
          <w:b/>
          <w:bCs/>
          <w:sz w:val="20"/>
          <w:szCs w:val="20"/>
          <w:lang w:eastAsia="pt-BR"/>
        </w:rPr>
        <w:t>amostra para avaliação técnica</w:t>
      </w:r>
      <w:r w:rsidRPr="00F97084">
        <w:rPr>
          <w:rFonts w:ascii="Bookman Old Style" w:eastAsia="Times New Roman" w:hAnsi="Bookman Old Style" w:cs="Times New Roman"/>
          <w:sz w:val="20"/>
          <w:szCs w:val="20"/>
          <w:lang w:eastAsia="pt-BR"/>
        </w:rPr>
        <w:t>.</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avaliação poderá considerar:</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fabricante, marca, linha e procedência;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identificação do produto;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homogeneidade;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ausência de sedimentação anormal;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fluidez;</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comportamento durante o abastecimento;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g) estabilidade durante a utilização;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h) qualidade da impressão;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i) funcionamento regular do equipamento durante o teste;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j) demais características técnicas relevantes previstas neste Termo de Referência.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solicitação da amostra e o resultado da avaliação deverão ser registrados no processo.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Esse procedimento já constava do TR anterior para tintas ofertadas em linha distinta da referência técnica. </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8.9 – Critérios de aceitabilidade das propostas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Serão recusadas ou desclassificadas, conforme a fase do procedimento, as propostas que: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não atendam às especificações técnicas deste Termo de Referência;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não identifiquem adequadamente o produto quando necessária sua análise técnica;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apresentem marca, modelo, linha ou código incompatível com o item;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ofertem produto usado quando exigido produto novo;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e) ofertem produto </w:t>
      </w:r>
      <w:proofErr w:type="spellStart"/>
      <w:r w:rsidRPr="00F97084">
        <w:rPr>
          <w:rFonts w:ascii="Bookman Old Style" w:eastAsia="Times New Roman" w:hAnsi="Bookman Old Style" w:cs="Times New Roman"/>
          <w:sz w:val="20"/>
          <w:szCs w:val="20"/>
          <w:lang w:eastAsia="pt-BR"/>
        </w:rPr>
        <w:t>remanufaturado</w:t>
      </w:r>
      <w:proofErr w:type="spellEnd"/>
      <w:r w:rsidRPr="00F97084">
        <w:rPr>
          <w:rFonts w:ascii="Bookman Old Style" w:eastAsia="Times New Roman" w:hAnsi="Bookman Old Style" w:cs="Times New Roman"/>
          <w:sz w:val="20"/>
          <w:szCs w:val="20"/>
          <w:lang w:eastAsia="pt-BR"/>
        </w:rPr>
        <w:t>, recondicionado, recuperado ou reaproveitado quando vedado pela especificação;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ofertem tinta genérica ou universal sem identificação suficiente de fabricante, linha e procedência;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g) não comprovem, quando solicitado, as características técnicas exigidas;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h) apresentem produto incompatível com os equipamentos indicados;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i) ofertem capacidade ou rendimento inferior ao mínimo estabelecido;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j) apresentem preço superior ao valor máximo admitido pela Administração;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k) apresentem preço manifestamente inexequível ou condição incompatível com a adequada execução do fornecimento;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l) deixem de atender às demais condições estabelecidas no Edital ou neste Termo de Referência.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Além dessas hipóteses, no </w:t>
      </w:r>
      <w:r w:rsidRPr="00F97084">
        <w:rPr>
          <w:rFonts w:ascii="Bookman Old Style" w:eastAsia="Times New Roman" w:hAnsi="Bookman Old Style" w:cs="Times New Roman"/>
          <w:b/>
          <w:bCs/>
          <w:sz w:val="20"/>
          <w:szCs w:val="20"/>
          <w:lang w:eastAsia="pt-BR"/>
        </w:rPr>
        <w:t>Lote 01</w:t>
      </w:r>
      <w:r w:rsidRPr="00F97084">
        <w:rPr>
          <w:rFonts w:ascii="Bookman Old Style" w:eastAsia="Times New Roman" w:hAnsi="Bookman Old Style" w:cs="Times New Roman"/>
          <w:sz w:val="20"/>
          <w:szCs w:val="20"/>
          <w:lang w:eastAsia="pt-BR"/>
        </w:rPr>
        <w:t>, serão recusadas ou desclassificadas as propostas que: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m) não contemplem todos os 21 itens;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n) ofertem produto que não seja original Xerox;</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 apresentem </w:t>
      </w:r>
      <w:proofErr w:type="spellStart"/>
      <w:r w:rsidRPr="00F97084">
        <w:rPr>
          <w:rFonts w:ascii="Bookman Old Style" w:eastAsia="Times New Roman" w:hAnsi="Bookman Old Style" w:cs="Times New Roman"/>
          <w:sz w:val="20"/>
          <w:szCs w:val="20"/>
          <w:lang w:eastAsia="pt-BR"/>
        </w:rPr>
        <w:t>part</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number</w:t>
      </w:r>
      <w:proofErr w:type="spellEnd"/>
      <w:r w:rsidRPr="00F97084">
        <w:rPr>
          <w:rFonts w:ascii="Bookman Old Style" w:eastAsia="Times New Roman" w:hAnsi="Bookman Old Style" w:cs="Times New Roman"/>
          <w:sz w:val="20"/>
          <w:szCs w:val="20"/>
          <w:lang w:eastAsia="pt-BR"/>
        </w:rPr>
        <w:t xml:space="preserve"> divergente sem comprovação oficial de substituição ou sucessão de código pelo fabricante;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p) apresentem qualquer preço unitário superior ao valor máximo admitido para o respectivo item;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q) não permitam comprovar a originalidade ou correspondência dos produtos quando formalmente solicitado.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Os critérios de desclassificação por desconformidade técnica, falta de identificação, incompatibilidade e preço inadequado encontram fundamento também nos modelos anteriores utilizados pela Administração. </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8.10 – Habilitação do fornecedor</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Os licitantes deverão atender às condições de habilitação estabelecidas no Edital e na legislação aplicável, abrangendo, conforme exigível ao objeto: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habilitação jurídica;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regularidade fiscal;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regularidade social;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regularidade trabalhista;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qualificação econômico-financeira;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demais documentos e declarações exigíveis.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As exigências de habilitação deverão guardar relação com o objeto e ser proporcionais às obrigações assumidas, não sendo estabelecidas condições técnicas sem pertinência com o fornecimento contratado.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participação e o tratamento aplicável às microempresas e empresas de pequeno porte observarão as condições estabelecidas no Edital e na legislação pertinente, conforme também previsto no TR anterior. </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8.11 – Vinculação da proposta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proposta apresentada e aceita integra as condições da contratação para todos os efeitos.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A contratada deverá fornecer exatamente os produtos correspondentes às características, marcas, modelos, linhas, códigos e referências constantes da proposta aceita, observadas as especificações obrigatórias deste Termo de Referência.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Não será admitida substituição unilateral de produto durante a execução.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Eventual alteração somente poderá ocorrer mediante justificativa e análise prévia da Administração, quando legal e tecnicamente admissível e sem prejuízo das características, qualidade ou condições que fundamentaram a seleção da proposta.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i/>
          <w:iCs/>
          <w:sz w:val="20"/>
          <w:szCs w:val="20"/>
          <w:lang w:eastAsia="pt-BR"/>
        </w:rPr>
      </w:pPr>
      <w:r w:rsidRPr="00F97084">
        <w:rPr>
          <w:rFonts w:ascii="Bookman Old Style" w:eastAsia="Times New Roman" w:hAnsi="Bookman Old Style" w:cs="Times New Roman"/>
          <w:b/>
          <w:bCs/>
          <w:sz w:val="20"/>
          <w:szCs w:val="20"/>
          <w:lang w:eastAsia="pt-BR"/>
        </w:rPr>
        <w:t xml:space="preserve">9. ESTIMATIVA DO VALOR DA CONTRATAÇÃO </w:t>
      </w:r>
      <w:r w:rsidRPr="00F97084">
        <w:rPr>
          <w:rFonts w:ascii="Bookman Old Style" w:eastAsia="Times New Roman" w:hAnsi="Bookman Old Style" w:cs="Times New Roman"/>
          <w:i/>
          <w:iCs/>
          <w:sz w:val="20"/>
          <w:szCs w:val="20"/>
          <w:lang w:eastAsia="pt-BR"/>
        </w:rPr>
        <w:t>(Art. 6º, inciso XXIII, alínea “i”, da Lei nº 14.133/2021)</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estimativa do valor da presente contratação foi elaborada com base nos quantitativos definidos pela Administração e nas especificações técnicas estabelecidas para os 69 (sessenta e nove) itens que compõem o objeto, distribuídos em 02 (dois) lotes, mediante pesquisa de preços compatível com as características dos produtos e com as condições de fornecimento previstas neste Termo de Referência.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pesquisa considerou produtos que atendem efetivamente aos requisitos técnicos da contratação, evitando a utilização de preços referentes a materiais com características, qualidade, capacidade, rendimento, procedência ou condições de fornecimento incompatíveis com aquelas exigidas pela Administração.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memória de cálculo, as fontes consultadas, os preços obtidos e os valores referenciais encontram-se consolidados na </w:t>
      </w:r>
      <w:r w:rsidRPr="00F97084">
        <w:rPr>
          <w:rFonts w:ascii="Bookman Old Style" w:eastAsia="Times New Roman" w:hAnsi="Bookman Old Style" w:cs="Times New Roman"/>
          <w:b/>
          <w:bCs/>
          <w:sz w:val="20"/>
          <w:szCs w:val="20"/>
          <w:lang w:eastAsia="pt-BR"/>
        </w:rPr>
        <w:t>Planilha de Formação do Valor Estimado / Pesquisa de Preços</w:t>
      </w:r>
      <w:r w:rsidRPr="00F97084">
        <w:rPr>
          <w:rFonts w:ascii="Bookman Old Style" w:eastAsia="Times New Roman" w:hAnsi="Bookman Old Style" w:cs="Times New Roman"/>
          <w:sz w:val="20"/>
          <w:szCs w:val="20"/>
          <w:lang w:eastAsia="pt-BR"/>
        </w:rPr>
        <w:t>, integrante da instrução do processo.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Os Termos de Referência anteriores também adotavam planilha própria de pesquisa de preços e memória de cálculo para fundamentação dos valores estimados.  </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9.1 – Estimativa do Lote 01 – Xerox Color C70 Pro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Para os 21 itens integrantes do </w:t>
      </w:r>
      <w:r w:rsidRPr="00F97084">
        <w:rPr>
          <w:rFonts w:ascii="Bookman Old Style" w:eastAsia="Times New Roman" w:hAnsi="Bookman Old Style" w:cs="Times New Roman"/>
          <w:b/>
          <w:bCs/>
          <w:sz w:val="20"/>
          <w:szCs w:val="20"/>
          <w:lang w:eastAsia="pt-BR"/>
        </w:rPr>
        <w:t>Lote 01</w:t>
      </w:r>
      <w:r w:rsidRPr="00F97084">
        <w:rPr>
          <w:rFonts w:ascii="Bookman Old Style" w:eastAsia="Times New Roman" w:hAnsi="Bookman Old Style" w:cs="Times New Roman"/>
          <w:sz w:val="20"/>
          <w:szCs w:val="20"/>
          <w:lang w:eastAsia="pt-BR"/>
        </w:rPr>
        <w:t xml:space="preserve">, a pesquisa de preços considerou exclusivamente produtos </w:t>
      </w:r>
      <w:r w:rsidRPr="00F97084">
        <w:rPr>
          <w:rFonts w:ascii="Bookman Old Style" w:eastAsia="Times New Roman" w:hAnsi="Bookman Old Style" w:cs="Times New Roman"/>
          <w:b/>
          <w:bCs/>
          <w:sz w:val="20"/>
          <w:szCs w:val="20"/>
          <w:lang w:eastAsia="pt-BR"/>
        </w:rPr>
        <w:t>originais do fabricante Xerox</w:t>
      </w:r>
      <w:r w:rsidRPr="00F97084">
        <w:rPr>
          <w:rFonts w:ascii="Bookman Old Style" w:eastAsia="Times New Roman" w:hAnsi="Bookman Old Style" w:cs="Times New Roman"/>
          <w:sz w:val="20"/>
          <w:szCs w:val="20"/>
          <w:lang w:eastAsia="pt-BR"/>
        </w:rPr>
        <w:t xml:space="preserve">, correspondentes aos </w:t>
      </w:r>
      <w:proofErr w:type="spellStart"/>
      <w:r w:rsidRPr="00F97084">
        <w:rPr>
          <w:rFonts w:ascii="Bookman Old Style" w:eastAsia="Times New Roman" w:hAnsi="Bookman Old Style" w:cs="Times New Roman"/>
          <w:sz w:val="20"/>
          <w:szCs w:val="20"/>
          <w:lang w:eastAsia="pt-BR"/>
        </w:rPr>
        <w:t>part</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numbers</w:t>
      </w:r>
      <w:proofErr w:type="spellEnd"/>
      <w:r w:rsidRPr="00F97084">
        <w:rPr>
          <w:rFonts w:ascii="Bookman Old Style" w:eastAsia="Times New Roman" w:hAnsi="Bookman Old Style" w:cs="Times New Roman"/>
          <w:sz w:val="20"/>
          <w:szCs w:val="20"/>
          <w:lang w:eastAsia="pt-BR"/>
        </w:rPr>
        <w:t xml:space="preserve"> especificados neste Termo de Referência.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Não foram considerados, para formação dos valores referenciais desse lote, preços de produtos compatíveis, similares, </w:t>
      </w:r>
      <w:proofErr w:type="spellStart"/>
      <w:r w:rsidRPr="00F97084">
        <w:rPr>
          <w:rFonts w:ascii="Bookman Old Style" w:eastAsia="Times New Roman" w:hAnsi="Bookman Old Style" w:cs="Times New Roman"/>
          <w:sz w:val="20"/>
          <w:szCs w:val="20"/>
          <w:lang w:eastAsia="pt-BR"/>
        </w:rPr>
        <w:t>remanufaturados</w:t>
      </w:r>
      <w:proofErr w:type="spellEnd"/>
      <w:r w:rsidRPr="00F97084">
        <w:rPr>
          <w:rFonts w:ascii="Bookman Old Style" w:eastAsia="Times New Roman" w:hAnsi="Bookman Old Style" w:cs="Times New Roman"/>
          <w:sz w:val="20"/>
          <w:szCs w:val="20"/>
          <w:lang w:eastAsia="pt-BR"/>
        </w:rPr>
        <w:t>, recondicionados, reciclados, recarregados ou de fabricantes diversos, uma vez que não atendem aos requisitos técnicos definidos para o grupo.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Embora o critério de julgamento do Lote 01 seja o </w:t>
      </w:r>
      <w:r w:rsidRPr="00F97084">
        <w:rPr>
          <w:rFonts w:ascii="Bookman Old Style" w:eastAsia="Times New Roman" w:hAnsi="Bookman Old Style" w:cs="Times New Roman"/>
          <w:b/>
          <w:bCs/>
          <w:sz w:val="20"/>
          <w:szCs w:val="20"/>
          <w:lang w:eastAsia="pt-BR"/>
        </w:rPr>
        <w:t>menor preço global do lote</w:t>
      </w:r>
      <w:r w:rsidRPr="00F97084">
        <w:rPr>
          <w:rFonts w:ascii="Bookman Old Style" w:eastAsia="Times New Roman" w:hAnsi="Bookman Old Style" w:cs="Times New Roman"/>
          <w:sz w:val="20"/>
          <w:szCs w:val="20"/>
          <w:lang w:eastAsia="pt-BR"/>
        </w:rPr>
        <w:t>, a estimativa foi realizada de forma individualizada por item, permitindo identificar:</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preço unitário referencial de cada produto;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quantidade estimada;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valor total estimado de cada item;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valor global estimado do lote.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A individualização dos valores permite controlar a razoabilidade dos preços unitários, considerando que os componentes poderão ser solicitados em momentos e quantidades distintas durante a execução.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b/>
          <w:bCs/>
          <w:sz w:val="20"/>
          <w:szCs w:val="20"/>
          <w:lang w:eastAsia="pt-BR"/>
        </w:rPr>
        <w:t>VALOR ESTIMADO DO LOTE 01: R$ 236.976,04 (duzentos e trinta e seis mil, novecentos e setenta e seis reais e quatro centavos).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b/>
          <w:bCs/>
          <w:sz w:val="20"/>
          <w:szCs w:val="20"/>
          <w:lang w:eastAsia="pt-BR"/>
        </w:rPr>
        <w:t>9.2 – Estimativa do Lote 02 – Tintas, toners, cilindros, fitas, peças, materiais, ferramentas e equipamentos para impressão e manutenção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Para os itens integrantes do Lote 02, a pesquisa de preços observou individualmente as características técnicas de cada produto, considerando, conforme aplicável, compatibilidade com os respectivos equipamentos, rendimento, capacidade, procedência, condição de produto novo, dimensões, características mecânicas, elétricas e eletrônicas, tensão de alimentação, recursos, acessórios e presença de chip ou sistema de reconhecimento adequado.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Nos itens de tinta, foram considerados produtos capazes de atender ao padrão técnico estabelecido pela Administração, tendo como referência a linha </w:t>
      </w:r>
      <w:proofErr w:type="spellStart"/>
      <w:r w:rsidRPr="00F97084">
        <w:rPr>
          <w:rFonts w:ascii="Bookman Old Style" w:eastAsia="Times New Roman" w:hAnsi="Bookman Old Style" w:cs="Times New Roman"/>
          <w:sz w:val="20"/>
          <w:szCs w:val="20"/>
          <w:lang w:eastAsia="pt-BR"/>
        </w:rPr>
        <w:t>InkTec</w:t>
      </w:r>
      <w:proofErr w:type="spellEnd"/>
      <w:r w:rsidRPr="00F97084">
        <w:rPr>
          <w:rFonts w:ascii="Bookman Old Style" w:eastAsia="Times New Roman" w:hAnsi="Bookman Old Style" w:cs="Times New Roman"/>
          <w:sz w:val="20"/>
          <w:szCs w:val="20"/>
          <w:lang w:eastAsia="pt-BR"/>
        </w:rPr>
        <w:t xml:space="preserve"> </w:t>
      </w:r>
      <w:proofErr w:type="spellStart"/>
      <w:r w:rsidRPr="00F97084">
        <w:rPr>
          <w:rFonts w:ascii="Bookman Old Style" w:eastAsia="Times New Roman" w:hAnsi="Bookman Old Style" w:cs="Times New Roman"/>
          <w:sz w:val="20"/>
          <w:szCs w:val="20"/>
          <w:lang w:eastAsia="pt-BR"/>
        </w:rPr>
        <w:t>Profeel</w:t>
      </w:r>
      <w:proofErr w:type="spellEnd"/>
      <w:r w:rsidRPr="00F97084">
        <w:rPr>
          <w:rFonts w:ascii="Bookman Old Style" w:eastAsia="Times New Roman" w:hAnsi="Bookman Old Style" w:cs="Times New Roman"/>
          <w:sz w:val="20"/>
          <w:szCs w:val="20"/>
          <w:lang w:eastAsia="pt-BR"/>
        </w:rPr>
        <w:t xml:space="preserve"> E0017, admitidos produtos equivalentes, similares ou superiores que atendam integralmente aos requisitos definidos neste Termo de Referência.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Nos cartuchos de toner, cilindros, unidades de imagem e demais suprimentos, foram considerados produtos novos, de primeiro uso e compatíveis com os respectivos equipamentos, observadas as especificações técnicas estabelecidas para cada item.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Para as peças, componentes, materiais, ferramentas e equipamentos destinados à manutenção, foram consideradas as características específicas de cada produto, de forma que os preços referenciais representem itens efetivamente comparáveis aos pretendidos pela Administração.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Nos produtos em que determinada marca ou modelo foi utilizado apenas como referência técnica, a pesquisa considerou produtos equivalentes, similares ou superiores que atendam aos requisitos mínimos definidos neste Termo de Referência.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Como o julgamento do Lote 02 ocorrerá individualmente por item, cada produto possui seu respectivo valor unitário estimado e valor máximo admissível, conforme demonstrado na planilha de pesquisa de preços.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4"/>
          <w:szCs w:val="24"/>
          <w:lang w:eastAsia="pt-BR"/>
        </w:rPr>
      </w:pPr>
      <w:r w:rsidRPr="00F97084">
        <w:rPr>
          <w:rFonts w:ascii="Bookman Old Style" w:eastAsia="Times New Roman" w:hAnsi="Bookman Old Style" w:cs="Times New Roman"/>
          <w:b/>
          <w:bCs/>
          <w:sz w:val="20"/>
          <w:szCs w:val="20"/>
          <w:lang w:eastAsia="pt-BR"/>
        </w:rPr>
        <w:t>VALOR ESTIMADO DO LOTE 02: R$ 147.375,49 (cento e quarenta e sete mil, trezentos e setenta e cinco reais e quarenta e nove centavos</w:t>
      </w:r>
      <w:r w:rsidRPr="00F97084">
        <w:rPr>
          <w:rFonts w:ascii="Bookman Old Style" w:eastAsia="Times New Roman" w:hAnsi="Bookman Old Style" w:cs="Times New Roman"/>
          <w:b/>
          <w:bCs/>
          <w:sz w:val="24"/>
          <w:szCs w:val="24"/>
          <w:lang w:eastAsia="pt-BR"/>
        </w:rPr>
        <w:t>).</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9.3 – Valor global estimado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composição financeira da contratação está consolidada da seguinte forma:</w:t>
      </w:r>
    </w:p>
    <w:tbl>
      <w:tblPr>
        <w:tblStyle w:val="Tabelacomgrade1"/>
        <w:tblW w:w="0" w:type="auto"/>
        <w:tblLook w:val="04A0" w:firstRow="1" w:lastRow="0" w:firstColumn="1" w:lastColumn="0" w:noHBand="0" w:noVBand="1"/>
      </w:tblPr>
      <w:tblGrid>
        <w:gridCol w:w="3209"/>
        <w:gridCol w:w="3209"/>
        <w:gridCol w:w="3210"/>
      </w:tblGrid>
      <w:tr w:rsidR="008D2A52" w:rsidRPr="00F97084" w:rsidTr="00387425">
        <w:tc>
          <w:tcPr>
            <w:tcW w:w="3209" w:type="dxa"/>
            <w:vAlign w:val="center"/>
          </w:tcPr>
          <w:p w:rsidR="008D2A52" w:rsidRPr="00F97084" w:rsidRDefault="008D2A52" w:rsidP="00CF6858">
            <w:pPr>
              <w:spacing w:before="100" w:beforeAutospacing="1" w:after="100" w:afterAutospacing="1"/>
              <w:jc w:val="both"/>
              <w:rPr>
                <w:rFonts w:ascii="Bookman Old Style" w:eastAsia="Times New Roman" w:hAnsi="Bookman Old Style"/>
                <w:lang w:eastAsia="pt-BR"/>
              </w:rPr>
            </w:pPr>
            <w:r w:rsidRPr="00F97084">
              <w:rPr>
                <w:rFonts w:ascii="Bookman Old Style" w:eastAsia="Times New Roman" w:hAnsi="Bookman Old Style"/>
                <w:b/>
                <w:bCs/>
                <w:lang w:eastAsia="pt-BR"/>
              </w:rPr>
              <w:t>GRUPO</w:t>
            </w:r>
          </w:p>
        </w:tc>
        <w:tc>
          <w:tcPr>
            <w:tcW w:w="3209" w:type="dxa"/>
            <w:vAlign w:val="center"/>
          </w:tcPr>
          <w:p w:rsidR="008D2A52" w:rsidRPr="00F97084" w:rsidRDefault="008D2A52" w:rsidP="00CF6858">
            <w:pPr>
              <w:spacing w:before="100" w:beforeAutospacing="1" w:after="100" w:afterAutospacing="1"/>
              <w:jc w:val="both"/>
              <w:rPr>
                <w:rFonts w:ascii="Bookman Old Style" w:eastAsia="Times New Roman" w:hAnsi="Bookman Old Style"/>
                <w:lang w:eastAsia="pt-BR"/>
              </w:rPr>
            </w:pPr>
            <w:r w:rsidRPr="00F97084">
              <w:rPr>
                <w:rFonts w:ascii="Bookman Old Style" w:eastAsia="Times New Roman" w:hAnsi="Bookman Old Style"/>
                <w:b/>
                <w:bCs/>
                <w:lang w:eastAsia="pt-BR"/>
              </w:rPr>
              <w:t>DESCRIÇÃO</w:t>
            </w:r>
          </w:p>
        </w:tc>
        <w:tc>
          <w:tcPr>
            <w:tcW w:w="3210" w:type="dxa"/>
            <w:vAlign w:val="center"/>
          </w:tcPr>
          <w:p w:rsidR="008D2A52" w:rsidRPr="00F97084" w:rsidRDefault="008D2A52" w:rsidP="00CF6858">
            <w:pPr>
              <w:spacing w:before="100" w:beforeAutospacing="1" w:after="100" w:afterAutospacing="1"/>
              <w:jc w:val="both"/>
              <w:rPr>
                <w:rFonts w:ascii="Bookman Old Style" w:eastAsia="Times New Roman" w:hAnsi="Bookman Old Style"/>
                <w:lang w:eastAsia="pt-BR"/>
              </w:rPr>
            </w:pPr>
            <w:r w:rsidRPr="00F97084">
              <w:rPr>
                <w:rFonts w:ascii="Bookman Old Style" w:eastAsia="Times New Roman" w:hAnsi="Bookman Old Style"/>
                <w:b/>
                <w:bCs/>
                <w:lang w:eastAsia="pt-BR"/>
              </w:rPr>
              <w:t>VALOR ESTIMADO</w:t>
            </w:r>
          </w:p>
        </w:tc>
      </w:tr>
      <w:tr w:rsidR="008D2A52" w:rsidRPr="00F97084" w:rsidTr="00387425">
        <w:tc>
          <w:tcPr>
            <w:tcW w:w="3209" w:type="dxa"/>
            <w:vAlign w:val="center"/>
          </w:tcPr>
          <w:p w:rsidR="008D2A52" w:rsidRPr="00F97084" w:rsidRDefault="008D2A52" w:rsidP="00CF6858">
            <w:pPr>
              <w:spacing w:before="100" w:beforeAutospacing="1" w:after="100" w:afterAutospacing="1"/>
              <w:jc w:val="both"/>
              <w:rPr>
                <w:rFonts w:ascii="Bookman Old Style" w:eastAsia="Times New Roman" w:hAnsi="Bookman Old Style"/>
                <w:lang w:eastAsia="pt-BR"/>
              </w:rPr>
            </w:pPr>
            <w:r w:rsidRPr="00F97084">
              <w:rPr>
                <w:rFonts w:ascii="Bookman Old Style" w:eastAsia="Times New Roman" w:hAnsi="Bookman Old Style"/>
                <w:b/>
                <w:bCs/>
                <w:lang w:eastAsia="pt-BR"/>
              </w:rPr>
              <w:t>LOTE 01</w:t>
            </w:r>
          </w:p>
        </w:tc>
        <w:tc>
          <w:tcPr>
            <w:tcW w:w="3209" w:type="dxa"/>
            <w:vAlign w:val="center"/>
          </w:tcPr>
          <w:p w:rsidR="008D2A52" w:rsidRPr="00F97084" w:rsidRDefault="008D2A52" w:rsidP="00CF6858">
            <w:pPr>
              <w:spacing w:before="100" w:beforeAutospacing="1" w:after="100" w:afterAutospacing="1"/>
              <w:jc w:val="both"/>
              <w:rPr>
                <w:rFonts w:ascii="Bookman Old Style" w:eastAsia="Times New Roman" w:hAnsi="Bookman Old Style"/>
                <w:lang w:eastAsia="pt-BR"/>
              </w:rPr>
            </w:pPr>
            <w:r w:rsidRPr="00F97084">
              <w:rPr>
                <w:rFonts w:ascii="Bookman Old Style" w:eastAsia="Times New Roman" w:hAnsi="Bookman Old Style"/>
                <w:lang w:eastAsia="pt-BR"/>
              </w:rPr>
              <w:t>Suprimentos e componentes originais Xerox Color C70 Pro</w:t>
            </w:r>
          </w:p>
        </w:tc>
        <w:tc>
          <w:tcPr>
            <w:tcW w:w="3210" w:type="dxa"/>
          </w:tcPr>
          <w:p w:rsidR="008D2A52" w:rsidRPr="00F97084" w:rsidRDefault="008D2A52" w:rsidP="00CF6858">
            <w:pPr>
              <w:spacing w:before="100" w:beforeAutospacing="1" w:after="100" w:afterAutospacing="1"/>
              <w:jc w:val="both"/>
              <w:rPr>
                <w:rFonts w:ascii="Bookman Old Style" w:eastAsia="Times New Roman" w:hAnsi="Bookman Old Style"/>
                <w:lang w:eastAsia="pt-BR"/>
              </w:rPr>
            </w:pPr>
            <w:r w:rsidRPr="00F97084">
              <w:rPr>
                <w:rFonts w:ascii="Bookman Old Style" w:eastAsia="Times New Roman" w:hAnsi="Bookman Old Style"/>
                <w:b/>
                <w:bCs/>
                <w:lang w:eastAsia="pt-BR"/>
              </w:rPr>
              <w:t xml:space="preserve">R$ 236.976,04 </w:t>
            </w:r>
            <w:r w:rsidRPr="00F97084">
              <w:rPr>
                <w:rFonts w:ascii="Bookman Old Style" w:eastAsia="Times New Roman" w:hAnsi="Bookman Old Style"/>
                <w:lang w:eastAsia="pt-BR"/>
              </w:rPr>
              <w:t>(duzentos e trinta e seis mil, novecentos e setenta e seis reais e quatro centavos).</w:t>
            </w:r>
          </w:p>
        </w:tc>
      </w:tr>
      <w:tr w:rsidR="008D2A52" w:rsidRPr="00F97084" w:rsidTr="00387425">
        <w:tc>
          <w:tcPr>
            <w:tcW w:w="3209" w:type="dxa"/>
            <w:vAlign w:val="center"/>
          </w:tcPr>
          <w:p w:rsidR="008D2A52" w:rsidRPr="00F97084" w:rsidRDefault="008D2A52" w:rsidP="00CF6858">
            <w:pPr>
              <w:spacing w:before="100" w:beforeAutospacing="1" w:after="100" w:afterAutospacing="1"/>
              <w:jc w:val="both"/>
              <w:rPr>
                <w:rFonts w:ascii="Bookman Old Style" w:eastAsia="Times New Roman" w:hAnsi="Bookman Old Style"/>
                <w:lang w:eastAsia="pt-BR"/>
              </w:rPr>
            </w:pPr>
            <w:r w:rsidRPr="00F97084">
              <w:rPr>
                <w:rFonts w:ascii="Bookman Old Style" w:eastAsia="Times New Roman" w:hAnsi="Bookman Old Style"/>
                <w:b/>
                <w:bCs/>
                <w:lang w:eastAsia="pt-BR"/>
              </w:rPr>
              <w:t>LOTE 02</w:t>
            </w:r>
          </w:p>
        </w:tc>
        <w:tc>
          <w:tcPr>
            <w:tcW w:w="3209" w:type="dxa"/>
            <w:vAlign w:val="center"/>
          </w:tcPr>
          <w:p w:rsidR="008D2A52" w:rsidRPr="00F97084" w:rsidRDefault="008D2A52" w:rsidP="00CF6858">
            <w:pPr>
              <w:spacing w:before="100" w:beforeAutospacing="1" w:after="100" w:afterAutospacing="1"/>
              <w:jc w:val="both"/>
              <w:rPr>
                <w:rFonts w:ascii="Bookman Old Style" w:eastAsia="Times New Roman" w:hAnsi="Bookman Old Style"/>
                <w:lang w:eastAsia="pt-BR"/>
              </w:rPr>
            </w:pPr>
            <w:r w:rsidRPr="00F97084">
              <w:rPr>
                <w:rFonts w:ascii="Bookman Old Style" w:eastAsia="Times New Roman" w:hAnsi="Bookman Old Style"/>
                <w:lang w:eastAsia="pt-BR"/>
              </w:rPr>
              <w:t xml:space="preserve">Tintas, toners, cilindros, fitas, peças, materiais, ferramentas e equipamentos para </w:t>
            </w:r>
            <w:r w:rsidRPr="00F97084">
              <w:rPr>
                <w:rFonts w:ascii="Bookman Old Style" w:eastAsia="Times New Roman" w:hAnsi="Bookman Old Style"/>
                <w:lang w:eastAsia="pt-BR"/>
              </w:rPr>
              <w:lastRenderedPageBreak/>
              <w:t>impressão e manutenção</w:t>
            </w:r>
          </w:p>
        </w:tc>
        <w:tc>
          <w:tcPr>
            <w:tcW w:w="3210" w:type="dxa"/>
          </w:tcPr>
          <w:p w:rsidR="008D2A52" w:rsidRPr="00F97084" w:rsidRDefault="008D2A52" w:rsidP="00CF6858">
            <w:pPr>
              <w:spacing w:before="100" w:beforeAutospacing="1" w:after="100" w:afterAutospacing="1"/>
              <w:jc w:val="both"/>
              <w:rPr>
                <w:rFonts w:ascii="Bookman Old Style" w:eastAsia="Times New Roman" w:hAnsi="Bookman Old Style"/>
                <w:lang w:eastAsia="pt-BR"/>
              </w:rPr>
            </w:pPr>
            <w:r w:rsidRPr="00F97084">
              <w:rPr>
                <w:rFonts w:ascii="Bookman Old Style" w:eastAsia="Times New Roman" w:hAnsi="Bookman Old Style"/>
                <w:b/>
                <w:bCs/>
                <w:lang w:eastAsia="pt-BR"/>
              </w:rPr>
              <w:lastRenderedPageBreak/>
              <w:t xml:space="preserve">R$ 147.375,49 </w:t>
            </w:r>
            <w:r w:rsidRPr="00F97084">
              <w:rPr>
                <w:rFonts w:ascii="Bookman Old Style" w:eastAsia="Times New Roman" w:hAnsi="Bookman Old Style"/>
                <w:lang w:eastAsia="pt-BR"/>
              </w:rPr>
              <w:t xml:space="preserve">(cento e quarenta e sete mil, trezentos e setenta e cinco reais e </w:t>
            </w:r>
            <w:r w:rsidRPr="00F97084">
              <w:rPr>
                <w:rFonts w:ascii="Bookman Old Style" w:eastAsia="Times New Roman" w:hAnsi="Bookman Old Style"/>
                <w:lang w:eastAsia="pt-BR"/>
              </w:rPr>
              <w:lastRenderedPageBreak/>
              <w:t>quarenta e nove centavos).</w:t>
            </w:r>
          </w:p>
        </w:tc>
      </w:tr>
      <w:tr w:rsidR="008D2A52" w:rsidRPr="00F97084" w:rsidTr="00387425">
        <w:trPr>
          <w:trHeight w:val="480"/>
        </w:trPr>
        <w:tc>
          <w:tcPr>
            <w:tcW w:w="6418" w:type="dxa"/>
            <w:gridSpan w:val="2"/>
            <w:shd w:val="clear" w:color="auto" w:fill="DAEEF3" w:themeFill="accent5" w:themeFillTint="33"/>
            <w:vAlign w:val="center"/>
          </w:tcPr>
          <w:p w:rsidR="008D2A52" w:rsidRPr="00F97084" w:rsidRDefault="008D2A52" w:rsidP="00CF6858">
            <w:pPr>
              <w:spacing w:before="100" w:beforeAutospacing="1" w:after="100" w:afterAutospacing="1"/>
              <w:jc w:val="both"/>
              <w:rPr>
                <w:rFonts w:ascii="Bookman Old Style" w:eastAsia="Times New Roman" w:hAnsi="Bookman Old Style"/>
                <w:lang w:eastAsia="pt-BR"/>
              </w:rPr>
            </w:pPr>
            <w:r w:rsidRPr="00F97084">
              <w:rPr>
                <w:rFonts w:ascii="Bookman Old Style" w:eastAsia="Times New Roman" w:hAnsi="Bookman Old Style"/>
                <w:b/>
                <w:bCs/>
                <w:lang w:eastAsia="pt-BR"/>
              </w:rPr>
              <w:lastRenderedPageBreak/>
              <w:t>VALOR GLOBAL ESTIMADO DA CONTRATAÇÃO</w:t>
            </w:r>
          </w:p>
        </w:tc>
        <w:tc>
          <w:tcPr>
            <w:tcW w:w="3210" w:type="dxa"/>
          </w:tcPr>
          <w:p w:rsidR="008D2A52" w:rsidRPr="00F97084" w:rsidRDefault="008D2A52" w:rsidP="00CF6858">
            <w:pPr>
              <w:spacing w:before="100" w:beforeAutospacing="1" w:after="100" w:afterAutospacing="1"/>
              <w:jc w:val="both"/>
              <w:rPr>
                <w:rFonts w:ascii="Bookman Old Style" w:eastAsia="Times New Roman" w:hAnsi="Bookman Old Style"/>
                <w:lang w:eastAsia="pt-BR"/>
              </w:rPr>
            </w:pPr>
            <w:r w:rsidRPr="00F97084">
              <w:rPr>
                <w:rFonts w:ascii="Bookman Old Style" w:eastAsia="Times New Roman" w:hAnsi="Bookman Old Style"/>
                <w:b/>
                <w:bCs/>
                <w:lang w:eastAsia="pt-BR"/>
              </w:rPr>
              <w:t xml:space="preserve">R$ 384.351,53 </w:t>
            </w:r>
            <w:r w:rsidRPr="00F97084">
              <w:rPr>
                <w:rFonts w:ascii="Bookman Old Style" w:eastAsia="Times New Roman" w:hAnsi="Bookman Old Style"/>
                <w:lang w:eastAsia="pt-BR"/>
              </w:rPr>
              <w:t>(trezentos e oitenta e quatro mil, trezentos e cinquenta e um reais e cinquenta e três centavos)</w:t>
            </w:r>
          </w:p>
        </w:tc>
      </w:tr>
    </w:tbl>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b/>
          <w:bCs/>
          <w:sz w:val="20"/>
          <w:szCs w:val="20"/>
          <w:lang w:eastAsia="pt-BR"/>
        </w:rPr>
        <w:t>VALOR GLOBAL ESTIMADO: R$ 384.351,53 (trezentos e oitenta e quatro mil, trezentos e cinquenta e um reais e cinquenta e três centavos)</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9.4 – Composição dos preços estimados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Os valores utilizados na estimativa contemplam todos os custos necessários ao fornecimento integral dos produtos, incluindo: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valor do próprio produto;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tributos, impostos, taxas e contribuições;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frete e transporte;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 carga e descarga;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seguros;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embalagens;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g) acessórios e componentes necessários;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h) custos administrativos e operacionais;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i) garantia;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j) despesas relacionadas à eventual substituição de produto recusado ou defeituoso;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k) demais despesas necessárias ao cumprimento integral das obrigações assumidas.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Dessa forma, os valores referenciais representam o custo completo de fornecimento até o local indicado pela Administração, não sendo considerados separadamente custos que integram normalmente a formação do preço apresentado pelo fornecedor.</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Essa mesma lógica de composição, abrangendo tributos, frete, transporte, seguros, embalagens e demais custos necessários, já integrava os Termos de Referência anteriores.  </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9.5 – Planilha de Formação do Valor Estimado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memória de cálculo da contratação encontra-se registrada em planilha própria, contendo, no mínimo: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número do item;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identificação do lote;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c) descrição resumida do produto;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d) código CATMAT;</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 quantidade;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f) unidade de fornecimento;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g) fontes de preços utilizadas;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h) valores unitários obtidos;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i) metodologia utilizada para obtenção do preço referencial;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j) valor unitário estimado;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k) valor total estimado de cada item;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l) valor total estimado de cada lote;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m) valor global estimado da contratação.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planilha integra o processo como </w:t>
      </w:r>
      <w:r w:rsidRPr="00F97084">
        <w:rPr>
          <w:rFonts w:ascii="Bookman Old Style" w:eastAsia="Times New Roman" w:hAnsi="Bookman Old Style" w:cs="Times New Roman"/>
          <w:b/>
          <w:bCs/>
          <w:sz w:val="20"/>
          <w:szCs w:val="20"/>
          <w:lang w:eastAsia="pt-BR"/>
        </w:rPr>
        <w:t>ANEXO I – PLANILHA DE FORMAÇÃO DO VALOR ESTIMADO / PESQUISA DE PREÇOS</w:t>
      </w:r>
      <w:r w:rsidRPr="00F97084">
        <w:rPr>
          <w:rFonts w:ascii="Bookman Old Style" w:eastAsia="Times New Roman" w:hAnsi="Bookman Old Style" w:cs="Times New Roman"/>
          <w:sz w:val="20"/>
          <w:szCs w:val="20"/>
          <w:lang w:eastAsia="pt-BR"/>
        </w:rPr>
        <w:t>, acompanhada dos documentos utilizados na formação dos valores.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A estrutura de memória de cálculo com quantidade, fontes consultadas, preços obtidos, valor unitário e valor total também constava do TR anterior. </w:t>
      </w:r>
    </w:p>
    <w:p w:rsidR="008D2A52" w:rsidRPr="00F97084" w:rsidRDefault="008D2A52" w:rsidP="00CF6858">
      <w:pPr>
        <w:spacing w:before="100" w:beforeAutospacing="1" w:after="100" w:afterAutospacing="1" w:line="240" w:lineRule="auto"/>
        <w:jc w:val="both"/>
        <w:outlineLvl w:val="1"/>
        <w:rPr>
          <w:rFonts w:ascii="Bookman Old Style" w:eastAsia="Times New Roman" w:hAnsi="Bookman Old Style" w:cs="Times New Roman"/>
          <w:b/>
          <w:bCs/>
          <w:sz w:val="20"/>
          <w:szCs w:val="20"/>
          <w:lang w:eastAsia="pt-BR"/>
        </w:rPr>
      </w:pPr>
      <w:r w:rsidRPr="00F97084">
        <w:rPr>
          <w:rFonts w:ascii="Bookman Old Style" w:eastAsia="Times New Roman" w:hAnsi="Bookman Old Style" w:cs="Times New Roman"/>
          <w:b/>
          <w:bCs/>
          <w:sz w:val="20"/>
          <w:szCs w:val="20"/>
          <w:lang w:eastAsia="pt-BR"/>
        </w:rPr>
        <w:t>9.6 – Utilização dos valores referenciais no julgamento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Os valores resultantes da pesquisa de preços constituem os parâmetros para análise da aceitabilidade econômica das propostas.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 xml:space="preserve">Para o </w:t>
      </w:r>
      <w:r w:rsidRPr="00F97084">
        <w:rPr>
          <w:rFonts w:ascii="Bookman Old Style" w:eastAsia="Times New Roman" w:hAnsi="Bookman Old Style" w:cs="Times New Roman"/>
          <w:b/>
          <w:bCs/>
          <w:sz w:val="20"/>
          <w:szCs w:val="20"/>
          <w:lang w:eastAsia="pt-BR"/>
        </w:rPr>
        <w:t>Lote 01</w:t>
      </w:r>
      <w:r w:rsidRPr="00F97084">
        <w:rPr>
          <w:rFonts w:ascii="Bookman Old Style" w:eastAsia="Times New Roman" w:hAnsi="Bookman Old Style" w:cs="Times New Roman"/>
          <w:sz w:val="20"/>
          <w:szCs w:val="20"/>
          <w:lang w:eastAsia="pt-BR"/>
        </w:rPr>
        <w:t>, serão considerados: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o valor global estimado do lote; 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b) os valores unitários máximos admitidos para cada um dos 21 componentes.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Dessa forma, ainda que a proposta apresente valor global inferior ao máximo estabelecido, não serão aceitos preços unitários superiores aos respectivos limites definidos pela Administração.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Para o Lote 02, a aceitabilidade será analisada individualmente em relação ao valor máximo definido para cada item.</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Essa sistemática mantém coerência com a forma de julgamento definida neste Termo de Referência e evita que produtos sejam contratados por valores incompatíveis com aqueles identificados na pesquisa de mercado.</w:t>
      </w:r>
    </w:p>
    <w:p w:rsidR="008D2A52" w:rsidRPr="00F97084" w:rsidRDefault="008D2A52" w:rsidP="00CF6858">
      <w:pPr>
        <w:spacing w:before="100" w:beforeAutospacing="1" w:after="100" w:afterAutospacing="1" w:line="240" w:lineRule="auto"/>
        <w:jc w:val="both"/>
        <w:outlineLvl w:val="0"/>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b/>
          <w:bCs/>
          <w:kern w:val="36"/>
          <w:sz w:val="20"/>
          <w:szCs w:val="20"/>
          <w:lang w:eastAsia="pt-BR"/>
        </w:rPr>
        <w:t xml:space="preserve">10. ADEQUAÇÃO ORÇAMENTÁRIA </w:t>
      </w:r>
      <w:r w:rsidRPr="00F97084">
        <w:rPr>
          <w:rFonts w:ascii="Bookman Old Style" w:eastAsia="Times New Roman" w:hAnsi="Bookman Old Style" w:cs="Times New Roman"/>
          <w:i/>
          <w:iCs/>
          <w:sz w:val="20"/>
          <w:szCs w:val="20"/>
          <w:lang w:eastAsia="pt-BR"/>
        </w:rPr>
        <w:t>(Art. 6º, inciso XXIII, alínea "j", da Lei nº 14.133/2021)</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As despesas decorrentes da presente contratação correrão à conta das dotações orçamentárias próprias das Secretarias, Departamentos e demais unidades administrativas demandantes do Município de Santo Antônio do Sudoeste – PR, consignadas no orçamento vigente.</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lastRenderedPageBreak/>
        <w:t>A execução da despesa observará a disponibilidade orçamentária e financeira e será vinculada às respectivas dotações, fontes de recursos e elementos de despesa definidos pelo setor competente da Administração Municipal.</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contratação destina-se ao atendimento das necessidades de abastecimento e manutenção do parque municipal de impressão, abrangendo suprimentos, tintas, toners, cilindros, unidades de imagem, reveladores, peças, componentes, materiais, ferramentas e equipamentos relacionados ao objeto deste Termo de Referência.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As classificações orçamentárias específicas aplicáveis à contratação serão registradas nos instrumentos próprios do processo e nas respectivas Notas de Empenho, conforme a unidade demandante e a natureza da despesa.</w:t>
      </w:r>
    </w:p>
    <w:p w:rsidR="008D2A52" w:rsidRPr="00F97084" w:rsidRDefault="008D2A52" w:rsidP="00CF6858">
      <w:pPr>
        <w:spacing w:before="100" w:beforeAutospacing="1" w:after="100" w:afterAutospacing="1" w:line="240" w:lineRule="auto"/>
        <w:jc w:val="both"/>
        <w:outlineLvl w:val="0"/>
        <w:rPr>
          <w:rFonts w:ascii="Bookman Old Style" w:eastAsia="Times New Roman" w:hAnsi="Bookman Old Style" w:cs="Times New Roman"/>
          <w:b/>
          <w:bCs/>
          <w:kern w:val="36"/>
          <w:sz w:val="20"/>
          <w:szCs w:val="20"/>
          <w:lang w:eastAsia="pt-BR"/>
        </w:rPr>
      </w:pPr>
      <w:r w:rsidRPr="00F97084">
        <w:rPr>
          <w:rFonts w:ascii="Bookman Old Style" w:eastAsia="Times New Roman" w:hAnsi="Bookman Old Style" w:cs="Times New Roman"/>
          <w:b/>
          <w:bCs/>
          <w:kern w:val="36"/>
          <w:sz w:val="20"/>
          <w:szCs w:val="20"/>
          <w:lang w:eastAsia="pt-BR"/>
        </w:rPr>
        <w:t>11. ANEXOS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Integram o presente Termo de Referência, para todos os fins e efeitos, os documentos relacionados abaixo, os quais complementam a instrução do processo de contratação e devem ser considerados em conjunto com as disposições deste instrumento.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b/>
          <w:bCs/>
          <w:sz w:val="20"/>
          <w:szCs w:val="20"/>
          <w:lang w:eastAsia="pt-BR"/>
        </w:rPr>
        <w:t>ANEXO I – PLANILHA DE FORMAÇÃO DO VALOR ESTIMADO / PESQUISA DE PREÇOS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Documento contendo a consolidação da pesquisa de preços realizada para os itens integrantes da contratação, contemplando os quantitativos, unidades de fornecimento, fontes consultadas, valores obtidos, metodologia utilizada para definição dos preços referenciais, valores unitários estimados, valores totais por item, valores correspondentes aos lotes e valor global estimado da contratação.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A planilha constitui a memória de cálculo utilizada para formação dos valores referenciais e análise da aceitabilidade econômica das propostas.</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b/>
          <w:bCs/>
          <w:sz w:val="20"/>
          <w:szCs w:val="20"/>
          <w:lang w:eastAsia="pt-BR"/>
        </w:rPr>
        <w:t>ANEXO II – ESTUDO TÉCNICO PRELIMINAR – ETP</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Documento que fundamenta a presente contratação, contendo a descrição da necessidade administrativa, alinhamento com o planejamento da Administração, requisitos da contratação, estimativa das quantidades, levantamento de mercado, estimativa do valor, descrição da solução, justificativa do parcelamento, resultados pretendidos, providências prévias, análise de contratações correlatas ou interdependentes, impactos ambientais e posicionamento quanto à viabilidade da solução.</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 Estudo Técnico Preliminar integra a fundamentação técnica e administrativa das condições estabelecidas neste Termo de Referência.</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b/>
          <w:bCs/>
          <w:sz w:val="20"/>
          <w:szCs w:val="20"/>
          <w:lang w:eastAsia="pt-BR"/>
        </w:rPr>
        <w:t>ANEXO III – DOCUMENTO DE FORMALIZAÇÃO DA DEMANDA – DFD</w:t>
      </w:r>
    </w:p>
    <w:p w:rsidR="008D2A52" w:rsidRPr="00F97084"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Documento destinado à formalização da necessidade administrativa que originou a contratação, contendo a identificação da demanda, justificativa da necessidade, descrição do objeto, quantitativos, unidades demandantes e demais informações necessárias à instrução do processo.</w:t>
      </w:r>
    </w:p>
    <w:p w:rsidR="00AD62EF" w:rsidRDefault="008D2A52"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pPr>
      <w:r w:rsidRPr="00F97084">
        <w:rPr>
          <w:rFonts w:ascii="Bookman Old Style" w:eastAsia="Times New Roman" w:hAnsi="Bookman Old Style" w:cs="Times New Roman"/>
          <w:sz w:val="20"/>
          <w:szCs w:val="20"/>
          <w:lang w:eastAsia="pt-BR"/>
        </w:rPr>
        <w:t>Os documentos acima integram o processo administrativo da contratação e complementam as disposições do presente Termo de Referência</w:t>
      </w:r>
      <w:bookmarkEnd w:id="0"/>
      <w:r w:rsidR="00AD62EF">
        <w:rPr>
          <w:rFonts w:ascii="Bookman Old Style" w:eastAsia="Times New Roman" w:hAnsi="Bookman Old Style" w:cs="Times New Roman"/>
          <w:sz w:val="20"/>
          <w:szCs w:val="20"/>
          <w:lang w:eastAsia="pt-BR"/>
        </w:rPr>
        <w:t>.</w:t>
      </w:r>
    </w:p>
    <w:p w:rsidR="00AD62EF" w:rsidRPr="00CF6858" w:rsidRDefault="00AD62EF" w:rsidP="00CF6858">
      <w:pPr>
        <w:spacing w:before="100" w:beforeAutospacing="1" w:after="100" w:afterAutospacing="1" w:line="240" w:lineRule="auto"/>
        <w:jc w:val="both"/>
        <w:rPr>
          <w:rFonts w:ascii="Bookman Old Style" w:eastAsia="Times New Roman" w:hAnsi="Bookman Old Style" w:cs="Times New Roman"/>
          <w:sz w:val="20"/>
          <w:szCs w:val="20"/>
          <w:lang w:eastAsia="pt-BR"/>
        </w:rPr>
        <w:sectPr w:rsidR="00AD62EF" w:rsidRPr="00CF6858" w:rsidSect="00387425">
          <w:headerReference w:type="default" r:id="rId36"/>
          <w:footerReference w:type="default" r:id="rId37"/>
          <w:pgSz w:w="11906" w:h="16838" w:code="9"/>
          <w:pgMar w:top="0" w:right="1134" w:bottom="0" w:left="1134" w:header="709" w:footer="709" w:gutter="0"/>
          <w:cols w:space="708"/>
          <w:docGrid w:linePitch="360"/>
        </w:sectPr>
      </w:pPr>
    </w:p>
    <w:p w:rsidR="00645703" w:rsidRPr="00F97084" w:rsidRDefault="00645703" w:rsidP="00AD62EF">
      <w:pPr>
        <w:spacing w:after="0" w:line="240" w:lineRule="auto"/>
        <w:jc w:val="center"/>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lastRenderedPageBreak/>
        <w:t>ANEXO I</w:t>
      </w:r>
      <w:r w:rsidR="00AD62EF">
        <w:rPr>
          <w:rFonts w:ascii="Bookman Old Style" w:eastAsia="Bookman Old Style" w:hAnsi="Bookman Old Style" w:cs="Bookman Old Style"/>
          <w:b/>
          <w:sz w:val="20"/>
          <w:szCs w:val="20"/>
          <w:lang w:eastAsia="pt-BR"/>
        </w:rPr>
        <w:t>I</w:t>
      </w:r>
    </w:p>
    <w:p w:rsidR="00645703" w:rsidRPr="00F97084" w:rsidRDefault="00645703" w:rsidP="00645703">
      <w:pPr>
        <w:widowControl w:val="0"/>
        <w:spacing w:after="0" w:line="240" w:lineRule="auto"/>
        <w:jc w:val="center"/>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DOCUMENTAÇÃO EXIGIDA PARA HABILITAÇÃO</w:t>
      </w:r>
    </w:p>
    <w:p w:rsidR="00645703" w:rsidRPr="00F97084" w:rsidRDefault="00645703" w:rsidP="00645703">
      <w:pPr>
        <w:widowControl w:val="0"/>
        <w:spacing w:after="0" w:line="240" w:lineRule="auto"/>
        <w:rPr>
          <w:rFonts w:ascii="Bookman Old Style" w:eastAsia="Arial" w:hAnsi="Bookman Old Style" w:cs="Arial"/>
          <w:sz w:val="20"/>
          <w:szCs w:val="20"/>
          <w:lang w:eastAsia="pt-BR"/>
        </w:rPr>
      </w:pPr>
    </w:p>
    <w:p w:rsidR="00645703" w:rsidRPr="00F97084" w:rsidRDefault="00645703" w:rsidP="001472B1">
      <w:pPr>
        <w:widowControl w:val="0"/>
        <w:numPr>
          <w:ilvl w:val="0"/>
          <w:numId w:val="17"/>
        </w:numPr>
        <w:shd w:val="clear" w:color="auto" w:fill="FFFFFF"/>
        <w:spacing w:after="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b/>
          <w:color w:val="000000"/>
          <w:sz w:val="20"/>
          <w:szCs w:val="20"/>
          <w:lang w:eastAsia="pt-BR"/>
        </w:rPr>
        <w:t xml:space="preserve">HABILITAÇÃO JURÍDICA: </w:t>
      </w:r>
    </w:p>
    <w:p w:rsidR="00645703" w:rsidRPr="00F97084" w:rsidRDefault="00645703" w:rsidP="001472B1">
      <w:pPr>
        <w:widowControl w:val="0"/>
        <w:numPr>
          <w:ilvl w:val="1"/>
          <w:numId w:val="18"/>
        </w:numPr>
        <w:tabs>
          <w:tab w:val="left" w:pos="1440"/>
        </w:tabs>
        <w:spacing w:after="0" w:line="240" w:lineRule="auto"/>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sz w:val="20"/>
          <w:szCs w:val="20"/>
          <w:lang w:eastAsia="pt-BR"/>
        </w:rPr>
        <w:t>no</w:t>
      </w:r>
      <w:proofErr w:type="gramEnd"/>
      <w:r w:rsidRPr="00F97084">
        <w:rPr>
          <w:rFonts w:ascii="Bookman Old Style" w:eastAsia="Bookman Old Style" w:hAnsi="Bookman Old Style" w:cs="Bookman Old Style"/>
          <w:sz w:val="20"/>
          <w:szCs w:val="20"/>
          <w:lang w:eastAsia="pt-BR"/>
        </w:rPr>
        <w:t xml:space="preserve"> caso de empresário individual, inscrição no Registro Público de Empresas Mercantis, a cargo da Junta Comercial da respectiva sede;</w:t>
      </w:r>
    </w:p>
    <w:p w:rsidR="00645703" w:rsidRPr="00F97084" w:rsidRDefault="00645703" w:rsidP="001472B1">
      <w:pPr>
        <w:widowControl w:val="0"/>
        <w:numPr>
          <w:ilvl w:val="1"/>
          <w:numId w:val="16"/>
        </w:numPr>
        <w:tabs>
          <w:tab w:val="left" w:pos="1440"/>
        </w:tabs>
        <w:spacing w:after="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color w:val="000000"/>
          <w:sz w:val="20"/>
          <w:szCs w:val="20"/>
          <w:lang w:eastAsia="pt-BR"/>
        </w:rPr>
        <w:t>Em se tratando de Microempreendedor Individual – MEI: Certificado da Condição de Microempreendedor Individual - CCMEI, cuja aceitação ficará condicionada à verificação da autenticidade no sítio www.portaldoempreendedor.gov.br;</w:t>
      </w:r>
    </w:p>
    <w:p w:rsidR="00645703" w:rsidRPr="00F97084" w:rsidRDefault="00645703" w:rsidP="001472B1">
      <w:pPr>
        <w:widowControl w:val="0"/>
        <w:numPr>
          <w:ilvl w:val="1"/>
          <w:numId w:val="16"/>
        </w:numPr>
        <w:tabs>
          <w:tab w:val="left" w:pos="1440"/>
        </w:tabs>
        <w:spacing w:after="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color w:val="000000"/>
          <w:sz w:val="20"/>
          <w:szCs w:val="20"/>
          <w:lang w:eastAsia="pt-BR"/>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645703" w:rsidRPr="00F97084" w:rsidRDefault="00645703" w:rsidP="001472B1">
      <w:pPr>
        <w:widowControl w:val="0"/>
        <w:numPr>
          <w:ilvl w:val="1"/>
          <w:numId w:val="16"/>
        </w:numPr>
        <w:tabs>
          <w:tab w:val="left" w:pos="1440"/>
        </w:tabs>
        <w:spacing w:after="0" w:line="240" w:lineRule="auto"/>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color w:val="000000"/>
          <w:sz w:val="20"/>
          <w:szCs w:val="20"/>
          <w:lang w:eastAsia="pt-BR"/>
        </w:rPr>
        <w:t>inscrição</w:t>
      </w:r>
      <w:proofErr w:type="gramEnd"/>
      <w:r w:rsidRPr="00F97084">
        <w:rPr>
          <w:rFonts w:ascii="Bookman Old Style" w:eastAsia="Bookman Old Style" w:hAnsi="Bookman Old Style" w:cs="Bookman Old Style"/>
          <w:color w:val="000000"/>
          <w:sz w:val="20"/>
          <w:szCs w:val="20"/>
          <w:lang w:eastAsia="pt-BR"/>
        </w:rPr>
        <w:t xml:space="preserve"> no Registro Público de Empresas Mercantis onde opera, com averbação no Registro onde tem sede a matriz, no caso de ser o participante sucursal, filial ou agência;</w:t>
      </w:r>
    </w:p>
    <w:p w:rsidR="00645703" w:rsidRPr="00F97084" w:rsidRDefault="00645703" w:rsidP="001472B1">
      <w:pPr>
        <w:widowControl w:val="0"/>
        <w:numPr>
          <w:ilvl w:val="1"/>
          <w:numId w:val="16"/>
        </w:numPr>
        <w:tabs>
          <w:tab w:val="left" w:pos="1440"/>
        </w:tabs>
        <w:spacing w:after="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color w:val="000000"/>
          <w:sz w:val="20"/>
          <w:szCs w:val="20"/>
          <w:lang w:eastAsia="pt-BR"/>
        </w:rPr>
        <w:t>No caso de sociedade simples: inscrição do ato constitutivo no Registro Civil das Pessoas Jurídicas do local de sua sede, acompanhada de prova da indicação dos seus administradores;</w:t>
      </w:r>
    </w:p>
    <w:p w:rsidR="00645703" w:rsidRPr="00F97084" w:rsidRDefault="00645703" w:rsidP="001472B1">
      <w:pPr>
        <w:widowControl w:val="0"/>
        <w:numPr>
          <w:ilvl w:val="1"/>
          <w:numId w:val="16"/>
        </w:numPr>
        <w:tabs>
          <w:tab w:val="left" w:pos="1440"/>
        </w:tabs>
        <w:spacing w:after="0" w:line="240" w:lineRule="auto"/>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color w:val="000000"/>
          <w:sz w:val="20"/>
          <w:szCs w:val="20"/>
          <w:lang w:eastAsia="pt-BR"/>
        </w:rPr>
        <w:t>decreto</w:t>
      </w:r>
      <w:proofErr w:type="gramEnd"/>
      <w:r w:rsidRPr="00F97084">
        <w:rPr>
          <w:rFonts w:ascii="Bookman Old Style" w:eastAsia="Bookman Old Style" w:hAnsi="Bookman Old Style" w:cs="Bookman Old Style"/>
          <w:color w:val="000000"/>
          <w:sz w:val="20"/>
          <w:szCs w:val="20"/>
          <w:lang w:eastAsia="pt-BR"/>
        </w:rPr>
        <w:t xml:space="preserve"> de autorização, em se tratando de sociedade empresária estrangeira em funcionamento no País;</w:t>
      </w:r>
    </w:p>
    <w:p w:rsidR="00645703" w:rsidRPr="00F97084" w:rsidRDefault="00645703" w:rsidP="001472B1">
      <w:pPr>
        <w:widowControl w:val="0"/>
        <w:numPr>
          <w:ilvl w:val="1"/>
          <w:numId w:val="16"/>
        </w:numPr>
        <w:spacing w:after="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color w:val="000000"/>
          <w:sz w:val="20"/>
          <w:szCs w:val="20"/>
          <w:lang w:eastAsia="pt-BR"/>
        </w:rPr>
        <w:t>Os documentos acima deverão estar acompanhados de todas as alterações ou da consolidação respectiva.</w:t>
      </w:r>
    </w:p>
    <w:p w:rsidR="00645703" w:rsidRPr="00F97084" w:rsidRDefault="00645703" w:rsidP="00645703">
      <w:pPr>
        <w:widowControl w:val="0"/>
        <w:spacing w:after="0" w:line="240" w:lineRule="auto"/>
        <w:jc w:val="both"/>
        <w:rPr>
          <w:rFonts w:ascii="Bookman Old Style" w:eastAsia="Arial" w:hAnsi="Bookman Old Style" w:cs="Arial"/>
          <w:sz w:val="20"/>
          <w:szCs w:val="20"/>
          <w:lang w:eastAsia="pt-BR"/>
        </w:rPr>
      </w:pPr>
    </w:p>
    <w:p w:rsidR="00645703" w:rsidRPr="00F97084" w:rsidRDefault="00645703" w:rsidP="001472B1">
      <w:pPr>
        <w:keepLines/>
        <w:widowControl w:val="0"/>
        <w:numPr>
          <w:ilvl w:val="0"/>
          <w:numId w:val="12"/>
        </w:numPr>
        <w:tabs>
          <w:tab w:val="left" w:pos="570"/>
        </w:tabs>
        <w:spacing w:after="0" w:line="240" w:lineRule="auto"/>
        <w:jc w:val="both"/>
        <w:outlineLvl w:val="0"/>
        <w:rPr>
          <w:rFonts w:ascii="Bookman Old Style" w:eastAsia="Arial" w:hAnsi="Bookman Old Style" w:cs="Arial"/>
          <w:sz w:val="20"/>
          <w:szCs w:val="20"/>
          <w:lang w:eastAsia="pt-BR"/>
        </w:rPr>
      </w:pPr>
      <w:r w:rsidRPr="00F97084">
        <w:rPr>
          <w:rFonts w:ascii="Bookman Old Style" w:eastAsia="Bookman Old Style" w:hAnsi="Bookman Old Style" w:cs="Bookman Old Style"/>
          <w:b/>
          <w:color w:val="000000"/>
          <w:sz w:val="20"/>
          <w:szCs w:val="20"/>
          <w:lang w:eastAsia="pt-BR"/>
        </w:rPr>
        <w:t xml:space="preserve"> REGULARIDADE FISCAL, SOCIAL E TRABALHISTA:</w:t>
      </w:r>
    </w:p>
    <w:p w:rsidR="00645703" w:rsidRPr="00F97084" w:rsidRDefault="00645703" w:rsidP="001472B1">
      <w:pPr>
        <w:widowControl w:val="0"/>
        <w:numPr>
          <w:ilvl w:val="1"/>
          <w:numId w:val="11"/>
        </w:numPr>
        <w:spacing w:before="120" w:after="120" w:line="240" w:lineRule="auto"/>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color w:val="000000"/>
          <w:sz w:val="20"/>
          <w:szCs w:val="20"/>
          <w:lang w:eastAsia="pt-BR"/>
        </w:rPr>
        <w:t>prova</w:t>
      </w:r>
      <w:proofErr w:type="gramEnd"/>
      <w:r w:rsidRPr="00F97084">
        <w:rPr>
          <w:rFonts w:ascii="Bookman Old Style" w:eastAsia="Bookman Old Style" w:hAnsi="Bookman Old Style" w:cs="Bookman Old Style"/>
          <w:color w:val="000000"/>
          <w:sz w:val="20"/>
          <w:szCs w:val="20"/>
          <w:lang w:eastAsia="pt-BR"/>
        </w:rPr>
        <w:t xml:space="preserve"> de inscrição no Cadastro Nacional de Pessoas Jurídicas ou no Cadastro de Pessoas Físicas, conforme o caso;</w:t>
      </w:r>
    </w:p>
    <w:p w:rsidR="00645703" w:rsidRPr="00F97084" w:rsidRDefault="00645703" w:rsidP="001472B1">
      <w:pPr>
        <w:widowControl w:val="0"/>
        <w:numPr>
          <w:ilvl w:val="1"/>
          <w:numId w:val="11"/>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color w:val="000000"/>
          <w:sz w:val="20"/>
          <w:szCs w:val="20"/>
          <w:lang w:eastAsia="pt-B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645703" w:rsidRPr="00F97084" w:rsidRDefault="00645703" w:rsidP="001472B1">
      <w:pPr>
        <w:widowControl w:val="0"/>
        <w:numPr>
          <w:ilvl w:val="1"/>
          <w:numId w:val="11"/>
        </w:numPr>
        <w:spacing w:before="120" w:after="120" w:line="240" w:lineRule="auto"/>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color w:val="000000"/>
          <w:sz w:val="20"/>
          <w:szCs w:val="20"/>
          <w:lang w:eastAsia="pt-BR"/>
        </w:rPr>
        <w:t>prova</w:t>
      </w:r>
      <w:proofErr w:type="gramEnd"/>
      <w:r w:rsidRPr="00F97084">
        <w:rPr>
          <w:rFonts w:ascii="Bookman Old Style" w:eastAsia="Bookman Old Style" w:hAnsi="Bookman Old Style" w:cs="Bookman Old Style"/>
          <w:color w:val="000000"/>
          <w:sz w:val="20"/>
          <w:szCs w:val="20"/>
          <w:lang w:eastAsia="pt-BR"/>
        </w:rPr>
        <w:t xml:space="preserve"> de regularidade com o Fundo de Garantia do Tempo de Serviço (FGTS);</w:t>
      </w:r>
    </w:p>
    <w:p w:rsidR="00645703" w:rsidRPr="00F97084" w:rsidRDefault="00645703" w:rsidP="001472B1">
      <w:pPr>
        <w:widowControl w:val="0"/>
        <w:numPr>
          <w:ilvl w:val="1"/>
          <w:numId w:val="11"/>
        </w:numPr>
        <w:spacing w:before="120" w:after="120" w:line="240" w:lineRule="auto"/>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color w:val="000000"/>
          <w:sz w:val="20"/>
          <w:szCs w:val="20"/>
          <w:lang w:eastAsia="pt-BR"/>
        </w:rPr>
        <w:t>prova</w:t>
      </w:r>
      <w:proofErr w:type="gramEnd"/>
      <w:r w:rsidRPr="00F97084">
        <w:rPr>
          <w:rFonts w:ascii="Bookman Old Style" w:eastAsia="Bookman Old Style" w:hAnsi="Bookman Old Style" w:cs="Bookman Old Style"/>
          <w:color w:val="000000"/>
          <w:sz w:val="20"/>
          <w:szCs w:val="20"/>
          <w:lang w:eastAsia="pt-BR"/>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645703" w:rsidRPr="00F97084" w:rsidRDefault="00645703" w:rsidP="001472B1">
      <w:pPr>
        <w:widowControl w:val="0"/>
        <w:numPr>
          <w:ilvl w:val="1"/>
          <w:numId w:val="11"/>
        </w:numPr>
        <w:spacing w:before="120" w:after="120" w:line="240" w:lineRule="auto"/>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color w:val="000000"/>
          <w:sz w:val="20"/>
          <w:szCs w:val="20"/>
          <w:lang w:eastAsia="pt-BR"/>
        </w:rPr>
        <w:t>prova</w:t>
      </w:r>
      <w:proofErr w:type="gramEnd"/>
      <w:r w:rsidRPr="00F97084">
        <w:rPr>
          <w:rFonts w:ascii="Bookman Old Style" w:eastAsia="Bookman Old Style" w:hAnsi="Bookman Old Style" w:cs="Bookman Old Style"/>
          <w:color w:val="000000"/>
          <w:sz w:val="20"/>
          <w:szCs w:val="20"/>
          <w:lang w:eastAsia="pt-BR"/>
        </w:rPr>
        <w:t xml:space="preserve"> de regularidade com a Fazenda </w:t>
      </w:r>
      <w:r w:rsidRPr="00F97084">
        <w:rPr>
          <w:rFonts w:ascii="Bookman Old Style" w:eastAsia="Bookman Old Style" w:hAnsi="Bookman Old Style" w:cs="Bookman Old Style"/>
          <w:i/>
          <w:color w:val="000000"/>
          <w:sz w:val="20"/>
          <w:szCs w:val="20"/>
          <w:lang w:eastAsia="pt-BR"/>
        </w:rPr>
        <w:t xml:space="preserve">Estadual </w:t>
      </w:r>
      <w:r w:rsidRPr="00F97084">
        <w:rPr>
          <w:rFonts w:ascii="Bookman Old Style" w:eastAsia="Bookman Old Style" w:hAnsi="Bookman Old Style" w:cs="Bookman Old Style"/>
          <w:color w:val="000000"/>
          <w:sz w:val="20"/>
          <w:szCs w:val="20"/>
          <w:lang w:eastAsia="pt-BR"/>
        </w:rPr>
        <w:t>do domicílio ou sede do fornecedor, relativa à atividade em cujo exercício contrata ou concorre;</w:t>
      </w:r>
    </w:p>
    <w:p w:rsidR="00645703" w:rsidRPr="00F97084" w:rsidRDefault="00645703" w:rsidP="001472B1">
      <w:pPr>
        <w:widowControl w:val="0"/>
        <w:numPr>
          <w:ilvl w:val="1"/>
          <w:numId w:val="11"/>
        </w:numPr>
        <w:spacing w:before="120" w:after="120" w:line="240" w:lineRule="auto"/>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color w:val="000000"/>
          <w:sz w:val="20"/>
          <w:szCs w:val="20"/>
          <w:lang w:eastAsia="pt-BR"/>
        </w:rPr>
        <w:t>prova</w:t>
      </w:r>
      <w:proofErr w:type="gramEnd"/>
      <w:r w:rsidRPr="00F97084">
        <w:rPr>
          <w:rFonts w:ascii="Bookman Old Style" w:eastAsia="Bookman Old Style" w:hAnsi="Bookman Old Style" w:cs="Bookman Old Style"/>
          <w:color w:val="000000"/>
          <w:sz w:val="20"/>
          <w:szCs w:val="20"/>
          <w:lang w:eastAsia="pt-BR"/>
        </w:rPr>
        <w:t xml:space="preserve"> de regularidade com a Fazenda </w:t>
      </w:r>
      <w:r w:rsidRPr="00F97084">
        <w:rPr>
          <w:rFonts w:ascii="Bookman Old Style" w:eastAsia="Bookman Old Style" w:hAnsi="Bookman Old Style" w:cs="Bookman Old Style"/>
          <w:i/>
          <w:color w:val="000000"/>
          <w:sz w:val="20"/>
          <w:szCs w:val="20"/>
          <w:lang w:eastAsia="pt-BR"/>
        </w:rPr>
        <w:t>Municipal</w:t>
      </w:r>
      <w:r w:rsidRPr="00F97084">
        <w:rPr>
          <w:rFonts w:ascii="Bookman Old Style" w:eastAsia="Bookman Old Style" w:hAnsi="Bookman Old Style" w:cs="Bookman Old Style"/>
          <w:color w:val="000000"/>
          <w:sz w:val="20"/>
          <w:szCs w:val="20"/>
          <w:lang w:eastAsia="pt-BR"/>
        </w:rPr>
        <w:t xml:space="preserve"> do domicílio ou sede do fornecedor, relativa à atividade em cujo exercício contrata ou concorre;  </w:t>
      </w:r>
    </w:p>
    <w:p w:rsidR="00645703" w:rsidRPr="00F97084" w:rsidRDefault="00645703" w:rsidP="001472B1">
      <w:pPr>
        <w:widowControl w:val="0"/>
        <w:numPr>
          <w:ilvl w:val="1"/>
          <w:numId w:val="11"/>
        </w:numPr>
        <w:spacing w:before="120" w:after="120" w:line="240" w:lineRule="auto"/>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color w:val="000000"/>
          <w:sz w:val="20"/>
          <w:szCs w:val="20"/>
          <w:lang w:eastAsia="pt-BR"/>
        </w:rPr>
        <w:t>caso</w:t>
      </w:r>
      <w:proofErr w:type="gramEnd"/>
      <w:r w:rsidRPr="00F97084">
        <w:rPr>
          <w:rFonts w:ascii="Bookman Old Style" w:eastAsia="Bookman Old Style" w:hAnsi="Bookman Old Style" w:cs="Bookman Old Style"/>
          <w:color w:val="000000"/>
          <w:sz w:val="20"/>
          <w:szCs w:val="20"/>
          <w:lang w:eastAsia="pt-BR"/>
        </w:rPr>
        <w:t xml:space="preserve"> o fornecedor seja considerado isento dos tributos </w:t>
      </w:r>
      <w:r w:rsidRPr="00F97084">
        <w:rPr>
          <w:rFonts w:ascii="Bookman Old Style" w:eastAsia="Bookman Old Style" w:hAnsi="Bookman Old Style" w:cs="Bookman Old Style"/>
          <w:i/>
          <w:color w:val="000000"/>
          <w:sz w:val="20"/>
          <w:szCs w:val="20"/>
          <w:lang w:eastAsia="pt-BR"/>
        </w:rPr>
        <w:t xml:space="preserve">estaduais </w:t>
      </w:r>
      <w:r w:rsidRPr="00F97084">
        <w:rPr>
          <w:rFonts w:ascii="Bookman Old Style" w:eastAsia="Bookman Old Style" w:hAnsi="Bookman Old Style" w:cs="Bookman Old Style"/>
          <w:b/>
          <w:i/>
          <w:color w:val="000000"/>
          <w:sz w:val="20"/>
          <w:szCs w:val="20"/>
          <w:u w:val="single"/>
          <w:lang w:eastAsia="pt-BR"/>
        </w:rPr>
        <w:t>ou</w:t>
      </w:r>
      <w:r w:rsidRPr="00F97084">
        <w:rPr>
          <w:rFonts w:ascii="Bookman Old Style" w:eastAsia="Bookman Old Style" w:hAnsi="Bookman Old Style" w:cs="Bookman Old Style"/>
          <w:i/>
          <w:color w:val="000000"/>
          <w:sz w:val="20"/>
          <w:szCs w:val="20"/>
          <w:lang w:eastAsia="pt-BR"/>
        </w:rPr>
        <w:t xml:space="preserve"> municipais</w:t>
      </w:r>
      <w:r w:rsidRPr="00F97084">
        <w:rPr>
          <w:rFonts w:ascii="Bookman Old Style" w:eastAsia="Bookman Old Style" w:hAnsi="Bookman Old Style" w:cs="Bookman Old Style"/>
          <w:color w:val="000000"/>
          <w:sz w:val="20"/>
          <w:szCs w:val="20"/>
          <w:lang w:eastAsia="pt-BR"/>
        </w:rPr>
        <w:t xml:space="preserve"> relacionados ao objeto contratual, deverá comprovar tal condição mediante a apresentação de declaração da Fazenda respectiva do seu domicílio ou sede, ou outra equivalente, na forma da lei; </w:t>
      </w:r>
    </w:p>
    <w:p w:rsidR="00645703" w:rsidRPr="00F97084" w:rsidRDefault="00645703" w:rsidP="001472B1">
      <w:pPr>
        <w:keepNext/>
        <w:keepLines/>
        <w:widowControl w:val="0"/>
        <w:numPr>
          <w:ilvl w:val="0"/>
          <w:numId w:val="11"/>
        </w:numPr>
        <w:tabs>
          <w:tab w:val="left" w:pos="570"/>
        </w:tabs>
        <w:spacing w:before="240" w:after="0" w:line="240" w:lineRule="auto"/>
        <w:jc w:val="both"/>
        <w:outlineLvl w:val="0"/>
        <w:rPr>
          <w:rFonts w:ascii="Bookman Old Style" w:eastAsia="Arial" w:hAnsi="Bookman Old Style" w:cs="Arial"/>
          <w:sz w:val="20"/>
          <w:szCs w:val="20"/>
          <w:lang w:eastAsia="pt-BR"/>
        </w:rPr>
      </w:pPr>
      <w:r w:rsidRPr="00F97084">
        <w:rPr>
          <w:rFonts w:ascii="Bookman Old Style" w:eastAsia="Bookman Old Style" w:hAnsi="Bookman Old Style" w:cs="Bookman Old Style"/>
          <w:b/>
          <w:color w:val="323E4F"/>
          <w:sz w:val="20"/>
          <w:szCs w:val="20"/>
          <w:lang w:eastAsia="pt-BR"/>
        </w:rPr>
        <w:t>A documentação relativa á QUALIFICAÇÃO ECONÔMICO FINANCEIRA consistirá em:</w:t>
      </w:r>
    </w:p>
    <w:p w:rsidR="00645703" w:rsidRPr="00F97084" w:rsidRDefault="00645703" w:rsidP="001472B1">
      <w:pPr>
        <w:widowControl w:val="0"/>
        <w:numPr>
          <w:ilvl w:val="1"/>
          <w:numId w:val="13"/>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b/>
          <w:color w:val="000000"/>
          <w:sz w:val="20"/>
          <w:szCs w:val="20"/>
          <w:u w:val="single"/>
          <w:lang w:eastAsia="pt-BR"/>
        </w:rPr>
        <w:t xml:space="preserve">Certidão negativa de pedido de falência ou recuperação judicial ou extrajudicial, </w:t>
      </w:r>
      <w:r w:rsidRPr="00F97084">
        <w:rPr>
          <w:rFonts w:ascii="Bookman Old Style" w:eastAsia="Bookman Old Style" w:hAnsi="Bookman Old Style" w:cs="Bookman Old Style"/>
          <w:color w:val="000000"/>
          <w:sz w:val="20"/>
          <w:szCs w:val="20"/>
          <w:lang w:eastAsia="pt-BR"/>
        </w:rPr>
        <w:t>expedida pelo distribuidor da sede da pessoa jurídica, referente a matriz e, quando for o caso, igualmente da filial licitante, em data não anterior a 90 (noventa) dias da abertura da sessão pública deste pregão.</w:t>
      </w:r>
    </w:p>
    <w:p w:rsidR="00645703" w:rsidRPr="00F97084" w:rsidRDefault="00645703" w:rsidP="001472B1">
      <w:pPr>
        <w:keepNext/>
        <w:keepLines/>
        <w:widowControl w:val="0"/>
        <w:numPr>
          <w:ilvl w:val="0"/>
          <w:numId w:val="11"/>
        </w:numPr>
        <w:tabs>
          <w:tab w:val="left" w:pos="570"/>
        </w:tabs>
        <w:spacing w:before="240" w:after="0" w:line="240" w:lineRule="auto"/>
        <w:jc w:val="both"/>
        <w:outlineLvl w:val="0"/>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A documentação relativa á REGULARIDADE TÉCNICA:</w:t>
      </w:r>
    </w:p>
    <w:p w:rsidR="00645703" w:rsidRPr="00F97084" w:rsidRDefault="00645703" w:rsidP="001472B1">
      <w:pPr>
        <w:widowControl w:val="0"/>
        <w:numPr>
          <w:ilvl w:val="1"/>
          <w:numId w:val="14"/>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Deverá apresentar ainda a </w:t>
      </w:r>
      <w:r w:rsidRPr="00F97084">
        <w:rPr>
          <w:rFonts w:ascii="Bookman Old Style" w:eastAsia="Bookman Old Style" w:hAnsi="Bookman Old Style" w:cs="Bookman Old Style"/>
          <w:b/>
          <w:sz w:val="20"/>
          <w:szCs w:val="20"/>
          <w:lang w:eastAsia="pt-BR"/>
        </w:rPr>
        <w:t xml:space="preserve">DECLARAÇÃO UNIFICADA, </w:t>
      </w:r>
      <w:r w:rsidRPr="00F97084">
        <w:rPr>
          <w:rFonts w:ascii="Bookman Old Style" w:eastAsia="Bookman Old Style" w:hAnsi="Bookman Old Style" w:cs="Bookman Old Style"/>
          <w:sz w:val="20"/>
          <w:szCs w:val="20"/>
          <w:lang w:eastAsia="pt-BR"/>
        </w:rPr>
        <w:t>conforme anexo.</w:t>
      </w:r>
    </w:p>
    <w:p w:rsidR="00645703" w:rsidRPr="00F97084" w:rsidRDefault="00645703" w:rsidP="001472B1">
      <w:pPr>
        <w:widowControl w:val="0"/>
        <w:numPr>
          <w:ilvl w:val="1"/>
          <w:numId w:val="11"/>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lastRenderedPageBreak/>
        <w:t xml:space="preserve">Para efeitos da </w:t>
      </w:r>
      <w:r w:rsidRPr="00F97084">
        <w:rPr>
          <w:rFonts w:ascii="Bookman Old Style" w:eastAsia="Bookman Old Style" w:hAnsi="Bookman Old Style" w:cs="Bookman Old Style"/>
          <w:b/>
          <w:sz w:val="20"/>
          <w:szCs w:val="20"/>
          <w:u w:val="single"/>
          <w:lang w:eastAsia="pt-BR"/>
        </w:rPr>
        <w:t>Lei Complementar nº 123/2006</w:t>
      </w:r>
      <w:r w:rsidRPr="00F97084">
        <w:rPr>
          <w:rFonts w:ascii="Bookman Old Style" w:eastAsia="Bookman Old Style" w:hAnsi="Bookman Old Style" w:cs="Bookman Old Style"/>
          <w:sz w:val="20"/>
          <w:szCs w:val="20"/>
          <w:lang w:eastAsia="pt-BR"/>
        </w:rPr>
        <w:t xml:space="preserve">, as licitantes deverão apresentar, a fim de </w:t>
      </w:r>
      <w:r w:rsidRPr="00F97084">
        <w:rPr>
          <w:rFonts w:ascii="Bookman Old Style" w:eastAsia="Bookman Old Style" w:hAnsi="Bookman Old Style" w:cs="Bookman Old Style"/>
          <w:b/>
          <w:sz w:val="20"/>
          <w:szCs w:val="20"/>
          <w:u w:val="single"/>
          <w:lang w:eastAsia="pt-BR"/>
        </w:rPr>
        <w:t>COMPROVAR O ENQUADRAMENTO.</w:t>
      </w:r>
    </w:p>
    <w:p w:rsidR="00645703" w:rsidRPr="00F97084" w:rsidRDefault="00645703" w:rsidP="001472B1">
      <w:pPr>
        <w:widowControl w:val="0"/>
        <w:numPr>
          <w:ilvl w:val="2"/>
          <w:numId w:val="1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Certidão Simplificada de Microempresa ou Empresa de Pequeno Porte expedida pela Junta Comercial do Estado da sede da Licitante, nos últimos 90 (noventa) dias, contados a partir da data prevista para recebimento das propostas e da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habilitação.</w:t>
      </w:r>
    </w:p>
    <w:p w:rsidR="00387425" w:rsidRPr="00F97084" w:rsidRDefault="00387425" w:rsidP="001472B1">
      <w:pPr>
        <w:widowControl w:val="0"/>
        <w:numPr>
          <w:ilvl w:val="2"/>
          <w:numId w:val="1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Arial" w:hAnsi="Bookman Old Style" w:cs="Arial"/>
          <w:b/>
          <w:sz w:val="20"/>
          <w:szCs w:val="20"/>
          <w:lang w:eastAsia="pt-BR"/>
        </w:rPr>
        <w:t>Comprovação de originalidade Xerox para o Lote 01:</w:t>
      </w:r>
      <w:r w:rsidRPr="00F97084">
        <w:rPr>
          <w:rFonts w:ascii="Bookman Old Style" w:eastAsia="Arial" w:hAnsi="Bookman Old Style" w:cs="Arial"/>
          <w:sz w:val="20"/>
          <w:szCs w:val="20"/>
          <w:lang w:eastAsia="pt-BR"/>
        </w:rPr>
        <w:t xml:space="preserve"> nota fiscal de aquisição ao fabricante/distribuidor autorizado, certificado de originalidade ou declaração do fabricante — o edital precisa definir a forma de comprovação.</w:t>
      </w:r>
    </w:p>
    <w:p w:rsidR="00387425" w:rsidRPr="00F97084" w:rsidRDefault="00387425" w:rsidP="001472B1">
      <w:pPr>
        <w:widowControl w:val="0"/>
        <w:numPr>
          <w:ilvl w:val="2"/>
          <w:numId w:val="1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Arial" w:hAnsi="Bookman Old Style" w:cs="Arial"/>
          <w:b/>
          <w:sz w:val="20"/>
          <w:szCs w:val="20"/>
          <w:lang w:eastAsia="pt-BR"/>
        </w:rPr>
        <w:t>Comprovação de especificação técnica / catálogo do fabricante:</w:t>
      </w:r>
      <w:r w:rsidRPr="00F97084">
        <w:rPr>
          <w:rFonts w:ascii="Bookman Old Style" w:eastAsia="Arial" w:hAnsi="Bookman Old Style" w:cs="Arial"/>
          <w:sz w:val="20"/>
          <w:szCs w:val="20"/>
          <w:lang w:eastAsia="pt-BR"/>
        </w:rPr>
        <w:t xml:space="preserve"> folheto, catálogo ou site oficial comprovando as características dos produtos ofertados.</w:t>
      </w:r>
    </w:p>
    <w:p w:rsidR="00387425" w:rsidRPr="00F97084" w:rsidRDefault="00387425" w:rsidP="001472B1">
      <w:pPr>
        <w:widowControl w:val="0"/>
        <w:numPr>
          <w:ilvl w:val="2"/>
          <w:numId w:val="1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Arial" w:hAnsi="Bookman Old Style" w:cs="Arial"/>
          <w:b/>
          <w:sz w:val="20"/>
          <w:szCs w:val="20"/>
          <w:lang w:eastAsia="pt-BR"/>
        </w:rPr>
        <w:t>Declaração de conformidade dos produtos compatíveis do Lote 02:</w:t>
      </w:r>
      <w:r w:rsidRPr="00F97084">
        <w:rPr>
          <w:rFonts w:ascii="Bookman Old Style" w:eastAsia="Arial" w:hAnsi="Bookman Old Style" w:cs="Arial"/>
          <w:sz w:val="20"/>
          <w:szCs w:val="20"/>
          <w:lang w:eastAsia="pt-BR"/>
        </w:rPr>
        <w:t xml:space="preserve"> identificação de marca, fabricante, modelo e </w:t>
      </w:r>
      <w:proofErr w:type="spellStart"/>
      <w:r w:rsidRPr="00F97084">
        <w:rPr>
          <w:rFonts w:ascii="Bookman Old Style" w:eastAsia="Arial" w:hAnsi="Bookman Old Style" w:cs="Arial"/>
          <w:sz w:val="20"/>
          <w:szCs w:val="20"/>
          <w:lang w:eastAsia="pt-BR"/>
        </w:rPr>
        <w:t>part</w:t>
      </w:r>
      <w:proofErr w:type="spellEnd"/>
      <w:r w:rsidRPr="00F97084">
        <w:rPr>
          <w:rFonts w:ascii="Bookman Old Style" w:eastAsia="Arial" w:hAnsi="Bookman Old Style" w:cs="Arial"/>
          <w:sz w:val="20"/>
          <w:szCs w:val="20"/>
          <w:lang w:eastAsia="pt-BR"/>
        </w:rPr>
        <w:t xml:space="preserve"> </w:t>
      </w:r>
      <w:proofErr w:type="spellStart"/>
      <w:r w:rsidRPr="00F97084">
        <w:rPr>
          <w:rFonts w:ascii="Bookman Old Style" w:eastAsia="Arial" w:hAnsi="Bookman Old Style" w:cs="Arial"/>
          <w:sz w:val="20"/>
          <w:szCs w:val="20"/>
          <w:lang w:eastAsia="pt-BR"/>
        </w:rPr>
        <w:t>number</w:t>
      </w:r>
      <w:proofErr w:type="spellEnd"/>
      <w:r w:rsidRPr="00F97084">
        <w:rPr>
          <w:rFonts w:ascii="Bookman Old Style" w:eastAsia="Arial" w:hAnsi="Bookman Old Style" w:cs="Arial"/>
          <w:sz w:val="20"/>
          <w:szCs w:val="20"/>
          <w:lang w:eastAsia="pt-BR"/>
        </w:rPr>
        <w:t>.</w:t>
      </w:r>
    </w:p>
    <w:p w:rsidR="00387425" w:rsidRPr="00F97084" w:rsidRDefault="00387425" w:rsidP="001472B1">
      <w:pPr>
        <w:pStyle w:val="PargrafodaLista"/>
        <w:numPr>
          <w:ilvl w:val="0"/>
          <w:numId w:val="15"/>
        </w:numPr>
        <w:spacing w:before="100" w:beforeAutospacing="1" w:after="100" w:afterAutospacing="1"/>
        <w:outlineLvl w:val="1"/>
        <w:rPr>
          <w:rFonts w:ascii="Bookman Old Style" w:eastAsia="Times New Roman" w:hAnsi="Bookman Old Style" w:cs="Times New Roman"/>
          <w:b/>
          <w:bCs/>
          <w:sz w:val="20"/>
          <w:szCs w:val="20"/>
        </w:rPr>
      </w:pPr>
      <w:r w:rsidRPr="00F97084">
        <w:rPr>
          <w:rFonts w:ascii="Bookman Old Style" w:eastAsia="Times New Roman" w:hAnsi="Bookman Old Style" w:cs="Times New Roman"/>
          <w:b/>
          <w:bCs/>
          <w:sz w:val="20"/>
          <w:szCs w:val="20"/>
        </w:rPr>
        <w:t>Avaliação de AMOSTRAS DAS TINTAS:</w:t>
      </w:r>
    </w:p>
    <w:p w:rsidR="00387425" w:rsidRPr="00F97084" w:rsidRDefault="00387425" w:rsidP="001472B1">
      <w:pPr>
        <w:pStyle w:val="PargrafodaLista"/>
        <w:numPr>
          <w:ilvl w:val="1"/>
          <w:numId w:val="15"/>
        </w:numPr>
        <w:spacing w:before="100" w:beforeAutospacing="1" w:after="100" w:afterAutospacing="1"/>
        <w:rPr>
          <w:rFonts w:ascii="Bookman Old Style" w:eastAsia="Times New Roman" w:hAnsi="Bookman Old Style" w:cs="Times New Roman"/>
          <w:sz w:val="20"/>
          <w:szCs w:val="20"/>
        </w:rPr>
      </w:pPr>
      <w:r w:rsidRPr="00F97084">
        <w:rPr>
          <w:rFonts w:ascii="Bookman Old Style" w:eastAsia="Times New Roman" w:hAnsi="Bookman Old Style" w:cs="Times New Roman"/>
          <w:sz w:val="20"/>
          <w:szCs w:val="20"/>
        </w:rPr>
        <w:t>Não será exigida apresentação prévia de amostra como condição geral de participação.</w:t>
      </w:r>
    </w:p>
    <w:p w:rsidR="00387425" w:rsidRPr="00F97084" w:rsidRDefault="00387425" w:rsidP="001472B1">
      <w:pPr>
        <w:pStyle w:val="PargrafodaLista"/>
        <w:numPr>
          <w:ilvl w:val="1"/>
          <w:numId w:val="15"/>
        </w:numPr>
        <w:spacing w:before="100" w:beforeAutospacing="1" w:after="100" w:afterAutospacing="1"/>
        <w:rPr>
          <w:rFonts w:ascii="Bookman Old Style" w:eastAsia="Times New Roman" w:hAnsi="Bookman Old Style" w:cs="Times New Roman"/>
          <w:sz w:val="20"/>
          <w:szCs w:val="20"/>
        </w:rPr>
      </w:pPr>
      <w:r w:rsidRPr="00F97084">
        <w:rPr>
          <w:rFonts w:ascii="Bookman Old Style" w:eastAsia="Times New Roman" w:hAnsi="Bookman Old Style" w:cs="Times New Roman"/>
          <w:sz w:val="20"/>
          <w:szCs w:val="20"/>
        </w:rPr>
        <w:t xml:space="preserve">Entretanto, quando a licitante provisoriamente classificada em primeiro lugar nos itens de tinta ofertar produto de marca ou linha diferente da referência </w:t>
      </w:r>
      <w:proofErr w:type="spellStart"/>
      <w:r w:rsidRPr="00F97084">
        <w:rPr>
          <w:rFonts w:ascii="Bookman Old Style" w:eastAsia="Times New Roman" w:hAnsi="Bookman Old Style" w:cs="Times New Roman"/>
          <w:b/>
          <w:bCs/>
          <w:sz w:val="20"/>
          <w:szCs w:val="20"/>
        </w:rPr>
        <w:t>InkTec</w:t>
      </w:r>
      <w:proofErr w:type="spellEnd"/>
      <w:r w:rsidRPr="00F97084">
        <w:rPr>
          <w:rFonts w:ascii="Bookman Old Style" w:eastAsia="Times New Roman" w:hAnsi="Bookman Old Style" w:cs="Times New Roman"/>
          <w:b/>
          <w:bCs/>
          <w:sz w:val="20"/>
          <w:szCs w:val="20"/>
        </w:rPr>
        <w:t xml:space="preserve"> </w:t>
      </w:r>
      <w:proofErr w:type="spellStart"/>
      <w:r w:rsidRPr="00F97084">
        <w:rPr>
          <w:rFonts w:ascii="Bookman Old Style" w:eastAsia="Times New Roman" w:hAnsi="Bookman Old Style" w:cs="Times New Roman"/>
          <w:b/>
          <w:bCs/>
          <w:sz w:val="20"/>
          <w:szCs w:val="20"/>
        </w:rPr>
        <w:t>Profeel</w:t>
      </w:r>
      <w:proofErr w:type="spellEnd"/>
      <w:r w:rsidRPr="00F97084">
        <w:rPr>
          <w:rFonts w:ascii="Bookman Old Style" w:eastAsia="Times New Roman" w:hAnsi="Bookman Old Style" w:cs="Times New Roman"/>
          <w:b/>
          <w:bCs/>
          <w:sz w:val="20"/>
          <w:szCs w:val="20"/>
        </w:rPr>
        <w:t xml:space="preserve"> E0017</w:t>
      </w:r>
      <w:r w:rsidRPr="00F97084">
        <w:rPr>
          <w:rFonts w:ascii="Bookman Old Style" w:eastAsia="Times New Roman" w:hAnsi="Bookman Old Style" w:cs="Times New Roman"/>
          <w:sz w:val="20"/>
          <w:szCs w:val="20"/>
        </w:rPr>
        <w:t xml:space="preserve"> e a documentação técnica apresentada não for suficiente para comprovar sua equivalência e adequação, a Administração poderá solicitar </w:t>
      </w:r>
      <w:r w:rsidRPr="00F97084">
        <w:rPr>
          <w:rFonts w:ascii="Bookman Old Style" w:eastAsia="Times New Roman" w:hAnsi="Bookman Old Style" w:cs="Times New Roman"/>
          <w:b/>
          <w:bCs/>
          <w:sz w:val="20"/>
          <w:szCs w:val="20"/>
        </w:rPr>
        <w:t>amostra para avaliação técnica</w:t>
      </w:r>
      <w:r w:rsidRPr="00F97084">
        <w:rPr>
          <w:rFonts w:ascii="Bookman Old Style" w:eastAsia="Times New Roman" w:hAnsi="Bookman Old Style" w:cs="Times New Roman"/>
          <w:sz w:val="20"/>
          <w:szCs w:val="20"/>
        </w:rPr>
        <w:t>.</w:t>
      </w:r>
    </w:p>
    <w:p w:rsidR="00387425" w:rsidRPr="00F97084" w:rsidRDefault="00387425" w:rsidP="001472B1">
      <w:pPr>
        <w:pStyle w:val="PargrafodaLista"/>
        <w:numPr>
          <w:ilvl w:val="2"/>
          <w:numId w:val="15"/>
        </w:numPr>
        <w:spacing w:before="100" w:beforeAutospacing="1" w:after="100" w:afterAutospacing="1"/>
        <w:rPr>
          <w:rFonts w:ascii="Bookman Old Style" w:eastAsia="Times New Roman" w:hAnsi="Bookman Old Style" w:cs="Times New Roman"/>
          <w:sz w:val="20"/>
          <w:szCs w:val="20"/>
        </w:rPr>
      </w:pPr>
      <w:r w:rsidRPr="00F97084">
        <w:rPr>
          <w:rFonts w:ascii="Bookman Old Style" w:eastAsia="Times New Roman" w:hAnsi="Bookman Old Style" w:cs="Times New Roman"/>
          <w:sz w:val="20"/>
          <w:szCs w:val="20"/>
        </w:rPr>
        <w:t>A avaliação poderá considerar:</w:t>
      </w: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r w:rsidRPr="00F97084">
        <w:rPr>
          <w:rFonts w:ascii="Bookman Old Style" w:eastAsia="Times New Roman" w:hAnsi="Bookman Old Style" w:cs="Times New Roman"/>
          <w:sz w:val="20"/>
          <w:szCs w:val="20"/>
        </w:rPr>
        <w:t>a) fabricante, marca, linha e procedência;</w:t>
      </w: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r w:rsidRPr="00F97084">
        <w:rPr>
          <w:rFonts w:ascii="Bookman Old Style" w:eastAsia="Times New Roman" w:hAnsi="Bookman Old Style" w:cs="Times New Roman"/>
          <w:sz w:val="20"/>
          <w:szCs w:val="20"/>
        </w:rPr>
        <w:t>b) identificação do produto;</w:t>
      </w: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r w:rsidRPr="00F97084">
        <w:rPr>
          <w:rFonts w:ascii="Bookman Old Style" w:eastAsia="Times New Roman" w:hAnsi="Bookman Old Style" w:cs="Times New Roman"/>
          <w:sz w:val="20"/>
          <w:szCs w:val="20"/>
        </w:rPr>
        <w:t>c) homogeneidade;</w:t>
      </w: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r w:rsidRPr="00F97084">
        <w:rPr>
          <w:rFonts w:ascii="Bookman Old Style" w:eastAsia="Times New Roman" w:hAnsi="Bookman Old Style" w:cs="Times New Roman"/>
          <w:sz w:val="20"/>
          <w:szCs w:val="20"/>
        </w:rPr>
        <w:t>d) ausência de sedimentação anormal;</w:t>
      </w: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r w:rsidRPr="00F97084">
        <w:rPr>
          <w:rFonts w:ascii="Bookman Old Style" w:eastAsia="Times New Roman" w:hAnsi="Bookman Old Style" w:cs="Times New Roman"/>
          <w:sz w:val="20"/>
          <w:szCs w:val="20"/>
        </w:rPr>
        <w:t>e) fluidez;</w:t>
      </w: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r w:rsidRPr="00F97084">
        <w:rPr>
          <w:rFonts w:ascii="Bookman Old Style" w:eastAsia="Times New Roman" w:hAnsi="Bookman Old Style" w:cs="Times New Roman"/>
          <w:sz w:val="20"/>
          <w:szCs w:val="20"/>
        </w:rPr>
        <w:t>f) comportamento durante o abastecimento;</w:t>
      </w: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r w:rsidRPr="00F97084">
        <w:rPr>
          <w:rFonts w:ascii="Bookman Old Style" w:eastAsia="Times New Roman" w:hAnsi="Bookman Old Style" w:cs="Times New Roman"/>
          <w:sz w:val="20"/>
          <w:szCs w:val="20"/>
        </w:rPr>
        <w:t>g) estabilidade durante a utilização;</w:t>
      </w: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r w:rsidRPr="00F97084">
        <w:rPr>
          <w:rFonts w:ascii="Bookman Old Style" w:eastAsia="Times New Roman" w:hAnsi="Bookman Old Style" w:cs="Times New Roman"/>
          <w:sz w:val="20"/>
          <w:szCs w:val="20"/>
        </w:rPr>
        <w:t>h) qualidade da impressão;</w:t>
      </w: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r w:rsidRPr="00F97084">
        <w:rPr>
          <w:rFonts w:ascii="Bookman Old Style" w:eastAsia="Times New Roman" w:hAnsi="Bookman Old Style" w:cs="Times New Roman"/>
          <w:sz w:val="20"/>
          <w:szCs w:val="20"/>
        </w:rPr>
        <w:t>i) funcionamento regular do equipamento durante o teste;</w:t>
      </w: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r w:rsidRPr="00F97084">
        <w:rPr>
          <w:rFonts w:ascii="Bookman Old Style" w:eastAsia="Times New Roman" w:hAnsi="Bookman Old Style" w:cs="Times New Roman"/>
          <w:sz w:val="20"/>
          <w:szCs w:val="20"/>
        </w:rPr>
        <w:t>j) demais características técnicas relevantes previstas neste Termo de Referência.</w:t>
      </w: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r w:rsidRPr="00F97084">
        <w:rPr>
          <w:rFonts w:ascii="Bookman Old Style" w:eastAsia="Times New Roman" w:hAnsi="Bookman Old Style" w:cs="Times New Roman"/>
          <w:sz w:val="20"/>
          <w:szCs w:val="20"/>
        </w:rPr>
        <w:t>A solicitação da amostra e o resultado da avaliação deverão ser registrados no processo.</w:t>
      </w: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p>
    <w:p w:rsidR="00387425" w:rsidRPr="00F97084" w:rsidRDefault="00387425" w:rsidP="00387425">
      <w:pPr>
        <w:pStyle w:val="PargrafodaLista"/>
        <w:spacing w:before="100" w:beforeAutospacing="1" w:after="100" w:afterAutospacing="1"/>
        <w:ind w:left="0"/>
        <w:rPr>
          <w:rFonts w:ascii="Bookman Old Style" w:eastAsia="Times New Roman" w:hAnsi="Bookman Old Style" w:cs="Times New Roman"/>
          <w:sz w:val="20"/>
          <w:szCs w:val="20"/>
        </w:rPr>
      </w:pPr>
    </w:p>
    <w:p w:rsidR="00387425" w:rsidRPr="00F97084" w:rsidRDefault="000D7CAF" w:rsidP="00387425">
      <w:pPr>
        <w:tabs>
          <w:tab w:val="left" w:pos="4500"/>
          <w:tab w:val="left" w:pos="5130"/>
          <w:tab w:val="left" w:pos="8010"/>
        </w:tabs>
        <w:spacing w:before="135" w:after="165"/>
        <w:ind w:right="2715"/>
        <w:rPr>
          <w:rFonts w:ascii="Bookman Old Style" w:hAnsi="Bookman Old Style"/>
          <w:sz w:val="20"/>
          <w:szCs w:val="20"/>
        </w:rPr>
      </w:pPr>
      <w:r w:rsidRPr="00F97084">
        <w:rPr>
          <w:rFonts w:ascii="Bookman Old Style" w:eastAsia="Bookman Old Style" w:hAnsi="Bookman Old Style" w:cs="Bookman Old Style"/>
          <w:b/>
          <w:sz w:val="20"/>
          <w:szCs w:val="20"/>
        </w:rPr>
        <w:lastRenderedPageBreak/>
        <w:t>EDITAL DE PREGÃO Nº 036</w:t>
      </w:r>
      <w:r w:rsidR="00387425" w:rsidRPr="00F97084">
        <w:rPr>
          <w:rFonts w:ascii="Bookman Old Style" w:eastAsia="Bookman Old Style" w:hAnsi="Bookman Old Style" w:cs="Bookman Old Style"/>
          <w:b/>
          <w:sz w:val="20"/>
          <w:szCs w:val="20"/>
        </w:rPr>
        <w:t>/2026</w:t>
      </w:r>
      <w:r w:rsidR="00387425" w:rsidRPr="00F97084">
        <w:rPr>
          <w:rFonts w:ascii="Bookman Old Style" w:eastAsia="Bookman Old Style" w:hAnsi="Bookman Old Style" w:cs="Bookman Old Style"/>
          <w:sz w:val="20"/>
          <w:szCs w:val="20"/>
        </w:rPr>
        <w:t xml:space="preserve"> </w:t>
      </w:r>
    </w:p>
    <w:p w:rsidR="00387425" w:rsidRPr="00F97084" w:rsidRDefault="00387425" w:rsidP="00387425">
      <w:pPr>
        <w:spacing w:before="135" w:after="165"/>
        <w:ind w:right="5070"/>
        <w:rPr>
          <w:rFonts w:ascii="Bookman Old Style" w:hAnsi="Bookman Old Style"/>
          <w:sz w:val="20"/>
          <w:szCs w:val="20"/>
        </w:rPr>
      </w:pPr>
      <w:r w:rsidRPr="00F97084">
        <w:rPr>
          <w:rFonts w:ascii="Bookman Old Style" w:eastAsia="Bookman Old Style" w:hAnsi="Bookman Old Style" w:cs="Bookman Old Style"/>
          <w:b/>
          <w:sz w:val="20"/>
          <w:szCs w:val="20"/>
        </w:rPr>
        <w:t xml:space="preserve">PROCESSO ADMINISTRATIVO Nº </w:t>
      </w:r>
      <w:r w:rsidR="000D7CAF" w:rsidRPr="00F97084">
        <w:rPr>
          <w:rFonts w:ascii="Bookman Old Style" w:eastAsia="Bookman Old Style" w:hAnsi="Bookman Old Style" w:cs="Bookman Old Style"/>
          <w:b/>
          <w:sz w:val="20"/>
          <w:szCs w:val="20"/>
        </w:rPr>
        <w:t>917</w:t>
      </w:r>
      <w:r w:rsidRPr="00F97084">
        <w:rPr>
          <w:rFonts w:ascii="Bookman Old Style" w:eastAsia="Bookman Old Style" w:hAnsi="Bookman Old Style" w:cs="Bookman Old Style"/>
          <w:b/>
          <w:sz w:val="20"/>
          <w:szCs w:val="20"/>
        </w:rPr>
        <w:t>/2026</w:t>
      </w:r>
      <w:r w:rsidRPr="00F97084">
        <w:rPr>
          <w:rFonts w:ascii="Bookman Old Style" w:eastAsia="Bookman Old Style" w:hAnsi="Bookman Old Style" w:cs="Bookman Old Style"/>
          <w:sz w:val="20"/>
          <w:szCs w:val="20"/>
        </w:rPr>
        <w:t xml:space="preserve"> </w:t>
      </w:r>
    </w:p>
    <w:p w:rsidR="00387425" w:rsidRPr="00F97084" w:rsidRDefault="00387425" w:rsidP="00387425">
      <w:pPr>
        <w:spacing w:before="135" w:after="165"/>
        <w:ind w:right="5250"/>
        <w:rPr>
          <w:rFonts w:ascii="Bookman Old Style" w:hAnsi="Bookman Old Style"/>
          <w:sz w:val="20"/>
          <w:szCs w:val="20"/>
        </w:rPr>
      </w:pPr>
      <w:r w:rsidRPr="00F97084">
        <w:rPr>
          <w:rFonts w:ascii="Bookman Old Style" w:eastAsia="Bookman Old Style" w:hAnsi="Bookman Old Style" w:cs="Bookman Old Style"/>
          <w:b/>
          <w:sz w:val="20"/>
          <w:szCs w:val="20"/>
        </w:rPr>
        <w:t xml:space="preserve">MODALIDADE: </w:t>
      </w:r>
      <w:r w:rsidRPr="00F97084">
        <w:rPr>
          <w:rFonts w:ascii="Bookman Old Style" w:eastAsia="Bookman Old Style" w:hAnsi="Bookman Old Style" w:cs="Bookman Old Style"/>
          <w:sz w:val="20"/>
          <w:szCs w:val="20"/>
        </w:rPr>
        <w:t>PREGÃO ELETRÔNICO</w:t>
      </w:r>
    </w:p>
    <w:p w:rsidR="00387425" w:rsidRPr="00F97084" w:rsidRDefault="000D7CAF" w:rsidP="00387425">
      <w:pPr>
        <w:spacing w:before="135" w:after="165"/>
        <w:ind w:right="3030"/>
        <w:rPr>
          <w:rFonts w:ascii="Bookman Old Style" w:hAnsi="Bookman Old Style"/>
          <w:sz w:val="20"/>
          <w:szCs w:val="20"/>
        </w:rPr>
      </w:pPr>
      <w:r w:rsidRPr="00F97084">
        <w:rPr>
          <w:rFonts w:ascii="Bookman Old Style" w:eastAsia="Bookman Old Style" w:hAnsi="Bookman Old Style" w:cs="Bookman Old Style"/>
          <w:b/>
          <w:sz w:val="20"/>
          <w:szCs w:val="20"/>
        </w:rPr>
        <w:t>TIPO: Menor Preço, Por lote/</w:t>
      </w:r>
      <w:proofErr w:type="gramStart"/>
      <w:r w:rsidRPr="00F97084">
        <w:rPr>
          <w:rFonts w:ascii="Bookman Old Style" w:eastAsia="Bookman Old Style" w:hAnsi="Bookman Old Style" w:cs="Bookman Old Style"/>
          <w:b/>
          <w:sz w:val="20"/>
          <w:szCs w:val="20"/>
        </w:rPr>
        <w:t>item</w:t>
      </w:r>
      <w:proofErr w:type="gramEnd"/>
    </w:p>
    <w:p w:rsidR="00387425" w:rsidRPr="00F97084" w:rsidRDefault="00387425" w:rsidP="00387425">
      <w:pPr>
        <w:jc w:val="both"/>
        <w:rPr>
          <w:rFonts w:ascii="Bookman Old Style" w:hAnsi="Bookman Old Style"/>
          <w:sz w:val="20"/>
          <w:szCs w:val="20"/>
        </w:rPr>
      </w:pPr>
      <w:r w:rsidRPr="00F97084">
        <w:rPr>
          <w:rFonts w:ascii="Bookman Old Style" w:eastAsia="Bookman Old Style" w:hAnsi="Bookman Old Style" w:cs="Bookman Old Style"/>
          <w:b/>
          <w:sz w:val="20"/>
          <w:szCs w:val="20"/>
        </w:rPr>
        <w:t>OBJETO:</w:t>
      </w:r>
      <w:r w:rsidRPr="00F97084">
        <w:rPr>
          <w:rFonts w:ascii="Bookman Old Style" w:eastAsia="Bookman Old Style" w:hAnsi="Bookman Old Style" w:cs="Bookman Old Style"/>
          <w:sz w:val="20"/>
          <w:szCs w:val="20"/>
        </w:rPr>
        <w:t xml:space="preserve"> </w:t>
      </w:r>
      <w:r w:rsidR="000D7CAF" w:rsidRPr="00F97084">
        <w:rPr>
          <w:rFonts w:ascii="Bookman Old Style" w:eastAsia="Bookman Old Style" w:hAnsi="Bookman Old Style" w:cs="Bookman Old Style"/>
          <w:sz w:val="20"/>
          <w:szCs w:val="20"/>
        </w:rPr>
        <w:t>Aquisição de suprimentos de impressão, tintas, toners, cilindros, unidades de imagem, reveladores, peças, componentes, materiais, ferramentas e equipamentos destinados ao abastecimento, à manutenção preventiva e à manutenção corretiva do parque de impressoras do Município de Santo Antônio do Sudoeste – PR</w:t>
      </w:r>
      <w:r w:rsidRPr="00F97084">
        <w:rPr>
          <w:rFonts w:ascii="Bookman Old Style" w:eastAsia="Bookman Old Style" w:hAnsi="Bookman Old Style" w:cs="Bookman Old Style"/>
          <w:sz w:val="20"/>
          <w:szCs w:val="20"/>
        </w:rPr>
        <w:t>.</w:t>
      </w:r>
    </w:p>
    <w:p w:rsidR="00387425" w:rsidRPr="00F97084" w:rsidRDefault="00387425" w:rsidP="000D7CAF">
      <w:pPr>
        <w:spacing w:before="120" w:after="0"/>
        <w:jc w:val="center"/>
        <w:rPr>
          <w:rFonts w:ascii="Bookman Old Style" w:hAnsi="Bookman Old Style"/>
          <w:sz w:val="20"/>
          <w:szCs w:val="20"/>
        </w:rPr>
      </w:pPr>
      <w:r w:rsidRPr="00F97084">
        <w:rPr>
          <w:rFonts w:ascii="Bookman Old Style" w:eastAsia="Bookman Old Style" w:hAnsi="Bookman Old Style" w:cs="Bookman Old Style"/>
          <w:b/>
          <w:sz w:val="20"/>
          <w:szCs w:val="20"/>
        </w:rPr>
        <w:t>ANEXO III</w:t>
      </w:r>
    </w:p>
    <w:p w:rsidR="00387425" w:rsidRPr="00F97084" w:rsidRDefault="00387425" w:rsidP="000D7CAF">
      <w:pPr>
        <w:spacing w:before="15" w:after="0"/>
        <w:jc w:val="center"/>
        <w:rPr>
          <w:rFonts w:ascii="Bookman Old Style" w:hAnsi="Bookman Old Style"/>
          <w:sz w:val="20"/>
          <w:szCs w:val="20"/>
        </w:rPr>
      </w:pPr>
      <w:r w:rsidRPr="00F97084">
        <w:rPr>
          <w:rFonts w:ascii="Bookman Old Style" w:eastAsia="Bookman Old Style" w:hAnsi="Bookman Old Style" w:cs="Bookman Old Style"/>
          <w:b/>
          <w:sz w:val="20"/>
          <w:szCs w:val="20"/>
        </w:rPr>
        <w:t>MODELO DE PROPOSTA COMERCIAL</w:t>
      </w:r>
    </w:p>
    <w:p w:rsidR="00387425" w:rsidRPr="00F97084" w:rsidRDefault="00387425" w:rsidP="000D7CAF">
      <w:pPr>
        <w:spacing w:after="0"/>
        <w:jc w:val="center"/>
        <w:rPr>
          <w:rFonts w:ascii="Bookman Old Style" w:hAnsi="Bookman Old Style"/>
          <w:sz w:val="20"/>
          <w:szCs w:val="20"/>
        </w:rPr>
      </w:pPr>
      <w:r w:rsidRPr="00F97084">
        <w:rPr>
          <w:rFonts w:ascii="Bookman Old Style" w:eastAsia="Bookman Old Style" w:hAnsi="Bookman Old Style" w:cs="Bookman Old Style"/>
          <w:b/>
          <w:sz w:val="20"/>
          <w:szCs w:val="20"/>
        </w:rPr>
        <w:t>(Uso obrigatório por todas as licitantes)</w:t>
      </w:r>
    </w:p>
    <w:p w:rsidR="00387425" w:rsidRPr="00F97084" w:rsidRDefault="00387425" w:rsidP="000D7CAF">
      <w:pPr>
        <w:spacing w:after="0"/>
        <w:jc w:val="center"/>
        <w:rPr>
          <w:rFonts w:ascii="Bookman Old Style" w:hAnsi="Bookman Old Style"/>
          <w:sz w:val="20"/>
          <w:szCs w:val="20"/>
        </w:rPr>
      </w:pPr>
      <w:r w:rsidRPr="00F97084">
        <w:rPr>
          <w:rFonts w:ascii="Bookman Old Style" w:eastAsia="Bookman Old Style" w:hAnsi="Bookman Old Style" w:cs="Bookman Old Style"/>
          <w:b/>
          <w:sz w:val="20"/>
          <w:szCs w:val="20"/>
        </w:rPr>
        <w:t>(Papel timbrado da licitante)</w:t>
      </w:r>
    </w:p>
    <w:p w:rsidR="00387425" w:rsidRPr="00F97084" w:rsidRDefault="00387425" w:rsidP="00387425">
      <w:pPr>
        <w:tabs>
          <w:tab w:val="left" w:leader="dot" w:pos="3300"/>
        </w:tabs>
        <w:spacing w:before="105" w:after="105"/>
        <w:ind w:right="780"/>
        <w:jc w:val="both"/>
        <w:rPr>
          <w:rFonts w:ascii="Bookman Old Style" w:hAnsi="Bookman Old Style"/>
          <w:sz w:val="20"/>
          <w:szCs w:val="20"/>
        </w:rPr>
      </w:pPr>
    </w:p>
    <w:p w:rsidR="00387425" w:rsidRPr="00F97084" w:rsidRDefault="00387425" w:rsidP="00387425">
      <w:pPr>
        <w:jc w:val="both"/>
        <w:rPr>
          <w:rFonts w:ascii="Bookman Old Style" w:hAnsi="Bookman Old Style"/>
          <w:sz w:val="20"/>
          <w:szCs w:val="20"/>
        </w:rPr>
      </w:pPr>
      <w:r w:rsidRPr="00F97084">
        <w:rPr>
          <w:rFonts w:ascii="Bookman Old Style" w:eastAsia="Bookman Old Style" w:hAnsi="Bookman Old Style" w:cs="Bookman Old Style"/>
          <w:sz w:val="20"/>
          <w:szCs w:val="20"/>
        </w:rPr>
        <w:t>A empresa</w:t>
      </w:r>
      <w:r w:rsidRPr="00F97084">
        <w:rPr>
          <w:rFonts w:ascii="Bookman Old Style" w:eastAsia="Bookman Old Style" w:hAnsi="Bookman Old Style" w:cs="Bookman Old Style"/>
          <w:sz w:val="20"/>
          <w:szCs w:val="20"/>
        </w:rPr>
        <w:tab/>
        <w:t>, estabelecida na (endereço completo, telefone, fax e endereço eletrônico, se</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 xml:space="preserve">houver), inscrita  no  CNPJ  sob  nº  .......................,  neste  ato  representada  por  .............................,  </w:t>
      </w:r>
      <w:r w:rsidRPr="00F97084">
        <w:rPr>
          <w:rFonts w:ascii="Bookman Old Style" w:eastAsia="Bookman Old Style" w:hAnsi="Bookman Old Style" w:cs="Bookman Old Style"/>
          <w:sz w:val="20"/>
          <w:szCs w:val="20"/>
          <w:u w:val="single"/>
        </w:rPr>
        <w:t>cargo</w:t>
      </w:r>
      <w:r w:rsidRPr="00F97084">
        <w:rPr>
          <w:rFonts w:ascii="Bookman Old Style" w:eastAsia="Bookman Old Style" w:hAnsi="Bookman Old Style" w:cs="Bookman Old Style"/>
          <w:sz w:val="20"/>
          <w:szCs w:val="20"/>
        </w:rPr>
        <w:t>,  RG</w:t>
      </w:r>
      <w:r w:rsidRPr="00F97084">
        <w:rPr>
          <w:rFonts w:ascii="Bookman Old Style" w:eastAsia="Bookman Old Style" w:hAnsi="Bookman Old Style" w:cs="Bookman Old Style"/>
          <w:sz w:val="20"/>
          <w:szCs w:val="20"/>
        </w:rPr>
        <w:tab/>
        <w:t>, CPF.......</w:t>
      </w:r>
      <w:r w:rsidRPr="00F97084">
        <w:rPr>
          <w:rFonts w:ascii="Bookman Old Style" w:eastAsia="Bookman Old Style" w:hAnsi="Bookman Old Style" w:cs="Bookman Old Style"/>
          <w:sz w:val="20"/>
          <w:szCs w:val="20"/>
        </w:rPr>
        <w:tab/>
        <w:t>,</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u w:val="single"/>
        </w:rPr>
        <w:t>(endereço)</w:t>
      </w:r>
      <w:r w:rsidRPr="00F97084">
        <w:rPr>
          <w:rFonts w:ascii="Bookman Old Style" w:eastAsia="Bookman Old Style" w:hAnsi="Bookman Old Style" w:cs="Bookman Old Style"/>
          <w:sz w:val="20"/>
          <w:szCs w:val="20"/>
        </w:rPr>
        <w:t>,</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vem</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por</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meio</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desta,</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apresentar</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Proposta</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de</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Preços</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ao</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Edital</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de</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b/>
          <w:sz w:val="20"/>
          <w:szCs w:val="20"/>
        </w:rPr>
        <w:t>PREGÃO</w:t>
      </w:r>
      <w:r w:rsidRPr="00F97084">
        <w:rPr>
          <w:rFonts w:ascii="Bookman Old Style" w:eastAsia="Bookman Old Style" w:hAnsi="Bookman Old Style" w:cs="Bookman Old Style"/>
          <w:b/>
          <w:spacing w:val="1"/>
          <w:sz w:val="20"/>
          <w:szCs w:val="20"/>
        </w:rPr>
        <w:t xml:space="preserve"> </w:t>
      </w:r>
      <w:r w:rsidRPr="00F97084">
        <w:rPr>
          <w:rFonts w:ascii="Bookman Old Style" w:eastAsia="Bookman Old Style" w:hAnsi="Bookman Old Style" w:cs="Bookman Old Style"/>
          <w:b/>
          <w:sz w:val="20"/>
          <w:szCs w:val="20"/>
        </w:rPr>
        <w:t>ELETRÔNICO</w:t>
      </w:r>
      <w:r w:rsidRPr="00F97084">
        <w:rPr>
          <w:rFonts w:ascii="Bookman Old Style" w:eastAsia="Bookman Old Style" w:hAnsi="Bookman Old Style" w:cs="Bookman Old Style"/>
          <w:b/>
          <w:spacing w:val="1"/>
          <w:sz w:val="20"/>
          <w:szCs w:val="20"/>
        </w:rPr>
        <w:t xml:space="preserve"> </w:t>
      </w:r>
      <w:r w:rsidRPr="00F97084">
        <w:rPr>
          <w:rFonts w:ascii="Bookman Old Style" w:eastAsia="Bookman Old Style" w:hAnsi="Bookman Old Style" w:cs="Bookman Old Style"/>
          <w:b/>
          <w:sz w:val="20"/>
          <w:szCs w:val="20"/>
        </w:rPr>
        <w:t>Nº 0</w:t>
      </w:r>
      <w:r w:rsidR="000D7CAF" w:rsidRPr="00F97084">
        <w:rPr>
          <w:rFonts w:ascii="Bookman Old Style" w:eastAsia="Bookman Old Style" w:hAnsi="Bookman Old Style" w:cs="Bookman Old Style"/>
          <w:b/>
          <w:sz w:val="20"/>
          <w:szCs w:val="20"/>
        </w:rPr>
        <w:t>36</w:t>
      </w:r>
      <w:r w:rsidRPr="00F97084">
        <w:rPr>
          <w:rFonts w:ascii="Bookman Old Style" w:eastAsia="Bookman Old Style" w:hAnsi="Bookman Old Style" w:cs="Bookman Old Style"/>
          <w:b/>
          <w:sz w:val="20"/>
          <w:szCs w:val="20"/>
        </w:rPr>
        <w:t>/2026</w:t>
      </w:r>
      <w:r w:rsidRPr="00F97084">
        <w:rPr>
          <w:rFonts w:ascii="Bookman Old Style" w:eastAsia="Bookman Old Style" w:hAnsi="Bookman Old Style" w:cs="Bookman Old Style"/>
          <w:sz w:val="20"/>
          <w:szCs w:val="20"/>
        </w:rPr>
        <w:t xml:space="preserve"> em</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epigrafe</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que</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tem</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por</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objeto</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a</w:t>
      </w:r>
      <w:r w:rsidRPr="00F97084">
        <w:rPr>
          <w:rFonts w:ascii="Bookman Old Style" w:eastAsia="Bookman Old Style" w:hAnsi="Bookman Old Style" w:cs="Bookman Old Style"/>
          <w:spacing w:val="-1"/>
          <w:sz w:val="20"/>
          <w:szCs w:val="20"/>
        </w:rPr>
        <w:t xml:space="preserve"> </w:t>
      </w:r>
      <w:r w:rsidR="000D7CAF" w:rsidRPr="00F97084">
        <w:rPr>
          <w:rFonts w:ascii="Bookman Old Style" w:eastAsia="Bookman Old Style" w:hAnsi="Bookman Old Style" w:cs="Bookman Old Style"/>
          <w:sz w:val="20"/>
          <w:szCs w:val="20"/>
        </w:rPr>
        <w:t>Aquisição de suprimentos de impressão, tintas, toners, cilindros, unidades de imagem, reveladores, peças, componentes, materiais, ferramentas e equipamentos destinados ao abastecimento, à manutenção preventiva e à manutenção corretiva do parque de impressoras do Município de Santo Antônio do Sudoeste – PR</w:t>
      </w:r>
      <w:r w:rsidRPr="00F97084">
        <w:rPr>
          <w:rFonts w:ascii="Bookman Old Style" w:eastAsia="Bookman Old Style" w:hAnsi="Bookman Old Style" w:cs="Bookman Old Style"/>
          <w:sz w:val="20"/>
          <w:szCs w:val="20"/>
        </w:rPr>
        <w:t>, conforme quantidades, especificações, exigências e condições estabelecidas neste documento, conforme inciso I do § 1° do art. 18 da Lei nº 14.133, de 2021, conforme segue:</w:t>
      </w:r>
    </w:p>
    <w:tbl>
      <w:tblPr>
        <w:tblW w:w="4840" w:type="pct"/>
        <w:jc w:val="center"/>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387425" w:rsidRPr="00F97084" w:rsidTr="00387425">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387425" w:rsidRPr="00F97084" w:rsidRDefault="00387425" w:rsidP="000D7CAF">
            <w:pPr>
              <w:spacing w:after="0" w:line="240" w:lineRule="auto"/>
              <w:rPr>
                <w:rFonts w:ascii="Bookman Old Style" w:eastAsia="Bookman Old Style" w:hAnsi="Bookman Old Style" w:cs="Bookman Old Style"/>
                <w:sz w:val="16"/>
                <w:szCs w:val="20"/>
              </w:rPr>
            </w:pPr>
            <w:r w:rsidRPr="00F97084">
              <w:rPr>
                <w:rFonts w:ascii="Bookman Old Style" w:eastAsia="Bookman Old Style" w:hAnsi="Bookman Old Style" w:cs="Bookman Old Style"/>
                <w:sz w:val="16"/>
                <w:szCs w:val="20"/>
              </w:rPr>
              <w:t xml:space="preserve">LOTE </w:t>
            </w:r>
            <w:r w:rsidR="000D7CAF" w:rsidRPr="00F97084">
              <w:rPr>
                <w:rFonts w:ascii="Bookman Old Style" w:eastAsia="Bookman Old Style" w:hAnsi="Bookman Old Style" w:cs="Bookman Old Style"/>
                <w:sz w:val="16"/>
                <w:szCs w:val="20"/>
              </w:rPr>
              <w:t>XXX</w:t>
            </w:r>
          </w:p>
        </w:tc>
      </w:tr>
      <w:tr w:rsidR="00387425" w:rsidRPr="00F97084" w:rsidTr="00387425">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387425" w:rsidRPr="00F97084" w:rsidRDefault="00387425" w:rsidP="000D7CAF">
            <w:pPr>
              <w:spacing w:after="0" w:line="240" w:lineRule="auto"/>
              <w:rPr>
                <w:rFonts w:ascii="Bookman Old Style" w:hAnsi="Bookman Old Style"/>
                <w:sz w:val="16"/>
                <w:szCs w:val="20"/>
              </w:rPr>
            </w:pPr>
            <w:r w:rsidRPr="00F97084">
              <w:rPr>
                <w:rFonts w:ascii="Bookman Old Style" w:eastAsia="Bookman Old Style" w:hAnsi="Bookman Old Style" w:cs="Bookman Old Style"/>
                <w:sz w:val="16"/>
                <w:szCs w:val="20"/>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387425" w:rsidRPr="00F97084" w:rsidRDefault="00387425" w:rsidP="000D7CAF">
            <w:pPr>
              <w:spacing w:after="0" w:line="240" w:lineRule="auto"/>
              <w:rPr>
                <w:rFonts w:ascii="Bookman Old Style" w:hAnsi="Bookman Old Style"/>
                <w:sz w:val="16"/>
                <w:szCs w:val="20"/>
              </w:rPr>
            </w:pPr>
            <w:r w:rsidRPr="00F97084">
              <w:rPr>
                <w:rFonts w:ascii="Bookman Old Style" w:eastAsia="Bookman Old Style" w:hAnsi="Bookman Old Style" w:cs="Bookman Old Style"/>
                <w:sz w:val="16"/>
                <w:szCs w:val="20"/>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387425" w:rsidRPr="00F97084" w:rsidRDefault="00387425" w:rsidP="000D7CAF">
            <w:pPr>
              <w:spacing w:after="0" w:line="240" w:lineRule="auto"/>
              <w:rPr>
                <w:rFonts w:ascii="Bookman Old Style" w:hAnsi="Bookman Old Style"/>
                <w:sz w:val="16"/>
                <w:szCs w:val="20"/>
              </w:rPr>
            </w:pPr>
            <w:r w:rsidRPr="00F97084">
              <w:rPr>
                <w:rFonts w:ascii="Bookman Old Style" w:eastAsia="Bookman Old Style" w:hAnsi="Bookman Old Style" w:cs="Bookman Old Style"/>
                <w:sz w:val="16"/>
                <w:szCs w:val="20"/>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387425" w:rsidRPr="00F97084" w:rsidRDefault="00387425" w:rsidP="000D7CAF">
            <w:pPr>
              <w:spacing w:after="0" w:line="240" w:lineRule="auto"/>
              <w:rPr>
                <w:rFonts w:ascii="Bookman Old Style" w:hAnsi="Bookman Old Style"/>
                <w:sz w:val="16"/>
                <w:szCs w:val="20"/>
              </w:rPr>
            </w:pPr>
            <w:r w:rsidRPr="00F97084">
              <w:rPr>
                <w:rFonts w:ascii="Bookman Old Style" w:eastAsia="Bookman Old Style" w:hAnsi="Bookman Old Style" w:cs="Bookman Old Style"/>
                <w:sz w:val="16"/>
                <w:szCs w:val="20"/>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87425" w:rsidRPr="00F97084" w:rsidRDefault="00387425" w:rsidP="000D7CAF">
            <w:pPr>
              <w:spacing w:after="0" w:line="240" w:lineRule="auto"/>
              <w:rPr>
                <w:rFonts w:ascii="Bookman Old Style" w:hAnsi="Bookman Old Style"/>
                <w:sz w:val="16"/>
                <w:szCs w:val="20"/>
              </w:rPr>
            </w:pPr>
            <w:r w:rsidRPr="00F97084">
              <w:rPr>
                <w:rFonts w:ascii="Bookman Old Style" w:eastAsia="Bookman Old Style" w:hAnsi="Bookman Old Style" w:cs="Bookman Old Style"/>
                <w:sz w:val="16"/>
                <w:szCs w:val="20"/>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387425" w:rsidRPr="00F97084" w:rsidRDefault="00387425" w:rsidP="000D7CAF">
            <w:pPr>
              <w:spacing w:after="0" w:line="240" w:lineRule="auto"/>
              <w:rPr>
                <w:rFonts w:ascii="Bookman Old Style" w:hAnsi="Bookman Old Style"/>
                <w:sz w:val="16"/>
                <w:szCs w:val="20"/>
              </w:rPr>
            </w:pPr>
            <w:r w:rsidRPr="00F97084">
              <w:rPr>
                <w:rFonts w:ascii="Bookman Old Style" w:eastAsia="Bookman Old Style" w:hAnsi="Bookman Old Style" w:cs="Bookman Old Style"/>
                <w:sz w:val="16"/>
                <w:szCs w:val="20"/>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387425" w:rsidRPr="00F97084" w:rsidRDefault="00387425" w:rsidP="000D7CAF">
            <w:pPr>
              <w:spacing w:after="0" w:line="240" w:lineRule="auto"/>
              <w:rPr>
                <w:rFonts w:ascii="Bookman Old Style" w:hAnsi="Bookman Old Style"/>
                <w:sz w:val="16"/>
                <w:szCs w:val="20"/>
              </w:rPr>
            </w:pPr>
            <w:r w:rsidRPr="00F97084">
              <w:rPr>
                <w:rFonts w:ascii="Bookman Old Style" w:eastAsia="Bookman Old Style" w:hAnsi="Bookman Old Style" w:cs="Bookman Old Style"/>
                <w:sz w:val="16"/>
                <w:szCs w:val="20"/>
              </w:rPr>
              <w:t>Valor Total</w:t>
            </w:r>
          </w:p>
        </w:tc>
      </w:tr>
      <w:tr w:rsidR="00387425" w:rsidRPr="00F97084" w:rsidTr="00387425">
        <w:trPr>
          <w:jc w:val="center"/>
        </w:trPr>
        <w:tc>
          <w:tcPr>
            <w:tcW w:w="655" w:type="dxa"/>
            <w:tcBorders>
              <w:top w:val="single" w:sz="6" w:space="0" w:color="000000"/>
              <w:left w:val="single" w:sz="6" w:space="0" w:color="000000"/>
              <w:bottom w:val="single" w:sz="6" w:space="0" w:color="000000"/>
              <w:right w:val="single" w:sz="6" w:space="0" w:color="000000"/>
            </w:tcBorders>
          </w:tcPr>
          <w:p w:rsidR="00387425" w:rsidRPr="00F97084" w:rsidRDefault="00387425" w:rsidP="000D7CAF">
            <w:pPr>
              <w:spacing w:after="0" w:line="240" w:lineRule="auto"/>
              <w:rPr>
                <w:rFonts w:ascii="Bookman Old Style" w:hAnsi="Bookman Old Style"/>
                <w:sz w:val="16"/>
                <w:szCs w:val="20"/>
              </w:rPr>
            </w:pPr>
            <w:r w:rsidRPr="00F97084">
              <w:rPr>
                <w:rFonts w:ascii="Bookman Old Style" w:eastAsia="Bookman Old Style" w:hAnsi="Bookman Old Style" w:cs="Bookman Old Style"/>
                <w:sz w:val="16"/>
                <w:szCs w:val="20"/>
              </w:rPr>
              <w:t>1</w:t>
            </w:r>
          </w:p>
        </w:tc>
        <w:tc>
          <w:tcPr>
            <w:tcW w:w="2835" w:type="dxa"/>
            <w:tcBorders>
              <w:top w:val="single" w:sz="6" w:space="0" w:color="000000"/>
              <w:left w:val="single" w:sz="6" w:space="0" w:color="000000"/>
              <w:bottom w:val="single" w:sz="6" w:space="0" w:color="000000"/>
              <w:right w:val="single" w:sz="6" w:space="0" w:color="000000"/>
            </w:tcBorders>
          </w:tcPr>
          <w:p w:rsidR="00387425" w:rsidRPr="00F97084" w:rsidRDefault="00387425" w:rsidP="000D7CAF">
            <w:pPr>
              <w:spacing w:after="0" w:line="240" w:lineRule="auto"/>
              <w:rPr>
                <w:rFonts w:ascii="Bookman Old Style" w:hAnsi="Bookman Old Style"/>
                <w:sz w:val="16"/>
                <w:szCs w:val="20"/>
              </w:rPr>
            </w:pPr>
            <w:proofErr w:type="spellStart"/>
            <w:r w:rsidRPr="00F97084">
              <w:rPr>
                <w:rFonts w:ascii="Bookman Old Style" w:eastAsia="Bookman Old Style" w:hAnsi="Bookman Old Style" w:cs="Bookman Old Style"/>
                <w:sz w:val="16"/>
                <w:szCs w:val="20"/>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387425" w:rsidRPr="00F97084" w:rsidRDefault="00387425" w:rsidP="000D7CAF">
            <w:pPr>
              <w:spacing w:after="0" w:line="240" w:lineRule="auto"/>
              <w:rPr>
                <w:rFonts w:ascii="Bookman Old Style" w:hAnsi="Bookman Old Style"/>
                <w:sz w:val="16"/>
                <w:szCs w:val="20"/>
              </w:rPr>
            </w:pPr>
            <w:proofErr w:type="spellStart"/>
            <w:r w:rsidRPr="00F97084">
              <w:rPr>
                <w:rFonts w:ascii="Bookman Old Style" w:eastAsia="Bookman Old Style" w:hAnsi="Bookman Old Style" w:cs="Bookman Old Style"/>
                <w:sz w:val="16"/>
                <w:szCs w:val="20"/>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387425" w:rsidRPr="00F97084" w:rsidRDefault="00387425" w:rsidP="000D7CAF">
            <w:pPr>
              <w:spacing w:after="0" w:line="240" w:lineRule="auto"/>
              <w:rPr>
                <w:rFonts w:ascii="Bookman Old Style" w:hAnsi="Bookman Old Style"/>
                <w:sz w:val="16"/>
                <w:szCs w:val="20"/>
              </w:rPr>
            </w:pPr>
            <w:proofErr w:type="spellStart"/>
            <w:r w:rsidRPr="00F97084">
              <w:rPr>
                <w:rFonts w:ascii="Bookman Old Style" w:eastAsia="Bookman Old Style" w:hAnsi="Bookman Old Style" w:cs="Bookman Old Style"/>
                <w:sz w:val="16"/>
                <w:szCs w:val="20"/>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387425" w:rsidRPr="00F97084" w:rsidRDefault="00387425" w:rsidP="000D7CAF">
            <w:pPr>
              <w:spacing w:after="0" w:line="240" w:lineRule="auto"/>
              <w:rPr>
                <w:rFonts w:ascii="Bookman Old Style" w:hAnsi="Bookman Old Style"/>
                <w:sz w:val="16"/>
                <w:szCs w:val="20"/>
              </w:rPr>
            </w:pPr>
            <w:proofErr w:type="spellStart"/>
            <w:r w:rsidRPr="00F97084">
              <w:rPr>
                <w:rFonts w:ascii="Bookman Old Style" w:eastAsia="Bookman Old Style" w:hAnsi="Bookman Old Style" w:cs="Bookman Old Style"/>
                <w:sz w:val="16"/>
                <w:szCs w:val="20"/>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387425" w:rsidRPr="00F97084" w:rsidRDefault="00387425" w:rsidP="000D7CAF">
            <w:pPr>
              <w:spacing w:after="0" w:line="240" w:lineRule="auto"/>
              <w:rPr>
                <w:rFonts w:ascii="Bookman Old Style" w:hAnsi="Bookman Old Style"/>
                <w:sz w:val="16"/>
                <w:szCs w:val="20"/>
              </w:rPr>
            </w:pPr>
            <w:r w:rsidRPr="00F97084">
              <w:rPr>
                <w:rFonts w:ascii="Bookman Old Style" w:eastAsia="Bookman Old Style" w:hAnsi="Bookman Old Style" w:cs="Bookman Old Style"/>
                <w:sz w:val="16"/>
                <w:szCs w:val="20"/>
              </w:rPr>
              <w:t>R$</w:t>
            </w:r>
          </w:p>
        </w:tc>
        <w:tc>
          <w:tcPr>
            <w:tcW w:w="1254" w:type="dxa"/>
            <w:tcBorders>
              <w:top w:val="single" w:sz="6" w:space="0" w:color="000000"/>
              <w:left w:val="single" w:sz="6" w:space="0" w:color="000000"/>
              <w:bottom w:val="single" w:sz="6" w:space="0" w:color="000000"/>
              <w:right w:val="single" w:sz="6" w:space="0" w:color="000000"/>
            </w:tcBorders>
          </w:tcPr>
          <w:p w:rsidR="00387425" w:rsidRPr="00F97084" w:rsidRDefault="00387425" w:rsidP="000D7CAF">
            <w:pPr>
              <w:spacing w:after="0" w:line="240" w:lineRule="auto"/>
              <w:rPr>
                <w:rFonts w:ascii="Bookman Old Style" w:hAnsi="Bookman Old Style"/>
                <w:sz w:val="16"/>
                <w:szCs w:val="20"/>
              </w:rPr>
            </w:pPr>
            <w:r w:rsidRPr="00F97084">
              <w:rPr>
                <w:rFonts w:ascii="Bookman Old Style" w:eastAsia="Bookman Old Style" w:hAnsi="Bookman Old Style" w:cs="Bookman Old Style"/>
                <w:sz w:val="16"/>
                <w:szCs w:val="20"/>
              </w:rPr>
              <w:t>R$</w:t>
            </w:r>
          </w:p>
        </w:tc>
      </w:tr>
    </w:tbl>
    <w:p w:rsidR="00387425" w:rsidRPr="00F97084" w:rsidRDefault="00387425" w:rsidP="00387425">
      <w:pPr>
        <w:keepNext/>
        <w:tabs>
          <w:tab w:val="left" w:pos="1695"/>
        </w:tabs>
        <w:ind w:right="-15" w:firstLine="705"/>
        <w:jc w:val="both"/>
        <w:outlineLvl w:val="1"/>
        <w:rPr>
          <w:rFonts w:ascii="Bookman Old Style" w:hAnsi="Bookman Old Style"/>
          <w:sz w:val="20"/>
          <w:szCs w:val="20"/>
        </w:rPr>
      </w:pPr>
    </w:p>
    <w:p w:rsidR="00387425" w:rsidRPr="00F97084" w:rsidRDefault="00387425" w:rsidP="00387425">
      <w:pPr>
        <w:keepNext/>
        <w:tabs>
          <w:tab w:val="left" w:pos="1695"/>
        </w:tabs>
        <w:ind w:right="-15" w:firstLine="705"/>
        <w:jc w:val="both"/>
        <w:outlineLvl w:val="1"/>
        <w:rPr>
          <w:rFonts w:ascii="Bookman Old Style" w:hAnsi="Bookman Old Style"/>
          <w:sz w:val="20"/>
          <w:szCs w:val="20"/>
        </w:rPr>
      </w:pPr>
      <w:r w:rsidRPr="00F97084">
        <w:rPr>
          <w:rFonts w:ascii="Bookman Old Style" w:eastAsia="Bookman Old Style" w:hAnsi="Bookman Old Style" w:cs="Bookman Old Style"/>
          <w:b/>
          <w:color w:val="000000"/>
          <w:sz w:val="20"/>
          <w:szCs w:val="20"/>
        </w:rPr>
        <w:t>Informar Valor total R$...</w:t>
      </w:r>
    </w:p>
    <w:p w:rsidR="00387425" w:rsidRPr="00F97084" w:rsidRDefault="00387425" w:rsidP="00387425">
      <w:pPr>
        <w:rPr>
          <w:rFonts w:ascii="Bookman Old Style" w:hAnsi="Bookman Old Style"/>
          <w:sz w:val="20"/>
          <w:szCs w:val="20"/>
        </w:rPr>
      </w:pPr>
    </w:p>
    <w:p w:rsidR="00387425" w:rsidRPr="00F97084" w:rsidRDefault="00387425" w:rsidP="00387425">
      <w:pPr>
        <w:spacing w:before="15"/>
        <w:ind w:firstLine="705"/>
        <w:jc w:val="both"/>
        <w:rPr>
          <w:rFonts w:ascii="Bookman Old Style" w:hAnsi="Bookman Old Style"/>
          <w:sz w:val="20"/>
          <w:szCs w:val="20"/>
        </w:rPr>
      </w:pPr>
      <w:r w:rsidRPr="00F97084">
        <w:rPr>
          <w:rFonts w:ascii="Bookman Old Style" w:eastAsia="Bookman Old Style" w:hAnsi="Bookman Old Style" w:cs="Bookman Old Style"/>
          <w:sz w:val="20"/>
          <w:szCs w:val="20"/>
        </w:rPr>
        <w:t xml:space="preserve">A validade desta proposta é de </w:t>
      </w:r>
      <w:r w:rsidRPr="00F97084">
        <w:rPr>
          <w:rFonts w:ascii="Bookman Old Style" w:eastAsia="Bookman Old Style" w:hAnsi="Bookman Old Style" w:cs="Bookman Old Style"/>
          <w:b/>
          <w:sz w:val="20"/>
          <w:szCs w:val="20"/>
        </w:rPr>
        <w:t>60 (sessenta) dias corridos</w:t>
      </w:r>
      <w:r w:rsidRPr="00F97084">
        <w:rPr>
          <w:rFonts w:ascii="Bookman Old Style" w:eastAsia="Bookman Old Style" w:hAnsi="Bookman Old Style" w:cs="Bookman Old Style"/>
          <w:sz w:val="20"/>
          <w:szCs w:val="20"/>
        </w:rPr>
        <w:t>, contados da data da abertura da sessão pública de PREGÃO ELETRÔNICO</w:t>
      </w:r>
      <w:r w:rsidRPr="00F97084">
        <w:rPr>
          <w:rFonts w:ascii="Bookman Old Style" w:eastAsia="Bookman Old Style" w:hAnsi="Bookman Old Style" w:cs="Bookman Old Style"/>
          <w:b/>
          <w:sz w:val="20"/>
          <w:szCs w:val="20"/>
        </w:rPr>
        <w:t>.</w:t>
      </w:r>
    </w:p>
    <w:p w:rsidR="00387425" w:rsidRPr="00F97084" w:rsidRDefault="00387425" w:rsidP="00387425">
      <w:pPr>
        <w:spacing w:before="15"/>
        <w:ind w:firstLine="705"/>
        <w:jc w:val="both"/>
        <w:rPr>
          <w:rFonts w:ascii="Bookman Old Style" w:hAnsi="Bookman Old Style"/>
          <w:sz w:val="20"/>
          <w:szCs w:val="20"/>
        </w:rPr>
      </w:pPr>
    </w:p>
    <w:p w:rsidR="00387425" w:rsidRPr="00F97084" w:rsidRDefault="00387425" w:rsidP="00387425">
      <w:pPr>
        <w:ind w:right="-30" w:firstLine="705"/>
        <w:jc w:val="both"/>
        <w:rPr>
          <w:rFonts w:ascii="Bookman Old Style" w:hAnsi="Bookman Old Style"/>
          <w:sz w:val="20"/>
          <w:szCs w:val="20"/>
        </w:rPr>
      </w:pPr>
      <w:r w:rsidRPr="00F97084">
        <w:rPr>
          <w:rFonts w:ascii="Bookman Old Style" w:eastAsia="Bookman Old Style" w:hAnsi="Bookman Old Style" w:cs="Bookman Old Style"/>
          <w:b/>
          <w:sz w:val="20"/>
          <w:szCs w:val="20"/>
        </w:rPr>
        <w:t>A apresentação da proposta implicará na plena aceitação das condições estabelecidas neste edital e seus anexos.</w:t>
      </w:r>
    </w:p>
    <w:p w:rsidR="00387425" w:rsidRPr="00F97084" w:rsidRDefault="00387425" w:rsidP="000D7CAF">
      <w:pPr>
        <w:tabs>
          <w:tab w:val="left" w:leader="dot" w:pos="6300"/>
        </w:tabs>
        <w:ind w:right="15"/>
        <w:rPr>
          <w:rFonts w:ascii="Bookman Old Style" w:hAnsi="Bookman Old Style"/>
          <w:sz w:val="20"/>
          <w:szCs w:val="20"/>
        </w:rPr>
      </w:pPr>
    </w:p>
    <w:p w:rsidR="00387425" w:rsidRPr="00F97084" w:rsidRDefault="00387425" w:rsidP="000D7CAF">
      <w:pPr>
        <w:tabs>
          <w:tab w:val="left" w:leader="dot" w:pos="6300"/>
        </w:tabs>
        <w:spacing w:after="0"/>
        <w:jc w:val="center"/>
        <w:rPr>
          <w:rFonts w:ascii="Bookman Old Style" w:hAnsi="Bookman Old Style"/>
          <w:sz w:val="20"/>
          <w:szCs w:val="20"/>
        </w:rPr>
      </w:pPr>
      <w:r w:rsidRPr="00F97084">
        <w:rPr>
          <w:rFonts w:ascii="Bookman Old Style" w:eastAsia="Bookman Old Style" w:hAnsi="Bookman Old Style" w:cs="Bookman Old Style"/>
          <w:sz w:val="20"/>
          <w:szCs w:val="20"/>
        </w:rPr>
        <w:t>..............................................................................,</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w:t>
      </w:r>
      <w:r w:rsidRPr="00F97084">
        <w:rPr>
          <w:rFonts w:ascii="Bookman Old Style" w:eastAsia="Bookman Old Style" w:hAnsi="Bookman Old Style" w:cs="Bookman Old Style"/>
          <w:sz w:val="20"/>
          <w:szCs w:val="20"/>
        </w:rPr>
        <w:tab/>
        <w:t>de 2026.</w:t>
      </w:r>
    </w:p>
    <w:p w:rsidR="00387425" w:rsidRPr="00F97084" w:rsidRDefault="00387425" w:rsidP="000D7CAF">
      <w:pPr>
        <w:spacing w:after="0"/>
        <w:jc w:val="center"/>
        <w:rPr>
          <w:rFonts w:ascii="Bookman Old Style" w:hAnsi="Bookman Old Style"/>
          <w:sz w:val="20"/>
          <w:szCs w:val="20"/>
        </w:rPr>
      </w:pPr>
      <w:r w:rsidRPr="00F97084">
        <w:rPr>
          <w:rFonts w:ascii="Bookman Old Style" w:eastAsia="Bookman Old Style" w:hAnsi="Bookman Old Style" w:cs="Bookman Old Style"/>
          <w:sz w:val="20"/>
          <w:szCs w:val="20"/>
        </w:rPr>
        <w:t>Local e Data</w:t>
      </w:r>
    </w:p>
    <w:p w:rsidR="00387425" w:rsidRPr="00F97084" w:rsidRDefault="00387425" w:rsidP="000D7CAF">
      <w:pPr>
        <w:spacing w:after="0"/>
        <w:jc w:val="center"/>
        <w:rPr>
          <w:rFonts w:ascii="Bookman Old Style" w:hAnsi="Bookman Old Style"/>
          <w:sz w:val="20"/>
          <w:szCs w:val="20"/>
        </w:rPr>
      </w:pPr>
    </w:p>
    <w:p w:rsidR="00387425" w:rsidRPr="00F97084" w:rsidRDefault="00387425" w:rsidP="000D7CAF">
      <w:pPr>
        <w:spacing w:after="0"/>
        <w:jc w:val="center"/>
        <w:rPr>
          <w:rFonts w:ascii="Bookman Old Style" w:hAnsi="Bookman Old Style"/>
          <w:sz w:val="20"/>
          <w:szCs w:val="20"/>
        </w:rPr>
      </w:pPr>
    </w:p>
    <w:p w:rsidR="00387425" w:rsidRPr="00F97084" w:rsidRDefault="00387425" w:rsidP="000D7CAF">
      <w:pPr>
        <w:spacing w:after="0"/>
        <w:jc w:val="center"/>
        <w:rPr>
          <w:rFonts w:ascii="Bookman Old Style" w:hAnsi="Bookman Old Style"/>
          <w:sz w:val="20"/>
          <w:szCs w:val="20"/>
        </w:rPr>
      </w:pPr>
      <w:r w:rsidRPr="00F97084">
        <w:rPr>
          <w:rFonts w:ascii="Bookman Old Style" w:eastAsia="Bookman Old Style" w:hAnsi="Bookman Old Style" w:cs="Bookman Old Style"/>
          <w:sz w:val="20"/>
          <w:szCs w:val="20"/>
        </w:rPr>
        <w:t>Assinatura do Responsável pela Empresa</w:t>
      </w:r>
    </w:p>
    <w:p w:rsidR="00387425" w:rsidRPr="00F97084" w:rsidRDefault="00387425" w:rsidP="000D7CAF">
      <w:pPr>
        <w:widowControl w:val="0"/>
        <w:spacing w:after="0" w:line="240" w:lineRule="auto"/>
        <w:contextualSpacing/>
        <w:jc w:val="center"/>
        <w:rPr>
          <w:rFonts w:ascii="Bookman Old Style" w:eastAsia="Bookman Old Style" w:hAnsi="Bookman Old Style" w:cs="Bookman Old Style"/>
          <w:sz w:val="20"/>
          <w:szCs w:val="20"/>
        </w:rPr>
      </w:pPr>
      <w:r w:rsidRPr="00F97084">
        <w:rPr>
          <w:rFonts w:ascii="Bookman Old Style" w:eastAsia="Bookman Old Style" w:hAnsi="Bookman Old Style" w:cs="Bookman Old Style"/>
          <w:sz w:val="20"/>
          <w:szCs w:val="20"/>
        </w:rPr>
        <w:t>(Nome Legível/Cargo)</w:t>
      </w:r>
    </w:p>
    <w:p w:rsidR="000D7CAF" w:rsidRPr="00F97084" w:rsidRDefault="000D7CAF" w:rsidP="000D7CAF">
      <w:pPr>
        <w:tabs>
          <w:tab w:val="left" w:pos="4500"/>
          <w:tab w:val="left" w:pos="5130"/>
          <w:tab w:val="left" w:pos="8010"/>
        </w:tabs>
        <w:spacing w:before="135" w:after="165" w:line="240" w:lineRule="auto"/>
        <w:ind w:right="2715"/>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lastRenderedPageBreak/>
        <w:t>EDITAL DE PREGÃO Nº 036/2026</w:t>
      </w:r>
      <w:r w:rsidRPr="00F97084">
        <w:rPr>
          <w:rFonts w:ascii="Bookman Old Style" w:eastAsia="Bookman Old Style" w:hAnsi="Bookman Old Style" w:cs="Bookman Old Style"/>
          <w:sz w:val="20"/>
          <w:szCs w:val="20"/>
          <w:lang w:eastAsia="pt-BR"/>
        </w:rPr>
        <w:t xml:space="preserve"> </w:t>
      </w:r>
    </w:p>
    <w:p w:rsidR="000D7CAF" w:rsidRPr="00F97084" w:rsidRDefault="000D7CAF" w:rsidP="000D7CAF">
      <w:pPr>
        <w:spacing w:before="135" w:after="165" w:line="240" w:lineRule="auto"/>
        <w:ind w:right="5070"/>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PROCESSO ADMINISTRATIVO Nº 917/2026</w:t>
      </w:r>
      <w:r w:rsidRPr="00F97084">
        <w:rPr>
          <w:rFonts w:ascii="Bookman Old Style" w:eastAsia="Bookman Old Style" w:hAnsi="Bookman Old Style" w:cs="Bookman Old Style"/>
          <w:sz w:val="20"/>
          <w:szCs w:val="20"/>
          <w:lang w:eastAsia="pt-BR"/>
        </w:rPr>
        <w:t xml:space="preserve"> </w:t>
      </w:r>
    </w:p>
    <w:p w:rsidR="000D7CAF" w:rsidRPr="00F97084" w:rsidRDefault="000D7CAF" w:rsidP="000D7CAF">
      <w:pPr>
        <w:spacing w:before="135" w:after="165" w:line="240" w:lineRule="auto"/>
        <w:ind w:right="5250"/>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 xml:space="preserve">MODALIDADE: </w:t>
      </w:r>
      <w:r w:rsidRPr="00F97084">
        <w:rPr>
          <w:rFonts w:ascii="Bookman Old Style" w:eastAsia="Bookman Old Style" w:hAnsi="Bookman Old Style" w:cs="Bookman Old Style"/>
          <w:sz w:val="20"/>
          <w:szCs w:val="20"/>
          <w:lang w:eastAsia="pt-BR"/>
        </w:rPr>
        <w:t>PREGÃO ELETRÔNICO</w:t>
      </w:r>
    </w:p>
    <w:p w:rsidR="000D7CAF" w:rsidRPr="00F97084" w:rsidRDefault="000D7CAF" w:rsidP="000D7CAF">
      <w:pPr>
        <w:spacing w:before="135" w:after="165" w:line="240" w:lineRule="auto"/>
        <w:ind w:right="3030"/>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TIPO: Menor Preço, Por lote/</w:t>
      </w:r>
      <w:proofErr w:type="gramStart"/>
      <w:r w:rsidRPr="00F97084">
        <w:rPr>
          <w:rFonts w:ascii="Bookman Old Style" w:eastAsia="Bookman Old Style" w:hAnsi="Bookman Old Style" w:cs="Bookman Old Style"/>
          <w:b/>
          <w:sz w:val="20"/>
          <w:szCs w:val="20"/>
          <w:lang w:eastAsia="pt-BR"/>
        </w:rPr>
        <w:t>item</w:t>
      </w:r>
      <w:proofErr w:type="gramEnd"/>
    </w:p>
    <w:p w:rsidR="000D7CAF" w:rsidRPr="00F97084" w:rsidRDefault="000D7CAF" w:rsidP="000D7CAF">
      <w:pPr>
        <w:spacing w:after="0"/>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OBJETO:</w:t>
      </w:r>
      <w:r w:rsidRPr="00F97084">
        <w:rPr>
          <w:rFonts w:ascii="Bookman Old Style" w:eastAsia="Bookman Old Style" w:hAnsi="Bookman Old Style" w:cs="Bookman Old Style"/>
          <w:sz w:val="20"/>
          <w:szCs w:val="20"/>
          <w:lang w:eastAsia="pt-BR"/>
        </w:rPr>
        <w:t xml:space="preserve"> Aquisição de suprimentos de impressão, tintas, toners, cilindros, unidades de imagem, reveladores, peças, componentes, materiais, ferramentas e equipamentos destinados ao abastecimento, à manutenção preventiva e à manutenção corretiva do parque de impressoras do Município de Santo Antônio do Sudoeste – PR.</w:t>
      </w:r>
    </w:p>
    <w:p w:rsidR="000D7CAF" w:rsidRPr="00F97084" w:rsidRDefault="000D7CAF" w:rsidP="000D7CAF">
      <w:pPr>
        <w:keepNext/>
        <w:tabs>
          <w:tab w:val="left" w:pos="1695"/>
          <w:tab w:val="left" w:pos="1770"/>
        </w:tabs>
        <w:spacing w:after="0" w:line="240" w:lineRule="auto"/>
        <w:ind w:right="615"/>
        <w:jc w:val="center"/>
        <w:outlineLvl w:val="1"/>
        <w:rPr>
          <w:rFonts w:ascii="Bookman Old Style" w:eastAsia="Arial" w:hAnsi="Bookman Old Style" w:cs="Arial"/>
          <w:sz w:val="20"/>
          <w:szCs w:val="20"/>
          <w:lang w:eastAsia="pt-BR"/>
        </w:rPr>
      </w:pPr>
    </w:p>
    <w:p w:rsidR="000D7CAF" w:rsidRPr="00F97084" w:rsidRDefault="000D7CAF" w:rsidP="000D7CAF">
      <w:pPr>
        <w:keepNext/>
        <w:tabs>
          <w:tab w:val="left" w:pos="1695"/>
          <w:tab w:val="left" w:pos="1770"/>
        </w:tabs>
        <w:spacing w:after="0" w:line="240" w:lineRule="auto"/>
        <w:ind w:right="615"/>
        <w:jc w:val="center"/>
        <w:outlineLvl w:val="1"/>
        <w:rPr>
          <w:rFonts w:ascii="Bookman Old Style" w:eastAsia="Arial" w:hAnsi="Bookman Old Style" w:cs="Arial"/>
          <w:sz w:val="20"/>
          <w:szCs w:val="20"/>
          <w:lang w:eastAsia="pt-BR"/>
        </w:rPr>
      </w:pPr>
      <w:r w:rsidRPr="00F97084">
        <w:rPr>
          <w:rFonts w:ascii="Bookman Old Style" w:eastAsia="Bookman Old Style" w:hAnsi="Bookman Old Style" w:cs="Bookman Old Style"/>
          <w:b/>
          <w:color w:val="000000"/>
          <w:sz w:val="20"/>
          <w:szCs w:val="20"/>
          <w:lang w:eastAsia="pt-BR"/>
        </w:rPr>
        <w:t>ANEXO IV</w:t>
      </w:r>
    </w:p>
    <w:p w:rsidR="000D7CAF" w:rsidRPr="00F97084" w:rsidRDefault="000D7CAF" w:rsidP="000D7CAF">
      <w:pPr>
        <w:spacing w:after="0" w:line="240" w:lineRule="auto"/>
        <w:ind w:right="-30"/>
        <w:jc w:val="center"/>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MODELO DE DECLARAÇÃO UNIFICADA</w:t>
      </w:r>
    </w:p>
    <w:p w:rsidR="000D7CAF" w:rsidRPr="00F97084" w:rsidRDefault="000D7CAF" w:rsidP="000D7CAF">
      <w:pPr>
        <w:spacing w:before="15" w:after="0" w:line="240" w:lineRule="auto"/>
        <w:ind w:right="360"/>
        <w:jc w:val="center"/>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(Papel timbrado da licitante)</w:t>
      </w:r>
    </w:p>
    <w:p w:rsidR="000D7CAF" w:rsidRPr="00F97084" w:rsidRDefault="000D7CAF" w:rsidP="000D7CAF">
      <w:pPr>
        <w:spacing w:before="105" w:after="105" w:line="240" w:lineRule="auto"/>
        <w:jc w:val="center"/>
        <w:rPr>
          <w:rFonts w:ascii="Bookman Old Style" w:eastAsia="Arial" w:hAnsi="Bookman Old Style" w:cs="Arial"/>
          <w:sz w:val="20"/>
          <w:szCs w:val="20"/>
          <w:lang w:eastAsia="pt-BR"/>
        </w:rPr>
      </w:pPr>
    </w:p>
    <w:p w:rsidR="000D7CAF" w:rsidRPr="00F97084" w:rsidRDefault="000D7CAF" w:rsidP="000D7CAF">
      <w:pPr>
        <w:spacing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Ao pregoeiro e equipe de apoio</w:t>
      </w:r>
    </w:p>
    <w:p w:rsidR="000D7CAF" w:rsidRPr="00F97084" w:rsidRDefault="000D7CAF" w:rsidP="000D7CAF">
      <w:pPr>
        <w:spacing w:before="90"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Prefeitura Municipal de Santo Antonio do Sudoeste, Estado do Paraná</w:t>
      </w:r>
    </w:p>
    <w:p w:rsidR="000D7CAF" w:rsidRPr="00F97084" w:rsidRDefault="000D7CAF" w:rsidP="000D7CAF">
      <w:pPr>
        <w:spacing w:before="90"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PREGÃO ELETRÔNICO Nº 036/2026</w:t>
      </w:r>
    </w:p>
    <w:p w:rsidR="000D7CAF" w:rsidRPr="00F97084" w:rsidRDefault="000D7CAF" w:rsidP="000D7CAF">
      <w:pPr>
        <w:spacing w:before="90" w:after="0" w:line="240" w:lineRule="auto"/>
        <w:rPr>
          <w:rFonts w:ascii="Bookman Old Style" w:eastAsia="Arial" w:hAnsi="Bookman Old Style" w:cs="Arial"/>
          <w:sz w:val="20"/>
          <w:szCs w:val="20"/>
          <w:lang w:eastAsia="pt-BR"/>
        </w:rPr>
      </w:pPr>
    </w:p>
    <w:p w:rsidR="000D7CAF" w:rsidRPr="00F97084" w:rsidRDefault="000D7CAF" w:rsidP="000D7CAF">
      <w:pPr>
        <w:spacing w:before="90" w:after="0" w:line="240" w:lineRule="auto"/>
        <w:rPr>
          <w:rFonts w:ascii="Bookman Old Style" w:eastAsia="Arial" w:hAnsi="Bookman Old Style" w:cs="Arial"/>
          <w:sz w:val="20"/>
          <w:szCs w:val="20"/>
          <w:lang w:eastAsia="pt-BR"/>
        </w:rPr>
      </w:pPr>
    </w:p>
    <w:p w:rsidR="000D7CAF" w:rsidRPr="00F97084" w:rsidRDefault="000D7CAF" w:rsidP="000D7CAF">
      <w:pPr>
        <w:tabs>
          <w:tab w:val="left" w:leader="dot" w:pos="10125"/>
        </w:tabs>
        <w:spacing w:before="15"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Pelo presente instrumento, a empresa ........................., CNPJ nº ......................, com</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sede na..............................................., através de seu representante legal infra-assinado, que:</w:t>
      </w:r>
    </w:p>
    <w:p w:rsidR="000D7CAF" w:rsidRPr="00F97084" w:rsidRDefault="000D7CAF" w:rsidP="000D7CAF">
      <w:pPr>
        <w:tabs>
          <w:tab w:val="left" w:leader="dot" w:pos="10125"/>
        </w:tabs>
        <w:spacing w:before="15" w:after="0" w:line="240" w:lineRule="auto"/>
        <w:rPr>
          <w:rFonts w:ascii="Bookman Old Style" w:eastAsia="Arial" w:hAnsi="Bookman Old Style" w:cs="Arial"/>
          <w:sz w:val="20"/>
          <w:szCs w:val="20"/>
          <w:lang w:eastAsia="pt-BR"/>
        </w:rPr>
      </w:pPr>
    </w:p>
    <w:p w:rsidR="000D7CAF" w:rsidRPr="00F97084" w:rsidRDefault="000D7CAF" w:rsidP="001472B1">
      <w:pPr>
        <w:widowControl w:val="0"/>
        <w:numPr>
          <w:ilvl w:val="0"/>
          <w:numId w:val="20"/>
        </w:numPr>
        <w:tabs>
          <w:tab w:val="left" w:pos="1305"/>
        </w:tabs>
        <w:spacing w:after="0" w:line="240" w:lineRule="auto"/>
        <w:ind w:right="-30"/>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Declaramos,</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para os</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fins</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disposto no inciso XXXIII</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art.</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68</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da Lei</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documento).</w:t>
      </w:r>
    </w:p>
    <w:p w:rsidR="000D7CAF" w:rsidRPr="00F97084" w:rsidRDefault="000D7CAF" w:rsidP="000D7CAF">
      <w:pPr>
        <w:tabs>
          <w:tab w:val="left" w:pos="1305"/>
        </w:tabs>
        <w:spacing w:after="0" w:line="240" w:lineRule="auto"/>
        <w:ind w:right="-30"/>
        <w:rPr>
          <w:rFonts w:ascii="Bookman Old Style" w:eastAsia="Arial" w:hAnsi="Bookman Old Style" w:cs="Arial"/>
          <w:sz w:val="20"/>
          <w:szCs w:val="20"/>
          <w:lang w:eastAsia="pt-BR"/>
        </w:rPr>
      </w:pPr>
    </w:p>
    <w:p w:rsidR="000D7CAF" w:rsidRPr="00F97084" w:rsidRDefault="000D7CAF" w:rsidP="001472B1">
      <w:pPr>
        <w:widowControl w:val="0"/>
        <w:numPr>
          <w:ilvl w:val="0"/>
          <w:numId w:val="19"/>
        </w:numPr>
        <w:tabs>
          <w:tab w:val="left" w:pos="1305"/>
        </w:tabs>
        <w:spacing w:after="0" w:line="240" w:lineRule="auto"/>
        <w:ind w:right="-30"/>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Declaramos,</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sob</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as</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penas</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lei,</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que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empresa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não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foi</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declarada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inidônea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para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licitar</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ou</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contratar</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com</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Administração Pública.</w:t>
      </w:r>
    </w:p>
    <w:p w:rsidR="000D7CAF" w:rsidRPr="00F97084" w:rsidRDefault="000D7CAF" w:rsidP="000D7CAF">
      <w:pPr>
        <w:spacing w:after="0" w:line="240" w:lineRule="auto"/>
        <w:rPr>
          <w:rFonts w:ascii="Bookman Old Style" w:eastAsia="Arial" w:hAnsi="Bookman Old Style" w:cs="Arial"/>
          <w:sz w:val="20"/>
          <w:szCs w:val="20"/>
          <w:lang w:eastAsia="pt-BR"/>
        </w:rPr>
      </w:pPr>
    </w:p>
    <w:p w:rsidR="000D7CAF" w:rsidRPr="00F97084" w:rsidRDefault="000D7CAF" w:rsidP="001472B1">
      <w:pPr>
        <w:widowControl w:val="0"/>
        <w:numPr>
          <w:ilvl w:val="0"/>
          <w:numId w:val="19"/>
        </w:numPr>
        <w:tabs>
          <w:tab w:val="left" w:pos="1305"/>
        </w:tabs>
        <w:spacing w:after="0" w:line="240" w:lineRule="auto"/>
        <w:ind w:right="-30"/>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Declaramos para os devidos fins de direito, na qualidade de Proponente dos procedimentos licitatórios, instaurados</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por este Município,</w:t>
      </w:r>
      <w:proofErr w:type="gramStart"/>
      <w:r w:rsidRPr="00F97084">
        <w:rPr>
          <w:rFonts w:ascii="Bookman Old Style" w:eastAsia="Bookman Old Style" w:hAnsi="Bookman Old Style" w:cs="Bookman Old Style"/>
          <w:sz w:val="20"/>
          <w:szCs w:val="20"/>
          <w:lang w:eastAsia="pt-BR"/>
        </w:rPr>
        <w:t xml:space="preserve">  </w:t>
      </w:r>
      <w:proofErr w:type="gramEnd"/>
      <w:r w:rsidRPr="00F97084">
        <w:rPr>
          <w:rFonts w:ascii="Bookman Old Style" w:eastAsia="Bookman Old Style" w:hAnsi="Bookman Old Style" w:cs="Bookman Old Style"/>
          <w:sz w:val="20"/>
          <w:szCs w:val="20"/>
          <w:lang w:eastAsia="pt-BR"/>
        </w:rPr>
        <w:t>que  o(a) responsável  legal da empresa é o(a)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Sr.(a), Portador(a) do RG sob</w:t>
      </w:r>
      <w:r w:rsidRPr="00F97084">
        <w:rPr>
          <w:rFonts w:ascii="Bookman Old Style" w:eastAsia="Bookman Old Style" w:hAnsi="Bookman Old Style" w:cs="Bookman Old Style"/>
          <w:sz w:val="20"/>
          <w:szCs w:val="20"/>
          <w:lang w:eastAsia="pt-BR"/>
        </w:rPr>
        <w:tab/>
        <w:t>nº..................</w:t>
      </w:r>
      <w:r w:rsidRPr="00F97084">
        <w:rPr>
          <w:rFonts w:ascii="Bookman Old Style" w:eastAsia="Bookman Old Style" w:hAnsi="Bookman Old Style" w:cs="Bookman Old Style"/>
          <w:sz w:val="20"/>
          <w:szCs w:val="20"/>
          <w:lang w:eastAsia="pt-BR"/>
        </w:rPr>
        <w:tab/>
        <w:t>e</w:t>
      </w:r>
      <w:r w:rsidRPr="00F97084">
        <w:rPr>
          <w:rFonts w:ascii="Bookman Old Style" w:eastAsia="Bookman Old Style" w:hAnsi="Bookman Old Style" w:cs="Bookman Old Style"/>
          <w:sz w:val="20"/>
          <w:szCs w:val="20"/>
          <w:lang w:eastAsia="pt-BR"/>
        </w:rPr>
        <w:tab/>
        <w:t>CPF</w:t>
      </w:r>
      <w:r w:rsidRPr="00F97084">
        <w:rPr>
          <w:rFonts w:ascii="Bookman Old Style" w:eastAsia="Bookman Old Style" w:hAnsi="Bookman Old Style" w:cs="Bookman Old Style"/>
          <w:sz w:val="20"/>
          <w:szCs w:val="20"/>
          <w:lang w:eastAsia="pt-BR"/>
        </w:rPr>
        <w:tab/>
        <w:t>nº.........................,cuja função/cargo é. (sócio administrador/procurador/diretor/</w:t>
      </w:r>
      <w:proofErr w:type="spellStart"/>
      <w:r w:rsidRPr="00F97084">
        <w:rPr>
          <w:rFonts w:ascii="Bookman Old Style" w:eastAsia="Bookman Old Style" w:hAnsi="Bookman Old Style" w:cs="Bookman Old Style"/>
          <w:sz w:val="20"/>
          <w:szCs w:val="20"/>
          <w:lang w:eastAsia="pt-BR"/>
        </w:rPr>
        <w:t>etc</w:t>
      </w:r>
      <w:proofErr w:type="spellEnd"/>
      <w:r w:rsidRPr="00F97084">
        <w:rPr>
          <w:rFonts w:ascii="Bookman Old Style" w:eastAsia="Bookman Old Style" w:hAnsi="Bookman Old Style" w:cs="Bookman Old Style"/>
          <w:sz w:val="20"/>
          <w:szCs w:val="20"/>
          <w:lang w:eastAsia="pt-BR"/>
        </w:rPr>
        <w:t xml:space="preserve">), </w:t>
      </w:r>
      <w:r w:rsidRPr="00F97084">
        <w:rPr>
          <w:rFonts w:ascii="Bookman Old Style" w:eastAsia="Bookman Old Style" w:hAnsi="Bookman Old Style" w:cs="Bookman Old Style"/>
          <w:b/>
          <w:sz w:val="20"/>
          <w:szCs w:val="20"/>
          <w:lang w:eastAsia="pt-BR"/>
        </w:rPr>
        <w:t>responsável pela assinatura da Ata de</w:t>
      </w:r>
      <w:r w:rsidRPr="00F97084">
        <w:rPr>
          <w:rFonts w:ascii="Bookman Old Style" w:eastAsia="Bookman Old Style" w:hAnsi="Bookman Old Style" w:cs="Bookman Old Style"/>
          <w:b/>
          <w:spacing w:val="-1"/>
          <w:sz w:val="20"/>
          <w:szCs w:val="20"/>
          <w:lang w:eastAsia="pt-BR"/>
        </w:rPr>
        <w:t xml:space="preserve"> </w:t>
      </w:r>
      <w:r w:rsidRPr="00F97084">
        <w:rPr>
          <w:rFonts w:ascii="Bookman Old Style" w:eastAsia="Bookman Old Style" w:hAnsi="Bookman Old Style" w:cs="Bookman Old Style"/>
          <w:b/>
          <w:sz w:val="20"/>
          <w:szCs w:val="20"/>
          <w:lang w:eastAsia="pt-BR"/>
        </w:rPr>
        <w:t>Registro de Preços/Contrato.</w:t>
      </w:r>
    </w:p>
    <w:p w:rsidR="000D7CAF" w:rsidRPr="00F97084" w:rsidRDefault="000D7CAF" w:rsidP="000D7CAF">
      <w:pPr>
        <w:spacing w:after="0" w:line="240" w:lineRule="auto"/>
        <w:rPr>
          <w:rFonts w:ascii="Bookman Old Style" w:eastAsia="Arial" w:hAnsi="Bookman Old Style" w:cs="Arial"/>
          <w:sz w:val="20"/>
          <w:szCs w:val="20"/>
          <w:lang w:eastAsia="pt-BR"/>
        </w:rPr>
      </w:pPr>
    </w:p>
    <w:p w:rsidR="000D7CAF" w:rsidRPr="00F97084" w:rsidRDefault="000D7CAF" w:rsidP="001472B1">
      <w:pPr>
        <w:widowControl w:val="0"/>
        <w:numPr>
          <w:ilvl w:val="0"/>
          <w:numId w:val="19"/>
        </w:numPr>
        <w:tabs>
          <w:tab w:val="left" w:pos="1305"/>
        </w:tabs>
        <w:spacing w:after="0" w:line="240" w:lineRule="auto"/>
        <w:ind w:right="-30"/>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Declaramos para os devidos fins que </w:t>
      </w:r>
      <w:r w:rsidRPr="00F97084">
        <w:rPr>
          <w:rFonts w:ascii="Bookman Old Style" w:eastAsia="Bookman Old Style" w:hAnsi="Bookman Old Style" w:cs="Bookman Old Style"/>
          <w:b/>
          <w:sz w:val="20"/>
          <w:szCs w:val="20"/>
          <w:lang w:eastAsia="pt-BR"/>
        </w:rPr>
        <w:t xml:space="preserve">NENHUM </w:t>
      </w:r>
      <w:r w:rsidRPr="00F97084">
        <w:rPr>
          <w:rFonts w:ascii="Bookman Old Style" w:eastAsia="Bookman Old Style" w:hAnsi="Bookman Old Style" w:cs="Bookman Old Style"/>
          <w:sz w:val="20"/>
          <w:szCs w:val="20"/>
          <w:lang w:eastAsia="pt-BR"/>
        </w:rPr>
        <w:t>sócio desta empresa exerce cargo ou função pública impeditiva de relacionamento comercial com a Administração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Pública.</w:t>
      </w:r>
    </w:p>
    <w:p w:rsidR="000D7CAF" w:rsidRPr="00F97084" w:rsidRDefault="000D7CAF" w:rsidP="000D7CAF">
      <w:pPr>
        <w:spacing w:after="0" w:line="240" w:lineRule="auto"/>
        <w:rPr>
          <w:rFonts w:ascii="Bookman Old Style" w:eastAsia="Arial" w:hAnsi="Bookman Old Style" w:cs="Arial"/>
          <w:sz w:val="20"/>
          <w:szCs w:val="20"/>
          <w:lang w:eastAsia="pt-BR"/>
        </w:rPr>
      </w:pPr>
    </w:p>
    <w:p w:rsidR="000D7CAF" w:rsidRPr="00F97084" w:rsidRDefault="000D7CAF" w:rsidP="001472B1">
      <w:pPr>
        <w:widowControl w:val="0"/>
        <w:numPr>
          <w:ilvl w:val="0"/>
          <w:numId w:val="19"/>
        </w:numPr>
        <w:tabs>
          <w:tab w:val="left" w:pos="1305"/>
        </w:tabs>
        <w:spacing w:after="0" w:line="240" w:lineRule="auto"/>
        <w:ind w:right="-30"/>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Declaramos de que a empresa não contratará empregados com incompatibilidade com as autoridades contratantes ou ocupantes</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cargos</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direção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ou</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assessoramento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até</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terceiro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grau,</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na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forma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Súmula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Vinculante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nº</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013</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STF</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(Supremo Tribunal Federal).</w:t>
      </w:r>
    </w:p>
    <w:p w:rsidR="000D7CAF" w:rsidRPr="00F97084" w:rsidRDefault="000D7CAF" w:rsidP="000D7CAF">
      <w:pPr>
        <w:spacing w:after="0" w:line="240" w:lineRule="auto"/>
        <w:rPr>
          <w:rFonts w:ascii="Bookman Old Style" w:eastAsia="Arial" w:hAnsi="Bookman Old Style" w:cs="Arial"/>
          <w:sz w:val="20"/>
          <w:szCs w:val="20"/>
          <w:lang w:eastAsia="pt-BR"/>
        </w:rPr>
      </w:pPr>
    </w:p>
    <w:p w:rsidR="000D7CAF" w:rsidRPr="00F97084" w:rsidRDefault="000D7CAF" w:rsidP="001472B1">
      <w:pPr>
        <w:widowControl w:val="0"/>
        <w:numPr>
          <w:ilvl w:val="0"/>
          <w:numId w:val="19"/>
        </w:numPr>
        <w:tabs>
          <w:tab w:val="left" w:pos="1305"/>
        </w:tabs>
        <w:spacing w:after="0" w:line="240" w:lineRule="auto"/>
        <w:ind w:right="-30"/>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Declaramos para os devidos fins que em</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caso de qualquer comunicação futura referente e este processo licitatório,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bem como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em</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caso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eventual</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 xml:space="preserve">contratação, </w:t>
      </w:r>
      <w:r w:rsidRPr="00F97084">
        <w:rPr>
          <w:rFonts w:ascii="Bookman Old Style" w:eastAsia="Bookman Old Style" w:hAnsi="Bookman Old Style" w:cs="Bookman Old Style"/>
          <w:b/>
          <w:sz w:val="20"/>
          <w:szCs w:val="20"/>
          <w:lang w:eastAsia="pt-BR"/>
        </w:rPr>
        <w:t>concordo</w:t>
      </w:r>
      <w:r w:rsidRPr="00F97084">
        <w:rPr>
          <w:rFonts w:ascii="Bookman Old Style" w:eastAsia="Bookman Old Style" w:hAnsi="Bookman Old Style" w:cs="Bookman Old Style"/>
          <w:b/>
          <w:spacing w:val="-1"/>
          <w:sz w:val="20"/>
          <w:szCs w:val="20"/>
          <w:lang w:eastAsia="pt-BR"/>
        </w:rPr>
        <w:t xml:space="preserve"> </w:t>
      </w:r>
      <w:r w:rsidRPr="00F97084">
        <w:rPr>
          <w:rFonts w:ascii="Bookman Old Style" w:eastAsia="Bookman Old Style" w:hAnsi="Bookman Old Style" w:cs="Bookman Old Style"/>
          <w:b/>
          <w:sz w:val="20"/>
          <w:szCs w:val="20"/>
          <w:lang w:eastAsia="pt-BR"/>
        </w:rPr>
        <w:t>que</w:t>
      </w:r>
      <w:r w:rsidRPr="00F97084">
        <w:rPr>
          <w:rFonts w:ascii="Bookman Old Style" w:eastAsia="Bookman Old Style" w:hAnsi="Bookman Old Style" w:cs="Bookman Old Style"/>
          <w:b/>
          <w:spacing w:val="-1"/>
          <w:sz w:val="20"/>
          <w:szCs w:val="20"/>
          <w:lang w:eastAsia="pt-BR"/>
        </w:rPr>
        <w:t xml:space="preserve"> </w:t>
      </w:r>
      <w:r w:rsidRPr="00F97084">
        <w:rPr>
          <w:rFonts w:ascii="Bookman Old Style" w:eastAsia="Bookman Old Style" w:hAnsi="Bookman Old Style" w:cs="Bookman Old Style"/>
          <w:b/>
          <w:sz w:val="20"/>
          <w:szCs w:val="20"/>
          <w:lang w:eastAsia="pt-BR"/>
        </w:rPr>
        <w:t>a</w:t>
      </w:r>
      <w:r w:rsidRPr="00F97084">
        <w:rPr>
          <w:rFonts w:ascii="Bookman Old Style" w:eastAsia="Bookman Old Style" w:hAnsi="Bookman Old Style" w:cs="Bookman Old Style"/>
          <w:b/>
          <w:spacing w:val="-1"/>
          <w:sz w:val="20"/>
          <w:szCs w:val="20"/>
          <w:lang w:eastAsia="pt-BR"/>
        </w:rPr>
        <w:t xml:space="preserve"> </w:t>
      </w:r>
      <w:r w:rsidRPr="00F97084">
        <w:rPr>
          <w:rFonts w:ascii="Bookman Old Style" w:eastAsia="Bookman Old Style" w:hAnsi="Bookman Old Style" w:cs="Bookman Old Style"/>
          <w:b/>
          <w:sz w:val="20"/>
          <w:szCs w:val="20"/>
          <w:lang w:eastAsia="pt-BR"/>
        </w:rPr>
        <w:t>Ata de</w:t>
      </w:r>
      <w:r w:rsidRPr="00F97084">
        <w:rPr>
          <w:rFonts w:ascii="Bookman Old Style" w:eastAsia="Bookman Old Style" w:hAnsi="Bookman Old Style" w:cs="Bookman Old Style"/>
          <w:b/>
          <w:spacing w:val="-1"/>
          <w:sz w:val="20"/>
          <w:szCs w:val="20"/>
          <w:lang w:eastAsia="pt-BR"/>
        </w:rPr>
        <w:t xml:space="preserve"> </w:t>
      </w:r>
      <w:r w:rsidRPr="00F97084">
        <w:rPr>
          <w:rFonts w:ascii="Bookman Old Style" w:eastAsia="Bookman Old Style" w:hAnsi="Bookman Old Style" w:cs="Bookman Old Style"/>
          <w:b/>
          <w:sz w:val="20"/>
          <w:szCs w:val="20"/>
          <w:lang w:eastAsia="pt-BR"/>
        </w:rPr>
        <w:t>Registro</w:t>
      </w:r>
      <w:r w:rsidRPr="00F97084">
        <w:rPr>
          <w:rFonts w:ascii="Bookman Old Style" w:eastAsia="Bookman Old Style" w:hAnsi="Bookman Old Style" w:cs="Bookman Old Style"/>
          <w:b/>
          <w:spacing w:val="-1"/>
          <w:sz w:val="20"/>
          <w:szCs w:val="20"/>
          <w:lang w:eastAsia="pt-BR"/>
        </w:rPr>
        <w:t xml:space="preserve"> </w:t>
      </w:r>
      <w:r w:rsidRPr="00F97084">
        <w:rPr>
          <w:rFonts w:ascii="Bookman Old Style" w:eastAsia="Bookman Old Style" w:hAnsi="Bookman Old Style" w:cs="Bookman Old Style"/>
          <w:b/>
          <w:sz w:val="20"/>
          <w:szCs w:val="20"/>
          <w:lang w:eastAsia="pt-BR"/>
        </w:rPr>
        <w:t>de</w:t>
      </w:r>
      <w:r w:rsidRPr="00F97084">
        <w:rPr>
          <w:rFonts w:ascii="Bookman Old Style" w:eastAsia="Bookman Old Style" w:hAnsi="Bookman Old Style" w:cs="Bookman Old Style"/>
          <w:b/>
          <w:spacing w:val="-1"/>
          <w:sz w:val="20"/>
          <w:szCs w:val="20"/>
          <w:lang w:eastAsia="pt-BR"/>
        </w:rPr>
        <w:t xml:space="preserve"> </w:t>
      </w:r>
      <w:r w:rsidRPr="00F97084">
        <w:rPr>
          <w:rFonts w:ascii="Bookman Old Style" w:eastAsia="Bookman Old Style" w:hAnsi="Bookman Old Style" w:cs="Bookman Old Style"/>
          <w:b/>
          <w:sz w:val="20"/>
          <w:szCs w:val="20"/>
          <w:lang w:eastAsia="pt-BR"/>
        </w:rPr>
        <w:t xml:space="preserve">Preços/Contrato </w:t>
      </w:r>
      <w:r w:rsidRPr="00F97084">
        <w:rPr>
          <w:rFonts w:ascii="Bookman Old Style" w:eastAsia="Bookman Old Style" w:hAnsi="Bookman Old Style" w:cs="Bookman Old Style"/>
          <w:sz w:val="20"/>
          <w:szCs w:val="20"/>
          <w:lang w:eastAsia="pt-BR"/>
        </w:rPr>
        <w:t>seja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encaminhado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para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 xml:space="preserve">seguinte </w:t>
      </w:r>
      <w:r w:rsidRPr="00F97084">
        <w:rPr>
          <w:rFonts w:ascii="Bookman Old Style" w:eastAsia="Bookman Old Style" w:hAnsi="Bookman Old Style" w:cs="Bookman Old Style"/>
          <w:spacing w:val="-1"/>
          <w:sz w:val="20"/>
          <w:szCs w:val="20"/>
          <w:lang w:eastAsia="pt-BR"/>
        </w:rPr>
        <w:t>endereço:</w:t>
      </w:r>
    </w:p>
    <w:p w:rsidR="000D7CAF" w:rsidRPr="00F97084" w:rsidRDefault="000D7CAF" w:rsidP="000D7CAF">
      <w:pPr>
        <w:tabs>
          <w:tab w:val="left" w:pos="1305"/>
        </w:tabs>
        <w:spacing w:after="0" w:line="240" w:lineRule="auto"/>
        <w:ind w:right="-30"/>
        <w:rPr>
          <w:rFonts w:ascii="Bookman Old Style" w:eastAsia="Arial" w:hAnsi="Bookman Old Style" w:cs="Arial"/>
          <w:sz w:val="20"/>
          <w:szCs w:val="20"/>
          <w:lang w:eastAsia="pt-BR"/>
        </w:rPr>
      </w:pPr>
    </w:p>
    <w:p w:rsidR="000D7CAF" w:rsidRPr="00F97084" w:rsidRDefault="000D7CAF" w:rsidP="000D7CAF">
      <w:pPr>
        <w:spacing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E-mail:</w:t>
      </w:r>
    </w:p>
    <w:p w:rsidR="000D7CAF" w:rsidRPr="00F97084" w:rsidRDefault="000D7CAF" w:rsidP="000D7CAF">
      <w:pPr>
        <w:spacing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Telefone: ()</w:t>
      </w:r>
    </w:p>
    <w:p w:rsidR="000D7CAF" w:rsidRPr="00F97084" w:rsidRDefault="000D7CAF" w:rsidP="000D7CAF">
      <w:pPr>
        <w:spacing w:after="0" w:line="240" w:lineRule="auto"/>
        <w:rPr>
          <w:rFonts w:ascii="Bookman Old Style" w:eastAsia="Arial" w:hAnsi="Bookman Old Style" w:cs="Arial"/>
          <w:sz w:val="20"/>
          <w:szCs w:val="20"/>
          <w:lang w:eastAsia="pt-BR"/>
        </w:rPr>
      </w:pPr>
    </w:p>
    <w:p w:rsidR="000D7CAF" w:rsidRPr="00F97084" w:rsidRDefault="000D7CAF" w:rsidP="001472B1">
      <w:pPr>
        <w:widowControl w:val="0"/>
        <w:numPr>
          <w:ilvl w:val="0"/>
          <w:numId w:val="19"/>
        </w:numPr>
        <w:tabs>
          <w:tab w:val="left" w:pos="1305"/>
        </w:tabs>
        <w:spacing w:after="0" w:line="240" w:lineRule="auto"/>
        <w:ind w:right="-30"/>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Caso altere o citado e-mail ou telefone comprometo-me em protocolizar pedido de </w:t>
      </w:r>
      <w:r w:rsidRPr="00F97084">
        <w:rPr>
          <w:rFonts w:ascii="Bookman Old Style" w:eastAsia="Bookman Old Style" w:hAnsi="Bookman Old Style" w:cs="Bookman Old Style"/>
          <w:sz w:val="20"/>
          <w:szCs w:val="20"/>
          <w:lang w:eastAsia="pt-BR"/>
        </w:rPr>
        <w:lastRenderedPageBreak/>
        <w:t>alteração junto ao Sistema de Protocolo deste Município, sob pena de ser considerado como intimado nos dados anteriormente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fornecidos.</w:t>
      </w:r>
    </w:p>
    <w:p w:rsidR="000D7CAF" w:rsidRPr="00F97084" w:rsidRDefault="000D7CAF" w:rsidP="000D7CAF">
      <w:pPr>
        <w:tabs>
          <w:tab w:val="left" w:pos="1305"/>
        </w:tabs>
        <w:spacing w:after="0" w:line="240" w:lineRule="auto"/>
        <w:ind w:right="-30"/>
        <w:rPr>
          <w:rFonts w:ascii="Bookman Old Style" w:eastAsia="Arial" w:hAnsi="Bookman Old Style" w:cs="Arial"/>
          <w:sz w:val="20"/>
          <w:szCs w:val="20"/>
          <w:lang w:eastAsia="pt-BR"/>
        </w:rPr>
      </w:pPr>
    </w:p>
    <w:p w:rsidR="000D7CAF" w:rsidRPr="00F97084" w:rsidRDefault="000D7CAF" w:rsidP="001472B1">
      <w:pPr>
        <w:widowControl w:val="0"/>
        <w:numPr>
          <w:ilvl w:val="0"/>
          <w:numId w:val="19"/>
        </w:numPr>
        <w:tabs>
          <w:tab w:val="left" w:pos="1305"/>
        </w:tabs>
        <w:spacing w:after="0" w:line="240" w:lineRule="auto"/>
        <w:ind w:right="-30"/>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Nomeamos</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constituímos</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 xml:space="preserve">o </w:t>
      </w:r>
      <w:proofErr w:type="gramStart"/>
      <w:r w:rsidRPr="00F97084">
        <w:rPr>
          <w:rFonts w:ascii="Bookman Old Style" w:eastAsia="Bookman Old Style" w:hAnsi="Bookman Old Style" w:cs="Bookman Old Style"/>
          <w:sz w:val="20"/>
          <w:szCs w:val="20"/>
          <w:lang w:eastAsia="pt-BR"/>
        </w:rPr>
        <w:t>senhor(</w:t>
      </w:r>
      <w:proofErr w:type="gramEnd"/>
      <w:r w:rsidRPr="00F97084">
        <w:rPr>
          <w:rFonts w:ascii="Bookman Old Style" w:eastAsia="Bookman Old Style" w:hAnsi="Bookman Old Style" w:cs="Bookman Old Style"/>
          <w:sz w:val="20"/>
          <w:szCs w:val="20"/>
          <w:lang w:eastAsia="pt-BR"/>
        </w:rPr>
        <w:t>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portador(a)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CPF/MF</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sob</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n.º</w:t>
      </w:r>
      <w:r w:rsidRPr="00F97084">
        <w:rPr>
          <w:rFonts w:ascii="Bookman Old Style" w:eastAsia="Bookman Old Style" w:hAnsi="Bookman Old Style" w:cs="Bookman Old Style"/>
          <w:sz w:val="20"/>
          <w:szCs w:val="20"/>
          <w:lang w:eastAsia="pt-BR"/>
        </w:rPr>
        <w:tab/>
        <w:t xml:space="preserve">, para ser o(a) responsável para acompanhar a execução da </w:t>
      </w:r>
      <w:r w:rsidRPr="00F97084">
        <w:rPr>
          <w:rFonts w:ascii="Bookman Old Style" w:eastAsia="Bookman Old Style" w:hAnsi="Bookman Old Style" w:cs="Bookman Old Style"/>
          <w:b/>
          <w:sz w:val="20"/>
          <w:szCs w:val="20"/>
          <w:lang w:eastAsia="pt-BR"/>
        </w:rPr>
        <w:t>Contrato</w:t>
      </w:r>
      <w:r w:rsidRPr="00F97084">
        <w:rPr>
          <w:rFonts w:ascii="Bookman Old Style" w:eastAsia="Bookman Old Style" w:hAnsi="Bookman Old Style" w:cs="Bookman Old Style"/>
          <w:sz w:val="20"/>
          <w:szCs w:val="20"/>
          <w:lang w:eastAsia="pt-BR"/>
        </w:rPr>
        <w:t xml:space="preserve">, referente ao </w:t>
      </w:r>
      <w:r w:rsidRPr="00F97084">
        <w:rPr>
          <w:rFonts w:ascii="Bookman Old Style" w:eastAsia="Bookman Old Style" w:hAnsi="Bookman Old Style" w:cs="Bookman Old Style"/>
          <w:b/>
          <w:sz w:val="20"/>
          <w:szCs w:val="20"/>
          <w:lang w:eastAsia="pt-BR"/>
        </w:rPr>
        <w:t>PREGÃO</w:t>
      </w:r>
      <w:r w:rsidRPr="00F97084">
        <w:rPr>
          <w:rFonts w:ascii="Bookman Old Style" w:eastAsia="Bookman Old Style" w:hAnsi="Bookman Old Style" w:cs="Bookman Old Style"/>
          <w:b/>
          <w:spacing w:val="1"/>
          <w:sz w:val="20"/>
          <w:szCs w:val="20"/>
          <w:lang w:eastAsia="pt-BR"/>
        </w:rPr>
        <w:t xml:space="preserve"> </w:t>
      </w:r>
      <w:r w:rsidRPr="00F97084">
        <w:rPr>
          <w:rFonts w:ascii="Bookman Old Style" w:eastAsia="Bookman Old Style" w:hAnsi="Bookman Old Style" w:cs="Bookman Old Style"/>
          <w:b/>
          <w:sz w:val="20"/>
          <w:szCs w:val="20"/>
          <w:lang w:eastAsia="pt-BR"/>
        </w:rPr>
        <w:t xml:space="preserve">ELETRÔNICO Nº 036/2026 </w:t>
      </w:r>
      <w:r w:rsidRPr="00F97084">
        <w:rPr>
          <w:rFonts w:ascii="Bookman Old Style" w:eastAsia="Bookman Old Style" w:hAnsi="Bookman Old Style" w:cs="Bookman Old Style"/>
          <w:sz w:val="20"/>
          <w:szCs w:val="20"/>
          <w:lang w:eastAsia="pt-BR"/>
        </w:rPr>
        <w:t>e todos os atos necessários ao cumprimento das obrigações contidas no instrumento convocatório, seus Anexos e na Ata de Registro de Preços/Contrato.</w:t>
      </w:r>
    </w:p>
    <w:p w:rsidR="000D7CAF" w:rsidRPr="00F97084" w:rsidRDefault="000D7CAF" w:rsidP="000D7CAF">
      <w:pPr>
        <w:spacing w:after="0" w:line="240" w:lineRule="auto"/>
        <w:rPr>
          <w:rFonts w:ascii="Bookman Old Style" w:eastAsia="Arial" w:hAnsi="Bookman Old Style" w:cs="Arial"/>
          <w:sz w:val="20"/>
          <w:szCs w:val="20"/>
          <w:lang w:eastAsia="pt-BR"/>
        </w:rPr>
      </w:pPr>
    </w:p>
    <w:p w:rsidR="000D7CAF" w:rsidRPr="00F97084" w:rsidRDefault="000D7CAF" w:rsidP="001472B1">
      <w:pPr>
        <w:widowControl w:val="0"/>
        <w:numPr>
          <w:ilvl w:val="0"/>
          <w:numId w:val="19"/>
        </w:numPr>
        <w:tabs>
          <w:tab w:val="left" w:leader="dot" w:pos="0"/>
        </w:tabs>
        <w:spacing w:before="15" w:after="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A empresa ..........................................., com sede na ..............................................................., nº .............., sob CNPJ nº .................................., por intermédio de seu representante  legal o senhor(a) ............................................,</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portador</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Carteira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Identidade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n°</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CPF</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 xml:space="preserve">n° ........................, DECLARA, sob as penas da Lei, que se obriga a oferecer garantia, objeto deste edital, conforme constante no Anexo II do presente Edital, </w:t>
      </w:r>
      <w:r w:rsidRPr="00F97084">
        <w:rPr>
          <w:rFonts w:ascii="Bookman Old Style" w:eastAsia="Bookman Old Style" w:hAnsi="Bookman Old Style" w:cs="Bookman Old Style"/>
          <w:b/>
          <w:sz w:val="20"/>
          <w:szCs w:val="20"/>
          <w:lang w:eastAsia="pt-BR"/>
        </w:rPr>
        <w:t>pelo prazo estipulado no edital</w:t>
      </w:r>
      <w:r w:rsidRPr="00F97084">
        <w:rPr>
          <w:rFonts w:ascii="Bookman Old Style" w:eastAsia="Bookman Old Style" w:hAnsi="Bookman Old Style" w:cs="Bookman Old Style"/>
          <w:sz w:val="20"/>
          <w:szCs w:val="20"/>
          <w:lang w:eastAsia="pt-BR"/>
        </w:rPr>
        <w:t>, contados da solicitação,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sendo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que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durante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período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garantia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sempre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através</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representantes</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autorizados,</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devendo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realizar substituições quando de imperfeições constatadas em suas características, sem qualquer ônus para 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administração.</w:t>
      </w:r>
    </w:p>
    <w:p w:rsidR="000D7CAF" w:rsidRPr="00F97084" w:rsidRDefault="000D7CAF" w:rsidP="000D7CAF">
      <w:pPr>
        <w:spacing w:after="0" w:line="240" w:lineRule="auto"/>
        <w:rPr>
          <w:rFonts w:ascii="Bookman Old Style" w:eastAsia="Arial" w:hAnsi="Bookman Old Style" w:cs="Arial"/>
          <w:sz w:val="20"/>
          <w:szCs w:val="20"/>
          <w:lang w:eastAsia="pt-BR"/>
        </w:rPr>
      </w:pPr>
    </w:p>
    <w:p w:rsidR="000D7CAF" w:rsidRPr="00F97084" w:rsidRDefault="000D7CAF" w:rsidP="001472B1">
      <w:pPr>
        <w:widowControl w:val="0"/>
        <w:numPr>
          <w:ilvl w:val="0"/>
          <w:numId w:val="19"/>
        </w:numPr>
        <w:spacing w:before="15" w:after="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Pelo presente instrumento, a empresa ........................., CNPJ nº ......................,</w:t>
      </w:r>
      <w:r w:rsidRPr="00F97084">
        <w:rPr>
          <w:rFonts w:ascii="Bookman Old Style" w:eastAsia="Bookman Old Style" w:hAnsi="Bookman Old Style" w:cs="Bookman Old Style"/>
          <w:spacing w:val="4"/>
          <w:sz w:val="20"/>
          <w:szCs w:val="20"/>
          <w:lang w:eastAsia="pt-BR"/>
        </w:rPr>
        <w:t xml:space="preserve"> </w:t>
      </w:r>
      <w:r w:rsidRPr="00F97084">
        <w:rPr>
          <w:rFonts w:ascii="Bookman Old Style" w:eastAsia="Bookman Old Style" w:hAnsi="Bookman Old Style" w:cs="Bookman Old Style"/>
          <w:sz w:val="20"/>
          <w:szCs w:val="20"/>
          <w:lang w:eastAsia="pt-BR"/>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sidRPr="00F97084">
        <w:rPr>
          <w:rFonts w:ascii="Bookman Old Style" w:eastAsia="Bookman Old Style" w:hAnsi="Bookman Old Style" w:cs="Bookman Old Style"/>
          <w:sz w:val="20"/>
          <w:szCs w:val="20"/>
          <w:lang w:eastAsia="pt-BR"/>
        </w:rPr>
        <w:t>desenquadramento</w:t>
      </w:r>
      <w:proofErr w:type="spellEnd"/>
      <w:r w:rsidRPr="00F97084">
        <w:rPr>
          <w:rFonts w:ascii="Bookman Old Style" w:eastAsia="Bookman Old Style" w:hAnsi="Bookman Old Style" w:cs="Bookman Old Style"/>
          <w:sz w:val="20"/>
          <w:szCs w:val="20"/>
          <w:lang w:eastAsia="pt-BR"/>
        </w:rPr>
        <w:t xml:space="preserve"> desta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situação.</w:t>
      </w:r>
    </w:p>
    <w:p w:rsidR="000D7CAF" w:rsidRPr="00F97084" w:rsidRDefault="000D7CAF" w:rsidP="000D7CAF">
      <w:pPr>
        <w:widowControl w:val="0"/>
        <w:spacing w:before="15" w:after="0" w:line="240" w:lineRule="auto"/>
        <w:ind w:firstLine="360"/>
        <w:jc w:val="both"/>
        <w:rPr>
          <w:rFonts w:ascii="Bookman Old Style" w:eastAsia="Arial" w:hAnsi="Bookman Old Style" w:cs="Arial"/>
          <w:sz w:val="20"/>
          <w:szCs w:val="20"/>
          <w:lang w:eastAsia="pt-BR"/>
        </w:rPr>
      </w:pPr>
    </w:p>
    <w:p w:rsidR="000D7CAF" w:rsidRPr="00F97084" w:rsidRDefault="000D7CAF" w:rsidP="001472B1">
      <w:pPr>
        <w:widowControl w:val="0"/>
        <w:numPr>
          <w:ilvl w:val="0"/>
          <w:numId w:val="19"/>
        </w:numPr>
        <w:spacing w:before="15" w:after="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color w:val="000000"/>
          <w:sz w:val="20"/>
          <w:szCs w:val="20"/>
          <w:lang w:eastAsia="pt-BR"/>
        </w:rPr>
        <w:t>Declaramos que a empresa atende aos requisitos de habilitação, e o declarante responderá pela veracidade das informações prestadas, na forma da lei (</w:t>
      </w:r>
      <w:hyperlink r:id="rId38" w:anchor="art63">
        <w:r w:rsidRPr="00F97084">
          <w:rPr>
            <w:rFonts w:ascii="Bookman Old Style" w:eastAsia="Bookman Old Style" w:hAnsi="Bookman Old Style" w:cs="Bookman Old Style"/>
            <w:color w:val="000080"/>
            <w:sz w:val="20"/>
            <w:szCs w:val="20"/>
            <w:u w:val="single"/>
            <w:lang w:eastAsia="pt-BR"/>
          </w:rPr>
          <w:t>art. 63, I, da Lei nº 14.133/2021</w:t>
        </w:r>
      </w:hyperlink>
      <w:r w:rsidRPr="00F97084">
        <w:rPr>
          <w:rFonts w:ascii="Bookman Old Style" w:eastAsia="Bookman Old Style" w:hAnsi="Bookman Old Style" w:cs="Bookman Old Style"/>
          <w:color w:val="000000"/>
          <w:sz w:val="20"/>
          <w:szCs w:val="20"/>
          <w:lang w:eastAsia="pt-BR"/>
        </w:rPr>
        <w:t>).</w:t>
      </w:r>
    </w:p>
    <w:p w:rsidR="000D7CAF" w:rsidRPr="00F97084" w:rsidRDefault="000D7CAF" w:rsidP="000D7CAF">
      <w:pPr>
        <w:widowControl w:val="0"/>
        <w:spacing w:before="15" w:after="0" w:line="240" w:lineRule="auto"/>
        <w:ind w:firstLine="360"/>
        <w:jc w:val="both"/>
        <w:rPr>
          <w:rFonts w:ascii="Bookman Old Style" w:eastAsia="Arial" w:hAnsi="Bookman Old Style" w:cs="Arial"/>
          <w:sz w:val="20"/>
          <w:szCs w:val="20"/>
          <w:lang w:eastAsia="pt-BR"/>
        </w:rPr>
      </w:pPr>
    </w:p>
    <w:p w:rsidR="000D7CAF" w:rsidRPr="00F97084" w:rsidRDefault="000D7CAF" w:rsidP="001472B1">
      <w:pPr>
        <w:widowControl w:val="0"/>
        <w:numPr>
          <w:ilvl w:val="0"/>
          <w:numId w:val="19"/>
        </w:numPr>
        <w:spacing w:before="15" w:after="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color w:val="000000"/>
          <w:sz w:val="20"/>
          <w:szCs w:val="20"/>
          <w:lang w:eastAsia="pt-BR"/>
        </w:rPr>
        <w:t>Declaramos que a empresa cumpre as exigências de reserva de cargos para pessoa com deficiência e para reabilitado da Previdência Social, previstas em lei e em outras normas específicas.</w:t>
      </w:r>
    </w:p>
    <w:p w:rsidR="000D7CAF" w:rsidRPr="00F97084" w:rsidRDefault="000D7CAF" w:rsidP="000D7CAF">
      <w:pPr>
        <w:widowControl w:val="0"/>
        <w:spacing w:before="15" w:after="0" w:line="240" w:lineRule="auto"/>
        <w:ind w:firstLine="360"/>
        <w:jc w:val="both"/>
        <w:rPr>
          <w:rFonts w:ascii="Bookman Old Style" w:eastAsia="Arial" w:hAnsi="Bookman Old Style" w:cs="Arial"/>
          <w:sz w:val="20"/>
          <w:szCs w:val="20"/>
          <w:lang w:eastAsia="pt-BR"/>
        </w:rPr>
      </w:pPr>
    </w:p>
    <w:p w:rsidR="000D7CAF" w:rsidRPr="00F97084" w:rsidRDefault="000D7CAF" w:rsidP="001472B1">
      <w:pPr>
        <w:widowControl w:val="0"/>
        <w:numPr>
          <w:ilvl w:val="0"/>
          <w:numId w:val="19"/>
        </w:numPr>
        <w:spacing w:before="15" w:after="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color w:val="000000"/>
          <w:sz w:val="20"/>
          <w:szCs w:val="20"/>
          <w:lang w:eastAsia="pt-BR"/>
        </w:rPr>
        <w:t xml:space="preserve">Declaramos que nossas propostas econômicas compreendem a integralidade dos custos para atendimento dos direitos trabalhistas assegurados na Constituição Federal, nas leis trabalhistas, nas normas </w:t>
      </w:r>
      <w:proofErr w:type="spellStart"/>
      <w:r w:rsidRPr="00F97084">
        <w:rPr>
          <w:rFonts w:ascii="Bookman Old Style" w:eastAsia="Bookman Old Style" w:hAnsi="Bookman Old Style" w:cs="Bookman Old Style"/>
          <w:color w:val="000000"/>
          <w:sz w:val="20"/>
          <w:szCs w:val="20"/>
          <w:lang w:eastAsia="pt-BR"/>
        </w:rPr>
        <w:t>infralegais</w:t>
      </w:r>
      <w:proofErr w:type="spellEnd"/>
      <w:r w:rsidRPr="00F97084">
        <w:rPr>
          <w:rFonts w:ascii="Bookman Old Style" w:eastAsia="Bookman Old Style" w:hAnsi="Bookman Old Style" w:cs="Bookman Old Style"/>
          <w:color w:val="000000"/>
          <w:sz w:val="20"/>
          <w:szCs w:val="20"/>
          <w:lang w:eastAsia="pt-BR"/>
        </w:rPr>
        <w:t>, nas convenções coletivas de trabalho e nos termos de ajustamento de conduta vigentes na data de entrega das propostas.</w:t>
      </w:r>
    </w:p>
    <w:p w:rsidR="000D7CAF" w:rsidRPr="00F97084" w:rsidRDefault="000D7CAF" w:rsidP="000D7CAF">
      <w:pPr>
        <w:spacing w:after="0" w:line="240" w:lineRule="auto"/>
        <w:rPr>
          <w:rFonts w:ascii="Bookman Old Style" w:eastAsia="Arial" w:hAnsi="Bookman Old Style" w:cs="Arial"/>
          <w:sz w:val="20"/>
          <w:szCs w:val="20"/>
          <w:lang w:eastAsia="pt-BR"/>
        </w:rPr>
      </w:pPr>
    </w:p>
    <w:p w:rsidR="000D7CAF" w:rsidRPr="00F97084" w:rsidRDefault="000D7CAF" w:rsidP="000D7CAF">
      <w:pPr>
        <w:spacing w:after="0" w:line="240" w:lineRule="auto"/>
        <w:ind w:left="720"/>
        <w:rPr>
          <w:rFonts w:ascii="Bookman Old Style" w:eastAsia="Arial" w:hAnsi="Bookman Old Style" w:cs="Arial"/>
          <w:sz w:val="20"/>
          <w:szCs w:val="20"/>
          <w:lang w:eastAsia="pt-BR"/>
        </w:rPr>
      </w:pPr>
    </w:p>
    <w:p w:rsidR="000D7CAF" w:rsidRPr="00F97084" w:rsidRDefault="000D7CAF" w:rsidP="000D7CAF">
      <w:pPr>
        <w:widowControl w:val="0"/>
        <w:spacing w:before="15" w:after="0" w:line="240" w:lineRule="auto"/>
        <w:jc w:val="both"/>
        <w:rPr>
          <w:rFonts w:ascii="Bookman Old Style" w:eastAsia="Arial" w:hAnsi="Bookman Old Style" w:cs="Arial"/>
          <w:sz w:val="20"/>
          <w:szCs w:val="20"/>
          <w:lang w:eastAsia="pt-BR"/>
        </w:rPr>
      </w:pPr>
    </w:p>
    <w:p w:rsidR="000D7CAF" w:rsidRPr="00F97084" w:rsidRDefault="000D7CAF" w:rsidP="000D7CAF">
      <w:pPr>
        <w:widowControl w:val="0"/>
        <w:spacing w:before="15" w:after="0" w:line="240" w:lineRule="auto"/>
        <w:jc w:val="both"/>
        <w:rPr>
          <w:rFonts w:ascii="Bookman Old Style" w:eastAsia="Arial" w:hAnsi="Bookman Old Style" w:cs="Arial"/>
          <w:sz w:val="20"/>
          <w:szCs w:val="20"/>
          <w:lang w:eastAsia="pt-BR"/>
        </w:rPr>
      </w:pPr>
    </w:p>
    <w:p w:rsidR="000D7CAF" w:rsidRPr="00F97084" w:rsidRDefault="000D7CAF" w:rsidP="000D7CAF">
      <w:pPr>
        <w:tabs>
          <w:tab w:val="left" w:leader="dot" w:pos="6300"/>
        </w:tabs>
        <w:spacing w:after="0" w:line="240" w:lineRule="auto"/>
        <w:ind w:right="15"/>
        <w:jc w:val="center"/>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w:t>
      </w:r>
      <w:r w:rsidRPr="00F97084">
        <w:rPr>
          <w:rFonts w:ascii="Bookman Old Style" w:eastAsia="Bookman Old Style" w:hAnsi="Bookman Old Style" w:cs="Bookman Old Style"/>
          <w:sz w:val="20"/>
          <w:szCs w:val="20"/>
          <w:lang w:eastAsia="pt-BR"/>
        </w:rPr>
        <w:tab/>
        <w:t>de 2026.</w:t>
      </w:r>
    </w:p>
    <w:p w:rsidR="000D7CAF" w:rsidRPr="00F97084" w:rsidRDefault="000D7CAF" w:rsidP="000D7CAF">
      <w:pPr>
        <w:spacing w:before="45" w:after="0" w:line="240" w:lineRule="auto"/>
        <w:ind w:left="765" w:right="795"/>
        <w:jc w:val="center"/>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Local e Data</w:t>
      </w:r>
    </w:p>
    <w:p w:rsidR="000D7CAF" w:rsidRPr="00F97084" w:rsidRDefault="000D7CAF" w:rsidP="000D7CAF">
      <w:pPr>
        <w:spacing w:before="105" w:after="105" w:line="240" w:lineRule="auto"/>
        <w:rPr>
          <w:rFonts w:ascii="Bookman Old Style" w:eastAsia="Arial" w:hAnsi="Bookman Old Style" w:cs="Arial"/>
          <w:sz w:val="20"/>
          <w:szCs w:val="20"/>
          <w:lang w:eastAsia="pt-BR"/>
        </w:rPr>
      </w:pPr>
    </w:p>
    <w:p w:rsidR="000D7CAF" w:rsidRPr="00F97084" w:rsidRDefault="000D7CAF" w:rsidP="000D7CAF">
      <w:pPr>
        <w:spacing w:before="105" w:after="105" w:line="240" w:lineRule="auto"/>
        <w:rPr>
          <w:rFonts w:ascii="Bookman Old Style" w:eastAsia="Arial" w:hAnsi="Bookman Old Style" w:cs="Arial"/>
          <w:sz w:val="20"/>
          <w:szCs w:val="20"/>
          <w:lang w:eastAsia="pt-BR"/>
        </w:rPr>
      </w:pPr>
    </w:p>
    <w:p w:rsidR="000D7CAF" w:rsidRPr="00F97084" w:rsidRDefault="000D7CAF" w:rsidP="000D7CAF">
      <w:pPr>
        <w:spacing w:before="105" w:after="105" w:line="240" w:lineRule="auto"/>
        <w:ind w:right="-30"/>
        <w:jc w:val="center"/>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Assinatura do Responsável pela Empresa</w:t>
      </w:r>
    </w:p>
    <w:p w:rsidR="000D7CAF" w:rsidRPr="00F97084" w:rsidRDefault="000D7CAF" w:rsidP="000D7CAF">
      <w:pPr>
        <w:widowControl w:val="0"/>
        <w:spacing w:after="0" w:line="240" w:lineRule="auto"/>
        <w:contextualSpacing/>
        <w:jc w:val="center"/>
        <w:rPr>
          <w:rFonts w:ascii="Bookman Old Style" w:eastAsia="Bookman Old Style" w:hAnsi="Bookman Old Style" w:cs="Bookman Old Style"/>
          <w:sz w:val="20"/>
          <w:szCs w:val="20"/>
          <w:lang w:eastAsia="pt-BR"/>
        </w:rPr>
      </w:pPr>
      <w:r w:rsidRPr="00F97084">
        <w:rPr>
          <w:rFonts w:ascii="Bookman Old Style" w:eastAsia="Bookman Old Style" w:hAnsi="Bookman Old Style" w:cs="Bookman Old Style"/>
          <w:sz w:val="20"/>
          <w:szCs w:val="20"/>
          <w:lang w:eastAsia="pt-BR"/>
        </w:rPr>
        <w:t>(Nome Legível/Cargo)</w:t>
      </w:r>
    </w:p>
    <w:p w:rsidR="000D7CAF" w:rsidRPr="00F97084" w:rsidRDefault="000D7CAF" w:rsidP="000D7CAF">
      <w:pPr>
        <w:widowControl w:val="0"/>
        <w:spacing w:after="0" w:line="240" w:lineRule="auto"/>
        <w:contextualSpacing/>
        <w:jc w:val="center"/>
        <w:rPr>
          <w:rFonts w:ascii="Bookman Old Style" w:eastAsia="Bookman Old Style" w:hAnsi="Bookman Old Style" w:cs="Bookman Old Style"/>
          <w:sz w:val="20"/>
          <w:szCs w:val="20"/>
          <w:lang w:eastAsia="pt-BR"/>
        </w:rPr>
      </w:pPr>
    </w:p>
    <w:p w:rsidR="000D7CAF" w:rsidRPr="00F97084" w:rsidRDefault="000D7CAF" w:rsidP="000D7CAF">
      <w:pPr>
        <w:widowControl w:val="0"/>
        <w:spacing w:after="0" w:line="240" w:lineRule="auto"/>
        <w:contextualSpacing/>
        <w:jc w:val="center"/>
        <w:rPr>
          <w:rFonts w:ascii="Bookman Old Style" w:eastAsia="Bookman Old Style" w:hAnsi="Bookman Old Style" w:cs="Bookman Old Style"/>
          <w:sz w:val="20"/>
          <w:szCs w:val="20"/>
          <w:lang w:eastAsia="pt-BR"/>
        </w:rPr>
      </w:pPr>
    </w:p>
    <w:p w:rsidR="000D7CAF" w:rsidRPr="00F97084" w:rsidRDefault="000D7CAF" w:rsidP="000D7CAF">
      <w:pPr>
        <w:widowControl w:val="0"/>
        <w:spacing w:after="0" w:line="240" w:lineRule="auto"/>
        <w:contextualSpacing/>
        <w:jc w:val="center"/>
        <w:rPr>
          <w:rFonts w:ascii="Bookman Old Style" w:eastAsia="Bookman Old Style" w:hAnsi="Bookman Old Style" w:cs="Bookman Old Style"/>
          <w:sz w:val="20"/>
          <w:szCs w:val="20"/>
          <w:lang w:eastAsia="pt-BR"/>
        </w:rPr>
      </w:pPr>
    </w:p>
    <w:p w:rsidR="000D7CAF" w:rsidRPr="00F97084" w:rsidRDefault="000D7CAF" w:rsidP="000D7CAF">
      <w:pPr>
        <w:widowControl w:val="0"/>
        <w:spacing w:after="0" w:line="240" w:lineRule="auto"/>
        <w:contextualSpacing/>
        <w:jc w:val="center"/>
        <w:rPr>
          <w:rFonts w:ascii="Bookman Old Style" w:eastAsia="Bookman Old Style" w:hAnsi="Bookman Old Style" w:cs="Bookman Old Style"/>
          <w:sz w:val="20"/>
          <w:szCs w:val="20"/>
          <w:lang w:eastAsia="pt-BR"/>
        </w:rPr>
      </w:pPr>
    </w:p>
    <w:p w:rsidR="000D7CAF" w:rsidRPr="00F97084" w:rsidRDefault="000D7CAF" w:rsidP="000D7CAF">
      <w:pPr>
        <w:widowControl w:val="0"/>
        <w:spacing w:after="0" w:line="240" w:lineRule="auto"/>
        <w:contextualSpacing/>
        <w:jc w:val="center"/>
        <w:rPr>
          <w:rFonts w:ascii="Bookman Old Style" w:eastAsia="Bookman Old Style" w:hAnsi="Bookman Old Style" w:cs="Bookman Old Style"/>
          <w:sz w:val="20"/>
          <w:szCs w:val="20"/>
          <w:lang w:eastAsia="pt-BR"/>
        </w:rPr>
      </w:pPr>
    </w:p>
    <w:p w:rsidR="000D7CAF" w:rsidRPr="00F97084" w:rsidRDefault="000D7CAF" w:rsidP="000D7CAF">
      <w:pPr>
        <w:widowControl w:val="0"/>
        <w:spacing w:after="0" w:line="240" w:lineRule="auto"/>
        <w:contextualSpacing/>
        <w:jc w:val="center"/>
        <w:rPr>
          <w:rFonts w:ascii="Bookman Old Style" w:eastAsia="Bookman Old Style" w:hAnsi="Bookman Old Style" w:cs="Bookman Old Style"/>
          <w:sz w:val="20"/>
          <w:szCs w:val="20"/>
          <w:lang w:eastAsia="pt-BR"/>
        </w:rPr>
      </w:pPr>
    </w:p>
    <w:p w:rsidR="00AD62EF" w:rsidRDefault="00AD62EF" w:rsidP="00AD62EF">
      <w:pPr>
        <w:tabs>
          <w:tab w:val="left" w:pos="4065"/>
        </w:tabs>
        <w:spacing w:after="0" w:line="240" w:lineRule="auto"/>
        <w:rPr>
          <w:rFonts w:ascii="Bookman Old Style" w:eastAsia="Bookman Old Style" w:hAnsi="Bookman Old Style" w:cs="Bookman Old Style"/>
          <w:sz w:val="20"/>
          <w:szCs w:val="20"/>
          <w:lang w:eastAsia="pt-BR"/>
        </w:rPr>
      </w:pPr>
    </w:p>
    <w:p w:rsidR="000D7CAF" w:rsidRPr="00F97084" w:rsidRDefault="000D7CAF" w:rsidP="00AD62EF">
      <w:pPr>
        <w:tabs>
          <w:tab w:val="left" w:pos="4065"/>
        </w:tabs>
        <w:spacing w:after="0" w:line="240" w:lineRule="auto"/>
        <w:jc w:val="center"/>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lastRenderedPageBreak/>
        <w:t>ANEXO V</w:t>
      </w:r>
    </w:p>
    <w:p w:rsidR="000D7CAF" w:rsidRPr="00F97084" w:rsidRDefault="000D7CAF" w:rsidP="000D7CAF">
      <w:pPr>
        <w:spacing w:after="0" w:line="240" w:lineRule="auto"/>
        <w:jc w:val="center"/>
        <w:rPr>
          <w:rFonts w:ascii="Bookman Old Style" w:eastAsia="Arial" w:hAnsi="Bookman Old Style" w:cs="Arial"/>
          <w:sz w:val="20"/>
          <w:szCs w:val="20"/>
          <w:lang w:eastAsia="pt-BR"/>
        </w:rPr>
      </w:pPr>
      <w:bookmarkStart w:id="1" w:name="_GoBack"/>
      <w:bookmarkEnd w:id="1"/>
    </w:p>
    <w:p w:rsidR="000D7CAF" w:rsidRPr="00F97084" w:rsidRDefault="000D7CAF" w:rsidP="000D7CAF">
      <w:pPr>
        <w:spacing w:after="0" w:line="240" w:lineRule="auto"/>
        <w:jc w:val="center"/>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MINUTA TERMO DE CONTRATO – (LEI Nº 14.133/21)</w:t>
      </w:r>
    </w:p>
    <w:p w:rsidR="000D7CAF" w:rsidRPr="00F97084" w:rsidRDefault="000D7CAF" w:rsidP="000D7CAF">
      <w:pPr>
        <w:spacing w:after="0" w:line="240" w:lineRule="auto"/>
        <w:jc w:val="center"/>
        <w:rPr>
          <w:rFonts w:ascii="Bookman Old Style" w:eastAsia="Arial" w:hAnsi="Bookman Old Style" w:cs="Arial"/>
          <w:sz w:val="20"/>
          <w:szCs w:val="20"/>
          <w:lang w:eastAsia="pt-BR"/>
        </w:rPr>
      </w:pPr>
    </w:p>
    <w:p w:rsidR="000D7CAF" w:rsidRPr="00F97084" w:rsidRDefault="000D7CAF" w:rsidP="000D7CAF">
      <w:pPr>
        <w:spacing w:after="0" w:line="240" w:lineRule="auto"/>
        <w:rPr>
          <w:rFonts w:ascii="Bookman Old Style" w:eastAsia="Arial" w:hAnsi="Bookman Old Style" w:cs="Arial"/>
          <w:sz w:val="20"/>
          <w:szCs w:val="20"/>
          <w:lang w:eastAsia="pt-BR"/>
        </w:rPr>
      </w:pPr>
    </w:p>
    <w:p w:rsidR="000D7CAF" w:rsidRPr="00F97084" w:rsidRDefault="000D7CAF" w:rsidP="000D7CAF">
      <w:pPr>
        <w:spacing w:after="120" w:line="240" w:lineRule="auto"/>
        <w:ind w:left="3061"/>
        <w:jc w:val="both"/>
        <w:rPr>
          <w:rFonts w:ascii="Bookman Old Style" w:eastAsia="Bookman Old Style" w:hAnsi="Bookman Old Style" w:cs="Bookman Old Style"/>
          <w:sz w:val="20"/>
          <w:szCs w:val="20"/>
          <w:lang w:eastAsia="pt-BR"/>
        </w:rPr>
      </w:pPr>
      <w:r w:rsidRPr="00F97084">
        <w:rPr>
          <w:rFonts w:ascii="Bookman Old Style" w:eastAsia="Bookman Old Style" w:hAnsi="Bookman Old Style" w:cs="Bookman Old Style"/>
          <w:sz w:val="20"/>
          <w:szCs w:val="20"/>
          <w:lang w:eastAsia="pt-BR"/>
        </w:rPr>
        <w:t xml:space="preserve">Contrato Administrativo nº </w:t>
      </w:r>
      <w:r w:rsidRPr="00F97084">
        <w:rPr>
          <w:rFonts w:ascii="Bookman Old Style" w:eastAsia="Bookman Old Style" w:hAnsi="Bookman Old Style" w:cs="Bookman Old Style"/>
          <w:b/>
          <w:sz w:val="20"/>
          <w:szCs w:val="20"/>
          <w:lang w:eastAsia="pt-BR"/>
        </w:rPr>
        <w:t>XXX/2026</w:t>
      </w:r>
      <w:r w:rsidRPr="00F97084">
        <w:rPr>
          <w:rFonts w:ascii="Bookman Old Style" w:eastAsia="Bookman Old Style" w:hAnsi="Bookman Old Style" w:cs="Bookman Old Style"/>
          <w:sz w:val="20"/>
          <w:szCs w:val="20"/>
          <w:lang w:eastAsia="pt-BR"/>
        </w:rPr>
        <w:t xml:space="preserve"> que fazem entre o Município de Santo Antonio do Sudoeste-Paraná, por intermédio do (a) </w:t>
      </w:r>
      <w:r w:rsidRPr="00F97084">
        <w:rPr>
          <w:rFonts w:ascii="Bookman Old Style" w:eastAsia="Bookman Old Style" w:hAnsi="Bookman Old Style" w:cs="Bookman Old Style"/>
          <w:color w:val="000000"/>
          <w:sz w:val="20"/>
          <w:szCs w:val="20"/>
          <w:lang w:eastAsia="pt-BR"/>
        </w:rPr>
        <w:t xml:space="preserve">SECRETARIA DE EDUCAÇÃO </w:t>
      </w:r>
      <w:r w:rsidRPr="00F97084">
        <w:rPr>
          <w:rFonts w:ascii="Bookman Old Style" w:eastAsia="Bookman Old Style" w:hAnsi="Bookman Old Style" w:cs="Bookman Old Style"/>
          <w:sz w:val="20"/>
          <w:szCs w:val="20"/>
          <w:lang w:eastAsia="pt-BR"/>
        </w:rPr>
        <w:t xml:space="preserve">e a empresa </w:t>
      </w:r>
      <w:r w:rsidRPr="00F97084">
        <w:rPr>
          <w:rFonts w:ascii="Bookman Old Style" w:eastAsia="Bookman Old Style" w:hAnsi="Bookman Old Style" w:cs="Bookman Old Style"/>
          <w:b/>
          <w:sz w:val="20"/>
          <w:szCs w:val="20"/>
          <w:lang w:eastAsia="pt-BR"/>
        </w:rPr>
        <w:t>XXXXXXXXXXXX.</w:t>
      </w:r>
      <w:r w:rsidRPr="00F97084">
        <w:rPr>
          <w:rFonts w:ascii="Bookman Old Style" w:eastAsia="Bookman Old Style" w:hAnsi="Bookman Old Style" w:cs="Bookman Old Style"/>
          <w:sz w:val="20"/>
          <w:szCs w:val="20"/>
          <w:lang w:eastAsia="pt-BR"/>
        </w:rPr>
        <w:t xml:space="preserve"> </w:t>
      </w:r>
    </w:p>
    <w:p w:rsidR="000D7CAF" w:rsidRPr="00F97084" w:rsidRDefault="000D7CAF" w:rsidP="000D7CAF">
      <w:pPr>
        <w:spacing w:after="120" w:line="240" w:lineRule="auto"/>
        <w:ind w:left="3061"/>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 </w:t>
      </w:r>
    </w:p>
    <w:p w:rsidR="000D7CAF" w:rsidRPr="00F97084" w:rsidRDefault="000D7CAF" w:rsidP="000D7CAF">
      <w:p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Pelo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presente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instrumento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particular</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que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firma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um</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lado,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MUNICÍPIO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SANTO ANTONIO DO SUDOESTE,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com</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sede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na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 xml:space="preserve">Avenida Brasil, 1431, estado do Paraná, inscrito no CNPJ/MF sob o n° 75.927.582/0001-55, neste ato representado pelo Prefeito Municipal, senhor Ricardo </w:t>
      </w:r>
      <w:proofErr w:type="spellStart"/>
      <w:r w:rsidRPr="00F97084">
        <w:rPr>
          <w:rFonts w:ascii="Bookman Old Style" w:eastAsia="Bookman Old Style" w:hAnsi="Bookman Old Style" w:cs="Bookman Old Style"/>
          <w:sz w:val="20"/>
          <w:szCs w:val="20"/>
          <w:lang w:eastAsia="pt-BR"/>
        </w:rPr>
        <w:t>Antonio</w:t>
      </w:r>
      <w:proofErr w:type="spellEnd"/>
      <w:r w:rsidRPr="00F97084">
        <w:rPr>
          <w:rFonts w:ascii="Bookman Old Style" w:eastAsia="Bookman Old Style" w:hAnsi="Bookman Old Style" w:cs="Bookman Old Style"/>
          <w:sz w:val="20"/>
          <w:szCs w:val="20"/>
          <w:lang w:eastAsia="pt-BR"/>
        </w:rPr>
        <w:t xml:space="preserve"> </w:t>
      </w:r>
      <w:proofErr w:type="spellStart"/>
      <w:r w:rsidRPr="00F97084">
        <w:rPr>
          <w:rFonts w:ascii="Bookman Old Style" w:eastAsia="Bookman Old Style" w:hAnsi="Bookman Old Style" w:cs="Bookman Old Style"/>
          <w:sz w:val="20"/>
          <w:szCs w:val="20"/>
          <w:lang w:eastAsia="pt-BR"/>
        </w:rPr>
        <w:t>Ortina</w:t>
      </w:r>
      <w:proofErr w:type="spellEnd"/>
      <w:r w:rsidRPr="00F97084">
        <w:rPr>
          <w:rFonts w:ascii="Bookman Old Style" w:eastAsia="Bookman Old Style" w:hAnsi="Bookman Old Style" w:cs="Bookman Old Style"/>
          <w:sz w:val="20"/>
          <w:szCs w:val="20"/>
          <w:lang w:eastAsia="pt-BR"/>
        </w:rPr>
        <w:t xml:space="preserve">, inscrito no CPF sob o nº 020.697.089-77 e abaixo assinado, doravante designado CONTRATANTE, e o(a) </w:t>
      </w:r>
      <w:r w:rsidRPr="00F97084">
        <w:rPr>
          <w:rFonts w:ascii="Bookman Old Style" w:eastAsia="Bookman Old Style" w:hAnsi="Bookman Old Style" w:cs="Bookman Old Style"/>
          <w:b/>
          <w:sz w:val="20"/>
          <w:szCs w:val="20"/>
          <w:lang w:eastAsia="pt-BR"/>
        </w:rPr>
        <w:t>..............................</w:t>
      </w:r>
      <w:r w:rsidRPr="00F97084">
        <w:rPr>
          <w:rFonts w:ascii="Bookman Old Style" w:eastAsia="Bookman Old Style" w:hAnsi="Bookman Old Style" w:cs="Bookman Old Style"/>
          <w:sz w:val="20"/>
          <w:szCs w:val="20"/>
          <w:lang w:eastAsia="pt-BR"/>
        </w:rPr>
        <w:t xml:space="preserve"> inscrito(a) no CNPJ/MF sob o nº ............................, sediado(a) em ............................. </w:t>
      </w:r>
      <w:proofErr w:type="gramStart"/>
      <w:r w:rsidRPr="00F97084">
        <w:rPr>
          <w:rFonts w:ascii="Bookman Old Style" w:eastAsia="Bookman Old Style" w:hAnsi="Bookman Old Style" w:cs="Bookman Old Style"/>
          <w:sz w:val="20"/>
          <w:szCs w:val="20"/>
          <w:lang w:eastAsia="pt-BR"/>
        </w:rPr>
        <w:t>doravante</w:t>
      </w:r>
      <w:proofErr w:type="gramEnd"/>
      <w:r w:rsidRPr="00F97084">
        <w:rPr>
          <w:rFonts w:ascii="Bookman Old Style" w:eastAsia="Bookman Old Style" w:hAnsi="Bookman Old Style" w:cs="Bookman Old Style"/>
          <w:sz w:val="20"/>
          <w:szCs w:val="20"/>
          <w:lang w:eastAsia="pt-BR"/>
        </w:rPr>
        <w:t xml:space="preserve"> designado CONTRATADO, tendo em vista o que consta no Processo nº </w:t>
      </w:r>
      <w:r w:rsidRPr="00F97084">
        <w:rPr>
          <w:rFonts w:ascii="Bookman Old Style" w:eastAsia="Calibri" w:hAnsi="Bookman Old Style" w:cs="Calibri"/>
          <w:sz w:val="20"/>
          <w:szCs w:val="20"/>
          <w:lang w:eastAsia="pt-BR"/>
        </w:rPr>
        <w:t>917/2026</w:t>
      </w:r>
      <w:r w:rsidRPr="00F97084">
        <w:rPr>
          <w:rFonts w:ascii="Bookman Old Style" w:eastAsia="Bookman Old Style" w:hAnsi="Bookman Old Style" w:cs="Bookman Old Style"/>
          <w:sz w:val="20"/>
          <w:szCs w:val="20"/>
          <w:lang w:eastAsia="pt-BR"/>
        </w:rPr>
        <w:t xml:space="preserve"> e em observância às disposições da Lei nº 14.133, de 2021, resolvem celebrar o presente Termo de Contrato, decorrente </w:t>
      </w:r>
      <w:r w:rsidRPr="00F97084">
        <w:rPr>
          <w:rFonts w:ascii="Bookman Old Style" w:eastAsia="Bookman Old Style" w:hAnsi="Bookman Old Style" w:cs="Bookman Old Style"/>
          <w:b/>
          <w:sz w:val="20"/>
          <w:szCs w:val="20"/>
          <w:lang w:eastAsia="pt-BR"/>
        </w:rPr>
        <w:t>PREGÃO ELETRÔNICO Nº 036/2026</w:t>
      </w:r>
      <w:r w:rsidRPr="00F97084">
        <w:rPr>
          <w:rFonts w:ascii="Bookman Old Style" w:eastAsia="Bookman Old Style" w:hAnsi="Bookman Old Style" w:cs="Bookman Old Style"/>
          <w:sz w:val="20"/>
          <w:szCs w:val="20"/>
          <w:lang w:eastAsia="pt-BR"/>
        </w:rPr>
        <w:t>, mediante as cláusulas e condições a seguir enunciadas.</w:t>
      </w:r>
    </w:p>
    <w:p w:rsidR="000D7CAF" w:rsidRPr="00F97084" w:rsidRDefault="000D7CAF" w:rsidP="001472B1">
      <w:pPr>
        <w:keepNext/>
        <w:keepLines/>
        <w:widowControl w:val="0"/>
        <w:numPr>
          <w:ilvl w:val="0"/>
          <w:numId w:val="26"/>
        </w:numPr>
        <w:tabs>
          <w:tab w:val="left" w:pos="570"/>
        </w:tabs>
        <w:spacing w:before="240" w:after="0" w:line="240" w:lineRule="auto"/>
        <w:jc w:val="both"/>
        <w:outlineLvl w:val="0"/>
        <w:rPr>
          <w:rFonts w:ascii="Bookman Old Style" w:eastAsia="Arial" w:hAnsi="Bookman Old Style" w:cs="Arial"/>
          <w:sz w:val="20"/>
          <w:szCs w:val="20"/>
          <w:lang w:eastAsia="pt-BR"/>
        </w:rPr>
      </w:pPr>
      <w:r w:rsidRPr="00F97084">
        <w:rPr>
          <w:rFonts w:ascii="Bookman Old Style" w:eastAsia="Bookman Old Style" w:hAnsi="Bookman Old Style" w:cs="Bookman Old Style"/>
          <w:b/>
          <w:color w:val="000000"/>
          <w:sz w:val="20"/>
          <w:szCs w:val="20"/>
          <w:lang w:eastAsia="pt-BR"/>
        </w:rPr>
        <w:t>CLÁUSULA PRIMEIRA – OBJETO (art. 92, I e II)</w:t>
      </w:r>
    </w:p>
    <w:p w:rsidR="000D7CAF" w:rsidRPr="00F97084" w:rsidRDefault="000D7CAF" w:rsidP="000D7CAF">
      <w:pPr>
        <w:spacing w:after="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color w:val="000000"/>
          <w:sz w:val="20"/>
          <w:szCs w:val="20"/>
          <w:lang w:eastAsia="pt-BR"/>
        </w:rPr>
        <w:t xml:space="preserve">O objeto do presente instrumento é a </w:t>
      </w:r>
      <w:r w:rsidRPr="00F97084">
        <w:rPr>
          <w:rFonts w:ascii="Bookman Old Style" w:eastAsia="Bookman Old Style" w:hAnsi="Bookman Old Style" w:cs="Bookman Old Style"/>
          <w:sz w:val="20"/>
          <w:szCs w:val="20"/>
          <w:lang w:eastAsia="pt-BR"/>
        </w:rPr>
        <w:t>Aquisição de suprimentos de impressão, tintas, toners, cilindros, unidades de imagem, reveladores, peças, componentes, materiais, ferramentas e equipamentos destinados ao abastecimento, à manutenção preventiva e à manutenção corretiva do parque de impressoras do Município de Santo Antônio do Sudoeste – PR, conforme especificações, características e quantidades abaixo:</w:t>
      </w:r>
    </w:p>
    <w:p w:rsidR="000D7CAF" w:rsidRPr="00F97084" w:rsidRDefault="000D7CAF" w:rsidP="001472B1">
      <w:pPr>
        <w:widowControl w:val="0"/>
        <w:numPr>
          <w:ilvl w:val="1"/>
          <w:numId w:val="27"/>
        </w:numPr>
        <w:spacing w:after="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Objeto da contratação:</w:t>
      </w:r>
    </w:p>
    <w:tbl>
      <w:tblPr>
        <w:tblW w:w="4840" w:type="pct"/>
        <w:jc w:val="center"/>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0D7CAF" w:rsidRPr="00F97084" w:rsidTr="000D7CAF">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0D7CAF" w:rsidRPr="00F97084" w:rsidRDefault="000D7CAF" w:rsidP="000D7CAF">
            <w:pPr>
              <w:widowControl w:val="0"/>
              <w:spacing w:after="0" w:line="240" w:lineRule="auto"/>
              <w:rPr>
                <w:rFonts w:ascii="Bookman Old Style" w:eastAsia="Bookman Old Style" w:hAnsi="Bookman Old Style" w:cs="Bookman Old Style"/>
                <w:sz w:val="16"/>
                <w:szCs w:val="20"/>
                <w:lang w:eastAsia="pt-BR"/>
              </w:rPr>
            </w:pPr>
            <w:r w:rsidRPr="00F97084">
              <w:rPr>
                <w:rFonts w:ascii="Bookman Old Style" w:eastAsia="Bookman Old Style" w:hAnsi="Bookman Old Style" w:cs="Bookman Old Style"/>
                <w:sz w:val="16"/>
                <w:szCs w:val="20"/>
                <w:lang w:eastAsia="pt-BR"/>
              </w:rPr>
              <w:t>LOTE XXX</w:t>
            </w:r>
          </w:p>
        </w:tc>
      </w:tr>
      <w:tr w:rsidR="000D7CAF" w:rsidRPr="00F97084" w:rsidTr="000D7CAF">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0D7CAF" w:rsidRPr="00F97084" w:rsidRDefault="000D7CAF" w:rsidP="000D7CAF">
            <w:pPr>
              <w:widowControl w:val="0"/>
              <w:spacing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sz w:val="16"/>
                <w:szCs w:val="20"/>
                <w:lang w:eastAsia="pt-BR"/>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0D7CAF" w:rsidRPr="00F97084" w:rsidRDefault="000D7CAF" w:rsidP="000D7CAF">
            <w:pPr>
              <w:widowControl w:val="0"/>
              <w:spacing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sz w:val="16"/>
                <w:szCs w:val="20"/>
                <w:lang w:eastAsia="pt-BR"/>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0D7CAF" w:rsidRPr="00F97084" w:rsidRDefault="000D7CAF" w:rsidP="000D7CAF">
            <w:pPr>
              <w:widowControl w:val="0"/>
              <w:spacing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sz w:val="16"/>
                <w:szCs w:val="20"/>
                <w:lang w:eastAsia="pt-BR"/>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0D7CAF" w:rsidRPr="00F97084" w:rsidRDefault="000D7CAF" w:rsidP="000D7CAF">
            <w:pPr>
              <w:widowControl w:val="0"/>
              <w:spacing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sz w:val="16"/>
                <w:szCs w:val="20"/>
                <w:lang w:eastAsia="pt-BR"/>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0D7CAF" w:rsidRPr="00F97084" w:rsidRDefault="000D7CAF" w:rsidP="000D7CAF">
            <w:pPr>
              <w:widowControl w:val="0"/>
              <w:spacing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sz w:val="16"/>
                <w:szCs w:val="20"/>
                <w:lang w:eastAsia="pt-BR"/>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0D7CAF" w:rsidRPr="00F97084" w:rsidRDefault="000D7CAF" w:rsidP="000D7CAF">
            <w:pPr>
              <w:widowControl w:val="0"/>
              <w:spacing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sz w:val="16"/>
                <w:szCs w:val="20"/>
                <w:lang w:eastAsia="pt-BR"/>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0D7CAF" w:rsidRPr="00F97084" w:rsidRDefault="000D7CAF" w:rsidP="000D7CAF">
            <w:pPr>
              <w:widowControl w:val="0"/>
              <w:spacing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sz w:val="16"/>
                <w:szCs w:val="20"/>
                <w:lang w:eastAsia="pt-BR"/>
              </w:rPr>
              <w:t>Valor Total</w:t>
            </w:r>
          </w:p>
        </w:tc>
      </w:tr>
      <w:tr w:rsidR="000D7CAF" w:rsidRPr="00F97084" w:rsidTr="000D7CAF">
        <w:trPr>
          <w:jc w:val="center"/>
        </w:trPr>
        <w:tc>
          <w:tcPr>
            <w:tcW w:w="655" w:type="dxa"/>
            <w:tcBorders>
              <w:top w:val="single" w:sz="6" w:space="0" w:color="000000"/>
              <w:left w:val="single" w:sz="6" w:space="0" w:color="000000"/>
              <w:bottom w:val="single" w:sz="6" w:space="0" w:color="000000"/>
              <w:right w:val="single" w:sz="6" w:space="0" w:color="000000"/>
            </w:tcBorders>
          </w:tcPr>
          <w:p w:rsidR="000D7CAF" w:rsidRPr="00F97084" w:rsidRDefault="000D7CAF" w:rsidP="000D7CAF">
            <w:pPr>
              <w:widowControl w:val="0"/>
              <w:spacing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sz w:val="16"/>
                <w:szCs w:val="20"/>
                <w:lang w:eastAsia="pt-BR"/>
              </w:rPr>
              <w:t>1</w:t>
            </w:r>
          </w:p>
        </w:tc>
        <w:tc>
          <w:tcPr>
            <w:tcW w:w="2835" w:type="dxa"/>
            <w:tcBorders>
              <w:top w:val="single" w:sz="6" w:space="0" w:color="000000"/>
              <w:left w:val="single" w:sz="6" w:space="0" w:color="000000"/>
              <w:bottom w:val="single" w:sz="6" w:space="0" w:color="000000"/>
              <w:right w:val="single" w:sz="6" w:space="0" w:color="000000"/>
            </w:tcBorders>
          </w:tcPr>
          <w:p w:rsidR="000D7CAF" w:rsidRPr="00F97084" w:rsidRDefault="000D7CAF" w:rsidP="000D7CAF">
            <w:pPr>
              <w:widowControl w:val="0"/>
              <w:spacing w:after="0" w:line="240" w:lineRule="auto"/>
              <w:rPr>
                <w:rFonts w:ascii="Bookman Old Style" w:eastAsia="Arial" w:hAnsi="Bookman Old Style" w:cs="Arial"/>
                <w:sz w:val="20"/>
                <w:szCs w:val="20"/>
                <w:lang w:eastAsia="pt-BR"/>
              </w:rPr>
            </w:pPr>
            <w:proofErr w:type="spellStart"/>
            <w:r w:rsidRPr="00F97084">
              <w:rPr>
                <w:rFonts w:ascii="Bookman Old Style" w:eastAsia="Bookman Old Style" w:hAnsi="Bookman Old Style" w:cs="Bookman Old Style"/>
                <w:sz w:val="16"/>
                <w:szCs w:val="20"/>
                <w:lang w:eastAsia="pt-BR"/>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0D7CAF" w:rsidRPr="00F97084" w:rsidRDefault="000D7CAF" w:rsidP="000D7CAF">
            <w:pPr>
              <w:widowControl w:val="0"/>
              <w:spacing w:after="0" w:line="240" w:lineRule="auto"/>
              <w:rPr>
                <w:rFonts w:ascii="Bookman Old Style" w:eastAsia="Arial" w:hAnsi="Bookman Old Style" w:cs="Arial"/>
                <w:sz w:val="20"/>
                <w:szCs w:val="20"/>
                <w:lang w:eastAsia="pt-BR"/>
              </w:rPr>
            </w:pPr>
            <w:proofErr w:type="spellStart"/>
            <w:r w:rsidRPr="00F97084">
              <w:rPr>
                <w:rFonts w:ascii="Bookman Old Style" w:eastAsia="Bookman Old Style" w:hAnsi="Bookman Old Style" w:cs="Bookman Old Style"/>
                <w:sz w:val="16"/>
                <w:szCs w:val="20"/>
                <w:lang w:eastAsia="pt-BR"/>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0D7CAF" w:rsidRPr="00F97084" w:rsidRDefault="000D7CAF" w:rsidP="000D7CAF">
            <w:pPr>
              <w:widowControl w:val="0"/>
              <w:spacing w:after="0" w:line="240" w:lineRule="auto"/>
              <w:rPr>
                <w:rFonts w:ascii="Bookman Old Style" w:eastAsia="Arial" w:hAnsi="Bookman Old Style" w:cs="Arial"/>
                <w:sz w:val="20"/>
                <w:szCs w:val="20"/>
                <w:lang w:eastAsia="pt-BR"/>
              </w:rPr>
            </w:pPr>
            <w:proofErr w:type="spellStart"/>
            <w:r w:rsidRPr="00F97084">
              <w:rPr>
                <w:rFonts w:ascii="Bookman Old Style" w:eastAsia="Bookman Old Style" w:hAnsi="Bookman Old Style" w:cs="Bookman Old Style"/>
                <w:sz w:val="16"/>
                <w:szCs w:val="20"/>
                <w:lang w:eastAsia="pt-BR"/>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0D7CAF" w:rsidRPr="00F97084" w:rsidRDefault="000D7CAF" w:rsidP="000D7CAF">
            <w:pPr>
              <w:widowControl w:val="0"/>
              <w:spacing w:after="0" w:line="240" w:lineRule="auto"/>
              <w:rPr>
                <w:rFonts w:ascii="Bookman Old Style" w:eastAsia="Arial" w:hAnsi="Bookman Old Style" w:cs="Arial"/>
                <w:sz w:val="20"/>
                <w:szCs w:val="20"/>
                <w:lang w:eastAsia="pt-BR"/>
              </w:rPr>
            </w:pPr>
            <w:proofErr w:type="spellStart"/>
            <w:r w:rsidRPr="00F97084">
              <w:rPr>
                <w:rFonts w:ascii="Bookman Old Style" w:eastAsia="Bookman Old Style" w:hAnsi="Bookman Old Style" w:cs="Bookman Old Style"/>
                <w:sz w:val="16"/>
                <w:szCs w:val="20"/>
                <w:lang w:eastAsia="pt-BR"/>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0D7CAF" w:rsidRPr="00F97084" w:rsidRDefault="000D7CAF" w:rsidP="000D7CAF">
            <w:pPr>
              <w:widowControl w:val="0"/>
              <w:spacing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sz w:val="16"/>
                <w:szCs w:val="20"/>
                <w:lang w:eastAsia="pt-BR"/>
              </w:rPr>
              <w:t>R$</w:t>
            </w:r>
          </w:p>
        </w:tc>
        <w:tc>
          <w:tcPr>
            <w:tcW w:w="1254" w:type="dxa"/>
            <w:tcBorders>
              <w:top w:val="single" w:sz="6" w:space="0" w:color="000000"/>
              <w:left w:val="single" w:sz="6" w:space="0" w:color="000000"/>
              <w:bottom w:val="single" w:sz="6" w:space="0" w:color="000000"/>
              <w:right w:val="single" w:sz="6" w:space="0" w:color="000000"/>
            </w:tcBorders>
          </w:tcPr>
          <w:p w:rsidR="000D7CAF" w:rsidRPr="00F97084" w:rsidRDefault="000D7CAF" w:rsidP="000D7CAF">
            <w:pPr>
              <w:widowControl w:val="0"/>
              <w:spacing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sz w:val="16"/>
                <w:szCs w:val="20"/>
                <w:lang w:eastAsia="pt-BR"/>
              </w:rPr>
              <w:t>R$</w:t>
            </w:r>
          </w:p>
        </w:tc>
      </w:tr>
    </w:tbl>
    <w:p w:rsidR="000D7CAF" w:rsidRPr="00F97084" w:rsidRDefault="000D7CAF" w:rsidP="000D7CAF">
      <w:pPr>
        <w:spacing w:before="120" w:after="120" w:line="240" w:lineRule="auto"/>
        <w:jc w:val="both"/>
        <w:rPr>
          <w:rFonts w:ascii="Bookman Old Style" w:eastAsia="Arial" w:hAnsi="Bookman Old Style" w:cs="Arial"/>
          <w:sz w:val="20"/>
          <w:szCs w:val="20"/>
          <w:lang w:eastAsia="pt-BR"/>
        </w:rPr>
      </w:pPr>
    </w:p>
    <w:p w:rsidR="000D7CAF" w:rsidRPr="00F97084" w:rsidRDefault="000D7CAF" w:rsidP="001472B1">
      <w:pPr>
        <w:keepNext/>
        <w:keepLines/>
        <w:widowControl w:val="0"/>
        <w:numPr>
          <w:ilvl w:val="0"/>
          <w:numId w:val="25"/>
        </w:numPr>
        <w:tabs>
          <w:tab w:val="left" w:pos="570"/>
        </w:tabs>
        <w:spacing w:before="240" w:after="0" w:line="240" w:lineRule="auto"/>
        <w:jc w:val="both"/>
        <w:outlineLvl w:val="0"/>
        <w:rPr>
          <w:rFonts w:ascii="Bookman Old Style" w:eastAsia="Arial" w:hAnsi="Bookman Old Style" w:cs="Arial"/>
          <w:sz w:val="20"/>
          <w:szCs w:val="20"/>
          <w:lang w:eastAsia="pt-BR"/>
        </w:rPr>
      </w:pPr>
      <w:r w:rsidRPr="00F97084">
        <w:rPr>
          <w:rFonts w:ascii="Bookman Old Style" w:eastAsia="Bookman Old Style" w:hAnsi="Bookman Old Style" w:cs="Bookman Old Style"/>
          <w:b/>
          <w:color w:val="000000"/>
          <w:sz w:val="20"/>
          <w:szCs w:val="20"/>
          <w:lang w:eastAsia="pt-BR"/>
        </w:rPr>
        <w:t>CLÁUSULA SEGUNDA – VIGÊNCIA E PRORROGAÇÃO.</w:t>
      </w:r>
    </w:p>
    <w:p w:rsidR="000D7CAF" w:rsidRPr="00F97084" w:rsidRDefault="000D7CAF" w:rsidP="001472B1">
      <w:pPr>
        <w:widowControl w:val="0"/>
        <w:numPr>
          <w:ilvl w:val="1"/>
          <w:numId w:val="28"/>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O prazo de vigência da contratação é de 12(Doze) meses contados </w:t>
      </w:r>
      <w:proofErr w:type="gramStart"/>
      <w:r w:rsidRPr="00F97084">
        <w:rPr>
          <w:rFonts w:ascii="Bookman Old Style" w:eastAsia="Bookman Old Style" w:hAnsi="Bookman Old Style" w:cs="Bookman Old Style"/>
          <w:sz w:val="20"/>
          <w:szCs w:val="20"/>
          <w:lang w:eastAsia="pt-BR"/>
        </w:rPr>
        <w:t>do(</w:t>
      </w:r>
      <w:proofErr w:type="gramEnd"/>
      <w:r w:rsidRPr="00F97084">
        <w:rPr>
          <w:rFonts w:ascii="Bookman Old Style" w:eastAsia="Bookman Old Style" w:hAnsi="Bookman Old Style" w:cs="Bookman Old Style"/>
          <w:sz w:val="20"/>
          <w:szCs w:val="20"/>
          <w:lang w:eastAsia="pt-BR"/>
        </w:rPr>
        <w:t>a) assinatura do contrato, prorrogável por até 10 anos, na forma dos artigos 106 e 107 da Lei n° 14.133/2021.</w:t>
      </w:r>
    </w:p>
    <w:p w:rsidR="000D7CAF" w:rsidRPr="00F97084" w:rsidRDefault="000D7CAF" w:rsidP="001472B1">
      <w:pPr>
        <w:keepNext/>
        <w:keepLines/>
        <w:widowControl w:val="0"/>
        <w:numPr>
          <w:ilvl w:val="0"/>
          <w:numId w:val="25"/>
        </w:numPr>
        <w:tabs>
          <w:tab w:val="left" w:pos="570"/>
        </w:tabs>
        <w:spacing w:before="240" w:after="0" w:line="240" w:lineRule="auto"/>
        <w:jc w:val="both"/>
        <w:outlineLvl w:val="0"/>
        <w:rPr>
          <w:rFonts w:ascii="Bookman Old Style" w:eastAsia="Arial" w:hAnsi="Bookman Old Style" w:cs="Arial"/>
          <w:sz w:val="20"/>
          <w:szCs w:val="20"/>
          <w:lang w:eastAsia="pt-BR"/>
        </w:rPr>
      </w:pPr>
      <w:r w:rsidRPr="00F97084">
        <w:rPr>
          <w:rFonts w:ascii="Bookman Old Style" w:eastAsia="Bookman Old Style" w:hAnsi="Bookman Old Style" w:cs="Bookman Old Style"/>
          <w:b/>
          <w:color w:val="000000"/>
          <w:sz w:val="20"/>
          <w:szCs w:val="20"/>
          <w:lang w:eastAsia="pt-BR"/>
        </w:rPr>
        <w:t>CLÁUSULA TERCEIRA – MODELOS DE EXECUÇÃO E GESTÃO CONTRATUAIS (art. 92, IV, VII e XVIII)</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O regime de execução contratual, o modelo de gestão, assim como os prazos e condições de</w:t>
      </w:r>
      <w:r w:rsidRPr="00F97084">
        <w:rPr>
          <w:rFonts w:ascii="Bookman Old Style" w:eastAsia="Bookman Old Style" w:hAnsi="Bookman Old Style" w:cs="Bookman Old Style"/>
          <w:color w:val="000000"/>
          <w:sz w:val="20"/>
          <w:szCs w:val="20"/>
          <w:lang w:eastAsia="pt-BR"/>
        </w:rPr>
        <w:t xml:space="preserve"> conclusão, entrega, observação e recebimento definitivo</w:t>
      </w:r>
      <w:r w:rsidRPr="00F97084">
        <w:rPr>
          <w:rFonts w:ascii="Bookman Old Style" w:eastAsia="Bookman Old Style" w:hAnsi="Bookman Old Style" w:cs="Bookman Old Style"/>
          <w:sz w:val="20"/>
          <w:szCs w:val="20"/>
          <w:lang w:eastAsia="pt-BR"/>
        </w:rPr>
        <w:t xml:space="preserve"> constam no Termo de Referência, anexo a este Contrato.</w:t>
      </w:r>
    </w:p>
    <w:p w:rsidR="000D7CAF" w:rsidRPr="00F97084" w:rsidRDefault="000D7CAF" w:rsidP="001472B1">
      <w:pPr>
        <w:keepNext/>
        <w:keepLines/>
        <w:widowControl w:val="0"/>
        <w:numPr>
          <w:ilvl w:val="0"/>
          <w:numId w:val="25"/>
        </w:numPr>
        <w:tabs>
          <w:tab w:val="left" w:pos="570"/>
        </w:tabs>
        <w:spacing w:before="240" w:after="0" w:line="240" w:lineRule="auto"/>
        <w:jc w:val="both"/>
        <w:outlineLvl w:val="0"/>
        <w:rPr>
          <w:rFonts w:ascii="Bookman Old Style" w:eastAsia="Arial" w:hAnsi="Bookman Old Style" w:cs="Arial"/>
          <w:sz w:val="20"/>
          <w:szCs w:val="20"/>
          <w:lang w:eastAsia="pt-BR"/>
        </w:rPr>
      </w:pPr>
      <w:r w:rsidRPr="00F97084">
        <w:rPr>
          <w:rFonts w:ascii="Bookman Old Style" w:eastAsia="Bookman Old Style" w:hAnsi="Bookman Old Style" w:cs="Bookman Old Style"/>
          <w:b/>
          <w:color w:val="000000"/>
          <w:sz w:val="20"/>
          <w:szCs w:val="20"/>
          <w:lang w:eastAsia="pt-BR"/>
        </w:rPr>
        <w:t xml:space="preserve">CLÁUSULA QUARTA - SUBCONTRATAÇÃO </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Não será admitida a subcontratação do objeto contratual.</w:t>
      </w:r>
    </w:p>
    <w:p w:rsidR="000D7CAF" w:rsidRPr="00F97084" w:rsidRDefault="000D7CAF" w:rsidP="001472B1">
      <w:pPr>
        <w:keepNext/>
        <w:keepLines/>
        <w:widowControl w:val="0"/>
        <w:numPr>
          <w:ilvl w:val="0"/>
          <w:numId w:val="25"/>
        </w:numPr>
        <w:tabs>
          <w:tab w:val="left" w:pos="570"/>
        </w:tabs>
        <w:spacing w:before="240" w:after="0" w:line="240" w:lineRule="auto"/>
        <w:jc w:val="both"/>
        <w:outlineLvl w:val="0"/>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CLÁUSULA QUINTA - PAGAMENTO (art. 92, V e VI)</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PREÇO</w:t>
      </w:r>
    </w:p>
    <w:p w:rsidR="000D7CAF" w:rsidRPr="00F97084" w:rsidRDefault="000D7CAF" w:rsidP="001472B1">
      <w:pPr>
        <w:widowControl w:val="0"/>
        <w:numPr>
          <w:ilvl w:val="2"/>
          <w:numId w:val="29"/>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O valor total da contratação é de </w:t>
      </w:r>
      <w:r w:rsidRPr="00F97084">
        <w:rPr>
          <w:rFonts w:ascii="Bookman Old Style" w:eastAsia="Bookman Old Style" w:hAnsi="Bookman Old Style" w:cs="Bookman Old Style"/>
          <w:b/>
          <w:sz w:val="20"/>
          <w:szCs w:val="20"/>
          <w:lang w:eastAsia="pt-BR"/>
        </w:rPr>
        <w:t>R$ XXXX (XXXXXXXX).</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lastRenderedPageBreak/>
        <w:t>O valor acima é meramente estimativo, de forma que os pagamentos devidos ao contratado dependerão dos quantitativos efetivamente fornecidos.</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FORMA DE PAGAMENTO</w:t>
      </w:r>
    </w:p>
    <w:p w:rsidR="000D7CAF" w:rsidRPr="00F97084" w:rsidRDefault="000D7CAF" w:rsidP="001472B1">
      <w:pPr>
        <w:widowControl w:val="0"/>
        <w:numPr>
          <w:ilvl w:val="2"/>
          <w:numId w:val="30"/>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O pagamento será realizado através de ordem bancária, para crédito em banco, agência e conta corrente indicados pelo contratado.</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Será considerada data do pagamento o dia em que constar como emitida a ordem bancária para pagamento.</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PRAZO DE PAGAMENTO</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O pagamento será efetuado no prazo máximo de até 30 (trinta) dias, contados </w:t>
      </w:r>
      <w:r w:rsidRPr="00F97084">
        <w:rPr>
          <w:rFonts w:ascii="Bookman Old Style" w:eastAsia="Bookman Old Style" w:hAnsi="Bookman Old Style" w:cs="Bookman Old Style"/>
          <w:color w:val="000000"/>
          <w:sz w:val="20"/>
          <w:szCs w:val="20"/>
          <w:lang w:eastAsia="pt-BR"/>
        </w:rPr>
        <w:t>do recebimento da Nota Fiscal/Fatura.</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color w:val="000000"/>
          <w:sz w:val="20"/>
          <w:szCs w:val="20"/>
          <w:lang w:eastAsia="pt-BR"/>
        </w:rPr>
        <w:t>Considera-se ocorrido o recebimento da nota fiscal ou fatura quando o órgão contratante atestar a execução do objeto do contrato.</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color w:val="000000"/>
          <w:sz w:val="20"/>
          <w:szCs w:val="20"/>
          <w:lang w:eastAsia="pt-BR"/>
        </w:rPr>
        <w:t>No caso de atraso pelo Contratante, os valores devidos ao contratado serão atualizados monetariamente entre o termo final do prazo de pagamento até a data de sua efetiva realização, mediante aplicação do índice</w:t>
      </w:r>
      <w:r w:rsidRPr="00F97084">
        <w:rPr>
          <w:rFonts w:ascii="Bookman Old Style" w:eastAsia="Bookman Old Style" w:hAnsi="Bookman Old Style" w:cs="Bookman Old Style"/>
          <w:sz w:val="20"/>
          <w:szCs w:val="20"/>
          <w:shd w:val="clear" w:color="auto" w:fill="FFFFFF"/>
          <w:lang w:eastAsia="pt-BR"/>
        </w:rPr>
        <w:t> de Preços ao Consumidor Aplicado (IPCA)</w:t>
      </w:r>
      <w:r w:rsidRPr="00F97084">
        <w:rPr>
          <w:rFonts w:ascii="Bookman Old Style" w:eastAsia="Bookman Old Style" w:hAnsi="Bookman Old Style" w:cs="Bookman Old Style"/>
          <w:sz w:val="20"/>
          <w:szCs w:val="20"/>
          <w:lang w:eastAsia="pt-BR"/>
        </w:rPr>
        <w:t xml:space="preserve"> de correção monetária.</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CONDIÇÕES DE PAGAMENTO</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A emissão da </w:t>
      </w:r>
      <w:r w:rsidRPr="00F97084">
        <w:rPr>
          <w:rFonts w:ascii="Bookman Old Style" w:eastAsia="Bookman Old Style" w:hAnsi="Bookman Old Style" w:cs="Bookman Old Style"/>
          <w:color w:val="000000"/>
          <w:sz w:val="20"/>
          <w:szCs w:val="20"/>
          <w:lang w:eastAsia="pt-BR"/>
        </w:rPr>
        <w:t>Nota Fiscal/Fatura será precedida do recebimento definitivo do objeto da contratação, conforme disposto neste instrumento e/ou no Termo de Referência.</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color w:val="000000"/>
          <w:sz w:val="20"/>
          <w:szCs w:val="20"/>
          <w:lang w:eastAsia="pt-BR"/>
        </w:rPr>
        <w:t xml:space="preserve"> Quando houver glosa parcial do objeto, o contratante deverá comunicar a empresa para que emita a nota fiscal ou fatura com o valor exato dimensionado.</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color w:val="000000"/>
          <w:sz w:val="20"/>
          <w:szCs w:val="20"/>
          <w:lang w:eastAsia="pt-BR"/>
        </w:rPr>
        <w:t xml:space="preserve">O setor competente para proceder o pagamento deve verificar se a Nota Fiscal ou Fatura apresentada expressa os elementos necessários e essenciais do documento, tais como: </w:t>
      </w:r>
    </w:p>
    <w:p w:rsidR="000D7CAF" w:rsidRPr="00F97084" w:rsidRDefault="000D7CAF" w:rsidP="001472B1">
      <w:pPr>
        <w:widowControl w:val="0"/>
        <w:numPr>
          <w:ilvl w:val="0"/>
          <w:numId w:val="24"/>
        </w:numPr>
        <w:spacing w:before="120" w:after="120" w:line="240" w:lineRule="auto"/>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color w:val="000000"/>
          <w:sz w:val="20"/>
          <w:szCs w:val="20"/>
          <w:lang w:eastAsia="pt-BR"/>
        </w:rPr>
        <w:t>o</w:t>
      </w:r>
      <w:proofErr w:type="gramEnd"/>
      <w:r w:rsidRPr="00F97084">
        <w:rPr>
          <w:rFonts w:ascii="Bookman Old Style" w:eastAsia="Bookman Old Style" w:hAnsi="Bookman Old Style" w:cs="Bookman Old Style"/>
          <w:color w:val="000000"/>
          <w:sz w:val="20"/>
          <w:szCs w:val="20"/>
          <w:lang w:eastAsia="pt-BR"/>
        </w:rPr>
        <w:t xml:space="preserve"> prazo de validade; </w:t>
      </w:r>
    </w:p>
    <w:p w:rsidR="000D7CAF" w:rsidRPr="00F97084" w:rsidRDefault="000D7CAF" w:rsidP="001472B1">
      <w:pPr>
        <w:widowControl w:val="0"/>
        <w:numPr>
          <w:ilvl w:val="0"/>
          <w:numId w:val="23"/>
        </w:numPr>
        <w:spacing w:before="120" w:after="120" w:line="240" w:lineRule="auto"/>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color w:val="000000"/>
          <w:sz w:val="20"/>
          <w:szCs w:val="20"/>
          <w:lang w:eastAsia="pt-BR"/>
        </w:rPr>
        <w:t>a</w:t>
      </w:r>
      <w:proofErr w:type="gramEnd"/>
      <w:r w:rsidRPr="00F97084">
        <w:rPr>
          <w:rFonts w:ascii="Bookman Old Style" w:eastAsia="Bookman Old Style" w:hAnsi="Bookman Old Style" w:cs="Bookman Old Style"/>
          <w:color w:val="000000"/>
          <w:sz w:val="20"/>
          <w:szCs w:val="20"/>
          <w:lang w:eastAsia="pt-BR"/>
        </w:rPr>
        <w:t xml:space="preserve"> data da emissão; </w:t>
      </w:r>
    </w:p>
    <w:p w:rsidR="000D7CAF" w:rsidRPr="00F97084" w:rsidRDefault="000D7CAF" w:rsidP="001472B1">
      <w:pPr>
        <w:widowControl w:val="0"/>
        <w:numPr>
          <w:ilvl w:val="0"/>
          <w:numId w:val="23"/>
        </w:numPr>
        <w:spacing w:before="120" w:after="120" w:line="240" w:lineRule="auto"/>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color w:val="000000"/>
          <w:sz w:val="20"/>
          <w:szCs w:val="20"/>
          <w:lang w:eastAsia="pt-BR"/>
        </w:rPr>
        <w:t>os</w:t>
      </w:r>
      <w:proofErr w:type="gramEnd"/>
      <w:r w:rsidRPr="00F97084">
        <w:rPr>
          <w:rFonts w:ascii="Bookman Old Style" w:eastAsia="Bookman Old Style" w:hAnsi="Bookman Old Style" w:cs="Bookman Old Style"/>
          <w:color w:val="000000"/>
          <w:sz w:val="20"/>
          <w:szCs w:val="20"/>
          <w:lang w:eastAsia="pt-BR"/>
        </w:rPr>
        <w:t xml:space="preserve"> dados do contrato e do órgão contratante; </w:t>
      </w:r>
    </w:p>
    <w:p w:rsidR="000D7CAF" w:rsidRPr="00F97084" w:rsidRDefault="000D7CAF" w:rsidP="001472B1">
      <w:pPr>
        <w:widowControl w:val="0"/>
        <w:numPr>
          <w:ilvl w:val="0"/>
          <w:numId w:val="23"/>
        </w:numPr>
        <w:spacing w:before="120" w:after="120" w:line="240" w:lineRule="auto"/>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color w:val="000000"/>
          <w:sz w:val="20"/>
          <w:szCs w:val="20"/>
          <w:lang w:eastAsia="pt-BR"/>
        </w:rPr>
        <w:t>o</w:t>
      </w:r>
      <w:proofErr w:type="gramEnd"/>
      <w:r w:rsidRPr="00F97084">
        <w:rPr>
          <w:rFonts w:ascii="Bookman Old Style" w:eastAsia="Bookman Old Style" w:hAnsi="Bookman Old Style" w:cs="Bookman Old Style"/>
          <w:color w:val="000000"/>
          <w:sz w:val="20"/>
          <w:szCs w:val="20"/>
          <w:lang w:eastAsia="pt-BR"/>
        </w:rPr>
        <w:t xml:space="preserve"> período respectivo de execução do contrato; </w:t>
      </w:r>
    </w:p>
    <w:p w:rsidR="000D7CAF" w:rsidRPr="00F97084" w:rsidRDefault="000D7CAF" w:rsidP="001472B1">
      <w:pPr>
        <w:widowControl w:val="0"/>
        <w:numPr>
          <w:ilvl w:val="0"/>
          <w:numId w:val="23"/>
        </w:numPr>
        <w:spacing w:before="120" w:after="120" w:line="240" w:lineRule="auto"/>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color w:val="000000"/>
          <w:sz w:val="20"/>
          <w:szCs w:val="20"/>
          <w:lang w:eastAsia="pt-BR"/>
        </w:rPr>
        <w:t>o</w:t>
      </w:r>
      <w:proofErr w:type="gramEnd"/>
      <w:r w:rsidRPr="00F97084">
        <w:rPr>
          <w:rFonts w:ascii="Bookman Old Style" w:eastAsia="Bookman Old Style" w:hAnsi="Bookman Old Style" w:cs="Bookman Old Style"/>
          <w:color w:val="000000"/>
          <w:sz w:val="20"/>
          <w:szCs w:val="20"/>
          <w:lang w:eastAsia="pt-BR"/>
        </w:rPr>
        <w:t xml:space="preserve"> valor a pagar; e </w:t>
      </w:r>
    </w:p>
    <w:p w:rsidR="000D7CAF" w:rsidRPr="00F97084" w:rsidRDefault="000D7CAF" w:rsidP="001472B1">
      <w:pPr>
        <w:widowControl w:val="0"/>
        <w:numPr>
          <w:ilvl w:val="0"/>
          <w:numId w:val="23"/>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color w:val="000000"/>
          <w:sz w:val="20"/>
          <w:szCs w:val="20"/>
          <w:lang w:eastAsia="pt-BR"/>
        </w:rPr>
        <w:t xml:space="preserve"> </w:t>
      </w:r>
      <w:proofErr w:type="gramStart"/>
      <w:r w:rsidRPr="00F97084">
        <w:rPr>
          <w:rFonts w:ascii="Bookman Old Style" w:eastAsia="Bookman Old Style" w:hAnsi="Bookman Old Style" w:cs="Bookman Old Style"/>
          <w:color w:val="000000"/>
          <w:sz w:val="20"/>
          <w:szCs w:val="20"/>
          <w:lang w:eastAsia="pt-BR"/>
        </w:rPr>
        <w:t>eventual</w:t>
      </w:r>
      <w:proofErr w:type="gramEnd"/>
      <w:r w:rsidRPr="00F97084">
        <w:rPr>
          <w:rFonts w:ascii="Bookman Old Style" w:eastAsia="Bookman Old Style" w:hAnsi="Bookman Old Style" w:cs="Bookman Old Style"/>
          <w:color w:val="000000"/>
          <w:sz w:val="20"/>
          <w:szCs w:val="20"/>
          <w:lang w:eastAsia="pt-BR"/>
        </w:rPr>
        <w:t xml:space="preserve"> destaque do valor de retenções tributárias cabíveis.</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Havendo erro </w:t>
      </w:r>
      <w:r w:rsidRPr="00F97084">
        <w:rPr>
          <w:rFonts w:ascii="Bookman Old Style" w:eastAsia="Bookman Old Style" w:hAnsi="Bookman Old Style" w:cs="Bookman Old Style"/>
          <w:color w:val="000000"/>
          <w:sz w:val="20"/>
          <w:szCs w:val="20"/>
          <w:lang w:eastAsia="pt-BR"/>
        </w:rPr>
        <w:t>na</w:t>
      </w:r>
      <w:r w:rsidRPr="00F97084">
        <w:rPr>
          <w:rFonts w:ascii="Bookman Old Style" w:eastAsia="Bookman Old Style" w:hAnsi="Bookman Old Style" w:cs="Bookman Old Style"/>
          <w:sz w:val="20"/>
          <w:szCs w:val="20"/>
          <w:lang w:eastAsia="pt-BR"/>
        </w:rPr>
        <w:t xml:space="preserve"> apresentação da Nota Fiscal/Fatura, ou circunstância que impeça a liquidação da </w:t>
      </w:r>
      <w:r w:rsidRPr="00F97084">
        <w:rPr>
          <w:rFonts w:ascii="Bookman Old Style" w:eastAsia="Bookman Old Style" w:hAnsi="Bookman Old Style" w:cs="Bookman Old Style"/>
          <w:color w:val="000000"/>
          <w:sz w:val="20"/>
          <w:szCs w:val="20"/>
          <w:lang w:eastAsia="pt-BR"/>
        </w:rPr>
        <w:t>despesa</w:t>
      </w:r>
      <w:r w:rsidRPr="00F97084">
        <w:rPr>
          <w:rFonts w:ascii="Bookman Old Style" w:eastAsia="Bookman Old Style" w:hAnsi="Bookman Old Style" w:cs="Bookman Old Style"/>
          <w:sz w:val="20"/>
          <w:szCs w:val="20"/>
          <w:lang w:eastAsia="pt-BR"/>
        </w:rPr>
        <w:t>, o pagamento ficará sobrestado até que o contratado providencie as medidas saneadoras. Nessa hipótese, o prazo para pagamento iniciar-se-á após a comprovação da regularização da situação, não acarretando qualquer ônus para o contratante;</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 </w:t>
      </w:r>
      <w:r w:rsidRPr="00F97084">
        <w:rPr>
          <w:rFonts w:ascii="Bookman Old Style" w:eastAsia="Bookman Old Style" w:hAnsi="Bookman Old Style" w:cs="Bookman Old Style"/>
          <w:color w:val="000000"/>
          <w:sz w:val="20"/>
          <w:szCs w:val="20"/>
          <w:lang w:eastAsia="pt-BR"/>
        </w:rPr>
        <w:t xml:space="preserve">A Nota Fiscal ou Fatura deverá ser obrigatoriamente acompanhada da comprovação da regularidade fiscal, constatada por meio de consulta </w:t>
      </w:r>
      <w:r w:rsidRPr="00F97084">
        <w:rPr>
          <w:rFonts w:ascii="Bookman Old Style" w:eastAsia="Bookman Old Style" w:hAnsi="Bookman Old Style" w:cs="Bookman Old Style"/>
          <w:i/>
          <w:color w:val="000000"/>
          <w:sz w:val="20"/>
          <w:szCs w:val="20"/>
          <w:lang w:eastAsia="pt-BR"/>
        </w:rPr>
        <w:t>on-line</w:t>
      </w:r>
      <w:r w:rsidRPr="00F97084">
        <w:rPr>
          <w:rFonts w:ascii="Bookman Old Style" w:eastAsia="Bookman Old Style" w:hAnsi="Bookman Old Style" w:cs="Bookman Old Style"/>
          <w:color w:val="000000"/>
          <w:sz w:val="20"/>
          <w:szCs w:val="20"/>
          <w:lang w:eastAsia="pt-BR"/>
        </w:rPr>
        <w:t xml:space="preserve"> ao SICAF ou, na impossibilidade de acesso ao referido Sistema, mediante consulta aos sítios eletrônicos oficiais ou à documentação mencionada no art. 68 da Lei nº </w:t>
      </w:r>
      <w:r w:rsidRPr="00F97084">
        <w:rPr>
          <w:rFonts w:ascii="Bookman Old Style" w:eastAsia="Bookman Old Style" w:hAnsi="Bookman Old Style" w:cs="Bookman Old Style"/>
          <w:sz w:val="20"/>
          <w:szCs w:val="20"/>
          <w:lang w:eastAsia="pt-BR"/>
        </w:rPr>
        <w:t xml:space="preserve">14.133/2021. </w:t>
      </w:r>
      <w:r w:rsidRPr="00F97084">
        <w:rPr>
          <w:rFonts w:ascii="Bookman Old Style" w:eastAsia="Bookman Old Style" w:hAnsi="Bookman Old Style" w:cs="Bookman Old Style"/>
          <w:color w:val="000000"/>
          <w:sz w:val="20"/>
          <w:szCs w:val="20"/>
          <w:lang w:eastAsia="pt-BR"/>
        </w:rPr>
        <w:t xml:space="preserve">  </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Previamente à emissão de nota de empenho e a cada pagamento, a Administração deverá realizar consulta ao </w:t>
      </w:r>
      <w:r w:rsidRPr="00F97084">
        <w:rPr>
          <w:rFonts w:ascii="Bookman Old Style" w:eastAsia="Bookman Old Style" w:hAnsi="Bookman Old Style" w:cs="Bookman Old Style"/>
          <w:color w:val="000000"/>
          <w:sz w:val="20"/>
          <w:szCs w:val="20"/>
          <w:lang w:eastAsia="pt-BR"/>
        </w:rPr>
        <w:t>SICAF</w:t>
      </w:r>
      <w:r w:rsidRPr="00F97084">
        <w:rPr>
          <w:rFonts w:ascii="Bookman Old Style" w:eastAsia="Bookman Old Style" w:hAnsi="Bookman Old Style" w:cs="Bookman Old Style"/>
          <w:sz w:val="20"/>
          <w:szCs w:val="20"/>
          <w:lang w:eastAsia="pt-BR"/>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Constatando-se, junto ao SICAF, a situação de irregularidade do contratado, será providenciada sua </w:t>
      </w:r>
      <w:r w:rsidRPr="00F97084">
        <w:rPr>
          <w:rFonts w:ascii="Bookman Old Style" w:eastAsia="Bookman Old Style" w:hAnsi="Bookman Old Style" w:cs="Bookman Old Style"/>
          <w:color w:val="000000"/>
          <w:sz w:val="20"/>
          <w:szCs w:val="20"/>
          <w:lang w:eastAsia="pt-BR"/>
        </w:rPr>
        <w:t>notificação</w:t>
      </w:r>
      <w:r w:rsidRPr="00F97084">
        <w:rPr>
          <w:rFonts w:ascii="Bookman Old Style" w:eastAsia="Bookman Old Style" w:hAnsi="Bookman Old Style" w:cs="Bookman Old Style"/>
          <w:sz w:val="20"/>
          <w:szCs w:val="20"/>
          <w:lang w:eastAsia="pt-BR"/>
        </w:rPr>
        <w:t>, por escrito, para que, no prazo de 5 (cinco) dias úteis, regularize sua situação ou, no mesmo prazo, apresente sua defesa. O prazo poderá ser prorrogado uma vez, por igual período, a critério do contratante.</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Não havendo regularização ou sendo a defesa considerada improcedente, o contratante </w:t>
      </w:r>
      <w:r w:rsidRPr="00F97084">
        <w:rPr>
          <w:rFonts w:ascii="Bookman Old Style" w:eastAsia="Bookman Old Style" w:hAnsi="Bookman Old Style" w:cs="Bookman Old Style"/>
          <w:sz w:val="20"/>
          <w:szCs w:val="20"/>
          <w:lang w:eastAsia="pt-BR"/>
        </w:rPr>
        <w:lastRenderedPageBreak/>
        <w:t xml:space="preserve">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Persistindo a irregularidade, o contratante deverá adotar as medidas necessárias à rescisão contratual nos autos do processo administrativo correspondente, assegurada ao contratado a ampla defesa. </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Havendo a efetiva execução do objeto, os pagamentos serão realizados normalmente, até que se decida pela rescisão do contrato, caso o contratado não regularize sua situação junto ao SICAF.  </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Quando do pagamento, será efetuada a retenção tributária prevista na legislação aplicável.</w:t>
      </w:r>
    </w:p>
    <w:p w:rsidR="000D7CAF" w:rsidRPr="00F97084" w:rsidRDefault="000D7CAF" w:rsidP="001472B1">
      <w:pPr>
        <w:widowControl w:val="0"/>
        <w:numPr>
          <w:ilvl w:val="3"/>
          <w:numId w:val="31"/>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Independentemente do percentual de tributo inserido na planilha, no pagamento serão retidos na fonte os percentuais estabelecidos na legislação vigente.</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D7CAF" w:rsidRPr="00F97084" w:rsidRDefault="000D7CAF" w:rsidP="001472B1">
      <w:pPr>
        <w:keepNext/>
        <w:keepLines/>
        <w:widowControl w:val="0"/>
        <w:numPr>
          <w:ilvl w:val="0"/>
          <w:numId w:val="25"/>
        </w:numPr>
        <w:tabs>
          <w:tab w:val="left" w:pos="570"/>
        </w:tabs>
        <w:spacing w:before="240" w:after="0" w:line="240" w:lineRule="auto"/>
        <w:jc w:val="both"/>
        <w:outlineLvl w:val="0"/>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CLÁUSULA SEXTA - REAJUSTE (art. 92, V)</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Os preços inicialmente contratados são fixos e irreajustáveis no prazo de um ano contado da data do orçamento estimado.</w:t>
      </w:r>
    </w:p>
    <w:p w:rsidR="000D7CAF" w:rsidRPr="00F97084" w:rsidRDefault="000D7CAF" w:rsidP="000D7CAF">
      <w:p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6.2</w:t>
      </w:r>
      <w:r w:rsidRPr="00F97084">
        <w:rPr>
          <w:rFonts w:ascii="Bookman Old Style" w:eastAsia="Bookman Old Style" w:hAnsi="Bookman Old Style" w:cs="Bookman Old Style"/>
          <w:sz w:val="20"/>
          <w:szCs w:val="20"/>
          <w:lang w:eastAsia="pt-BR"/>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0D7CAF" w:rsidRPr="00F97084" w:rsidRDefault="000D7CAF" w:rsidP="000D7CAF">
      <w:p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6.3.</w:t>
      </w:r>
      <w:r w:rsidRPr="00F97084">
        <w:rPr>
          <w:rFonts w:ascii="Bookman Old Style" w:eastAsia="Bookman Old Style" w:hAnsi="Bookman Old Style" w:cs="Bookman Old Style"/>
          <w:sz w:val="20"/>
          <w:szCs w:val="20"/>
          <w:lang w:eastAsia="pt-BR"/>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sidRPr="00F97084">
        <w:rPr>
          <w:rFonts w:ascii="Bookman Old Style" w:eastAsia="Bookman Old Style" w:hAnsi="Bookman Old Style" w:cs="Bookman Old Style"/>
          <w:sz w:val="20"/>
          <w:szCs w:val="20"/>
          <w:lang w:eastAsia="pt-BR"/>
        </w:rPr>
        <w:t>divulgado(s)</w:t>
      </w:r>
      <w:proofErr w:type="gramEnd"/>
      <w:r w:rsidRPr="00F97084">
        <w:rPr>
          <w:rFonts w:ascii="Bookman Old Style" w:eastAsia="Bookman Old Style" w:hAnsi="Bookman Old Style" w:cs="Bookman Old Style"/>
          <w:sz w:val="20"/>
          <w:szCs w:val="20"/>
          <w:lang w:eastAsia="pt-BR"/>
        </w:rPr>
        <w:t xml:space="preserve"> o(s) índice(s) definitivo(s). </w:t>
      </w:r>
    </w:p>
    <w:p w:rsidR="000D7CAF" w:rsidRPr="00F97084" w:rsidRDefault="000D7CAF" w:rsidP="000D7CAF">
      <w:p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6.4.</w:t>
      </w:r>
      <w:r w:rsidRPr="00F97084">
        <w:rPr>
          <w:rFonts w:ascii="Bookman Old Style" w:eastAsia="Bookman Old Style" w:hAnsi="Bookman Old Style" w:cs="Bookman Old Style"/>
          <w:sz w:val="20"/>
          <w:szCs w:val="20"/>
          <w:lang w:eastAsia="pt-BR"/>
        </w:rPr>
        <w:t xml:space="preserve"> Caso o(s) índice(s) estabelecido(s) para reajustamento venha(m) a ser extinto(s) ou de qualquer forma não possa(m) mais ser utilizado(s), </w:t>
      </w:r>
      <w:proofErr w:type="gramStart"/>
      <w:r w:rsidRPr="00F97084">
        <w:rPr>
          <w:rFonts w:ascii="Bookman Old Style" w:eastAsia="Bookman Old Style" w:hAnsi="Bookman Old Style" w:cs="Bookman Old Style"/>
          <w:sz w:val="20"/>
          <w:szCs w:val="20"/>
          <w:lang w:eastAsia="pt-BR"/>
        </w:rPr>
        <w:t>será(</w:t>
      </w:r>
      <w:proofErr w:type="spellStart"/>
      <w:proofErr w:type="gramEnd"/>
      <w:r w:rsidRPr="00F97084">
        <w:rPr>
          <w:rFonts w:ascii="Bookman Old Style" w:eastAsia="Bookman Old Style" w:hAnsi="Bookman Old Style" w:cs="Bookman Old Style"/>
          <w:sz w:val="20"/>
          <w:szCs w:val="20"/>
          <w:lang w:eastAsia="pt-BR"/>
        </w:rPr>
        <w:t>ão</w:t>
      </w:r>
      <w:proofErr w:type="spellEnd"/>
      <w:r w:rsidRPr="00F97084">
        <w:rPr>
          <w:rFonts w:ascii="Bookman Old Style" w:eastAsia="Bookman Old Style" w:hAnsi="Bookman Old Style" w:cs="Bookman Old Style"/>
          <w:sz w:val="20"/>
          <w:szCs w:val="20"/>
          <w:lang w:eastAsia="pt-BR"/>
        </w:rPr>
        <w:t>) adotado(s), em substituição, o(s) que vier(em) a ser determinado(s) pela legislação então em vigor.</w:t>
      </w:r>
    </w:p>
    <w:p w:rsidR="000D7CAF" w:rsidRPr="00F97084" w:rsidRDefault="000D7CAF" w:rsidP="000D7CAF">
      <w:p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6.5.</w:t>
      </w:r>
      <w:r w:rsidRPr="00F97084">
        <w:rPr>
          <w:rFonts w:ascii="Bookman Old Style" w:eastAsia="Bookman Old Style" w:hAnsi="Bookman Old Style" w:cs="Bookman Old Style"/>
          <w:sz w:val="20"/>
          <w:szCs w:val="20"/>
          <w:lang w:eastAsia="pt-BR"/>
        </w:rPr>
        <w:t xml:space="preserve"> Na ausência de previsão legal quanto ao índice substituto, as partes elegerão novo índice oficial, para reajustamento do preço do valor remanescente, por meio de termo aditivo. </w:t>
      </w:r>
    </w:p>
    <w:p w:rsidR="000D7CAF" w:rsidRPr="00F97084" w:rsidRDefault="000D7CAF" w:rsidP="000D7CAF">
      <w:p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6.6</w:t>
      </w:r>
      <w:r w:rsidRPr="00F97084">
        <w:rPr>
          <w:rFonts w:ascii="Bookman Old Style" w:eastAsia="Bookman Old Style" w:hAnsi="Bookman Old Style" w:cs="Bookman Old Style"/>
          <w:sz w:val="20"/>
          <w:szCs w:val="20"/>
          <w:lang w:eastAsia="pt-BR"/>
        </w:rPr>
        <w:t xml:space="preserve">. O reajuste será realizado por </w:t>
      </w:r>
      <w:proofErr w:type="spellStart"/>
      <w:r w:rsidRPr="00F97084">
        <w:rPr>
          <w:rFonts w:ascii="Bookman Old Style" w:eastAsia="Bookman Old Style" w:hAnsi="Bookman Old Style" w:cs="Bookman Old Style"/>
          <w:sz w:val="20"/>
          <w:szCs w:val="20"/>
          <w:lang w:eastAsia="pt-BR"/>
        </w:rPr>
        <w:t>apostilamento</w:t>
      </w:r>
      <w:proofErr w:type="spellEnd"/>
      <w:r w:rsidRPr="00F97084">
        <w:rPr>
          <w:rFonts w:ascii="Bookman Old Style" w:eastAsia="Bookman Old Style" w:hAnsi="Bookman Old Style" w:cs="Bookman Old Style"/>
          <w:sz w:val="20"/>
          <w:szCs w:val="20"/>
          <w:lang w:eastAsia="pt-BR"/>
        </w:rPr>
        <w:t>.</w:t>
      </w:r>
    </w:p>
    <w:p w:rsidR="000D7CAF" w:rsidRPr="00F97084" w:rsidRDefault="000D7CAF" w:rsidP="001472B1">
      <w:pPr>
        <w:keepNext/>
        <w:keepLines/>
        <w:widowControl w:val="0"/>
        <w:numPr>
          <w:ilvl w:val="0"/>
          <w:numId w:val="25"/>
        </w:numPr>
        <w:tabs>
          <w:tab w:val="left" w:pos="570"/>
        </w:tabs>
        <w:spacing w:before="240" w:after="0" w:line="240" w:lineRule="auto"/>
        <w:jc w:val="both"/>
        <w:outlineLvl w:val="0"/>
        <w:rPr>
          <w:rFonts w:ascii="Bookman Old Style" w:eastAsia="Arial" w:hAnsi="Bookman Old Style" w:cs="Arial"/>
          <w:sz w:val="20"/>
          <w:szCs w:val="20"/>
          <w:lang w:eastAsia="pt-BR"/>
        </w:rPr>
      </w:pPr>
      <w:r w:rsidRPr="00F97084">
        <w:rPr>
          <w:rFonts w:ascii="Bookman Old Style" w:eastAsia="Bookman Old Style" w:hAnsi="Bookman Old Style" w:cs="Bookman Old Style"/>
          <w:b/>
          <w:color w:val="000000"/>
          <w:sz w:val="20"/>
          <w:szCs w:val="20"/>
          <w:lang w:eastAsia="pt-BR"/>
        </w:rPr>
        <w:t>CLÁUSULA SÉTIMA - OBRIGAÇÕES DO CONTRATANTE (art. 92, X, XI e XIV)</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São obrigações do Contratante:</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Exigir</w:t>
      </w:r>
      <w:r w:rsidRPr="00F97084">
        <w:rPr>
          <w:rFonts w:ascii="Bookman Old Style" w:eastAsia="Bookman Old Style" w:hAnsi="Bookman Old Style" w:cs="Bookman Old Style"/>
          <w:color w:val="000000"/>
          <w:sz w:val="20"/>
          <w:szCs w:val="20"/>
          <w:lang w:eastAsia="pt-BR"/>
        </w:rPr>
        <w:t xml:space="preserve"> o cumprimento de todas as obrigações assumidas pelo Contratado, de acordo com o contrato e seus anexos;</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Receber o objeto no prazo e condições estabelecidas no Termo de Referência;</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color w:val="000000"/>
          <w:sz w:val="20"/>
          <w:szCs w:val="20"/>
          <w:lang w:eastAsia="pt-BR"/>
        </w:rPr>
        <w:t>Notificar o Contratado</w:t>
      </w:r>
      <w:r w:rsidRPr="00F97084">
        <w:rPr>
          <w:rFonts w:ascii="Bookman Old Style" w:eastAsia="Bookman Old Style" w:hAnsi="Bookman Old Style" w:cs="Bookman Old Style"/>
          <w:sz w:val="20"/>
          <w:szCs w:val="20"/>
          <w:lang w:eastAsia="pt-BR"/>
        </w:rPr>
        <w:t>, por escrito, sobre vícios, defeitos ou incorreções verificadas no objeto fornecido, para que seja por ele substituído, reparado ou corrigido, no total ou em parte, às suas expensas;</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Acompanhar e fiscalizar a execução do contrato e o cumprimento das obrigações pelo Contratado</w:t>
      </w:r>
      <w:r w:rsidRPr="00F97084">
        <w:rPr>
          <w:rFonts w:ascii="Bookman Old Style" w:eastAsia="Bookman Old Style" w:hAnsi="Bookman Old Style" w:cs="Bookman Old Style"/>
          <w:color w:val="000000"/>
          <w:sz w:val="20"/>
          <w:szCs w:val="20"/>
          <w:lang w:eastAsia="pt-BR"/>
        </w:rPr>
        <w:t>;</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Efetuar o pagamento ao Contratado</w:t>
      </w:r>
      <w:r w:rsidRPr="00F97084">
        <w:rPr>
          <w:rFonts w:ascii="Bookman Old Style" w:eastAsia="Bookman Old Style" w:hAnsi="Bookman Old Style" w:cs="Bookman Old Style"/>
          <w:b/>
          <w:sz w:val="20"/>
          <w:szCs w:val="20"/>
          <w:lang w:eastAsia="pt-BR"/>
        </w:rPr>
        <w:t xml:space="preserve"> </w:t>
      </w:r>
      <w:r w:rsidRPr="00F97084">
        <w:rPr>
          <w:rFonts w:ascii="Bookman Old Style" w:eastAsia="Bookman Old Style" w:hAnsi="Bookman Old Style" w:cs="Bookman Old Style"/>
          <w:sz w:val="20"/>
          <w:szCs w:val="20"/>
          <w:lang w:eastAsia="pt-BR"/>
        </w:rPr>
        <w:t>do valor correspondente ao fornecimento do objeto, no prazo, forma e condições estabelecidos no presente Contrato;</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color w:val="000000"/>
          <w:sz w:val="20"/>
          <w:szCs w:val="20"/>
          <w:lang w:eastAsia="pt-BR"/>
        </w:rPr>
        <w:lastRenderedPageBreak/>
        <w:t>Aplicar ao Contratado sanções motivadas pela inexecução total ou parcial do Contrato;</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color w:val="000000"/>
          <w:sz w:val="20"/>
          <w:szCs w:val="20"/>
          <w:lang w:eastAsia="pt-BR"/>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i/>
          <w:sz w:val="20"/>
          <w:szCs w:val="20"/>
          <w:lang w:eastAsia="pt-BR"/>
        </w:rPr>
        <w:t>Notificar os emitentes das garantias quanto ao início de processo administrativo para apuração de descumprimento de cláusulas contratuais.</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p>
    <w:p w:rsidR="000D7CAF" w:rsidRPr="00F97084" w:rsidRDefault="000D7CAF" w:rsidP="001472B1">
      <w:pPr>
        <w:widowControl w:val="0"/>
        <w:numPr>
          <w:ilvl w:val="0"/>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CLÁUSULA OITAVA - OBRIGAÇÕES DA CONTRATADA (art. 92, XIV, XVI e XVII)</w:t>
      </w:r>
    </w:p>
    <w:p w:rsidR="000D7CAF" w:rsidRPr="00F97084" w:rsidRDefault="000D7CAF" w:rsidP="001472B1">
      <w:pPr>
        <w:keepNext/>
        <w:keepLines/>
        <w:widowControl w:val="0"/>
        <w:numPr>
          <w:ilvl w:val="1"/>
          <w:numId w:val="25"/>
        </w:numPr>
        <w:tabs>
          <w:tab w:val="left" w:pos="705"/>
        </w:tabs>
        <w:spacing w:before="240" w:after="0" w:line="240" w:lineRule="auto"/>
        <w:outlineLvl w:val="0"/>
        <w:rPr>
          <w:rFonts w:ascii="Bookman Old Style" w:eastAsia="Arial" w:hAnsi="Bookman Old Style" w:cs="Arial"/>
          <w:sz w:val="20"/>
          <w:szCs w:val="20"/>
          <w:lang w:eastAsia="pt-BR"/>
        </w:rPr>
      </w:pPr>
      <w:r w:rsidRPr="00F97084">
        <w:rPr>
          <w:rFonts w:ascii="Bookman Old Style" w:eastAsia="Bookman Old Style" w:hAnsi="Bookman Old Style" w:cs="Bookman Old Style"/>
          <w:color w:val="000000"/>
          <w:sz w:val="20"/>
          <w:szCs w:val="20"/>
          <w:lang w:eastAsia="pt-BR"/>
        </w:rPr>
        <w:t xml:space="preserve"> </w:t>
      </w:r>
      <w:r w:rsidR="001472B1" w:rsidRPr="00F97084">
        <w:rPr>
          <w:rFonts w:ascii="Bookman Old Style" w:eastAsia="Bookman Old Style" w:hAnsi="Bookman Old Style" w:cs="Bookman Old Style"/>
          <w:color w:val="000000"/>
          <w:sz w:val="20"/>
          <w:szCs w:val="20"/>
          <w:lang w:eastAsia="pt-BR"/>
        </w:rPr>
        <w:t>Fornecer os suprimentos de impressão objeto deste instrumento em estrita conformidade com as especificações técnicas constantes do Termo de Referência, vedada a entrega de produto diverso, de qualidade inferior ou que não atenda às características declaradas em sua proposta.</w:t>
      </w:r>
    </w:p>
    <w:p w:rsidR="001472B1" w:rsidRPr="00F97084" w:rsidRDefault="001472B1" w:rsidP="001472B1">
      <w:pPr>
        <w:keepNext/>
        <w:keepLines/>
        <w:widowControl w:val="0"/>
        <w:numPr>
          <w:ilvl w:val="1"/>
          <w:numId w:val="25"/>
        </w:numPr>
        <w:tabs>
          <w:tab w:val="left" w:pos="705"/>
        </w:tabs>
        <w:spacing w:before="240" w:after="0" w:line="240" w:lineRule="auto"/>
        <w:outlineLvl w:val="0"/>
        <w:rPr>
          <w:rFonts w:ascii="Bookman Old Style" w:eastAsia="Arial" w:hAnsi="Bookman Old Style" w:cs="Arial"/>
          <w:sz w:val="20"/>
          <w:szCs w:val="20"/>
          <w:lang w:eastAsia="pt-BR"/>
        </w:rPr>
      </w:pPr>
      <w:r w:rsidRPr="00F97084">
        <w:rPr>
          <w:rFonts w:ascii="Bookman Old Style" w:eastAsia="Arial" w:hAnsi="Bookman Old Style" w:cs="Arial"/>
          <w:sz w:val="20"/>
          <w:szCs w:val="20"/>
          <w:lang w:eastAsia="pt-BR"/>
        </w:rPr>
        <w:t xml:space="preserve">Efetuar a entrega dos itens solicitados no prazo máximo de </w:t>
      </w:r>
      <w:r w:rsidRPr="00F97084">
        <w:rPr>
          <w:rFonts w:ascii="Bookman Old Style" w:eastAsia="Arial" w:hAnsi="Bookman Old Style" w:cs="Arial"/>
          <w:b/>
          <w:bCs/>
          <w:sz w:val="20"/>
          <w:szCs w:val="20"/>
          <w:lang w:eastAsia="pt-BR"/>
        </w:rPr>
        <w:t>10 (dez) dias úteis</w:t>
      </w:r>
      <w:r w:rsidRPr="00F97084">
        <w:rPr>
          <w:rFonts w:ascii="Bookman Old Style" w:eastAsia="Arial" w:hAnsi="Bookman Old Style" w:cs="Arial"/>
          <w:sz w:val="20"/>
          <w:szCs w:val="20"/>
          <w:lang w:eastAsia="pt-BR"/>
        </w:rPr>
        <w:t>, contados do recebimento do pedido formalizado pela Administração.</w:t>
      </w:r>
    </w:p>
    <w:p w:rsidR="001472B1" w:rsidRPr="00F97084" w:rsidRDefault="001472B1" w:rsidP="001472B1">
      <w:pPr>
        <w:keepNext/>
        <w:keepLines/>
        <w:widowControl w:val="0"/>
        <w:numPr>
          <w:ilvl w:val="1"/>
          <w:numId w:val="25"/>
        </w:numPr>
        <w:tabs>
          <w:tab w:val="left" w:pos="705"/>
        </w:tabs>
        <w:spacing w:before="240" w:after="0" w:line="240" w:lineRule="auto"/>
        <w:outlineLvl w:val="0"/>
        <w:rPr>
          <w:rFonts w:ascii="Bookman Old Style" w:eastAsia="Arial" w:hAnsi="Bookman Old Style" w:cs="Arial"/>
          <w:sz w:val="20"/>
          <w:szCs w:val="20"/>
          <w:lang w:eastAsia="pt-BR"/>
        </w:rPr>
      </w:pPr>
      <w:r w:rsidRPr="00F97084">
        <w:rPr>
          <w:rFonts w:ascii="Bookman Old Style" w:eastAsia="Arial" w:hAnsi="Bookman Old Style" w:cs="Arial"/>
          <w:sz w:val="20"/>
          <w:szCs w:val="20"/>
          <w:lang w:eastAsia="pt-BR"/>
        </w:rPr>
        <w:t xml:space="preserve">Repor, sem ônus para a Administração, no prazo máximo de </w:t>
      </w:r>
      <w:r w:rsidRPr="00F97084">
        <w:rPr>
          <w:rFonts w:ascii="Bookman Old Style" w:eastAsia="Arial" w:hAnsi="Bookman Old Style" w:cs="Arial"/>
          <w:b/>
          <w:bCs/>
          <w:sz w:val="20"/>
          <w:szCs w:val="20"/>
          <w:lang w:eastAsia="pt-BR"/>
        </w:rPr>
        <w:t>5 (cinco) dias úteis</w:t>
      </w:r>
      <w:r w:rsidRPr="00F97084">
        <w:rPr>
          <w:rFonts w:ascii="Bookman Old Style" w:eastAsia="Arial" w:hAnsi="Bookman Old Style" w:cs="Arial"/>
          <w:sz w:val="20"/>
          <w:szCs w:val="20"/>
          <w:lang w:eastAsia="pt-BR"/>
        </w:rPr>
        <w:t>, os itens recusados no ato do recebimento, por divergência quantitativa ou qualitativa ou por descumprimento das especificações técnicas.</w:t>
      </w:r>
    </w:p>
    <w:p w:rsidR="001472B1" w:rsidRPr="00F97084" w:rsidRDefault="001472B1" w:rsidP="001472B1">
      <w:pPr>
        <w:keepNext/>
        <w:keepLines/>
        <w:widowControl w:val="0"/>
        <w:numPr>
          <w:ilvl w:val="1"/>
          <w:numId w:val="25"/>
        </w:numPr>
        <w:tabs>
          <w:tab w:val="left" w:pos="705"/>
        </w:tabs>
        <w:spacing w:before="240" w:after="0" w:line="240" w:lineRule="auto"/>
        <w:outlineLvl w:val="0"/>
        <w:rPr>
          <w:rFonts w:ascii="Bookman Old Style" w:eastAsia="Arial" w:hAnsi="Bookman Old Style" w:cs="Arial"/>
          <w:sz w:val="20"/>
          <w:szCs w:val="20"/>
          <w:lang w:eastAsia="pt-BR"/>
        </w:rPr>
      </w:pPr>
      <w:r w:rsidRPr="00F97084">
        <w:rPr>
          <w:rFonts w:ascii="Bookman Old Style" w:eastAsia="Arial" w:hAnsi="Bookman Old Style" w:cs="Arial"/>
          <w:sz w:val="20"/>
          <w:szCs w:val="20"/>
          <w:lang w:eastAsia="pt-BR"/>
        </w:rPr>
        <w:t>No Lote 01, fornecer exclusivamente suprimentos originais de fabricação Xerox, comprovando a originalidade mediante nota fiscal de aquisição junto ao fabricante ou distribuidor autorizado, certificado de originalidade ou declaração formal do fabricante.</w:t>
      </w:r>
    </w:p>
    <w:p w:rsidR="001472B1" w:rsidRPr="00F97084" w:rsidRDefault="001472B1" w:rsidP="001472B1">
      <w:pPr>
        <w:keepNext/>
        <w:keepLines/>
        <w:widowControl w:val="0"/>
        <w:numPr>
          <w:ilvl w:val="1"/>
          <w:numId w:val="25"/>
        </w:numPr>
        <w:tabs>
          <w:tab w:val="left" w:pos="705"/>
        </w:tabs>
        <w:spacing w:before="240" w:after="0" w:line="240" w:lineRule="auto"/>
        <w:outlineLvl w:val="0"/>
        <w:rPr>
          <w:rFonts w:ascii="Bookman Old Style" w:eastAsia="Arial" w:hAnsi="Bookman Old Style" w:cs="Arial"/>
          <w:sz w:val="20"/>
          <w:szCs w:val="20"/>
          <w:lang w:eastAsia="pt-BR"/>
        </w:rPr>
      </w:pPr>
      <w:r w:rsidRPr="00F97084">
        <w:rPr>
          <w:rFonts w:ascii="Bookman Old Style" w:eastAsia="Arial" w:hAnsi="Bookman Old Style" w:cs="Arial"/>
          <w:sz w:val="20"/>
          <w:szCs w:val="20"/>
          <w:lang w:eastAsia="pt-BR"/>
        </w:rPr>
        <w:t>Abster-se de substituir os produtos do Lote 01 por outros de características equivalentes, salvo mediante apresentação de documentação oficial da Xerox comprovando a equivalência e aceitação expressa pela Administração.</w:t>
      </w:r>
    </w:p>
    <w:p w:rsidR="001472B1" w:rsidRPr="00F97084" w:rsidRDefault="001472B1" w:rsidP="001472B1">
      <w:pPr>
        <w:keepNext/>
        <w:keepLines/>
        <w:widowControl w:val="0"/>
        <w:numPr>
          <w:ilvl w:val="1"/>
          <w:numId w:val="25"/>
        </w:numPr>
        <w:tabs>
          <w:tab w:val="left" w:pos="705"/>
        </w:tabs>
        <w:spacing w:before="240" w:after="0" w:line="240" w:lineRule="auto"/>
        <w:outlineLvl w:val="0"/>
        <w:rPr>
          <w:rFonts w:ascii="Bookman Old Style" w:eastAsia="Arial" w:hAnsi="Bookman Old Style" w:cs="Arial"/>
          <w:sz w:val="20"/>
          <w:szCs w:val="20"/>
          <w:lang w:eastAsia="pt-BR"/>
        </w:rPr>
      </w:pPr>
      <w:r w:rsidRPr="00F97084">
        <w:rPr>
          <w:rFonts w:ascii="Bookman Old Style" w:eastAsia="Arial" w:hAnsi="Bookman Old Style" w:cs="Arial"/>
          <w:sz w:val="20"/>
          <w:szCs w:val="20"/>
          <w:lang w:eastAsia="pt-BR"/>
        </w:rPr>
        <w:t xml:space="preserve">No Lote 02, garantir a conformidade dos produtos compatíveis ofertados, com identificação clara de marca, fabricante, modelo e </w:t>
      </w:r>
      <w:proofErr w:type="spellStart"/>
      <w:r w:rsidRPr="00F97084">
        <w:rPr>
          <w:rFonts w:ascii="Bookman Old Style" w:eastAsia="Arial" w:hAnsi="Bookman Old Style" w:cs="Arial"/>
          <w:i/>
          <w:iCs/>
          <w:sz w:val="20"/>
          <w:szCs w:val="20"/>
          <w:lang w:eastAsia="pt-BR"/>
        </w:rPr>
        <w:t>part</w:t>
      </w:r>
      <w:proofErr w:type="spellEnd"/>
      <w:r w:rsidRPr="00F97084">
        <w:rPr>
          <w:rFonts w:ascii="Bookman Old Style" w:eastAsia="Arial" w:hAnsi="Bookman Old Style" w:cs="Arial"/>
          <w:i/>
          <w:iCs/>
          <w:sz w:val="20"/>
          <w:szCs w:val="20"/>
          <w:lang w:eastAsia="pt-BR"/>
        </w:rPr>
        <w:t xml:space="preserve"> </w:t>
      </w:r>
      <w:proofErr w:type="spellStart"/>
      <w:r w:rsidRPr="00F97084">
        <w:rPr>
          <w:rFonts w:ascii="Bookman Old Style" w:eastAsia="Arial" w:hAnsi="Bookman Old Style" w:cs="Arial"/>
          <w:i/>
          <w:iCs/>
          <w:sz w:val="20"/>
          <w:szCs w:val="20"/>
          <w:lang w:eastAsia="pt-BR"/>
        </w:rPr>
        <w:t>number</w:t>
      </w:r>
      <w:proofErr w:type="spellEnd"/>
      <w:r w:rsidRPr="00F97084">
        <w:rPr>
          <w:rFonts w:ascii="Bookman Old Style" w:eastAsia="Arial" w:hAnsi="Bookman Old Style" w:cs="Arial"/>
          <w:i/>
          <w:iCs/>
          <w:sz w:val="20"/>
          <w:szCs w:val="20"/>
          <w:lang w:eastAsia="pt-BR"/>
        </w:rPr>
        <w:t>.</w:t>
      </w:r>
    </w:p>
    <w:p w:rsidR="001472B1" w:rsidRPr="00F97084" w:rsidRDefault="001472B1" w:rsidP="001472B1">
      <w:pPr>
        <w:keepNext/>
        <w:keepLines/>
        <w:widowControl w:val="0"/>
        <w:numPr>
          <w:ilvl w:val="1"/>
          <w:numId w:val="25"/>
        </w:numPr>
        <w:tabs>
          <w:tab w:val="left" w:pos="705"/>
        </w:tabs>
        <w:spacing w:before="240" w:after="0" w:line="240" w:lineRule="auto"/>
        <w:outlineLvl w:val="0"/>
        <w:rPr>
          <w:rFonts w:ascii="Bookman Old Style" w:eastAsia="Arial" w:hAnsi="Bookman Old Style" w:cs="Arial"/>
          <w:sz w:val="20"/>
          <w:szCs w:val="20"/>
          <w:lang w:eastAsia="pt-BR"/>
        </w:rPr>
      </w:pPr>
      <w:r w:rsidRPr="00F97084">
        <w:rPr>
          <w:rFonts w:ascii="Bookman Old Style" w:eastAsia="Arial" w:hAnsi="Bookman Old Style" w:cs="Arial"/>
          <w:sz w:val="20"/>
          <w:szCs w:val="20"/>
          <w:lang w:eastAsia="pt-BR"/>
        </w:rPr>
        <w:t>Assegurar aos produtos fornecidos a garantia legal e a garantia comercial, respondendo pela qualidade, durabilidade e adequação ao fim a que se destinam.</w:t>
      </w:r>
    </w:p>
    <w:p w:rsidR="001472B1" w:rsidRPr="00F97084" w:rsidRDefault="001472B1" w:rsidP="001472B1">
      <w:pPr>
        <w:pStyle w:val="PargrafodaLista"/>
        <w:keepNext/>
        <w:keepLines/>
        <w:widowControl w:val="0"/>
        <w:numPr>
          <w:ilvl w:val="1"/>
          <w:numId w:val="25"/>
        </w:numPr>
        <w:tabs>
          <w:tab w:val="left" w:pos="570"/>
        </w:tabs>
        <w:spacing w:before="240" w:after="0" w:line="240" w:lineRule="auto"/>
        <w:jc w:val="both"/>
        <w:outlineLvl w:val="0"/>
        <w:rPr>
          <w:rFonts w:ascii="Bookman Old Style" w:eastAsia="Arial" w:hAnsi="Bookman Old Style" w:cs="Arial"/>
          <w:sz w:val="20"/>
          <w:szCs w:val="20"/>
          <w:lang w:eastAsia="pt-BR"/>
        </w:rPr>
      </w:pPr>
      <w:r w:rsidRPr="00F97084">
        <w:rPr>
          <w:rFonts w:ascii="Bookman Old Style" w:eastAsia="Arial" w:hAnsi="Bookman Old Style" w:cs="Arial"/>
          <w:sz w:val="20"/>
          <w:szCs w:val="20"/>
          <w:lang w:eastAsia="pt-BR"/>
        </w:rPr>
        <w:t>Manter, durante toda a execução contratual, as condições de qualificação técnica exigidas na licitação.</w:t>
      </w:r>
    </w:p>
    <w:p w:rsidR="000D7CAF" w:rsidRPr="00F97084" w:rsidRDefault="000D7CAF" w:rsidP="001472B1">
      <w:pPr>
        <w:keepNext/>
        <w:keepLines/>
        <w:widowControl w:val="0"/>
        <w:numPr>
          <w:ilvl w:val="0"/>
          <w:numId w:val="25"/>
        </w:numPr>
        <w:tabs>
          <w:tab w:val="left" w:pos="570"/>
        </w:tabs>
        <w:spacing w:before="240" w:after="0" w:line="240" w:lineRule="auto"/>
        <w:jc w:val="both"/>
        <w:outlineLvl w:val="0"/>
        <w:rPr>
          <w:rFonts w:ascii="Bookman Old Style" w:eastAsia="Arial" w:hAnsi="Bookman Old Style" w:cs="Arial"/>
          <w:sz w:val="20"/>
          <w:szCs w:val="20"/>
          <w:lang w:eastAsia="pt-BR"/>
        </w:rPr>
      </w:pPr>
      <w:r w:rsidRPr="00F97084">
        <w:rPr>
          <w:rFonts w:ascii="Bookman Old Style" w:eastAsia="Bookman Old Style" w:hAnsi="Bookman Old Style" w:cs="Bookman Old Style"/>
          <w:b/>
          <w:color w:val="000000"/>
          <w:sz w:val="20"/>
          <w:szCs w:val="20"/>
          <w:lang w:eastAsia="pt-BR"/>
        </w:rPr>
        <w:t>CLÁUSULA NONA – INFRAÇÕES E SANÇÕES ADMINISTRATIVAS (art. 92, XIV)</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Comete infração administrativa, nos termos da Lei nº 14.133, de 2021, o Contratado que:</w:t>
      </w:r>
    </w:p>
    <w:p w:rsidR="000D7CAF" w:rsidRPr="00F97084" w:rsidRDefault="000D7CAF" w:rsidP="001472B1">
      <w:pPr>
        <w:widowControl w:val="0"/>
        <w:numPr>
          <w:ilvl w:val="2"/>
          <w:numId w:val="22"/>
        </w:numPr>
        <w:spacing w:before="120" w:after="120" w:line="240" w:lineRule="auto"/>
        <w:ind w:right="-30"/>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sz w:val="20"/>
          <w:szCs w:val="20"/>
          <w:lang w:eastAsia="pt-BR"/>
        </w:rPr>
        <w:t>der</w:t>
      </w:r>
      <w:proofErr w:type="gramEnd"/>
      <w:r w:rsidRPr="00F97084">
        <w:rPr>
          <w:rFonts w:ascii="Bookman Old Style" w:eastAsia="Bookman Old Style" w:hAnsi="Bookman Old Style" w:cs="Bookman Old Style"/>
          <w:sz w:val="20"/>
          <w:szCs w:val="20"/>
          <w:lang w:eastAsia="pt-BR"/>
        </w:rPr>
        <w:t xml:space="preserve"> causa à inexecução parcial do contrato;</w:t>
      </w:r>
    </w:p>
    <w:p w:rsidR="000D7CAF" w:rsidRPr="00F97084" w:rsidRDefault="000D7CAF" w:rsidP="001472B1">
      <w:pPr>
        <w:widowControl w:val="0"/>
        <w:numPr>
          <w:ilvl w:val="2"/>
          <w:numId w:val="21"/>
        </w:numPr>
        <w:spacing w:before="120" w:after="120" w:line="240" w:lineRule="auto"/>
        <w:ind w:right="-30"/>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sz w:val="20"/>
          <w:szCs w:val="20"/>
          <w:lang w:eastAsia="pt-BR"/>
        </w:rPr>
        <w:t>der</w:t>
      </w:r>
      <w:proofErr w:type="gramEnd"/>
      <w:r w:rsidRPr="00F97084">
        <w:rPr>
          <w:rFonts w:ascii="Bookman Old Style" w:eastAsia="Bookman Old Style" w:hAnsi="Bookman Old Style" w:cs="Bookman Old Style"/>
          <w:sz w:val="20"/>
          <w:szCs w:val="20"/>
          <w:lang w:eastAsia="pt-BR"/>
        </w:rPr>
        <w:t xml:space="preserve"> causa à inexecução parcial do contrato que cause grave dano à Administração ou ao funcionamento dos serviços públicos ou ao interesse coletivo;</w:t>
      </w:r>
    </w:p>
    <w:p w:rsidR="000D7CAF" w:rsidRPr="00F97084" w:rsidRDefault="000D7CAF" w:rsidP="001472B1">
      <w:pPr>
        <w:widowControl w:val="0"/>
        <w:numPr>
          <w:ilvl w:val="2"/>
          <w:numId w:val="21"/>
        </w:numPr>
        <w:spacing w:before="120" w:after="120" w:line="240" w:lineRule="auto"/>
        <w:ind w:right="-30"/>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sz w:val="20"/>
          <w:szCs w:val="20"/>
          <w:lang w:eastAsia="pt-BR"/>
        </w:rPr>
        <w:t>der</w:t>
      </w:r>
      <w:proofErr w:type="gramEnd"/>
      <w:r w:rsidRPr="00F97084">
        <w:rPr>
          <w:rFonts w:ascii="Bookman Old Style" w:eastAsia="Bookman Old Style" w:hAnsi="Bookman Old Style" w:cs="Bookman Old Style"/>
          <w:sz w:val="20"/>
          <w:szCs w:val="20"/>
          <w:lang w:eastAsia="pt-BR"/>
        </w:rPr>
        <w:t xml:space="preserve"> causa à inexecução total do contrato;</w:t>
      </w:r>
    </w:p>
    <w:p w:rsidR="000D7CAF" w:rsidRPr="00F97084" w:rsidRDefault="000D7CAF" w:rsidP="001472B1">
      <w:pPr>
        <w:widowControl w:val="0"/>
        <w:numPr>
          <w:ilvl w:val="2"/>
          <w:numId w:val="21"/>
        </w:numPr>
        <w:spacing w:before="120" w:after="120" w:line="240" w:lineRule="auto"/>
        <w:ind w:right="-30"/>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sz w:val="20"/>
          <w:szCs w:val="20"/>
          <w:lang w:eastAsia="pt-BR"/>
        </w:rPr>
        <w:t>deixar</w:t>
      </w:r>
      <w:proofErr w:type="gramEnd"/>
      <w:r w:rsidRPr="00F97084">
        <w:rPr>
          <w:rFonts w:ascii="Bookman Old Style" w:eastAsia="Bookman Old Style" w:hAnsi="Bookman Old Style" w:cs="Bookman Old Style"/>
          <w:sz w:val="20"/>
          <w:szCs w:val="20"/>
          <w:lang w:eastAsia="pt-BR"/>
        </w:rPr>
        <w:t xml:space="preserve"> de entregar a documentação exigida para o certame;</w:t>
      </w:r>
    </w:p>
    <w:p w:rsidR="000D7CAF" w:rsidRPr="00F97084" w:rsidRDefault="000D7CAF" w:rsidP="001472B1">
      <w:pPr>
        <w:widowControl w:val="0"/>
        <w:numPr>
          <w:ilvl w:val="2"/>
          <w:numId w:val="21"/>
        </w:numPr>
        <w:spacing w:before="120" w:after="120" w:line="240" w:lineRule="auto"/>
        <w:ind w:right="-30"/>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sz w:val="20"/>
          <w:szCs w:val="20"/>
          <w:lang w:eastAsia="pt-BR"/>
        </w:rPr>
        <w:t>não</w:t>
      </w:r>
      <w:proofErr w:type="gramEnd"/>
      <w:r w:rsidRPr="00F97084">
        <w:rPr>
          <w:rFonts w:ascii="Bookman Old Style" w:eastAsia="Bookman Old Style" w:hAnsi="Bookman Old Style" w:cs="Bookman Old Style"/>
          <w:sz w:val="20"/>
          <w:szCs w:val="20"/>
          <w:lang w:eastAsia="pt-BR"/>
        </w:rPr>
        <w:t xml:space="preserve"> mantiver a proposta, salvo em decorrência de fato superveniente devidamente justificado;</w:t>
      </w:r>
    </w:p>
    <w:p w:rsidR="000D7CAF" w:rsidRPr="00F97084" w:rsidRDefault="000D7CAF" w:rsidP="001472B1">
      <w:pPr>
        <w:widowControl w:val="0"/>
        <w:numPr>
          <w:ilvl w:val="2"/>
          <w:numId w:val="21"/>
        </w:numPr>
        <w:spacing w:before="120" w:after="120" w:line="240" w:lineRule="auto"/>
        <w:ind w:right="-30"/>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sz w:val="20"/>
          <w:szCs w:val="20"/>
          <w:lang w:eastAsia="pt-BR"/>
        </w:rPr>
        <w:t>não</w:t>
      </w:r>
      <w:proofErr w:type="gramEnd"/>
      <w:r w:rsidRPr="00F97084">
        <w:rPr>
          <w:rFonts w:ascii="Bookman Old Style" w:eastAsia="Bookman Old Style" w:hAnsi="Bookman Old Style" w:cs="Bookman Old Style"/>
          <w:sz w:val="20"/>
          <w:szCs w:val="20"/>
          <w:lang w:eastAsia="pt-BR"/>
        </w:rPr>
        <w:t xml:space="preserve"> celebrar o contrato ou não entregar a documentação exigida para a contratação, quando convocado dentro do prazo de validade de sua proposta;</w:t>
      </w:r>
    </w:p>
    <w:p w:rsidR="000D7CAF" w:rsidRPr="00F97084" w:rsidRDefault="000D7CAF" w:rsidP="001472B1">
      <w:pPr>
        <w:widowControl w:val="0"/>
        <w:numPr>
          <w:ilvl w:val="2"/>
          <w:numId w:val="21"/>
        </w:numPr>
        <w:spacing w:before="120" w:after="120" w:line="240" w:lineRule="auto"/>
        <w:ind w:right="-30"/>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sz w:val="20"/>
          <w:szCs w:val="20"/>
          <w:lang w:eastAsia="pt-BR"/>
        </w:rPr>
        <w:lastRenderedPageBreak/>
        <w:t>ensejar</w:t>
      </w:r>
      <w:proofErr w:type="gramEnd"/>
      <w:r w:rsidRPr="00F97084">
        <w:rPr>
          <w:rFonts w:ascii="Bookman Old Style" w:eastAsia="Bookman Old Style" w:hAnsi="Bookman Old Style" w:cs="Bookman Old Style"/>
          <w:sz w:val="20"/>
          <w:szCs w:val="20"/>
          <w:lang w:eastAsia="pt-BR"/>
        </w:rPr>
        <w:t xml:space="preserve"> o retardamento da execução ou da entrega do objeto da contratação sem motivo justificado;</w:t>
      </w:r>
    </w:p>
    <w:p w:rsidR="000D7CAF" w:rsidRPr="00F97084" w:rsidRDefault="000D7CAF" w:rsidP="001472B1">
      <w:pPr>
        <w:widowControl w:val="0"/>
        <w:numPr>
          <w:ilvl w:val="2"/>
          <w:numId w:val="21"/>
        </w:numPr>
        <w:spacing w:before="120" w:after="120" w:line="240" w:lineRule="auto"/>
        <w:ind w:right="-30"/>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sz w:val="20"/>
          <w:szCs w:val="20"/>
          <w:lang w:eastAsia="pt-BR"/>
        </w:rPr>
        <w:t>apresentar</w:t>
      </w:r>
      <w:proofErr w:type="gramEnd"/>
      <w:r w:rsidRPr="00F97084">
        <w:rPr>
          <w:rFonts w:ascii="Bookman Old Style" w:eastAsia="Bookman Old Style" w:hAnsi="Bookman Old Style" w:cs="Bookman Old Style"/>
          <w:sz w:val="20"/>
          <w:szCs w:val="20"/>
          <w:lang w:eastAsia="pt-BR"/>
        </w:rPr>
        <w:t xml:space="preserve"> declaração ou documentação falsa exigida para o certame ou prestar declaração falsa durante a dispensa eletrônica ou execução do contrato;</w:t>
      </w:r>
    </w:p>
    <w:p w:rsidR="000D7CAF" w:rsidRPr="00F97084" w:rsidRDefault="000D7CAF" w:rsidP="001472B1">
      <w:pPr>
        <w:widowControl w:val="0"/>
        <w:numPr>
          <w:ilvl w:val="2"/>
          <w:numId w:val="21"/>
        </w:numPr>
        <w:spacing w:before="120" w:after="120" w:line="240" w:lineRule="auto"/>
        <w:ind w:right="-30"/>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sz w:val="20"/>
          <w:szCs w:val="20"/>
          <w:lang w:eastAsia="pt-BR"/>
        </w:rPr>
        <w:t>fraudar</w:t>
      </w:r>
      <w:proofErr w:type="gramEnd"/>
      <w:r w:rsidRPr="00F97084">
        <w:rPr>
          <w:rFonts w:ascii="Bookman Old Style" w:eastAsia="Bookman Old Style" w:hAnsi="Bookman Old Style" w:cs="Bookman Old Style"/>
          <w:sz w:val="20"/>
          <w:szCs w:val="20"/>
          <w:lang w:eastAsia="pt-BR"/>
        </w:rPr>
        <w:t xml:space="preserve"> a contratação ou praticar ato fraudulento na execução do contrato;</w:t>
      </w:r>
    </w:p>
    <w:p w:rsidR="000D7CAF" w:rsidRPr="00F97084" w:rsidRDefault="000D7CAF" w:rsidP="001472B1">
      <w:pPr>
        <w:widowControl w:val="0"/>
        <w:numPr>
          <w:ilvl w:val="2"/>
          <w:numId w:val="21"/>
        </w:numPr>
        <w:spacing w:before="120" w:after="120" w:line="240" w:lineRule="auto"/>
        <w:ind w:right="-30"/>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sz w:val="20"/>
          <w:szCs w:val="20"/>
          <w:lang w:eastAsia="pt-BR"/>
        </w:rPr>
        <w:t>comportar</w:t>
      </w:r>
      <w:proofErr w:type="gramEnd"/>
      <w:r w:rsidRPr="00F97084">
        <w:rPr>
          <w:rFonts w:ascii="Bookman Old Style" w:eastAsia="Bookman Old Style" w:hAnsi="Bookman Old Style" w:cs="Bookman Old Style"/>
          <w:sz w:val="20"/>
          <w:szCs w:val="20"/>
          <w:lang w:eastAsia="pt-BR"/>
        </w:rPr>
        <w:t>-se de modo inidôneo ou cometer fraude de qualquer natureza;</w:t>
      </w:r>
    </w:p>
    <w:p w:rsidR="000D7CAF" w:rsidRPr="00F97084" w:rsidRDefault="000D7CAF" w:rsidP="001472B1">
      <w:pPr>
        <w:widowControl w:val="0"/>
        <w:numPr>
          <w:ilvl w:val="2"/>
          <w:numId w:val="21"/>
        </w:numPr>
        <w:spacing w:before="120" w:after="120" w:line="240" w:lineRule="auto"/>
        <w:ind w:right="-30"/>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sz w:val="20"/>
          <w:szCs w:val="20"/>
          <w:lang w:eastAsia="pt-BR"/>
        </w:rPr>
        <w:t>praticar</w:t>
      </w:r>
      <w:proofErr w:type="gramEnd"/>
      <w:r w:rsidRPr="00F97084">
        <w:rPr>
          <w:rFonts w:ascii="Bookman Old Style" w:eastAsia="Bookman Old Style" w:hAnsi="Bookman Old Style" w:cs="Bookman Old Style"/>
          <w:sz w:val="20"/>
          <w:szCs w:val="20"/>
          <w:lang w:eastAsia="pt-BR"/>
        </w:rPr>
        <w:t xml:space="preserve"> atos ilícitos com vistas a frustrar os objetivos do certame;</w:t>
      </w:r>
    </w:p>
    <w:p w:rsidR="000D7CAF" w:rsidRPr="00F97084" w:rsidRDefault="000D7CAF" w:rsidP="001472B1">
      <w:pPr>
        <w:widowControl w:val="0"/>
        <w:numPr>
          <w:ilvl w:val="2"/>
          <w:numId w:val="21"/>
        </w:numPr>
        <w:spacing w:before="120" w:after="120" w:line="240" w:lineRule="auto"/>
        <w:ind w:right="-30"/>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sz w:val="20"/>
          <w:szCs w:val="20"/>
          <w:lang w:eastAsia="pt-BR"/>
        </w:rPr>
        <w:t>praticar</w:t>
      </w:r>
      <w:proofErr w:type="gramEnd"/>
      <w:r w:rsidRPr="00F97084">
        <w:rPr>
          <w:rFonts w:ascii="Bookman Old Style" w:eastAsia="Bookman Old Style" w:hAnsi="Bookman Old Style" w:cs="Bookman Old Style"/>
          <w:sz w:val="20"/>
          <w:szCs w:val="20"/>
          <w:lang w:eastAsia="pt-BR"/>
        </w:rPr>
        <w:t xml:space="preserve"> ato lesivo previsto no art. 5º da Lei nº 12.846, de 1º de agosto de 2013.</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Serão aplicadas ao responsável pelas infrações administrativas acima descritas as seguintes sanções:</w:t>
      </w:r>
    </w:p>
    <w:p w:rsidR="000D7CAF" w:rsidRPr="00F97084" w:rsidRDefault="000D7CAF" w:rsidP="001472B1">
      <w:pPr>
        <w:widowControl w:val="0"/>
        <w:numPr>
          <w:ilvl w:val="2"/>
          <w:numId w:val="3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Advertência</w:t>
      </w:r>
      <w:r w:rsidRPr="00F97084">
        <w:rPr>
          <w:rFonts w:ascii="Bookman Old Style" w:eastAsia="Bookman Old Style" w:hAnsi="Bookman Old Style" w:cs="Bookman Old Style"/>
          <w:sz w:val="20"/>
          <w:szCs w:val="20"/>
          <w:lang w:eastAsia="pt-BR"/>
        </w:rPr>
        <w:t>, quando o Contratado der causa à inexecução parcial do contrato, sempre que não se justificar a imposição de penalidade mais grave (art. 156, §2º, da Lei);</w:t>
      </w:r>
    </w:p>
    <w:p w:rsidR="000D7CAF" w:rsidRPr="00F97084" w:rsidRDefault="000D7CAF" w:rsidP="001472B1">
      <w:pPr>
        <w:widowControl w:val="0"/>
        <w:numPr>
          <w:ilvl w:val="2"/>
          <w:numId w:val="34"/>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Impedimento de licitar e contratar</w:t>
      </w:r>
      <w:r w:rsidRPr="00F97084">
        <w:rPr>
          <w:rFonts w:ascii="Bookman Old Style" w:eastAsia="Bookman Old Style" w:hAnsi="Bookman Old Style" w:cs="Bookman Old Style"/>
          <w:sz w:val="20"/>
          <w:szCs w:val="20"/>
          <w:lang w:eastAsia="pt-BR"/>
        </w:rPr>
        <w:t>, quando praticadas as condutas descritas nas alíneas b, c, d, e, f e g do subitem acima deste Contrato, sempre que não se justificar a imposição de penalidade mais grave (art. 156, §4º, da Lei);</w:t>
      </w:r>
    </w:p>
    <w:p w:rsidR="000D7CAF" w:rsidRPr="00F97084" w:rsidRDefault="000D7CAF" w:rsidP="001472B1">
      <w:pPr>
        <w:widowControl w:val="0"/>
        <w:numPr>
          <w:ilvl w:val="2"/>
          <w:numId w:val="34"/>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Declaração de inidoneidade para licitar e contratar</w:t>
      </w:r>
      <w:r w:rsidRPr="00F97084">
        <w:rPr>
          <w:rFonts w:ascii="Bookman Old Style" w:eastAsia="Bookman Old Style" w:hAnsi="Bookman Old Style" w:cs="Bookman Old Style"/>
          <w:sz w:val="20"/>
          <w:szCs w:val="20"/>
          <w:lang w:eastAsia="pt-BR"/>
        </w:rPr>
        <w:t>, quando praticadas as condutas descritas nas alíneas h, i, j, k e l do subitem acima deste Contrato, bem como nas alíneas b, c, d, e, f e g, que justifiquem a imposição de penalidade mais grave (art. 156, §5º, da Lei)</w:t>
      </w:r>
    </w:p>
    <w:p w:rsidR="000D7CAF" w:rsidRPr="00F97084" w:rsidRDefault="000D7CAF" w:rsidP="001472B1">
      <w:pPr>
        <w:widowControl w:val="0"/>
        <w:numPr>
          <w:ilvl w:val="2"/>
          <w:numId w:val="34"/>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Multa:</w:t>
      </w:r>
    </w:p>
    <w:p w:rsidR="000D7CAF" w:rsidRPr="00F97084" w:rsidRDefault="000D7CAF" w:rsidP="001472B1">
      <w:pPr>
        <w:widowControl w:val="0"/>
        <w:numPr>
          <w:ilvl w:val="3"/>
          <w:numId w:val="41"/>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Moratória de 1% (um por cento) por dia de atraso injustificado sobre o valor da parcela inadimplida, até o limite de 05 (cinco) dias;</w:t>
      </w:r>
    </w:p>
    <w:p w:rsidR="000D7CAF" w:rsidRPr="00F97084" w:rsidRDefault="000D7CAF" w:rsidP="001472B1">
      <w:pPr>
        <w:widowControl w:val="0"/>
        <w:numPr>
          <w:ilvl w:val="3"/>
          <w:numId w:val="34"/>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i/>
          <w:sz w:val="20"/>
          <w:szCs w:val="20"/>
          <w:lang w:eastAsia="pt-BR"/>
        </w:rPr>
        <w:t>Compensatória de 10% (dez por cento) sobre o valor do contrato, no caso de inexecução total do contrato.</w:t>
      </w:r>
    </w:p>
    <w:p w:rsidR="000D7CAF" w:rsidRPr="00F97084" w:rsidRDefault="000D7CAF" w:rsidP="001472B1">
      <w:pPr>
        <w:widowControl w:val="0"/>
        <w:numPr>
          <w:ilvl w:val="4"/>
          <w:numId w:val="36"/>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i/>
          <w:sz w:val="20"/>
          <w:szCs w:val="20"/>
          <w:lang w:eastAsia="pt-BR"/>
        </w:rPr>
        <w:t xml:space="preserve">O atraso superior a 10(dez) dias autoriza a Administração a promover a rescisão do contrato por descumprimento ou cumprimento irregular de suas cláusulas, conforme dispõe o inciso I do art. 137 da Lei n. 14.133, de 2021. </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bookmarkStart w:id="2" w:name="_Hlk78351618"/>
      <w:bookmarkEnd w:id="2"/>
      <w:r w:rsidRPr="00F97084">
        <w:rPr>
          <w:rFonts w:ascii="Bookman Old Style" w:eastAsia="Bookman Old Style" w:hAnsi="Bookman Old Style" w:cs="Bookman Old Style"/>
          <w:sz w:val="20"/>
          <w:szCs w:val="20"/>
          <w:lang w:eastAsia="pt-BR"/>
        </w:rPr>
        <w:t>A aplicação das sanções previstas neste Contrato não exclui, em hipótese alguma, a obrigação de reparação integral do dano causado ao Contratante (art. 156, §9º)</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Todas as sanções previstas neste Contrato poderão ser aplicadas cumulativamente com a multa (art. 156, §7º).</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Antes da aplicação da multa será facultada a defesa do interessado no prazo de 15 (quinze) dias úteis, contado da data de sua intimação (art. 157)</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Previamente ao encaminhamento à cobrança judicial, a multa poderá ser recolhida administrativamente no prazo máximo de </w:t>
      </w:r>
      <w:r w:rsidRPr="00F97084">
        <w:rPr>
          <w:rFonts w:ascii="Bookman Old Style" w:eastAsia="Bookman Old Style" w:hAnsi="Bookman Old Style" w:cs="Bookman Old Style"/>
          <w:i/>
          <w:sz w:val="20"/>
          <w:szCs w:val="20"/>
          <w:lang w:eastAsia="pt-BR"/>
        </w:rPr>
        <w:t xml:space="preserve">05 (cinco) </w:t>
      </w:r>
      <w:r w:rsidRPr="00F97084">
        <w:rPr>
          <w:rFonts w:ascii="Bookman Old Style" w:eastAsia="Bookman Old Style" w:hAnsi="Bookman Old Style" w:cs="Bookman Old Style"/>
          <w:sz w:val="20"/>
          <w:szCs w:val="20"/>
          <w:lang w:eastAsia="pt-BR"/>
        </w:rPr>
        <w:t>dias, a contar da data do recebimento da comunicação enviada pela autoridade competente.</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A aplicação das sanções realizar-se-á em processo administrativo que assegure o contraditório e a ampla defesa ao Contratado, observando-se o procedimento previsto no </w:t>
      </w:r>
      <w:r w:rsidRPr="00F97084">
        <w:rPr>
          <w:rFonts w:ascii="Bookman Old Style" w:eastAsia="Bookman Old Style" w:hAnsi="Bookman Old Style" w:cs="Bookman Old Style"/>
          <w:b/>
          <w:sz w:val="20"/>
          <w:szCs w:val="20"/>
          <w:lang w:eastAsia="pt-BR"/>
        </w:rPr>
        <w:t xml:space="preserve">caput </w:t>
      </w:r>
      <w:r w:rsidRPr="00F97084">
        <w:rPr>
          <w:rFonts w:ascii="Bookman Old Style" w:eastAsia="Bookman Old Style" w:hAnsi="Bookman Old Style" w:cs="Bookman Old Style"/>
          <w:sz w:val="20"/>
          <w:szCs w:val="20"/>
          <w:lang w:eastAsia="pt-BR"/>
        </w:rPr>
        <w:t>e parágrafos do art. 158 da Lei nº 14.133, de 2021, para as penalidades de impedimento de licitar e contratar e de declaração de inidoneidade para licitar ou contratar.</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Na aplicação das sanções serão considerados (art. 156, §1º):</w:t>
      </w:r>
    </w:p>
    <w:p w:rsidR="000D7CAF" w:rsidRPr="00F97084" w:rsidRDefault="000D7CAF" w:rsidP="001472B1">
      <w:pPr>
        <w:widowControl w:val="0"/>
        <w:numPr>
          <w:ilvl w:val="0"/>
          <w:numId w:val="40"/>
        </w:numPr>
        <w:spacing w:before="120" w:after="120" w:line="240" w:lineRule="auto"/>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sz w:val="20"/>
          <w:szCs w:val="20"/>
          <w:lang w:eastAsia="pt-BR"/>
        </w:rPr>
        <w:t>a</w:t>
      </w:r>
      <w:proofErr w:type="gramEnd"/>
      <w:r w:rsidRPr="00F97084">
        <w:rPr>
          <w:rFonts w:ascii="Bookman Old Style" w:eastAsia="Bookman Old Style" w:hAnsi="Bookman Old Style" w:cs="Bookman Old Style"/>
          <w:sz w:val="20"/>
          <w:szCs w:val="20"/>
          <w:lang w:eastAsia="pt-BR"/>
        </w:rPr>
        <w:t xml:space="preserve"> natureza e a gravidade da infração cometida;</w:t>
      </w:r>
    </w:p>
    <w:p w:rsidR="000D7CAF" w:rsidRPr="00F97084" w:rsidRDefault="000D7CAF" w:rsidP="001472B1">
      <w:pPr>
        <w:widowControl w:val="0"/>
        <w:numPr>
          <w:ilvl w:val="0"/>
          <w:numId w:val="39"/>
        </w:numPr>
        <w:spacing w:before="120" w:after="120" w:line="240" w:lineRule="auto"/>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sz w:val="20"/>
          <w:szCs w:val="20"/>
          <w:lang w:eastAsia="pt-BR"/>
        </w:rPr>
        <w:t>as</w:t>
      </w:r>
      <w:proofErr w:type="gramEnd"/>
      <w:r w:rsidRPr="00F97084">
        <w:rPr>
          <w:rFonts w:ascii="Bookman Old Style" w:eastAsia="Bookman Old Style" w:hAnsi="Bookman Old Style" w:cs="Bookman Old Style"/>
          <w:sz w:val="20"/>
          <w:szCs w:val="20"/>
          <w:lang w:eastAsia="pt-BR"/>
        </w:rPr>
        <w:t xml:space="preserve"> peculiaridades do caso concreto;</w:t>
      </w:r>
    </w:p>
    <w:p w:rsidR="000D7CAF" w:rsidRPr="00F97084" w:rsidRDefault="000D7CAF" w:rsidP="001472B1">
      <w:pPr>
        <w:widowControl w:val="0"/>
        <w:numPr>
          <w:ilvl w:val="0"/>
          <w:numId w:val="39"/>
        </w:numPr>
        <w:spacing w:before="120" w:after="120" w:line="240" w:lineRule="auto"/>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sz w:val="20"/>
          <w:szCs w:val="20"/>
          <w:lang w:eastAsia="pt-BR"/>
        </w:rPr>
        <w:lastRenderedPageBreak/>
        <w:t>as</w:t>
      </w:r>
      <w:proofErr w:type="gramEnd"/>
      <w:r w:rsidRPr="00F97084">
        <w:rPr>
          <w:rFonts w:ascii="Bookman Old Style" w:eastAsia="Bookman Old Style" w:hAnsi="Bookman Old Style" w:cs="Bookman Old Style"/>
          <w:sz w:val="20"/>
          <w:szCs w:val="20"/>
          <w:lang w:eastAsia="pt-BR"/>
        </w:rPr>
        <w:t xml:space="preserve"> circunstâncias agravantes ou atenuantes;</w:t>
      </w:r>
    </w:p>
    <w:p w:rsidR="000D7CAF" w:rsidRPr="00F97084" w:rsidRDefault="000D7CAF" w:rsidP="001472B1">
      <w:pPr>
        <w:widowControl w:val="0"/>
        <w:numPr>
          <w:ilvl w:val="0"/>
          <w:numId w:val="39"/>
        </w:numPr>
        <w:spacing w:before="120" w:after="120" w:line="240" w:lineRule="auto"/>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sz w:val="20"/>
          <w:szCs w:val="20"/>
          <w:lang w:eastAsia="pt-BR"/>
        </w:rPr>
        <w:t>os</w:t>
      </w:r>
      <w:proofErr w:type="gramEnd"/>
      <w:r w:rsidRPr="00F97084">
        <w:rPr>
          <w:rFonts w:ascii="Bookman Old Style" w:eastAsia="Bookman Old Style" w:hAnsi="Bookman Old Style" w:cs="Bookman Old Style"/>
          <w:sz w:val="20"/>
          <w:szCs w:val="20"/>
          <w:lang w:eastAsia="pt-BR"/>
        </w:rPr>
        <w:t xml:space="preserve"> danos que dela provierem para o Contratante;</w:t>
      </w:r>
    </w:p>
    <w:p w:rsidR="000D7CAF" w:rsidRPr="00F97084" w:rsidRDefault="000D7CAF" w:rsidP="001472B1">
      <w:pPr>
        <w:widowControl w:val="0"/>
        <w:numPr>
          <w:ilvl w:val="0"/>
          <w:numId w:val="39"/>
        </w:numPr>
        <w:spacing w:before="120" w:after="120" w:line="240" w:lineRule="auto"/>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sz w:val="20"/>
          <w:szCs w:val="20"/>
          <w:lang w:eastAsia="pt-BR"/>
        </w:rPr>
        <w:t>a</w:t>
      </w:r>
      <w:proofErr w:type="gramEnd"/>
      <w:r w:rsidRPr="00F97084">
        <w:rPr>
          <w:rFonts w:ascii="Bookman Old Style" w:eastAsia="Bookman Old Style" w:hAnsi="Bookman Old Style" w:cs="Bookman Old Style"/>
          <w:sz w:val="20"/>
          <w:szCs w:val="20"/>
          <w:lang w:eastAsia="pt-BR"/>
        </w:rPr>
        <w:t xml:space="preserve"> implantação ou o aperfeiçoamento de programa de integridade, conforme normas e orientações dos órgãos de controle.</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F97084">
        <w:rPr>
          <w:rFonts w:ascii="Bookman Old Style" w:eastAsia="Bookman Old Style" w:hAnsi="Bookman Old Style" w:cs="Bookman Old Style"/>
          <w:sz w:val="20"/>
          <w:szCs w:val="20"/>
          <w:lang w:eastAsia="pt-BR"/>
        </w:rPr>
        <w:t>Ceis</w:t>
      </w:r>
      <w:proofErr w:type="spellEnd"/>
      <w:r w:rsidRPr="00F97084">
        <w:rPr>
          <w:rFonts w:ascii="Bookman Old Style" w:eastAsia="Bookman Old Style" w:hAnsi="Bookman Old Style" w:cs="Bookman Old Style"/>
          <w:sz w:val="20"/>
          <w:szCs w:val="20"/>
          <w:lang w:eastAsia="pt-BR"/>
        </w:rPr>
        <w:t>) e no Cadastro Nacional de Empresas Punidas (</w:t>
      </w:r>
      <w:proofErr w:type="spellStart"/>
      <w:r w:rsidRPr="00F97084">
        <w:rPr>
          <w:rFonts w:ascii="Bookman Old Style" w:eastAsia="Bookman Old Style" w:hAnsi="Bookman Old Style" w:cs="Bookman Old Style"/>
          <w:sz w:val="20"/>
          <w:szCs w:val="20"/>
          <w:lang w:eastAsia="pt-BR"/>
        </w:rPr>
        <w:t>Cnep</w:t>
      </w:r>
      <w:proofErr w:type="spellEnd"/>
      <w:r w:rsidRPr="00F97084">
        <w:rPr>
          <w:rFonts w:ascii="Bookman Old Style" w:eastAsia="Bookman Old Style" w:hAnsi="Bookman Old Style" w:cs="Bookman Old Style"/>
          <w:sz w:val="20"/>
          <w:szCs w:val="20"/>
          <w:lang w:eastAsia="pt-BR"/>
        </w:rPr>
        <w:t>), instituídos no âmbito do Poder Executivo Federal. (Art. 161)</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As sanções de impedimento de licitar e contratar e declaração de inidoneidade para licitar ou contratar são passíveis de reabilitação na forma do art. 163 da Lei nº 14.133/21.</w:t>
      </w:r>
    </w:p>
    <w:p w:rsidR="000D7CAF" w:rsidRPr="00F97084" w:rsidRDefault="000D7CAF" w:rsidP="001472B1">
      <w:pPr>
        <w:keepNext/>
        <w:keepLines/>
        <w:widowControl w:val="0"/>
        <w:numPr>
          <w:ilvl w:val="0"/>
          <w:numId w:val="25"/>
        </w:numPr>
        <w:tabs>
          <w:tab w:val="left" w:pos="570"/>
        </w:tabs>
        <w:spacing w:before="240" w:after="0" w:line="240" w:lineRule="auto"/>
        <w:jc w:val="both"/>
        <w:outlineLvl w:val="0"/>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CLÁUSULA DÉCIMA– DA EXTINÇÃO CONTRATUAL (art. 92, XIX)</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O contrato se extingue quando cumpridas as obrigações de ambas as partes, ainda que isso ocorra antes do prazo estipulado para tanto.</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Se as obrigações não forem cumpridas no prazo estipulado, a vigência ficará prorrogada até a conclusão do objeto, caso em que deverá a Administração providenciar a readequação do cronograma fixado para o contrato.</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Quando a não conclusão do contrato referida no item anterior decorrer de culpa do contratado:</w:t>
      </w:r>
    </w:p>
    <w:p w:rsidR="000D7CAF" w:rsidRPr="00F97084" w:rsidRDefault="000D7CAF" w:rsidP="001472B1">
      <w:pPr>
        <w:widowControl w:val="0"/>
        <w:numPr>
          <w:ilvl w:val="0"/>
          <w:numId w:val="38"/>
        </w:numPr>
        <w:spacing w:after="165" w:line="240" w:lineRule="auto"/>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sz w:val="20"/>
          <w:szCs w:val="20"/>
          <w:lang w:eastAsia="pt-BR"/>
        </w:rPr>
        <w:t>ficará</w:t>
      </w:r>
      <w:proofErr w:type="gramEnd"/>
      <w:r w:rsidRPr="00F97084">
        <w:rPr>
          <w:rFonts w:ascii="Bookman Old Style" w:eastAsia="Bookman Old Style" w:hAnsi="Bookman Old Style" w:cs="Bookman Old Style"/>
          <w:sz w:val="20"/>
          <w:szCs w:val="20"/>
          <w:lang w:eastAsia="pt-BR"/>
        </w:rPr>
        <w:t xml:space="preserve"> ele constituído em mora, sendo-lhe aplicáveis as respectivas sanções administrativas; e  </w:t>
      </w:r>
    </w:p>
    <w:p w:rsidR="000D7CAF" w:rsidRPr="00F97084" w:rsidRDefault="000D7CAF" w:rsidP="001472B1">
      <w:pPr>
        <w:widowControl w:val="0"/>
        <w:numPr>
          <w:ilvl w:val="0"/>
          <w:numId w:val="37"/>
        </w:numPr>
        <w:spacing w:after="165" w:line="240" w:lineRule="auto"/>
        <w:jc w:val="both"/>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sz w:val="20"/>
          <w:szCs w:val="20"/>
          <w:lang w:eastAsia="pt-BR"/>
        </w:rPr>
        <w:t>poderá</w:t>
      </w:r>
      <w:proofErr w:type="gramEnd"/>
      <w:r w:rsidRPr="00F97084">
        <w:rPr>
          <w:rFonts w:ascii="Bookman Old Style" w:eastAsia="Bookman Old Style" w:hAnsi="Bookman Old Style" w:cs="Bookman Old Style"/>
          <w:sz w:val="20"/>
          <w:szCs w:val="20"/>
          <w:lang w:eastAsia="pt-BR"/>
        </w:rPr>
        <w:t xml:space="preserve"> a Administração optar pela extinção do contrato e, nesse caso, adotará as medidas admitidas em lei para a continuidade da execução contratual.</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O contrato pode ser extinto antes de cumpridas as obrigações nele estipuladas, ou antes do prazo nele fixado, por algum dos motivos previstos no artigo 137 da Lei nº 14.133/21, bem como amigavelmente, </w:t>
      </w:r>
      <w:r w:rsidRPr="00F97084">
        <w:rPr>
          <w:rFonts w:ascii="Bookman Old Style" w:eastAsia="Bookman Old Style" w:hAnsi="Bookman Old Style" w:cs="Bookman Old Style"/>
          <w:color w:val="000000"/>
          <w:sz w:val="20"/>
          <w:szCs w:val="20"/>
          <w:lang w:eastAsia="pt-BR"/>
        </w:rPr>
        <w:t>assegurados o contraditório e a ampla defesa</w:t>
      </w:r>
      <w:r w:rsidRPr="00F97084">
        <w:rPr>
          <w:rFonts w:ascii="Bookman Old Style" w:eastAsia="Times New Roman" w:hAnsi="Bookman Old Style" w:cs="Times New Roman"/>
          <w:sz w:val="20"/>
          <w:szCs w:val="20"/>
          <w:lang w:eastAsia="pt-BR"/>
        </w:rPr>
        <w:t>.</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Nesta hipótese, aplicam-se também os artigos 138 e 139 da mesma Lei.</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A </w:t>
      </w:r>
      <w:r w:rsidRPr="00F97084">
        <w:rPr>
          <w:rFonts w:ascii="Bookman Old Style" w:eastAsia="Bookman Old Style" w:hAnsi="Bookman Old Style" w:cs="Bookman Old Style"/>
          <w:color w:val="000000"/>
          <w:sz w:val="20"/>
          <w:szCs w:val="20"/>
          <w:lang w:eastAsia="pt-BR"/>
        </w:rPr>
        <w:t>alteração social ou a modificação da finalidade ou da estrutura da empresa</w:t>
      </w:r>
      <w:r w:rsidRPr="00F97084">
        <w:rPr>
          <w:rFonts w:ascii="Bookman Old Style" w:eastAsia="Bookman Old Style" w:hAnsi="Bookman Old Style" w:cs="Bookman Old Style"/>
          <w:sz w:val="20"/>
          <w:szCs w:val="20"/>
          <w:lang w:eastAsia="pt-BR"/>
        </w:rPr>
        <w:t xml:space="preserve"> não ensejará a rescisão se não </w:t>
      </w:r>
      <w:r w:rsidRPr="00F97084">
        <w:rPr>
          <w:rFonts w:ascii="Bookman Old Style" w:eastAsia="Bookman Old Style" w:hAnsi="Bookman Old Style" w:cs="Bookman Old Style"/>
          <w:color w:val="000000"/>
          <w:sz w:val="20"/>
          <w:szCs w:val="20"/>
          <w:lang w:eastAsia="pt-BR"/>
        </w:rPr>
        <w:t>restringir sua capacidade de concluir o contrato.</w:t>
      </w:r>
    </w:p>
    <w:p w:rsidR="000D7CAF" w:rsidRPr="00F97084" w:rsidRDefault="000D7CAF" w:rsidP="001472B1">
      <w:pPr>
        <w:widowControl w:val="0"/>
        <w:numPr>
          <w:ilvl w:val="3"/>
          <w:numId w:val="32"/>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color w:val="000000"/>
          <w:sz w:val="20"/>
          <w:szCs w:val="20"/>
          <w:lang w:eastAsia="pt-BR"/>
        </w:rPr>
        <w:t xml:space="preserve">Se a operação </w:t>
      </w:r>
      <w:r w:rsidRPr="00F97084">
        <w:rPr>
          <w:rFonts w:ascii="Bookman Old Style" w:eastAsia="Bookman Old Style" w:hAnsi="Bookman Old Style" w:cs="Bookman Old Style"/>
          <w:sz w:val="20"/>
          <w:szCs w:val="20"/>
          <w:lang w:eastAsia="pt-BR"/>
        </w:rPr>
        <w:t>implicar mudança da pessoa jurídica contratada, deverá ser formalizado termo aditivo para alteração subjetiva.</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O termo de rescisão, sempre que possível, será precedido:</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Balanço dos eventos contratuais já cumpridos ou parcialmente cumpridos;</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Relação dos pagamentos já efetuados e ainda devidos;</w:t>
      </w:r>
    </w:p>
    <w:p w:rsidR="000D7CAF" w:rsidRPr="00F97084" w:rsidRDefault="000D7CAF" w:rsidP="001472B1">
      <w:pPr>
        <w:widowControl w:val="0"/>
        <w:numPr>
          <w:ilvl w:val="2"/>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lastRenderedPageBreak/>
        <w:t>Indenizações e multas.</w:t>
      </w:r>
    </w:p>
    <w:p w:rsidR="000D7CAF" w:rsidRPr="00F97084" w:rsidRDefault="000D7CAF" w:rsidP="001472B1">
      <w:pPr>
        <w:keepNext/>
        <w:keepLines/>
        <w:widowControl w:val="0"/>
        <w:numPr>
          <w:ilvl w:val="0"/>
          <w:numId w:val="25"/>
        </w:numPr>
        <w:tabs>
          <w:tab w:val="left" w:pos="570"/>
        </w:tabs>
        <w:spacing w:before="240" w:after="0" w:line="240" w:lineRule="auto"/>
        <w:jc w:val="both"/>
        <w:outlineLvl w:val="0"/>
        <w:rPr>
          <w:rFonts w:ascii="Bookman Old Style" w:eastAsia="Arial" w:hAnsi="Bookman Old Style" w:cs="Arial"/>
          <w:sz w:val="20"/>
          <w:szCs w:val="20"/>
          <w:lang w:eastAsia="pt-BR"/>
        </w:rPr>
      </w:pPr>
      <w:r w:rsidRPr="00F97084">
        <w:rPr>
          <w:rFonts w:ascii="Bookman Old Style" w:eastAsia="Bookman Old Style" w:hAnsi="Bookman Old Style" w:cs="Bookman Old Style"/>
          <w:b/>
          <w:color w:val="000000"/>
          <w:sz w:val="20"/>
          <w:szCs w:val="20"/>
          <w:lang w:eastAsia="pt-BR"/>
        </w:rPr>
        <w:t>CLÁUSULA DÉCIMA PRIMEIRA – DOTAÇÃO ORÇAMENTÁRIA (art. 92, VIII)</w:t>
      </w:r>
    </w:p>
    <w:p w:rsidR="000D7CAF" w:rsidRPr="00F97084" w:rsidRDefault="000D7CAF" w:rsidP="001472B1">
      <w:pPr>
        <w:widowControl w:val="0"/>
        <w:numPr>
          <w:ilvl w:val="1"/>
          <w:numId w:val="33"/>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As despesas decorrentes da presente contratação correrão à conta de recursos específicos consignados no Orçamento dos </w:t>
      </w:r>
      <w:r w:rsidRPr="00F97084">
        <w:rPr>
          <w:rFonts w:ascii="Bookman Old Style" w:eastAsia="Bookman Old Style" w:hAnsi="Bookman Old Style" w:cs="Bookman Old Style"/>
          <w:color w:val="000000"/>
          <w:sz w:val="20"/>
          <w:szCs w:val="20"/>
          <w:lang w:eastAsia="pt-BR"/>
        </w:rPr>
        <w:t>DEPARTAMENTOS</w:t>
      </w:r>
      <w:r w:rsidR="001472B1" w:rsidRPr="00F97084">
        <w:rPr>
          <w:rFonts w:ascii="Bookman Old Style" w:eastAsia="Bookman Old Style" w:hAnsi="Bookman Old Style" w:cs="Bookman Old Style"/>
          <w:color w:val="000000"/>
          <w:sz w:val="20"/>
          <w:szCs w:val="20"/>
          <w:lang w:eastAsia="pt-BR"/>
        </w:rPr>
        <w:t xml:space="preserve"> DA</w:t>
      </w:r>
      <w:r w:rsidRPr="00F97084">
        <w:rPr>
          <w:rFonts w:ascii="Bookman Old Style" w:eastAsia="Bookman Old Style" w:hAnsi="Bookman Old Style" w:cs="Bookman Old Style"/>
          <w:color w:val="000000"/>
          <w:sz w:val="20"/>
          <w:szCs w:val="20"/>
          <w:lang w:eastAsia="pt-BR"/>
        </w:rPr>
        <w:t xml:space="preserve"> ADMINISTRAÇÃO </w:t>
      </w:r>
      <w:r w:rsidRPr="00F97084">
        <w:rPr>
          <w:rFonts w:ascii="Bookman Old Style" w:eastAsia="Bookman Old Style" w:hAnsi="Bookman Old Style" w:cs="Bookman Old Style"/>
          <w:sz w:val="20"/>
          <w:szCs w:val="20"/>
          <w:lang w:eastAsia="pt-BR"/>
        </w:rPr>
        <w:t>deste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858"/>
        <w:gridCol w:w="1418"/>
        <w:gridCol w:w="2126"/>
        <w:gridCol w:w="1417"/>
        <w:gridCol w:w="1701"/>
        <w:gridCol w:w="1256"/>
      </w:tblGrid>
      <w:tr w:rsidR="000D7CAF" w:rsidRPr="00F97084" w:rsidTr="000D7CAF">
        <w:tc>
          <w:tcPr>
            <w:tcW w:w="9776" w:type="dxa"/>
            <w:gridSpan w:val="6"/>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Dotações</w:t>
            </w:r>
          </w:p>
        </w:tc>
      </w:tr>
      <w:tr w:rsidR="000D7CAF" w:rsidRPr="00F97084" w:rsidTr="000D7CAF">
        <w:tc>
          <w:tcPr>
            <w:tcW w:w="1858" w:type="dxa"/>
            <w:shd w:val="clear" w:color="auto" w:fill="C0C0C0"/>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Exercício da despesa</w:t>
            </w:r>
          </w:p>
        </w:tc>
        <w:tc>
          <w:tcPr>
            <w:tcW w:w="1418" w:type="dxa"/>
            <w:shd w:val="clear" w:color="auto" w:fill="C0C0C0"/>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Conta da despesa</w:t>
            </w:r>
          </w:p>
        </w:tc>
        <w:tc>
          <w:tcPr>
            <w:tcW w:w="2126" w:type="dxa"/>
            <w:shd w:val="clear" w:color="auto" w:fill="C0C0C0"/>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Funcional programática</w:t>
            </w:r>
          </w:p>
        </w:tc>
        <w:tc>
          <w:tcPr>
            <w:tcW w:w="1417" w:type="dxa"/>
            <w:shd w:val="clear" w:color="auto" w:fill="C0C0C0"/>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Fonte de recurso</w:t>
            </w:r>
          </w:p>
        </w:tc>
        <w:tc>
          <w:tcPr>
            <w:tcW w:w="1701" w:type="dxa"/>
            <w:shd w:val="clear" w:color="auto" w:fill="C0C0C0"/>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Natureza da despesa</w:t>
            </w:r>
          </w:p>
        </w:tc>
        <w:tc>
          <w:tcPr>
            <w:tcW w:w="1256" w:type="dxa"/>
            <w:shd w:val="clear" w:color="auto" w:fill="C0C0C0"/>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Grupo da fonte</w:t>
            </w:r>
          </w:p>
        </w:tc>
      </w:tr>
      <w:tr w:rsidR="000D7CAF" w:rsidRPr="00F97084" w:rsidTr="000D7CAF">
        <w:tc>
          <w:tcPr>
            <w:tcW w:w="1858"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2026</w:t>
            </w:r>
          </w:p>
        </w:tc>
        <w:tc>
          <w:tcPr>
            <w:tcW w:w="1418"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350</w:t>
            </w:r>
          </w:p>
        </w:tc>
        <w:tc>
          <w:tcPr>
            <w:tcW w:w="2126"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04.011.04.122.0403.2009</w:t>
            </w:r>
          </w:p>
        </w:tc>
        <w:tc>
          <w:tcPr>
            <w:tcW w:w="1417"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0</w:t>
            </w:r>
          </w:p>
        </w:tc>
        <w:tc>
          <w:tcPr>
            <w:tcW w:w="1701"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3.3.90.30.00.00</w:t>
            </w:r>
          </w:p>
        </w:tc>
        <w:tc>
          <w:tcPr>
            <w:tcW w:w="1256"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Do Exercício</w:t>
            </w:r>
          </w:p>
        </w:tc>
      </w:tr>
      <w:tr w:rsidR="000D7CAF" w:rsidRPr="00F97084" w:rsidTr="000D7CAF">
        <w:tc>
          <w:tcPr>
            <w:tcW w:w="1858"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2026</w:t>
            </w:r>
          </w:p>
        </w:tc>
        <w:tc>
          <w:tcPr>
            <w:tcW w:w="1418"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740</w:t>
            </w:r>
          </w:p>
        </w:tc>
        <w:tc>
          <w:tcPr>
            <w:tcW w:w="2126"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05.005.26.782.2601.2020</w:t>
            </w:r>
          </w:p>
        </w:tc>
        <w:tc>
          <w:tcPr>
            <w:tcW w:w="1417"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0</w:t>
            </w:r>
          </w:p>
        </w:tc>
        <w:tc>
          <w:tcPr>
            <w:tcW w:w="1701"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3.3.90.30.00.00</w:t>
            </w:r>
          </w:p>
        </w:tc>
        <w:tc>
          <w:tcPr>
            <w:tcW w:w="1256"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Do Exercício</w:t>
            </w:r>
          </w:p>
        </w:tc>
      </w:tr>
      <w:tr w:rsidR="000D7CAF" w:rsidRPr="00F97084" w:rsidTr="000D7CAF">
        <w:tc>
          <w:tcPr>
            <w:tcW w:w="1858"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2026</w:t>
            </w:r>
          </w:p>
        </w:tc>
        <w:tc>
          <w:tcPr>
            <w:tcW w:w="1418"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1100</w:t>
            </w:r>
          </w:p>
        </w:tc>
        <w:tc>
          <w:tcPr>
            <w:tcW w:w="2126"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06.001.12.361.1201.2022</w:t>
            </w:r>
          </w:p>
        </w:tc>
        <w:tc>
          <w:tcPr>
            <w:tcW w:w="1417"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103</w:t>
            </w:r>
          </w:p>
        </w:tc>
        <w:tc>
          <w:tcPr>
            <w:tcW w:w="1701"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3.3.90.30.00.00</w:t>
            </w:r>
          </w:p>
        </w:tc>
        <w:tc>
          <w:tcPr>
            <w:tcW w:w="1256"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Do Exercício</w:t>
            </w:r>
          </w:p>
        </w:tc>
      </w:tr>
      <w:tr w:rsidR="000D7CAF" w:rsidRPr="00F97084" w:rsidTr="000D7CAF">
        <w:tc>
          <w:tcPr>
            <w:tcW w:w="1858"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2026</w:t>
            </w:r>
          </w:p>
        </w:tc>
        <w:tc>
          <w:tcPr>
            <w:tcW w:w="1418"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1470</w:t>
            </w:r>
          </w:p>
        </w:tc>
        <w:tc>
          <w:tcPr>
            <w:tcW w:w="2126"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06.003.12.365.1202.2026</w:t>
            </w:r>
          </w:p>
        </w:tc>
        <w:tc>
          <w:tcPr>
            <w:tcW w:w="1417"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103</w:t>
            </w:r>
          </w:p>
        </w:tc>
        <w:tc>
          <w:tcPr>
            <w:tcW w:w="1701"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3.3.90.30.00.00</w:t>
            </w:r>
          </w:p>
        </w:tc>
        <w:tc>
          <w:tcPr>
            <w:tcW w:w="1256"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Do Exercício</w:t>
            </w:r>
          </w:p>
        </w:tc>
      </w:tr>
      <w:tr w:rsidR="000D7CAF" w:rsidRPr="00F97084" w:rsidTr="000D7CAF">
        <w:tc>
          <w:tcPr>
            <w:tcW w:w="1858"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2026</w:t>
            </w:r>
          </w:p>
        </w:tc>
        <w:tc>
          <w:tcPr>
            <w:tcW w:w="1418"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1810</w:t>
            </w:r>
          </w:p>
        </w:tc>
        <w:tc>
          <w:tcPr>
            <w:tcW w:w="2126"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06.004.04.392.1301.2027</w:t>
            </w:r>
          </w:p>
        </w:tc>
        <w:tc>
          <w:tcPr>
            <w:tcW w:w="1417"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0</w:t>
            </w:r>
          </w:p>
        </w:tc>
        <w:tc>
          <w:tcPr>
            <w:tcW w:w="1701"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3.3.90.30.00.00</w:t>
            </w:r>
          </w:p>
        </w:tc>
        <w:tc>
          <w:tcPr>
            <w:tcW w:w="1256"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Do Exercício</w:t>
            </w:r>
          </w:p>
        </w:tc>
      </w:tr>
      <w:tr w:rsidR="000D7CAF" w:rsidRPr="00F97084" w:rsidTr="000D7CAF">
        <w:tc>
          <w:tcPr>
            <w:tcW w:w="1858"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2026</w:t>
            </w:r>
          </w:p>
        </w:tc>
        <w:tc>
          <w:tcPr>
            <w:tcW w:w="1418"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1940</w:t>
            </w:r>
          </w:p>
        </w:tc>
        <w:tc>
          <w:tcPr>
            <w:tcW w:w="2126"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06.005.27.813.2701.2030</w:t>
            </w:r>
          </w:p>
        </w:tc>
        <w:tc>
          <w:tcPr>
            <w:tcW w:w="1417"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0</w:t>
            </w:r>
          </w:p>
        </w:tc>
        <w:tc>
          <w:tcPr>
            <w:tcW w:w="1701"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3.3.90.30.00.00</w:t>
            </w:r>
          </w:p>
        </w:tc>
        <w:tc>
          <w:tcPr>
            <w:tcW w:w="1256"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Do Exercício</w:t>
            </w:r>
          </w:p>
        </w:tc>
      </w:tr>
      <w:tr w:rsidR="000D7CAF" w:rsidRPr="00F97084" w:rsidTr="000D7CAF">
        <w:tc>
          <w:tcPr>
            <w:tcW w:w="1858"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2026</w:t>
            </w:r>
          </w:p>
        </w:tc>
        <w:tc>
          <w:tcPr>
            <w:tcW w:w="1418"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2100</w:t>
            </w:r>
          </w:p>
        </w:tc>
        <w:tc>
          <w:tcPr>
            <w:tcW w:w="2126"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06.007.12.361.1201.2023</w:t>
            </w:r>
          </w:p>
        </w:tc>
        <w:tc>
          <w:tcPr>
            <w:tcW w:w="1417"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103</w:t>
            </w:r>
          </w:p>
        </w:tc>
        <w:tc>
          <w:tcPr>
            <w:tcW w:w="1701"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3.3.90.30.00.00</w:t>
            </w:r>
          </w:p>
        </w:tc>
        <w:tc>
          <w:tcPr>
            <w:tcW w:w="1256"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Do Exercício</w:t>
            </w:r>
          </w:p>
        </w:tc>
      </w:tr>
      <w:tr w:rsidR="000D7CAF" w:rsidRPr="00F97084" w:rsidTr="000D7CAF">
        <w:tc>
          <w:tcPr>
            <w:tcW w:w="1858"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2026</w:t>
            </w:r>
          </w:p>
        </w:tc>
        <w:tc>
          <w:tcPr>
            <w:tcW w:w="1418"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2620</w:t>
            </w:r>
          </w:p>
        </w:tc>
        <w:tc>
          <w:tcPr>
            <w:tcW w:w="2126"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07.001.15.451.2602.2012</w:t>
            </w:r>
          </w:p>
        </w:tc>
        <w:tc>
          <w:tcPr>
            <w:tcW w:w="1417"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0</w:t>
            </w:r>
          </w:p>
        </w:tc>
        <w:tc>
          <w:tcPr>
            <w:tcW w:w="1701"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3.3.90.30.00.00</w:t>
            </w:r>
          </w:p>
        </w:tc>
        <w:tc>
          <w:tcPr>
            <w:tcW w:w="1256"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Do Exercício</w:t>
            </w:r>
          </w:p>
        </w:tc>
      </w:tr>
      <w:tr w:rsidR="000D7CAF" w:rsidRPr="00F97084" w:rsidTr="000D7CAF">
        <w:tc>
          <w:tcPr>
            <w:tcW w:w="1858"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2026</w:t>
            </w:r>
          </w:p>
        </w:tc>
        <w:tc>
          <w:tcPr>
            <w:tcW w:w="1418"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3250</w:t>
            </w:r>
          </w:p>
        </w:tc>
        <w:tc>
          <w:tcPr>
            <w:tcW w:w="2126"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08.001.10.301.1001.2040</w:t>
            </w:r>
          </w:p>
        </w:tc>
        <w:tc>
          <w:tcPr>
            <w:tcW w:w="1417"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303</w:t>
            </w:r>
          </w:p>
        </w:tc>
        <w:tc>
          <w:tcPr>
            <w:tcW w:w="1701"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3.3.90.30.00.00</w:t>
            </w:r>
          </w:p>
        </w:tc>
        <w:tc>
          <w:tcPr>
            <w:tcW w:w="1256"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Do Exercício</w:t>
            </w:r>
          </w:p>
        </w:tc>
      </w:tr>
      <w:tr w:rsidR="000D7CAF" w:rsidRPr="00F97084" w:rsidTr="000D7CAF">
        <w:tc>
          <w:tcPr>
            <w:tcW w:w="1858"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2026</w:t>
            </w:r>
          </w:p>
        </w:tc>
        <w:tc>
          <w:tcPr>
            <w:tcW w:w="1418"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3900</w:t>
            </w:r>
          </w:p>
        </w:tc>
        <w:tc>
          <w:tcPr>
            <w:tcW w:w="2126"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09.001.08.244.0801.2046</w:t>
            </w:r>
          </w:p>
        </w:tc>
        <w:tc>
          <w:tcPr>
            <w:tcW w:w="1417"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0</w:t>
            </w:r>
          </w:p>
        </w:tc>
        <w:tc>
          <w:tcPr>
            <w:tcW w:w="1701"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3.3.90.30.00.00</w:t>
            </w:r>
          </w:p>
        </w:tc>
        <w:tc>
          <w:tcPr>
            <w:tcW w:w="1256"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Do Exercício</w:t>
            </w:r>
          </w:p>
        </w:tc>
      </w:tr>
      <w:tr w:rsidR="000D7CAF" w:rsidRPr="00F97084" w:rsidTr="000D7CAF">
        <w:tc>
          <w:tcPr>
            <w:tcW w:w="1858"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2026</w:t>
            </w:r>
          </w:p>
        </w:tc>
        <w:tc>
          <w:tcPr>
            <w:tcW w:w="1418"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4550</w:t>
            </w:r>
          </w:p>
        </w:tc>
        <w:tc>
          <w:tcPr>
            <w:tcW w:w="2126"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10.002.23.695.2201.2052</w:t>
            </w:r>
          </w:p>
        </w:tc>
        <w:tc>
          <w:tcPr>
            <w:tcW w:w="1417"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0</w:t>
            </w:r>
          </w:p>
        </w:tc>
        <w:tc>
          <w:tcPr>
            <w:tcW w:w="1701"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3.3.90.30.00.00</w:t>
            </w:r>
          </w:p>
        </w:tc>
        <w:tc>
          <w:tcPr>
            <w:tcW w:w="1256"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Do Exercício</w:t>
            </w:r>
          </w:p>
        </w:tc>
      </w:tr>
      <w:tr w:rsidR="000D7CAF" w:rsidRPr="00F97084" w:rsidTr="000D7CAF">
        <w:tc>
          <w:tcPr>
            <w:tcW w:w="1858"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2026</w:t>
            </w:r>
          </w:p>
        </w:tc>
        <w:tc>
          <w:tcPr>
            <w:tcW w:w="1418"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4760</w:t>
            </w:r>
          </w:p>
        </w:tc>
        <w:tc>
          <w:tcPr>
            <w:tcW w:w="2126"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10.004.22.661.2201.2051</w:t>
            </w:r>
          </w:p>
        </w:tc>
        <w:tc>
          <w:tcPr>
            <w:tcW w:w="1417"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0</w:t>
            </w:r>
          </w:p>
        </w:tc>
        <w:tc>
          <w:tcPr>
            <w:tcW w:w="1701"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3.3.90.30.00.00</w:t>
            </w:r>
          </w:p>
        </w:tc>
        <w:tc>
          <w:tcPr>
            <w:tcW w:w="1256"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Do Exercício</w:t>
            </w:r>
          </w:p>
        </w:tc>
      </w:tr>
      <w:tr w:rsidR="000D7CAF" w:rsidRPr="00F97084" w:rsidTr="000D7CAF">
        <w:tc>
          <w:tcPr>
            <w:tcW w:w="1858"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2026</w:t>
            </w:r>
          </w:p>
        </w:tc>
        <w:tc>
          <w:tcPr>
            <w:tcW w:w="1418"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4970</w:t>
            </w:r>
          </w:p>
        </w:tc>
        <w:tc>
          <w:tcPr>
            <w:tcW w:w="2126"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11.004.20.606.2001.2056</w:t>
            </w:r>
          </w:p>
        </w:tc>
        <w:tc>
          <w:tcPr>
            <w:tcW w:w="1417"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0</w:t>
            </w:r>
          </w:p>
        </w:tc>
        <w:tc>
          <w:tcPr>
            <w:tcW w:w="1701"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3.3.90.30.00.00</w:t>
            </w:r>
          </w:p>
        </w:tc>
        <w:tc>
          <w:tcPr>
            <w:tcW w:w="1256" w:type="dxa"/>
            <w:shd w:val="clear" w:color="auto" w:fill="FFFFFF"/>
          </w:tcPr>
          <w:p w:rsidR="000D7CAF" w:rsidRPr="00F97084" w:rsidRDefault="000D7CAF" w:rsidP="000D7CAF">
            <w:pPr>
              <w:spacing w:after="0" w:line="240" w:lineRule="auto"/>
              <w:rPr>
                <w:rFonts w:ascii="Bookman Old Style" w:hAnsi="Bookman Old Style"/>
                <w:sz w:val="16"/>
                <w:szCs w:val="16"/>
              </w:rPr>
            </w:pPr>
            <w:r w:rsidRPr="00F97084">
              <w:rPr>
                <w:rFonts w:ascii="Bookman Old Style" w:hAnsi="Bookman Old Style"/>
                <w:sz w:val="16"/>
                <w:szCs w:val="16"/>
              </w:rPr>
              <w:t>Do Exercício</w:t>
            </w:r>
          </w:p>
        </w:tc>
      </w:tr>
    </w:tbl>
    <w:p w:rsidR="000D7CAF" w:rsidRPr="00F97084" w:rsidRDefault="000D7CAF" w:rsidP="001472B1">
      <w:pPr>
        <w:keepNext/>
        <w:keepLines/>
        <w:widowControl w:val="0"/>
        <w:numPr>
          <w:ilvl w:val="0"/>
          <w:numId w:val="25"/>
        </w:numPr>
        <w:tabs>
          <w:tab w:val="left" w:pos="570"/>
        </w:tabs>
        <w:spacing w:before="240" w:after="0" w:line="240" w:lineRule="auto"/>
        <w:jc w:val="both"/>
        <w:outlineLvl w:val="0"/>
        <w:rPr>
          <w:rFonts w:ascii="Bookman Old Style" w:eastAsia="Arial" w:hAnsi="Bookman Old Style" w:cs="Arial"/>
          <w:sz w:val="20"/>
          <w:szCs w:val="20"/>
          <w:lang w:eastAsia="pt-BR"/>
        </w:rPr>
      </w:pPr>
      <w:r w:rsidRPr="00F97084">
        <w:rPr>
          <w:rFonts w:ascii="Bookman Old Style" w:eastAsia="Bookman Old Style" w:hAnsi="Bookman Old Style" w:cs="Bookman Old Style"/>
          <w:b/>
          <w:color w:val="000000"/>
          <w:sz w:val="20"/>
          <w:szCs w:val="20"/>
          <w:lang w:eastAsia="pt-BR"/>
        </w:rPr>
        <w:t xml:space="preserve">CLÁUSULA DÉCIMA SEGUNDA – DOS CASOS OMISSOS (art. 92, III) </w:t>
      </w:r>
      <w:r w:rsidRPr="00F97084">
        <w:rPr>
          <w:rFonts w:ascii="Bookman Old Style" w:eastAsia="Bookman Old Style" w:hAnsi="Bookman Old Style" w:cs="Bookman Old Style"/>
          <w:b/>
          <w:sz w:val="20"/>
          <w:szCs w:val="20"/>
          <w:lang w:eastAsia="pt-BR"/>
        </w:rPr>
        <w:t>CASOS OMISSOS (art. 92, III)</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0D7CAF" w:rsidRPr="00F97084" w:rsidRDefault="000D7CAF" w:rsidP="001472B1">
      <w:pPr>
        <w:keepNext/>
        <w:keepLines/>
        <w:widowControl w:val="0"/>
        <w:numPr>
          <w:ilvl w:val="0"/>
          <w:numId w:val="25"/>
        </w:numPr>
        <w:tabs>
          <w:tab w:val="left" w:pos="570"/>
        </w:tabs>
        <w:spacing w:before="240" w:after="0" w:line="240" w:lineRule="auto"/>
        <w:jc w:val="both"/>
        <w:outlineLvl w:val="0"/>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CLÁUSULA DÉCIMA TERCEIRA – ALTERAÇÕES</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Eventuais alterações contratuais reger-se-ão pela disciplina dos </w:t>
      </w:r>
      <w:proofErr w:type="spellStart"/>
      <w:r w:rsidRPr="00F97084">
        <w:rPr>
          <w:rFonts w:ascii="Bookman Old Style" w:eastAsia="Bookman Old Style" w:hAnsi="Bookman Old Style" w:cs="Bookman Old Style"/>
          <w:sz w:val="20"/>
          <w:szCs w:val="20"/>
          <w:lang w:eastAsia="pt-BR"/>
        </w:rPr>
        <w:t>arts</w:t>
      </w:r>
      <w:proofErr w:type="spellEnd"/>
      <w:r w:rsidRPr="00F97084">
        <w:rPr>
          <w:rFonts w:ascii="Bookman Old Style" w:eastAsia="Bookman Old Style" w:hAnsi="Bookman Old Style" w:cs="Bookman Old Style"/>
          <w:sz w:val="20"/>
          <w:szCs w:val="20"/>
          <w:lang w:eastAsia="pt-BR"/>
        </w:rPr>
        <w:t>. 124 e seguintes da Lei nº 14.133, de 2021.</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O Contratado é obrigado a aceitar, nas mesmas condições contratuais, os acréscimos ou supressões que se fizerem necessários, até o limite de 25% (vinte e cinco por cento) do valor inicial atualizado do contrato.</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Registros que não caracterizam alteração do contrato podem ser realizados por simples apostila, dispensada a celebração de termo aditivo, na forma do art. 136 da Lei nº 14.133, de 2021.</w:t>
      </w:r>
    </w:p>
    <w:p w:rsidR="000D7CAF" w:rsidRPr="00F97084" w:rsidRDefault="000D7CAF" w:rsidP="001472B1">
      <w:pPr>
        <w:keepNext/>
        <w:keepLines/>
        <w:widowControl w:val="0"/>
        <w:numPr>
          <w:ilvl w:val="0"/>
          <w:numId w:val="25"/>
        </w:numPr>
        <w:tabs>
          <w:tab w:val="left" w:pos="570"/>
        </w:tabs>
        <w:spacing w:before="240" w:after="0" w:line="240" w:lineRule="auto"/>
        <w:jc w:val="both"/>
        <w:outlineLvl w:val="0"/>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CLÁUSULA DÉCIMA QUARTA – PUBLICAÇÃO</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Incumbirá ao Contratante providenciar a publicação deste instrumento nos termos e condições previstas na Lei nº 14.133/21.</w:t>
      </w:r>
    </w:p>
    <w:p w:rsidR="000D7CAF" w:rsidRPr="00F97084" w:rsidRDefault="000D7CAF" w:rsidP="001472B1">
      <w:pPr>
        <w:keepNext/>
        <w:keepLines/>
        <w:widowControl w:val="0"/>
        <w:numPr>
          <w:ilvl w:val="0"/>
          <w:numId w:val="25"/>
        </w:numPr>
        <w:tabs>
          <w:tab w:val="left" w:pos="570"/>
        </w:tabs>
        <w:spacing w:before="240" w:after="0" w:line="240" w:lineRule="auto"/>
        <w:jc w:val="both"/>
        <w:outlineLvl w:val="0"/>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CLÁUSULA DÉCIMA QUINTA – FORO (art. 92, §1º)</w:t>
      </w:r>
    </w:p>
    <w:p w:rsidR="000D7CAF" w:rsidRPr="00F97084" w:rsidRDefault="000D7CAF" w:rsidP="001472B1">
      <w:pPr>
        <w:widowControl w:val="0"/>
        <w:numPr>
          <w:ilvl w:val="1"/>
          <w:numId w:val="25"/>
        </w:numPr>
        <w:spacing w:before="120" w:after="12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 É eleito o Foro da Comarca de Santo Antonio do Sudoeste – PR, para dirimir os litígios que decorrerem da execução deste Termo de Contrato que não possam ser compostos pela conciliação, conforme art. 92, §1º da Lei nº 14.133/21.</w:t>
      </w:r>
    </w:p>
    <w:p w:rsidR="000D7CAF" w:rsidRPr="00F97084" w:rsidRDefault="000D7CAF" w:rsidP="000D7CAF">
      <w:pPr>
        <w:spacing w:after="120" w:line="240" w:lineRule="auto"/>
        <w:ind w:right="-15"/>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  .......... </w:t>
      </w:r>
      <w:proofErr w:type="gramStart"/>
      <w:r w:rsidRPr="00F97084">
        <w:rPr>
          <w:rFonts w:ascii="Bookman Old Style" w:eastAsia="Bookman Old Style" w:hAnsi="Bookman Old Style" w:cs="Bookman Old Style"/>
          <w:sz w:val="20"/>
          <w:szCs w:val="20"/>
          <w:lang w:eastAsia="pt-BR"/>
        </w:rPr>
        <w:t>de</w:t>
      </w:r>
      <w:proofErr w:type="gramEnd"/>
      <w:r w:rsidRPr="00F97084">
        <w:rPr>
          <w:rFonts w:ascii="Bookman Old Style" w:eastAsia="Bookman Old Style" w:hAnsi="Bookman Old Style" w:cs="Bookman Old Style"/>
          <w:sz w:val="20"/>
          <w:szCs w:val="20"/>
          <w:lang w:eastAsia="pt-BR"/>
        </w:rPr>
        <w:t>.......................................... de 2026.</w:t>
      </w:r>
    </w:p>
    <w:p w:rsidR="000D7CAF" w:rsidRPr="00F97084" w:rsidRDefault="000D7CAF" w:rsidP="000D7CAF">
      <w:pPr>
        <w:spacing w:after="120" w:line="240" w:lineRule="auto"/>
        <w:jc w:val="both"/>
        <w:rPr>
          <w:rFonts w:ascii="Bookman Old Style" w:eastAsia="Arial" w:hAnsi="Bookman Old Style" w:cs="Arial"/>
          <w:sz w:val="20"/>
          <w:szCs w:val="20"/>
          <w:lang w:eastAsia="pt-BR"/>
        </w:rPr>
      </w:pPr>
    </w:p>
    <w:p w:rsidR="000D7CAF" w:rsidRPr="00F97084" w:rsidRDefault="000D7CAF" w:rsidP="000D7CAF">
      <w:pPr>
        <w:spacing w:after="120" w:line="240" w:lineRule="auto"/>
        <w:jc w:val="center"/>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_________________________</w:t>
      </w:r>
    </w:p>
    <w:p w:rsidR="000D7CAF" w:rsidRPr="00F97084" w:rsidRDefault="000D7CAF" w:rsidP="000D7CAF">
      <w:pPr>
        <w:spacing w:after="120" w:line="240" w:lineRule="auto"/>
        <w:jc w:val="center"/>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Representante legal do CONTRATANTE</w:t>
      </w:r>
    </w:p>
    <w:p w:rsidR="000D7CAF" w:rsidRPr="00F97084" w:rsidRDefault="000D7CAF" w:rsidP="000D7CAF">
      <w:pPr>
        <w:spacing w:after="120" w:line="240" w:lineRule="auto"/>
        <w:jc w:val="center"/>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lastRenderedPageBreak/>
        <w:t>_________________________</w:t>
      </w:r>
    </w:p>
    <w:p w:rsidR="000D7CAF" w:rsidRPr="00F97084" w:rsidRDefault="000D7CAF" w:rsidP="000D7CAF">
      <w:pPr>
        <w:spacing w:after="120" w:line="240" w:lineRule="auto"/>
        <w:jc w:val="center"/>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Representante legal do CONTRATADO</w:t>
      </w:r>
    </w:p>
    <w:p w:rsidR="000D7CAF" w:rsidRPr="00F97084" w:rsidRDefault="000D7CAF" w:rsidP="000D7CAF">
      <w:pPr>
        <w:widowControl w:val="0"/>
        <w:spacing w:after="0" w:line="240" w:lineRule="auto"/>
        <w:rPr>
          <w:rFonts w:ascii="Bookman Old Style" w:eastAsia="Arial" w:hAnsi="Bookman Old Style" w:cs="Arial"/>
          <w:sz w:val="20"/>
          <w:szCs w:val="20"/>
          <w:lang w:eastAsia="pt-BR"/>
        </w:rPr>
      </w:pPr>
    </w:p>
    <w:p w:rsidR="000D7CAF" w:rsidRPr="00F97084" w:rsidRDefault="000D7CAF" w:rsidP="000D7CAF">
      <w:pPr>
        <w:widowControl w:val="0"/>
        <w:spacing w:after="0" w:line="240" w:lineRule="auto"/>
        <w:contextualSpacing/>
        <w:jc w:val="center"/>
        <w:rPr>
          <w:rFonts w:ascii="Bookman Old Style" w:hAnsi="Bookman Old Style"/>
          <w:b/>
          <w:sz w:val="20"/>
          <w:szCs w:val="20"/>
        </w:rPr>
      </w:pPr>
    </w:p>
    <w:sectPr w:rsidR="000D7CAF" w:rsidRPr="00F97084" w:rsidSect="006153DA">
      <w:headerReference w:type="default" r:id="rId3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7084" w:rsidRDefault="00F97084" w:rsidP="006153DA">
      <w:pPr>
        <w:spacing w:after="0" w:line="240" w:lineRule="auto"/>
      </w:pPr>
      <w:r>
        <w:separator/>
      </w:r>
    </w:p>
  </w:endnote>
  <w:endnote w:type="continuationSeparator" w:id="0">
    <w:p w:rsidR="00F97084" w:rsidRDefault="00F97084" w:rsidP="00615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1">
    <w:panose1 w:val="00000000000000000000"/>
    <w:charset w:val="00"/>
    <w:family w:val="roman"/>
    <w:notTrueType/>
    <w:pitch w:val="default"/>
  </w:font>
  <w:font w:name="3">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084" w:rsidRDefault="00F97084">
    <w:pPr>
      <w:pStyle w:val="Rodap"/>
    </w:pPr>
  </w:p>
  <w:p w:rsidR="00F97084" w:rsidRDefault="00F9708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7084" w:rsidRDefault="00F97084" w:rsidP="006153DA">
      <w:pPr>
        <w:spacing w:after="0" w:line="240" w:lineRule="auto"/>
      </w:pPr>
      <w:r>
        <w:separator/>
      </w:r>
    </w:p>
  </w:footnote>
  <w:footnote w:type="continuationSeparator" w:id="0">
    <w:p w:rsidR="00F97084" w:rsidRDefault="00F97084" w:rsidP="006153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084" w:rsidRDefault="00F97084" w:rsidP="008D2A52">
    <w:pPr>
      <w:spacing w:after="0" w:line="240" w:lineRule="auto"/>
      <w:jc w:val="center"/>
      <w:rPr>
        <w:rFonts w:ascii="Bookman Old Style" w:hAnsi="Bookman Old Style" w:cs="Arial"/>
        <w:b/>
        <w:szCs w:val="20"/>
      </w:rPr>
    </w:pPr>
    <w:r>
      <w:rPr>
        <w:rFonts w:cs="Times New Roman"/>
        <w:noProof/>
        <w:szCs w:val="3276"/>
        <w:lang w:eastAsia="pt-BR"/>
      </w:rPr>
      <w:drawing>
        <wp:anchor distT="0" distB="0" distL="114300" distR="114300" simplePos="0" relativeHeight="251658752" behindDoc="0" locked="0" layoutInCell="1" allowOverlap="1" wp14:anchorId="4F03FF2D" wp14:editId="6761441A">
          <wp:simplePos x="0" y="0"/>
          <wp:positionH relativeFrom="margin">
            <wp:align>left</wp:align>
          </wp:positionH>
          <wp:positionV relativeFrom="paragraph">
            <wp:posOffset>-74295</wp:posOffset>
          </wp:positionV>
          <wp:extent cx="932815" cy="847725"/>
          <wp:effectExtent l="0" t="0" r="635" b="9525"/>
          <wp:wrapNone/>
          <wp:docPr id="2" name="Imagem 2"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cs="Arial"/>
        <w:b/>
        <w:szCs w:val="20"/>
      </w:rPr>
      <w:t>MUNICÍPIO DE SANTO ANTONIO DO SUDOESTE</w:t>
    </w:r>
  </w:p>
  <w:p w:rsidR="00F97084" w:rsidRDefault="00F97084" w:rsidP="008D2A52">
    <w:pPr>
      <w:spacing w:after="0" w:line="240" w:lineRule="auto"/>
      <w:jc w:val="center"/>
      <w:rPr>
        <w:rFonts w:ascii="Bookman Old Style" w:hAnsi="Bookman Old Style" w:cs="Arial"/>
        <w:szCs w:val="20"/>
      </w:rPr>
    </w:pPr>
    <w:r>
      <w:rPr>
        <w:rFonts w:ascii="Bookman Old Style" w:hAnsi="Bookman Old Style" w:cs="Arial"/>
        <w:szCs w:val="20"/>
      </w:rPr>
      <w:t>ESTADO DO PARANÁ</w:t>
    </w:r>
  </w:p>
  <w:p w:rsidR="00F97084" w:rsidRDefault="00F97084" w:rsidP="008D2A52">
    <w:pPr>
      <w:spacing w:after="0" w:line="240" w:lineRule="auto"/>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85.71-000</w:t>
    </w:r>
  </w:p>
  <w:p w:rsidR="00F97084" w:rsidRDefault="00F97084" w:rsidP="008D2A52">
    <w:pPr>
      <w:spacing w:after="0" w:line="240" w:lineRule="auto"/>
      <w:jc w:val="center"/>
      <w:rPr>
        <w:rFonts w:ascii="Bookman Old Style" w:hAnsi="Bookman Old Style"/>
        <w:sz w:val="16"/>
      </w:rPr>
    </w:pPr>
    <w:r>
      <w:rPr>
        <w:rFonts w:ascii="Bookman Old Style" w:hAnsi="Bookman Old Style"/>
        <w:sz w:val="16"/>
      </w:rPr>
      <w:t xml:space="preserve">CNPJ 75.927.582/0001-55  </w:t>
    </w:r>
  </w:p>
  <w:p w:rsidR="00F97084" w:rsidRDefault="00F97084" w:rsidP="008D2A52">
    <w:pPr>
      <w:spacing w:after="0" w:line="240" w:lineRule="auto"/>
      <w:jc w:val="center"/>
      <w:rPr>
        <w:rFonts w:ascii="Bookman Old Style" w:hAnsi="Bookman Old Style"/>
        <w:sz w:val="16"/>
      </w:rPr>
    </w:pPr>
    <w:r>
      <w:rPr>
        <w:rStyle w:val="Hyperlink"/>
        <w:rFonts w:ascii="Bookman Old Style" w:hAnsi="Bookman Old Style"/>
        <w:sz w:val="16"/>
      </w:rPr>
      <w:t xml:space="preserve"> </w:t>
    </w:r>
    <w:r>
      <w:rPr>
        <w:rFonts w:ascii="Bookman Old Style" w:hAnsi="Bookman Old Style"/>
        <w:sz w:val="16"/>
      </w:rPr>
      <w:t>– Telefone: (46) 35638000</w:t>
    </w:r>
  </w:p>
  <w:p w:rsidR="00F97084" w:rsidRDefault="00F97084" w:rsidP="00387425">
    <w:pPr>
      <w:pStyle w:val="Cabealh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084" w:rsidRDefault="00F97084" w:rsidP="006153DA">
    <w:pPr>
      <w:spacing w:after="0" w:line="240" w:lineRule="auto"/>
      <w:jc w:val="center"/>
      <w:rPr>
        <w:rFonts w:ascii="Bookman Old Style" w:hAnsi="Bookman Old Style"/>
        <w:b/>
      </w:rPr>
    </w:pPr>
    <w:r>
      <w:rPr>
        <w:noProof/>
        <w:lang w:eastAsia="pt-BR"/>
      </w:rPr>
      <w:drawing>
        <wp:anchor distT="0" distB="0" distL="114300" distR="114300" simplePos="0" relativeHeight="251659264" behindDoc="0" locked="0" layoutInCell="1" allowOverlap="1" wp14:anchorId="7D737002" wp14:editId="509CF642">
          <wp:simplePos x="0" y="0"/>
          <wp:positionH relativeFrom="column">
            <wp:posOffset>-354965</wp:posOffset>
          </wp:positionH>
          <wp:positionV relativeFrom="paragraph">
            <wp:posOffset>-83820</wp:posOffset>
          </wp:positionV>
          <wp:extent cx="932815" cy="847725"/>
          <wp:effectExtent l="0" t="0" r="0" b="0"/>
          <wp:wrapNone/>
          <wp:docPr id="1"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F97084" w:rsidRDefault="00F97084" w:rsidP="006153DA">
    <w:pPr>
      <w:spacing w:after="0" w:line="240" w:lineRule="auto"/>
      <w:jc w:val="center"/>
      <w:rPr>
        <w:rFonts w:ascii="Bookman Old Style" w:hAnsi="Bookman Old Style"/>
      </w:rPr>
    </w:pPr>
    <w:r>
      <w:rPr>
        <w:rFonts w:ascii="Bookman Old Style" w:hAnsi="Bookman Old Style"/>
      </w:rPr>
      <w:t>ESTADO DO PARANÁ</w:t>
    </w:r>
  </w:p>
  <w:p w:rsidR="00F97084" w:rsidRDefault="00F97084" w:rsidP="006153DA">
    <w:pPr>
      <w:spacing w:after="0" w:line="240" w:lineRule="auto"/>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85.710-000</w:t>
    </w:r>
  </w:p>
  <w:p w:rsidR="00F97084" w:rsidRDefault="00F97084" w:rsidP="006153DA">
    <w:pPr>
      <w:tabs>
        <w:tab w:val="center" w:pos="5042"/>
        <w:tab w:val="left" w:pos="8910"/>
      </w:tabs>
      <w:spacing w:after="0" w:line="240" w:lineRule="auto"/>
      <w:jc w:val="center"/>
      <w:rPr>
        <w:rFonts w:ascii="Bookman Old Style" w:hAnsi="Bookman Old Style"/>
        <w:sz w:val="16"/>
      </w:rPr>
    </w:pPr>
    <w:r>
      <w:rPr>
        <w:rFonts w:ascii="Bookman Old Style" w:hAnsi="Bookman Old Style"/>
        <w:sz w:val="16"/>
      </w:rPr>
      <w:t>CNPJ 75.927.582/0001-55</w:t>
    </w:r>
  </w:p>
  <w:p w:rsidR="00F97084" w:rsidRDefault="00F97084" w:rsidP="006153DA">
    <w:pPr>
      <w:spacing w:after="0" w:line="240" w:lineRule="auto"/>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eastAsiaTheme="majorEastAsia" w:hAnsi="Bookman Old Style"/>
          <w:sz w:val="16"/>
        </w:rPr>
        <w:t xml:space="preserve">licitacao1@pmsas.pr.gov.br </w:t>
      </w:r>
    </w:hyperlink>
    <w:r>
      <w:rPr>
        <w:rStyle w:val="Hyperlink"/>
        <w:rFonts w:ascii="Bookman Old Style" w:eastAsiaTheme="majorEastAsia" w:hAnsi="Bookman Old Style"/>
        <w:sz w:val="16"/>
      </w:rPr>
      <w:t xml:space="preserve"> </w:t>
    </w:r>
    <w:r>
      <w:rPr>
        <w:rFonts w:ascii="Bookman Old Style" w:hAnsi="Bookman Old Style"/>
        <w:sz w:val="16"/>
      </w:rPr>
      <w:t>– Telefone: (46) 3563-8000</w:t>
    </w:r>
  </w:p>
  <w:p w:rsidR="00F97084" w:rsidRDefault="00F9708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1"/>
      <w:lvlText w:val=""/>
      <w:lvlJc w:val="left"/>
      <w:pPr>
        <w:tabs>
          <w:tab w:val="num" w:pos="1492"/>
        </w:tabs>
        <w:ind w:left="1492" w:hanging="360"/>
      </w:pPr>
      <w:rPr>
        <w:rFonts w:ascii="Symbol" w:hAnsi="Symbol" w:hint="default"/>
      </w:rPr>
    </w:lvl>
  </w:abstractNum>
  <w:abstractNum w:abstractNumId="1">
    <w:nsid w:val="01222686"/>
    <w:multiLevelType w:val="multilevel"/>
    <w:tmpl w:val="250C8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0146D1"/>
    <w:multiLevelType w:val="multilevel"/>
    <w:tmpl w:val="21F05D4C"/>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3">
    <w:nsid w:val="1D5C100D"/>
    <w:multiLevelType w:val="multilevel"/>
    <w:tmpl w:val="DA4051C8"/>
    <w:lvl w:ilvl="0">
      <w:start w:val="1"/>
      <w:numFmt w:val="decimal"/>
      <w:pStyle w:val="Nivel01"/>
      <w:lvlText w:val="%1."/>
      <w:lvlJc w:val="left"/>
      <w:pPr>
        <w:ind w:left="360" w:hanging="360"/>
      </w:pPr>
      <w:rPr>
        <w:rFonts w:ascii="Bookman Old Style" w:eastAsiaTheme="majorEastAsia" w:hAnsi="Bookman Old Style" w:cs="Arial"/>
        <w:b/>
      </w:rPr>
    </w:lvl>
    <w:lvl w:ilvl="1">
      <w:start w:val="1"/>
      <w:numFmt w:val="lowerLetter"/>
      <w:pStyle w:val="Nivel2"/>
      <w:lvlText w:val="%2)"/>
      <w:lvlJc w:val="left"/>
      <w:pPr>
        <w:ind w:left="1142" w:hanging="432"/>
      </w:pPr>
      <w:rPr>
        <w:rFonts w:ascii="Arial" w:eastAsiaTheme="minorEastAsia" w:hAnsi="Arial" w:cs="Arial"/>
        <w:b/>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D6A2C53"/>
    <w:multiLevelType w:val="multilevel"/>
    <w:tmpl w:val="64BC09DC"/>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5">
    <w:nsid w:val="295F6CE6"/>
    <w:multiLevelType w:val="multilevel"/>
    <w:tmpl w:val="0F103BD8"/>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6">
    <w:nsid w:val="2A8F7393"/>
    <w:multiLevelType w:val="multilevel"/>
    <w:tmpl w:val="5E16DD4C"/>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7">
    <w:nsid w:val="30E3392C"/>
    <w:multiLevelType w:val="multilevel"/>
    <w:tmpl w:val="2AB23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51835F1F"/>
    <w:multiLevelType w:val="multilevel"/>
    <w:tmpl w:val="027A7006"/>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12">
    <w:nsid w:val="5BA05A00"/>
    <w:multiLevelType w:val="multilevel"/>
    <w:tmpl w:val="DFE03816"/>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3">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6A0A57FC"/>
    <w:multiLevelType w:val="multilevel"/>
    <w:tmpl w:val="4F2C9AB2"/>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5">
    <w:nsid w:val="6AE22A97"/>
    <w:multiLevelType w:val="multilevel"/>
    <w:tmpl w:val="4F48E30C"/>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6">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7">
    <w:nsid w:val="76696459"/>
    <w:multiLevelType w:val="multilevel"/>
    <w:tmpl w:val="0CC8D38C"/>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8">
    <w:nsid w:val="77E67556"/>
    <w:multiLevelType w:val="multilevel"/>
    <w:tmpl w:val="727204D2"/>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9">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0"/>
  </w:num>
  <w:num w:numId="3">
    <w:abstractNumId w:val="16"/>
  </w:num>
  <w:num w:numId="4">
    <w:abstractNumId w:val="19"/>
  </w:num>
  <w:num w:numId="5">
    <w:abstractNumId w:val="9"/>
  </w:num>
  <w:num w:numId="6">
    <w:abstractNumId w:val="8"/>
  </w:num>
  <w:num w:numId="7">
    <w:abstractNumId w:val="10"/>
  </w:num>
  <w:num w:numId="8">
    <w:abstractNumId w:val="13"/>
  </w:num>
  <w:num w:numId="9">
    <w:abstractNumId w:val="1"/>
  </w:num>
  <w:num w:numId="10">
    <w:abstractNumId w:val="7"/>
  </w:num>
  <w:num w:numId="11">
    <w:abstractNumId w:val="12"/>
  </w:num>
  <w:num w:numId="12">
    <w:abstractNumId w:val="12"/>
    <w:lvlOverride w:ilvl="0">
      <w:startOverride w:val="2"/>
    </w:lvlOverride>
  </w:num>
  <w:num w:numId="13">
    <w:abstractNumId w:val="12"/>
    <w:lvlOverride w:ilvl="1">
      <w:startOverride w:val="1"/>
    </w:lvlOverride>
  </w:num>
  <w:num w:numId="14">
    <w:abstractNumId w:val="12"/>
    <w:lvlOverride w:ilvl="1">
      <w:startOverride w:val="1"/>
    </w:lvlOverride>
  </w:num>
  <w:num w:numId="15">
    <w:abstractNumId w:val="12"/>
    <w:lvlOverride w:ilvl="2">
      <w:startOverride w:val="1"/>
    </w:lvlOverride>
  </w:num>
  <w:num w:numId="16">
    <w:abstractNumId w:val="2"/>
  </w:num>
  <w:num w:numId="17">
    <w:abstractNumId w:val="2"/>
    <w:lvlOverride w:ilvl="0">
      <w:startOverride w:val="1"/>
    </w:lvlOverride>
  </w:num>
  <w:num w:numId="18">
    <w:abstractNumId w:val="2"/>
    <w:lvlOverride w:ilvl="1">
      <w:startOverride w:val="1"/>
    </w:lvlOverride>
  </w:num>
  <w:num w:numId="19">
    <w:abstractNumId w:val="11"/>
  </w:num>
  <w:num w:numId="20">
    <w:abstractNumId w:val="11"/>
    <w:lvlOverride w:ilvl="0">
      <w:startOverride w:val="1"/>
    </w:lvlOverride>
  </w:num>
  <w:num w:numId="21">
    <w:abstractNumId w:val="18"/>
  </w:num>
  <w:num w:numId="22">
    <w:abstractNumId w:val="18"/>
    <w:lvlOverride w:ilvl="2">
      <w:startOverride w:val="1"/>
    </w:lvlOverride>
  </w:num>
  <w:num w:numId="23">
    <w:abstractNumId w:val="4"/>
  </w:num>
  <w:num w:numId="24">
    <w:abstractNumId w:val="4"/>
    <w:lvlOverride w:ilvl="0">
      <w:startOverride w:val="1"/>
    </w:lvlOverride>
  </w:num>
  <w:num w:numId="25">
    <w:abstractNumId w:val="6"/>
  </w:num>
  <w:num w:numId="26">
    <w:abstractNumId w:val="6"/>
    <w:lvlOverride w:ilvl="0">
      <w:startOverride w:val="1"/>
    </w:lvlOverride>
  </w:num>
  <w:num w:numId="27">
    <w:abstractNumId w:val="6"/>
    <w:lvlOverride w:ilvl="1">
      <w:startOverride w:val="1"/>
    </w:lvlOverride>
  </w:num>
  <w:num w:numId="28">
    <w:abstractNumId w:val="6"/>
    <w:lvlOverride w:ilvl="1">
      <w:startOverride w:val="1"/>
    </w:lvlOverride>
  </w:num>
  <w:num w:numId="29">
    <w:abstractNumId w:val="6"/>
    <w:lvlOverride w:ilvl="2">
      <w:startOverride w:val="1"/>
    </w:lvlOverride>
  </w:num>
  <w:num w:numId="30">
    <w:abstractNumId w:val="6"/>
    <w:lvlOverride w:ilvl="2">
      <w:startOverride w:val="1"/>
    </w:lvlOverride>
  </w:num>
  <w:num w:numId="31">
    <w:abstractNumId w:val="6"/>
    <w:lvlOverride w:ilvl="3">
      <w:startOverride w:val="1"/>
    </w:lvlOverride>
  </w:num>
  <w:num w:numId="32">
    <w:abstractNumId w:val="6"/>
    <w:lvlOverride w:ilvl="3">
      <w:startOverride w:val="1"/>
    </w:lvlOverride>
  </w:num>
  <w:num w:numId="33">
    <w:abstractNumId w:val="6"/>
    <w:lvlOverride w:ilvl="1">
      <w:startOverride w:val="1"/>
    </w:lvlOverride>
  </w:num>
  <w:num w:numId="34">
    <w:abstractNumId w:val="15"/>
  </w:num>
  <w:num w:numId="35">
    <w:abstractNumId w:val="15"/>
    <w:lvlOverride w:ilvl="2">
      <w:startOverride w:val="1"/>
    </w:lvlOverride>
  </w:num>
  <w:num w:numId="36">
    <w:abstractNumId w:val="15"/>
    <w:lvlOverride w:ilvl="4">
      <w:startOverride w:val="1"/>
    </w:lvlOverride>
  </w:num>
  <w:num w:numId="37">
    <w:abstractNumId w:val="17"/>
  </w:num>
  <w:num w:numId="38">
    <w:abstractNumId w:val="17"/>
    <w:lvlOverride w:ilvl="0">
      <w:startOverride w:val="1"/>
    </w:lvlOverride>
  </w:num>
  <w:num w:numId="39">
    <w:abstractNumId w:val="5"/>
  </w:num>
  <w:num w:numId="40">
    <w:abstractNumId w:val="5"/>
    <w:lvlOverride w:ilvl="0">
      <w:startOverride w:val="1"/>
    </w:lvlOverride>
  </w:num>
  <w:num w:numId="41">
    <w:abstractNumId w:val="1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3DA"/>
    <w:rsid w:val="000D7CAF"/>
    <w:rsid w:val="001472B1"/>
    <w:rsid w:val="002228AB"/>
    <w:rsid w:val="0032461D"/>
    <w:rsid w:val="00387425"/>
    <w:rsid w:val="00517F47"/>
    <w:rsid w:val="005B389D"/>
    <w:rsid w:val="006153DA"/>
    <w:rsid w:val="006367DC"/>
    <w:rsid w:val="00645703"/>
    <w:rsid w:val="00645E1C"/>
    <w:rsid w:val="006A3542"/>
    <w:rsid w:val="00757B52"/>
    <w:rsid w:val="00812ED6"/>
    <w:rsid w:val="00834598"/>
    <w:rsid w:val="00845D42"/>
    <w:rsid w:val="008D2A52"/>
    <w:rsid w:val="00AD62EF"/>
    <w:rsid w:val="00CF6858"/>
    <w:rsid w:val="00F97084"/>
    <w:rsid w:val="00FB2C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8D2A52"/>
    <w:pPr>
      <w:keepNext/>
      <w:keepLines/>
      <w:spacing w:before="480" w:after="0"/>
      <w:outlineLvl w:val="0"/>
    </w:pPr>
    <w:rPr>
      <w:rFonts w:ascii="Calibri" w:eastAsia="MS Gothic" w:hAnsi="Calibri" w:cs="Times New Roman"/>
      <w:b/>
      <w:bCs/>
      <w:color w:val="365F91"/>
      <w:sz w:val="28"/>
      <w:szCs w:val="28"/>
      <w:lang w:eastAsia="pt-BR"/>
    </w:rPr>
  </w:style>
  <w:style w:type="paragraph" w:styleId="Ttulo2">
    <w:name w:val="heading 2"/>
    <w:basedOn w:val="Normal"/>
    <w:next w:val="Normal"/>
    <w:link w:val="Ttulo2Char"/>
    <w:semiHidden/>
    <w:unhideWhenUsed/>
    <w:qFormat/>
    <w:rsid w:val="008D2A52"/>
    <w:pPr>
      <w:keepNext/>
      <w:keepLines/>
      <w:spacing w:before="200" w:after="0"/>
      <w:outlineLvl w:val="1"/>
    </w:pPr>
    <w:rPr>
      <w:b/>
      <w:color w:val="000000"/>
      <w:sz w:val="24"/>
      <w:lang w:eastAsia="pt-BR"/>
    </w:rPr>
  </w:style>
  <w:style w:type="paragraph" w:styleId="Ttulo3">
    <w:name w:val="heading 3"/>
    <w:basedOn w:val="Normal"/>
    <w:next w:val="Normal"/>
    <w:link w:val="Ttulo3Char"/>
    <w:uiPriority w:val="9"/>
    <w:semiHidden/>
    <w:unhideWhenUsed/>
    <w:qFormat/>
    <w:rsid w:val="008D2A52"/>
    <w:pPr>
      <w:keepNext/>
      <w:keepLines/>
      <w:spacing w:before="200" w:after="0"/>
      <w:outlineLvl w:val="2"/>
    </w:pPr>
    <w:rPr>
      <w:rFonts w:ascii="Calibri" w:eastAsia="MS Gothic" w:hAnsi="Calibri" w:cs="Times New Roman"/>
      <w:color w:val="243F60"/>
      <w:sz w:val="24"/>
      <w:szCs w:val="24"/>
    </w:rPr>
  </w:style>
  <w:style w:type="paragraph" w:styleId="Ttulo4">
    <w:name w:val="heading 4"/>
    <w:basedOn w:val="Normal"/>
    <w:next w:val="Normal"/>
    <w:link w:val="Ttulo4Char"/>
    <w:semiHidden/>
    <w:unhideWhenUsed/>
    <w:qFormat/>
    <w:rsid w:val="008D2A52"/>
    <w:pPr>
      <w:keepNext/>
      <w:keepLines/>
      <w:spacing w:before="200" w:after="0"/>
      <w:outlineLvl w:val="3"/>
    </w:pPr>
    <w:rPr>
      <w:rFonts w:ascii="Calibri" w:eastAsia="MS Gothic" w:hAnsi="Calibri" w:cs="Times New Roman"/>
      <w:i/>
      <w:iCs/>
      <w:color w:val="365F91"/>
      <w:sz w:val="24"/>
      <w:szCs w:val="24"/>
      <w:lang w:eastAsia="pt-BR"/>
    </w:rPr>
  </w:style>
  <w:style w:type="paragraph" w:styleId="Ttulo6">
    <w:name w:val="heading 6"/>
    <w:basedOn w:val="Normal"/>
    <w:next w:val="Normal"/>
    <w:link w:val="Ttulo6Char"/>
    <w:uiPriority w:val="9"/>
    <w:semiHidden/>
    <w:unhideWhenUsed/>
    <w:qFormat/>
    <w:rsid w:val="008D2A52"/>
    <w:pPr>
      <w:keepNext/>
      <w:keepLines/>
      <w:spacing w:before="200" w:after="0"/>
      <w:outlineLvl w:val="5"/>
    </w:pPr>
    <w:rPr>
      <w:rFonts w:ascii="Calibri" w:eastAsia="MS Gothic" w:hAnsi="Calibri" w:cs="Times New Roman"/>
      <w:color w:val="243F6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6153D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odalidade">
    <w:name w:val="modalidade"/>
    <w:basedOn w:val="Fontepargpadro"/>
    <w:rsid w:val="006153DA"/>
  </w:style>
  <w:style w:type="character" w:styleId="Hyperlink">
    <w:name w:val="Hyperlink"/>
    <w:basedOn w:val="Fontepargpadro"/>
    <w:uiPriority w:val="99"/>
    <w:unhideWhenUsed/>
    <w:rsid w:val="006153DA"/>
    <w:rPr>
      <w:color w:val="0000FF"/>
      <w:u w:val="single"/>
    </w:rPr>
  </w:style>
  <w:style w:type="character" w:styleId="HiperlinkVisitado">
    <w:name w:val="FollowedHyperlink"/>
    <w:basedOn w:val="Fontepargpadro"/>
    <w:uiPriority w:val="99"/>
    <w:semiHidden/>
    <w:unhideWhenUsed/>
    <w:rsid w:val="006153DA"/>
    <w:rPr>
      <w:color w:val="800080"/>
      <w:u w:val="single"/>
    </w:rPr>
  </w:style>
  <w:style w:type="paragraph" w:customStyle="1" w:styleId="beforesub">
    <w:name w:val="beforesub"/>
    <w:basedOn w:val="Normal"/>
    <w:rsid w:val="006153D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1">
    <w:name w:val="Normal1"/>
    <w:basedOn w:val="Normal"/>
    <w:rsid w:val="006153D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ub1">
    <w:name w:val="sub1"/>
    <w:basedOn w:val="Normal"/>
    <w:rsid w:val="006153D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umeraparticipacao">
    <w:name w:val="numeraparticipacao"/>
    <w:basedOn w:val="Fontepargpadro"/>
    <w:rsid w:val="006153DA"/>
  </w:style>
  <w:style w:type="character" w:customStyle="1" w:styleId="layer1numeraparticipacao">
    <w:name w:val="layer1numeraparticipacao"/>
    <w:basedOn w:val="Fontepargpadro"/>
    <w:rsid w:val="006153DA"/>
  </w:style>
  <w:style w:type="character" w:customStyle="1" w:styleId="layer2numeraparticipacao">
    <w:name w:val="layer2numeraparticipacao"/>
    <w:basedOn w:val="Fontepargpadro"/>
    <w:rsid w:val="006153DA"/>
  </w:style>
  <w:style w:type="character" w:customStyle="1" w:styleId="numerasigiloso">
    <w:name w:val="numerasigiloso"/>
    <w:basedOn w:val="Fontepargpadro"/>
    <w:rsid w:val="006153DA"/>
  </w:style>
  <w:style w:type="character" w:customStyle="1" w:styleId="layer1numerasigiloso">
    <w:name w:val="layer1numerasigiloso"/>
    <w:basedOn w:val="Fontepargpadro"/>
    <w:rsid w:val="006153DA"/>
  </w:style>
  <w:style w:type="character" w:customStyle="1" w:styleId="numeraapresentacao">
    <w:name w:val="numeraapresentacao"/>
    <w:basedOn w:val="Fontepargpadro"/>
    <w:rsid w:val="006153DA"/>
  </w:style>
  <w:style w:type="character" w:customStyle="1" w:styleId="layer1numeraapresentacao">
    <w:name w:val="layer1numeraapresentacao"/>
    <w:basedOn w:val="Fontepargpadro"/>
    <w:rsid w:val="006153DA"/>
  </w:style>
  <w:style w:type="character" w:customStyle="1" w:styleId="layer2numeraapresentacao">
    <w:name w:val="layer2numeraapresentacao"/>
    <w:basedOn w:val="Fontepargpadro"/>
    <w:rsid w:val="006153DA"/>
  </w:style>
  <w:style w:type="character" w:customStyle="1" w:styleId="numeraproposta">
    <w:name w:val="numeraproposta"/>
    <w:basedOn w:val="Fontepargpadro"/>
    <w:rsid w:val="006153DA"/>
  </w:style>
  <w:style w:type="character" w:customStyle="1" w:styleId="layer1numeraproposta">
    <w:name w:val="layer1numeraproposta"/>
    <w:basedOn w:val="Fontepargpadro"/>
    <w:rsid w:val="006153DA"/>
  </w:style>
  <w:style w:type="character" w:customStyle="1" w:styleId="layer2numeraproposta">
    <w:name w:val="layer2numeraproposta"/>
    <w:basedOn w:val="Fontepargpadro"/>
    <w:rsid w:val="006153DA"/>
  </w:style>
  <w:style w:type="character" w:customStyle="1" w:styleId="numeraabertura">
    <w:name w:val="numeraabertura"/>
    <w:basedOn w:val="Fontepargpadro"/>
    <w:rsid w:val="006153DA"/>
  </w:style>
  <w:style w:type="character" w:customStyle="1" w:styleId="layer1numeraabertura">
    <w:name w:val="layer1numeraabertura"/>
    <w:basedOn w:val="Fontepargpadro"/>
    <w:rsid w:val="006153DA"/>
  </w:style>
  <w:style w:type="character" w:customStyle="1" w:styleId="agente">
    <w:name w:val="agente"/>
    <w:basedOn w:val="Fontepargpadro"/>
    <w:rsid w:val="006153DA"/>
  </w:style>
  <w:style w:type="character" w:customStyle="1" w:styleId="layer2numeraabertura">
    <w:name w:val="layer2numeraabertura"/>
    <w:basedOn w:val="Fontepargpadro"/>
    <w:rsid w:val="006153DA"/>
  </w:style>
  <w:style w:type="paragraph" w:customStyle="1" w:styleId="sub2">
    <w:name w:val="sub2"/>
    <w:basedOn w:val="Normal"/>
    <w:rsid w:val="006153D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umerajulgamento">
    <w:name w:val="numerajulgamento"/>
    <w:basedOn w:val="Fontepargpadro"/>
    <w:rsid w:val="006153DA"/>
  </w:style>
  <w:style w:type="character" w:customStyle="1" w:styleId="layer1numerajulgamento">
    <w:name w:val="layer1numerajulgamento"/>
    <w:basedOn w:val="Fontepargpadro"/>
    <w:rsid w:val="006153DA"/>
  </w:style>
  <w:style w:type="character" w:customStyle="1" w:styleId="layer2numerajulgamento">
    <w:name w:val="layer2numerajulgamento"/>
    <w:basedOn w:val="Fontepargpadro"/>
    <w:rsid w:val="006153DA"/>
  </w:style>
  <w:style w:type="character" w:customStyle="1" w:styleId="indproposta10">
    <w:name w:val="indproposta10"/>
    <w:basedOn w:val="Fontepargpadro"/>
    <w:rsid w:val="006153DA"/>
  </w:style>
  <w:style w:type="character" w:customStyle="1" w:styleId="indjulgamento9">
    <w:name w:val="indjulgamento9"/>
    <w:basedOn w:val="Fontepargpadro"/>
    <w:rsid w:val="006153DA"/>
  </w:style>
  <w:style w:type="character" w:customStyle="1" w:styleId="indjulgamento10">
    <w:name w:val="indjulgamento10"/>
    <w:basedOn w:val="Fontepargpadro"/>
    <w:rsid w:val="006153DA"/>
  </w:style>
  <w:style w:type="character" w:customStyle="1" w:styleId="indjulgamento11">
    <w:name w:val="indjulgamento11"/>
    <w:basedOn w:val="Fontepargpadro"/>
    <w:rsid w:val="006153DA"/>
  </w:style>
  <w:style w:type="character" w:customStyle="1" w:styleId="indjulgamento12">
    <w:name w:val="indjulgamento12"/>
    <w:basedOn w:val="Fontepargpadro"/>
    <w:rsid w:val="006153DA"/>
  </w:style>
  <w:style w:type="character" w:customStyle="1" w:styleId="numerahabilitacao">
    <w:name w:val="numerahabilitacao"/>
    <w:basedOn w:val="Fontepargpadro"/>
    <w:rsid w:val="006153DA"/>
  </w:style>
  <w:style w:type="character" w:customStyle="1" w:styleId="layer1numerahabilitacao">
    <w:name w:val="layer1numerahabilitacao"/>
    <w:basedOn w:val="Fontepargpadro"/>
    <w:rsid w:val="006153DA"/>
  </w:style>
  <w:style w:type="character" w:customStyle="1" w:styleId="layer2numerahabilitacao">
    <w:name w:val="layer2numerahabilitacao"/>
    <w:basedOn w:val="Fontepargpadro"/>
    <w:rsid w:val="006153DA"/>
  </w:style>
  <w:style w:type="character" w:customStyle="1" w:styleId="numeratermo">
    <w:name w:val="numeratermo"/>
    <w:basedOn w:val="Fontepargpadro"/>
    <w:rsid w:val="006153DA"/>
  </w:style>
  <w:style w:type="character" w:customStyle="1" w:styleId="layer1numeratermo">
    <w:name w:val="layer1numeratermo"/>
    <w:basedOn w:val="Fontepargpadro"/>
    <w:rsid w:val="006153DA"/>
  </w:style>
  <w:style w:type="character" w:customStyle="1" w:styleId="layer2numeratermo">
    <w:name w:val="layer2numeratermo"/>
    <w:basedOn w:val="Fontepargpadro"/>
    <w:rsid w:val="006153DA"/>
  </w:style>
  <w:style w:type="character" w:customStyle="1" w:styleId="numerarecursos">
    <w:name w:val="numerarecursos"/>
    <w:basedOn w:val="Fontepargpadro"/>
    <w:rsid w:val="006153DA"/>
  </w:style>
  <w:style w:type="character" w:customStyle="1" w:styleId="layer1numerarecursos">
    <w:name w:val="layer1numerarecursos"/>
    <w:basedOn w:val="Fontepargpadro"/>
    <w:rsid w:val="006153DA"/>
  </w:style>
  <w:style w:type="character" w:customStyle="1" w:styleId="layer2numerarecursos">
    <w:name w:val="layer2numerarecursos"/>
    <w:basedOn w:val="Fontepargpadro"/>
    <w:rsid w:val="006153DA"/>
  </w:style>
  <w:style w:type="character" w:customStyle="1" w:styleId="numerainfracoes">
    <w:name w:val="numerainfracoes"/>
    <w:basedOn w:val="Fontepargpadro"/>
    <w:rsid w:val="006153DA"/>
  </w:style>
  <w:style w:type="character" w:customStyle="1" w:styleId="layer1numerainfracoes">
    <w:name w:val="layer1numerainfracoes"/>
    <w:basedOn w:val="Fontepargpadro"/>
    <w:rsid w:val="006153DA"/>
  </w:style>
  <w:style w:type="character" w:customStyle="1" w:styleId="layer2numerainfracoes">
    <w:name w:val="layer2numerainfracoes"/>
    <w:basedOn w:val="Fontepargpadro"/>
    <w:rsid w:val="006153DA"/>
  </w:style>
  <w:style w:type="character" w:customStyle="1" w:styleId="numeraimpugnacao">
    <w:name w:val="numeraimpugnacao"/>
    <w:basedOn w:val="Fontepargpadro"/>
    <w:rsid w:val="006153DA"/>
  </w:style>
  <w:style w:type="character" w:customStyle="1" w:styleId="layer1numeraimpugnacao">
    <w:name w:val="layer1numeraimpugnacao"/>
    <w:basedOn w:val="Fontepargpadro"/>
    <w:rsid w:val="006153DA"/>
  </w:style>
  <w:style w:type="character" w:customStyle="1" w:styleId="numeragerais">
    <w:name w:val="numeragerais"/>
    <w:basedOn w:val="Fontepargpadro"/>
    <w:rsid w:val="006153DA"/>
  </w:style>
  <w:style w:type="character" w:customStyle="1" w:styleId="layer1numeragerais">
    <w:name w:val="layer1numeragerais"/>
    <w:basedOn w:val="Fontepargpadro"/>
    <w:rsid w:val="006153DA"/>
  </w:style>
  <w:style w:type="character" w:customStyle="1" w:styleId="layer2numeragerais">
    <w:name w:val="layer2numeragerais"/>
    <w:basedOn w:val="Fontepargpadro"/>
    <w:rsid w:val="006153DA"/>
  </w:style>
  <w:style w:type="character" w:customStyle="1" w:styleId="numanexop">
    <w:name w:val="numanexop"/>
    <w:basedOn w:val="Fontepargpadro"/>
    <w:rsid w:val="006153DA"/>
  </w:style>
  <w:style w:type="paragraph" w:customStyle="1" w:styleId="centralizado">
    <w:name w:val="centralizado"/>
    <w:basedOn w:val="Normal"/>
    <w:rsid w:val="006153D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6153D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153DA"/>
  </w:style>
  <w:style w:type="paragraph" w:styleId="Rodap">
    <w:name w:val="footer"/>
    <w:basedOn w:val="Normal"/>
    <w:link w:val="RodapChar"/>
    <w:uiPriority w:val="99"/>
    <w:unhideWhenUsed/>
    <w:rsid w:val="006153DA"/>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6153DA"/>
  </w:style>
  <w:style w:type="paragraph" w:customStyle="1" w:styleId="Ttulo11">
    <w:name w:val="Título 11"/>
    <w:basedOn w:val="Normal"/>
    <w:next w:val="Normal"/>
    <w:uiPriority w:val="9"/>
    <w:qFormat/>
    <w:rsid w:val="008D2A52"/>
    <w:pPr>
      <w:keepNext/>
      <w:keepLines/>
      <w:spacing w:before="480" w:after="0" w:line="240" w:lineRule="auto"/>
      <w:outlineLvl w:val="0"/>
    </w:pPr>
    <w:rPr>
      <w:rFonts w:ascii="Calibri" w:eastAsia="MS Gothic" w:hAnsi="Calibri" w:cs="Times New Roman"/>
      <w:b/>
      <w:bCs/>
      <w:color w:val="365F91"/>
      <w:sz w:val="28"/>
      <w:szCs w:val="28"/>
      <w:lang w:eastAsia="pt-BR"/>
    </w:rPr>
  </w:style>
  <w:style w:type="paragraph" w:customStyle="1" w:styleId="Ttulo21">
    <w:name w:val="Título 21"/>
    <w:basedOn w:val="Normal"/>
    <w:next w:val="Normal"/>
    <w:qFormat/>
    <w:rsid w:val="008D2A52"/>
    <w:pPr>
      <w:keepNext/>
      <w:tabs>
        <w:tab w:val="left" w:pos="1701"/>
      </w:tabs>
      <w:spacing w:after="0" w:line="240" w:lineRule="auto"/>
      <w:ind w:right="-1"/>
      <w:jc w:val="center"/>
      <w:outlineLvl w:val="1"/>
    </w:pPr>
    <w:rPr>
      <w:rFonts w:ascii="Times New Roman" w:eastAsia="MS Mincho" w:hAnsi="Times New Roman" w:cs="Times New Roman"/>
      <w:b/>
      <w:color w:val="000000"/>
      <w:sz w:val="24"/>
      <w:szCs w:val="20"/>
      <w:lang w:eastAsia="pt-BR"/>
    </w:rPr>
  </w:style>
  <w:style w:type="paragraph" w:customStyle="1" w:styleId="Ttulo31">
    <w:name w:val="Título 31"/>
    <w:basedOn w:val="Normal"/>
    <w:next w:val="Normal"/>
    <w:uiPriority w:val="9"/>
    <w:semiHidden/>
    <w:unhideWhenUsed/>
    <w:qFormat/>
    <w:rsid w:val="008D2A52"/>
    <w:pPr>
      <w:keepNext/>
      <w:keepLines/>
      <w:spacing w:before="40" w:after="0" w:line="259" w:lineRule="auto"/>
      <w:outlineLvl w:val="2"/>
    </w:pPr>
    <w:rPr>
      <w:rFonts w:ascii="Calibri" w:eastAsia="MS Gothic" w:hAnsi="Calibri" w:cs="Times New Roman"/>
      <w:color w:val="243F60"/>
      <w:sz w:val="24"/>
      <w:szCs w:val="24"/>
    </w:rPr>
  </w:style>
  <w:style w:type="paragraph" w:customStyle="1" w:styleId="Ttulo41">
    <w:name w:val="Título 41"/>
    <w:basedOn w:val="Normal"/>
    <w:next w:val="Normal"/>
    <w:semiHidden/>
    <w:unhideWhenUsed/>
    <w:qFormat/>
    <w:rsid w:val="008D2A52"/>
    <w:pPr>
      <w:keepNext/>
      <w:keepLines/>
      <w:spacing w:before="40" w:after="0" w:line="240" w:lineRule="auto"/>
      <w:outlineLvl w:val="3"/>
    </w:pPr>
    <w:rPr>
      <w:rFonts w:ascii="Calibri" w:eastAsia="MS Gothic" w:hAnsi="Calibri" w:cs="Times New Roman"/>
      <w:i/>
      <w:iCs/>
      <w:color w:val="365F91"/>
      <w:sz w:val="24"/>
      <w:szCs w:val="24"/>
      <w:lang w:eastAsia="pt-BR"/>
    </w:rPr>
  </w:style>
  <w:style w:type="paragraph" w:customStyle="1" w:styleId="Ttulo61">
    <w:name w:val="Título 61"/>
    <w:basedOn w:val="Normal"/>
    <w:next w:val="Normal"/>
    <w:uiPriority w:val="9"/>
    <w:semiHidden/>
    <w:unhideWhenUsed/>
    <w:qFormat/>
    <w:rsid w:val="008D2A52"/>
    <w:pPr>
      <w:keepNext/>
      <w:keepLines/>
      <w:spacing w:before="40" w:after="0" w:line="259" w:lineRule="auto"/>
      <w:outlineLvl w:val="5"/>
    </w:pPr>
    <w:rPr>
      <w:rFonts w:ascii="Calibri" w:eastAsia="MS Gothic" w:hAnsi="Calibri" w:cs="Times New Roman"/>
      <w:color w:val="243F60"/>
    </w:rPr>
  </w:style>
  <w:style w:type="numbering" w:customStyle="1" w:styleId="Semlista1">
    <w:name w:val="Sem lista1"/>
    <w:next w:val="Semlista"/>
    <w:uiPriority w:val="99"/>
    <w:semiHidden/>
    <w:unhideWhenUsed/>
    <w:rsid w:val="008D2A52"/>
  </w:style>
  <w:style w:type="character" w:customStyle="1" w:styleId="Ttulo1Char">
    <w:name w:val="Título 1 Char"/>
    <w:basedOn w:val="Fontepargpadro"/>
    <w:link w:val="Ttulo1"/>
    <w:uiPriority w:val="9"/>
    <w:rsid w:val="008D2A52"/>
    <w:rPr>
      <w:rFonts w:ascii="Calibri" w:eastAsia="MS Gothic" w:hAnsi="Calibri" w:cs="Times New Roman"/>
      <w:b/>
      <w:bCs/>
      <w:color w:val="365F91"/>
      <w:sz w:val="28"/>
      <w:szCs w:val="28"/>
      <w:lang w:eastAsia="pt-BR"/>
    </w:rPr>
  </w:style>
  <w:style w:type="character" w:customStyle="1" w:styleId="Ttulo2Char">
    <w:name w:val="Título 2 Char"/>
    <w:basedOn w:val="Fontepargpadro"/>
    <w:link w:val="Ttulo2"/>
    <w:rsid w:val="008D2A52"/>
    <w:rPr>
      <w:b/>
      <w:color w:val="000000"/>
      <w:sz w:val="24"/>
      <w:lang w:eastAsia="pt-BR"/>
    </w:rPr>
  </w:style>
  <w:style w:type="character" w:customStyle="1" w:styleId="Ttulo3Char">
    <w:name w:val="Título 3 Char"/>
    <w:basedOn w:val="Fontepargpadro"/>
    <w:link w:val="Ttulo3"/>
    <w:uiPriority w:val="9"/>
    <w:semiHidden/>
    <w:rsid w:val="008D2A52"/>
    <w:rPr>
      <w:rFonts w:ascii="Calibri" w:eastAsia="MS Gothic" w:hAnsi="Calibri" w:cs="Times New Roman"/>
      <w:color w:val="243F60"/>
      <w:sz w:val="24"/>
      <w:szCs w:val="24"/>
    </w:rPr>
  </w:style>
  <w:style w:type="character" w:customStyle="1" w:styleId="Ttulo4Char">
    <w:name w:val="Título 4 Char"/>
    <w:basedOn w:val="Fontepargpadro"/>
    <w:link w:val="Ttulo4"/>
    <w:semiHidden/>
    <w:rsid w:val="008D2A52"/>
    <w:rPr>
      <w:rFonts w:ascii="Calibri" w:eastAsia="MS Gothic" w:hAnsi="Calibri" w:cs="Times New Roman"/>
      <w:i/>
      <w:iCs/>
      <w:color w:val="365F91"/>
      <w:sz w:val="24"/>
      <w:szCs w:val="24"/>
      <w:lang w:eastAsia="pt-BR"/>
    </w:rPr>
  </w:style>
  <w:style w:type="character" w:customStyle="1" w:styleId="Ttulo6Char">
    <w:name w:val="Título 6 Char"/>
    <w:basedOn w:val="Fontepargpadro"/>
    <w:link w:val="Ttulo6"/>
    <w:uiPriority w:val="9"/>
    <w:semiHidden/>
    <w:rsid w:val="008D2A52"/>
    <w:rPr>
      <w:rFonts w:ascii="Calibri" w:eastAsia="MS Gothic" w:hAnsi="Calibri" w:cs="Times New Roman"/>
      <w:color w:val="243F60"/>
      <w:sz w:val="22"/>
      <w:szCs w:val="22"/>
    </w:rPr>
  </w:style>
  <w:style w:type="paragraph" w:customStyle="1" w:styleId="PargrafodaLista1">
    <w:name w:val="Parágrafo da Lista1"/>
    <w:basedOn w:val="Normal"/>
    <w:next w:val="PargrafodaLista"/>
    <w:link w:val="PargrafodaListaChar"/>
    <w:uiPriority w:val="99"/>
    <w:qFormat/>
    <w:rsid w:val="008D2A52"/>
    <w:pPr>
      <w:spacing w:after="0" w:line="240" w:lineRule="auto"/>
      <w:ind w:left="720"/>
      <w:contextualSpacing/>
    </w:pPr>
    <w:rPr>
      <w:rFonts w:ascii="Ecofont_Spranq_eco_Sans" w:eastAsia="MS Mincho" w:hAnsi="Ecofont_Spranq_eco_Sans" w:cs="Tahoma"/>
      <w:sz w:val="24"/>
      <w:szCs w:val="24"/>
      <w:lang w:eastAsia="pt-BR"/>
    </w:rPr>
  </w:style>
  <w:style w:type="paragraph" w:customStyle="1" w:styleId="Textodebalo1">
    <w:name w:val="Texto de balão1"/>
    <w:basedOn w:val="Normal"/>
    <w:next w:val="Textodebalo"/>
    <w:link w:val="TextodebaloChar"/>
    <w:uiPriority w:val="99"/>
    <w:rsid w:val="008D2A52"/>
    <w:pPr>
      <w:spacing w:after="0" w:line="240" w:lineRule="auto"/>
    </w:pPr>
    <w:rPr>
      <w:rFonts w:ascii="Tahoma" w:hAnsi="Tahoma" w:cs="Tahoma"/>
      <w:sz w:val="16"/>
      <w:szCs w:val="16"/>
      <w:lang w:eastAsia="pt-BR"/>
    </w:rPr>
  </w:style>
  <w:style w:type="character" w:customStyle="1" w:styleId="TextodebaloChar">
    <w:name w:val="Texto de balão Char"/>
    <w:basedOn w:val="Fontepargpadro"/>
    <w:link w:val="Textodebalo1"/>
    <w:uiPriority w:val="99"/>
    <w:rsid w:val="008D2A52"/>
    <w:rPr>
      <w:rFonts w:ascii="Tahoma" w:hAnsi="Tahoma" w:cs="Tahoma"/>
      <w:sz w:val="16"/>
      <w:szCs w:val="16"/>
      <w:lang w:eastAsia="pt-BR"/>
    </w:rPr>
  </w:style>
  <w:style w:type="paragraph" w:customStyle="1" w:styleId="Nvel2">
    <w:name w:val="Nível 2"/>
    <w:basedOn w:val="Normal"/>
    <w:next w:val="Normal"/>
    <w:uiPriority w:val="99"/>
    <w:rsid w:val="008D2A52"/>
    <w:pPr>
      <w:spacing w:after="120" w:line="240" w:lineRule="auto"/>
      <w:jc w:val="both"/>
    </w:pPr>
    <w:rPr>
      <w:rFonts w:ascii="Arial" w:eastAsia="MS Mincho" w:hAnsi="Arial" w:cs="Times New Roman"/>
      <w:b/>
      <w:sz w:val="24"/>
      <w:szCs w:val="20"/>
      <w:lang w:eastAsia="pt-BR"/>
    </w:rPr>
  </w:style>
  <w:style w:type="character" w:customStyle="1" w:styleId="normalchar1">
    <w:name w:val="normal__char1"/>
    <w:rsid w:val="008D2A52"/>
    <w:rPr>
      <w:rFonts w:ascii="Arial" w:hAnsi="Arial" w:cs="Arial" w:hint="default"/>
      <w:strike w:val="0"/>
      <w:dstrike w:val="0"/>
      <w:sz w:val="24"/>
      <w:szCs w:val="24"/>
      <w:u w:val="none"/>
      <w:effect w:val="none"/>
    </w:rPr>
  </w:style>
  <w:style w:type="character" w:customStyle="1" w:styleId="apple-style-span">
    <w:name w:val="apple-style-span"/>
    <w:basedOn w:val="Fontepargpadro"/>
    <w:rsid w:val="008D2A52"/>
  </w:style>
  <w:style w:type="paragraph" w:styleId="Citao">
    <w:name w:val="Quote"/>
    <w:aliases w:val="TCU,Citação AGU,NotaExplicativa"/>
    <w:basedOn w:val="Normal"/>
    <w:next w:val="Normal"/>
    <w:link w:val="CitaoChar"/>
    <w:qFormat/>
    <w:rsid w:val="008D2A5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8D2A52"/>
    <w:rPr>
      <w:rFonts w:ascii="Arial" w:eastAsia="Calibri" w:hAnsi="Arial" w:cs="Tahoma"/>
      <w:i/>
      <w:iCs/>
      <w:color w:val="000000"/>
      <w:sz w:val="20"/>
      <w:szCs w:val="24"/>
      <w:shd w:val="clear" w:color="auto" w:fill="FFFFCC"/>
    </w:rPr>
  </w:style>
  <w:style w:type="paragraph" w:customStyle="1" w:styleId="Commarcadores51">
    <w:name w:val="Com marcadores 51"/>
    <w:basedOn w:val="Normal"/>
    <w:next w:val="Commarcadores5"/>
    <w:uiPriority w:val="99"/>
    <w:rsid w:val="008D2A52"/>
    <w:pPr>
      <w:numPr>
        <w:numId w:val="2"/>
      </w:numPr>
      <w:spacing w:after="0" w:line="240" w:lineRule="auto"/>
      <w:contextualSpacing/>
    </w:pPr>
    <w:rPr>
      <w:rFonts w:ascii="Ecofont_Spranq_eco_Sans" w:eastAsia="MS Mincho" w:hAnsi="Ecofont_Spranq_eco_Sans" w:cs="Tahoma"/>
      <w:sz w:val="24"/>
      <w:szCs w:val="24"/>
      <w:lang w:eastAsia="pt-BR"/>
    </w:rPr>
  </w:style>
  <w:style w:type="paragraph" w:customStyle="1" w:styleId="Notaexplicativa">
    <w:name w:val="Nota explicativa"/>
    <w:basedOn w:val="Citao"/>
    <w:link w:val="NotaexplicativaChar"/>
    <w:qFormat/>
    <w:rsid w:val="008D2A52"/>
  </w:style>
  <w:style w:type="character" w:customStyle="1" w:styleId="NotaexplicativaChar">
    <w:name w:val="Nota explicativa Char"/>
    <w:basedOn w:val="CitaoChar"/>
    <w:link w:val="Notaexplicativa"/>
    <w:rsid w:val="008D2A52"/>
    <w:rPr>
      <w:rFonts w:ascii="Arial" w:eastAsia="Calibri" w:hAnsi="Arial" w:cs="Tahoma"/>
      <w:i/>
      <w:iCs/>
      <w:color w:val="000000"/>
      <w:sz w:val="20"/>
      <w:szCs w:val="24"/>
      <w:shd w:val="clear" w:color="auto" w:fill="FFFFCC"/>
    </w:rPr>
  </w:style>
  <w:style w:type="numbering" w:customStyle="1" w:styleId="Estilo1">
    <w:name w:val="Estilo1"/>
    <w:uiPriority w:val="99"/>
    <w:rsid w:val="008D2A52"/>
    <w:pPr>
      <w:numPr>
        <w:numId w:val="3"/>
      </w:numPr>
    </w:pPr>
  </w:style>
  <w:style w:type="numbering" w:customStyle="1" w:styleId="Estilo2">
    <w:name w:val="Estilo2"/>
    <w:uiPriority w:val="99"/>
    <w:rsid w:val="008D2A52"/>
    <w:pPr>
      <w:numPr>
        <w:numId w:val="4"/>
      </w:numPr>
    </w:pPr>
  </w:style>
  <w:style w:type="numbering" w:customStyle="1" w:styleId="Estilo3">
    <w:name w:val="Estilo3"/>
    <w:uiPriority w:val="99"/>
    <w:rsid w:val="008D2A52"/>
    <w:pPr>
      <w:numPr>
        <w:numId w:val="5"/>
      </w:numPr>
    </w:pPr>
  </w:style>
  <w:style w:type="numbering" w:customStyle="1" w:styleId="Estilo4">
    <w:name w:val="Estilo4"/>
    <w:uiPriority w:val="99"/>
    <w:rsid w:val="008D2A52"/>
    <w:pPr>
      <w:numPr>
        <w:numId w:val="6"/>
      </w:numPr>
    </w:pPr>
  </w:style>
  <w:style w:type="numbering" w:customStyle="1" w:styleId="Estilo5">
    <w:name w:val="Estilo5"/>
    <w:uiPriority w:val="99"/>
    <w:rsid w:val="008D2A52"/>
    <w:pPr>
      <w:numPr>
        <w:numId w:val="7"/>
      </w:numPr>
    </w:pPr>
  </w:style>
  <w:style w:type="numbering" w:customStyle="1" w:styleId="Estilo6">
    <w:name w:val="Estilo6"/>
    <w:uiPriority w:val="99"/>
    <w:rsid w:val="008D2A52"/>
    <w:pPr>
      <w:numPr>
        <w:numId w:val="8"/>
      </w:numPr>
    </w:pPr>
  </w:style>
  <w:style w:type="character" w:styleId="Refdecomentrio">
    <w:name w:val="annotation reference"/>
    <w:basedOn w:val="Fontepargpadro"/>
    <w:unhideWhenUsed/>
    <w:qFormat/>
    <w:rsid w:val="008D2A52"/>
    <w:rPr>
      <w:sz w:val="16"/>
      <w:szCs w:val="16"/>
    </w:rPr>
  </w:style>
  <w:style w:type="paragraph" w:customStyle="1" w:styleId="Textodecomentrio1">
    <w:name w:val="Texto de comentário1"/>
    <w:basedOn w:val="Normal"/>
    <w:next w:val="Textodecomentrio"/>
    <w:link w:val="TextodecomentrioChar"/>
    <w:uiPriority w:val="99"/>
    <w:unhideWhenUsed/>
    <w:qFormat/>
    <w:rsid w:val="008D2A52"/>
    <w:pPr>
      <w:spacing w:after="0" w:line="240" w:lineRule="auto"/>
    </w:pPr>
    <w:rPr>
      <w:rFonts w:ascii="Ecofont_Spranq_eco_Sans" w:hAnsi="Ecofont_Spranq_eco_Sans" w:cs="Tahoma"/>
      <w:lang w:eastAsia="pt-BR"/>
    </w:rPr>
  </w:style>
  <w:style w:type="character" w:customStyle="1" w:styleId="TextodecomentrioChar">
    <w:name w:val="Texto de comentário Char"/>
    <w:basedOn w:val="Fontepargpadro"/>
    <w:link w:val="Textodecomentrio1"/>
    <w:uiPriority w:val="99"/>
    <w:qFormat/>
    <w:rsid w:val="008D2A52"/>
    <w:rPr>
      <w:rFonts w:ascii="Ecofont_Spranq_eco_Sans" w:hAnsi="Ecofont_Spranq_eco_Sans" w:cs="Tahoma"/>
      <w:lang w:eastAsia="pt-BR"/>
    </w:rPr>
  </w:style>
  <w:style w:type="paragraph" w:customStyle="1" w:styleId="Assuntodocomentrio1">
    <w:name w:val="Assunto do comentário1"/>
    <w:basedOn w:val="Textodecomentrio"/>
    <w:next w:val="Textodecomentrio"/>
    <w:uiPriority w:val="99"/>
    <w:semiHidden/>
    <w:unhideWhenUsed/>
    <w:rsid w:val="008D2A52"/>
    <w:pPr>
      <w:spacing w:after="0"/>
    </w:pPr>
    <w:rPr>
      <w:rFonts w:ascii="Ecofont_Spranq_eco_Sans" w:eastAsia="MS Mincho" w:hAnsi="Ecofont_Spranq_eco_Sans" w:cs="Tahoma"/>
      <w:b/>
      <w:bCs/>
      <w:lang w:eastAsia="pt-BR"/>
    </w:rPr>
  </w:style>
  <w:style w:type="character" w:customStyle="1" w:styleId="AssuntodocomentrioChar">
    <w:name w:val="Assunto do comentário Char"/>
    <w:basedOn w:val="TextodecomentrioChar"/>
    <w:link w:val="Assuntodocomentrio"/>
    <w:uiPriority w:val="99"/>
    <w:semiHidden/>
    <w:rsid w:val="008D2A52"/>
    <w:rPr>
      <w:rFonts w:ascii="Ecofont_Spranq_eco_Sans" w:hAnsi="Ecofont_Spranq_eco_Sans" w:cs="Tahoma"/>
      <w:b/>
      <w:bCs/>
      <w:lang w:eastAsia="pt-BR"/>
    </w:rPr>
  </w:style>
  <w:style w:type="paragraph" w:customStyle="1" w:styleId="Nivel01">
    <w:name w:val="Nivel 01"/>
    <w:basedOn w:val="Ttulo1"/>
    <w:next w:val="Normal"/>
    <w:link w:val="Nivel01Char"/>
    <w:qFormat/>
    <w:rsid w:val="008D2A52"/>
    <w:pPr>
      <w:numPr>
        <w:numId w:val="1"/>
      </w:numPr>
      <w:ind w:left="0" w:firstLine="0"/>
    </w:pPr>
    <w:rPr>
      <w:spacing w:val="5"/>
      <w:kern w:val="28"/>
    </w:rPr>
  </w:style>
  <w:style w:type="paragraph" w:customStyle="1" w:styleId="Nivel01Titulo">
    <w:name w:val="Nivel_01_Titulo"/>
    <w:basedOn w:val="Nivel01"/>
    <w:link w:val="Nivel01TituloChar"/>
    <w:uiPriority w:val="99"/>
    <w:qFormat/>
    <w:rsid w:val="008D2A52"/>
  </w:style>
  <w:style w:type="paragraph" w:customStyle="1" w:styleId="Ttulo10">
    <w:name w:val="Título1"/>
    <w:basedOn w:val="Normal"/>
    <w:next w:val="Normal"/>
    <w:uiPriority w:val="10"/>
    <w:qFormat/>
    <w:rsid w:val="008D2A52"/>
    <w:pPr>
      <w:pBdr>
        <w:bottom w:val="single" w:sz="8" w:space="4" w:color="4F81BD"/>
      </w:pBdr>
      <w:spacing w:after="300" w:line="240" w:lineRule="auto"/>
      <w:contextualSpacing/>
    </w:pPr>
    <w:rPr>
      <w:rFonts w:ascii="Calibri" w:eastAsia="MS Gothic" w:hAnsi="Calibri" w:cs="Times New Roman"/>
      <w:color w:val="17365D"/>
      <w:spacing w:val="5"/>
      <w:kern w:val="28"/>
      <w:sz w:val="52"/>
      <w:szCs w:val="52"/>
      <w:lang w:eastAsia="pt-BR"/>
    </w:rPr>
  </w:style>
  <w:style w:type="character" w:customStyle="1" w:styleId="TtuloChar">
    <w:name w:val="Título Char"/>
    <w:basedOn w:val="Fontepargpadro"/>
    <w:link w:val="Ttulo"/>
    <w:uiPriority w:val="10"/>
    <w:rsid w:val="008D2A52"/>
    <w:rPr>
      <w:rFonts w:ascii="Calibri" w:eastAsia="MS Gothic" w:hAnsi="Calibri" w:cs="Times New Roman"/>
      <w:color w:val="17365D"/>
      <w:spacing w:val="5"/>
      <w:kern w:val="28"/>
      <w:sz w:val="52"/>
      <w:szCs w:val="52"/>
      <w:lang w:eastAsia="pt-BR"/>
    </w:rPr>
  </w:style>
  <w:style w:type="character" w:customStyle="1" w:styleId="Nivel01Char">
    <w:name w:val="Nivel 01 Char"/>
    <w:basedOn w:val="TtuloChar"/>
    <w:link w:val="Nivel01"/>
    <w:rsid w:val="008D2A52"/>
    <w:rPr>
      <w:rFonts w:ascii="Calibri" w:eastAsia="MS Gothic" w:hAnsi="Calibri" w:cs="Times New Roman"/>
      <w:b/>
      <w:bCs/>
      <w:color w:val="365F91"/>
      <w:spacing w:val="5"/>
      <w:kern w:val="28"/>
      <w:sz w:val="28"/>
      <w:szCs w:val="28"/>
      <w:lang w:eastAsia="pt-BR"/>
    </w:rPr>
  </w:style>
  <w:style w:type="character" w:customStyle="1" w:styleId="Nivel01TituloChar">
    <w:name w:val="Nivel_01_Titulo Char"/>
    <w:basedOn w:val="Nivel01Char"/>
    <w:link w:val="Nivel01Titulo"/>
    <w:uiPriority w:val="99"/>
    <w:qFormat/>
    <w:rsid w:val="008D2A52"/>
    <w:rPr>
      <w:rFonts w:ascii="Calibri" w:eastAsia="MS Gothic" w:hAnsi="Calibri" w:cs="Times New Roman"/>
      <w:b/>
      <w:bCs/>
      <w:color w:val="365F91"/>
      <w:spacing w:val="5"/>
      <w:kern w:val="28"/>
      <w:sz w:val="28"/>
      <w:szCs w:val="28"/>
      <w:lang w:eastAsia="pt-BR"/>
    </w:rPr>
  </w:style>
  <w:style w:type="table" w:customStyle="1" w:styleId="Tabelacomgrade1">
    <w:name w:val="Tabela com grade1"/>
    <w:basedOn w:val="Tabelanormal"/>
    <w:next w:val="Tabelacomgrade"/>
    <w:uiPriority w:val="59"/>
    <w:rsid w:val="008D2A52"/>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uiPriority w:val="99"/>
    <w:qFormat/>
    <w:rsid w:val="008D2A52"/>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8D2A5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8D2A5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8D2A52"/>
  </w:style>
  <w:style w:type="character" w:customStyle="1" w:styleId="eop">
    <w:name w:val="eop"/>
    <w:basedOn w:val="Fontepargpadro"/>
    <w:rsid w:val="008D2A52"/>
  </w:style>
  <w:style w:type="character" w:customStyle="1" w:styleId="spellingerror">
    <w:name w:val="spellingerror"/>
    <w:basedOn w:val="Fontepargpadro"/>
    <w:rsid w:val="008D2A52"/>
  </w:style>
  <w:style w:type="paragraph" w:styleId="Corpodetexto">
    <w:name w:val="Body Text"/>
    <w:basedOn w:val="Normal"/>
    <w:link w:val="CorpodetextoChar"/>
    <w:uiPriority w:val="1"/>
    <w:unhideWhenUsed/>
    <w:qFormat/>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uiPriority w:val="1"/>
    <w:rsid w:val="008D2A52"/>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8D2A52"/>
  </w:style>
  <w:style w:type="character" w:customStyle="1" w:styleId="Nivel1Char">
    <w:name w:val="Nivel1 Char"/>
    <w:basedOn w:val="Ttulo1Char"/>
    <w:link w:val="Nivel1"/>
    <w:rsid w:val="008D2A52"/>
    <w:rPr>
      <w:rFonts w:ascii="Calibri" w:eastAsia="MS Gothic" w:hAnsi="Calibri" w:cs="Times New Roman"/>
      <w:b/>
      <w:bCs/>
      <w:color w:val="365F91"/>
      <w:sz w:val="28"/>
      <w:szCs w:val="28"/>
      <w:lang w:eastAsia="pt-BR"/>
    </w:rPr>
  </w:style>
  <w:style w:type="paragraph" w:customStyle="1" w:styleId="Nivel2">
    <w:name w:val="Nivel 2"/>
    <w:basedOn w:val="Normal"/>
    <w:link w:val="Nivel2Char"/>
    <w:qFormat/>
    <w:rsid w:val="008D2A52"/>
    <w:pPr>
      <w:numPr>
        <w:ilvl w:val="1"/>
        <w:numId w:val="1"/>
      </w:numPr>
      <w:spacing w:before="120" w:after="120"/>
      <w:ind w:left="0" w:firstLine="0"/>
      <w:jc w:val="both"/>
    </w:pPr>
    <w:rPr>
      <w:rFonts w:ascii="Arial" w:eastAsia="MS Mincho" w:hAnsi="Arial" w:cs="Arial"/>
      <w:color w:val="000000"/>
      <w:sz w:val="20"/>
      <w:szCs w:val="20"/>
      <w:lang w:eastAsia="pt-BR"/>
    </w:rPr>
  </w:style>
  <w:style w:type="paragraph" w:customStyle="1" w:styleId="Nivel10">
    <w:name w:val="Nivel 1"/>
    <w:basedOn w:val="Nivel2"/>
    <w:next w:val="Nivel2"/>
    <w:uiPriority w:val="99"/>
    <w:qFormat/>
    <w:rsid w:val="008D2A52"/>
    <w:pPr>
      <w:numPr>
        <w:ilvl w:val="0"/>
        <w:numId w:val="0"/>
      </w:numPr>
      <w:ind w:left="360" w:hanging="360"/>
    </w:pPr>
    <w:rPr>
      <w:b/>
    </w:rPr>
  </w:style>
  <w:style w:type="paragraph" w:customStyle="1" w:styleId="Nivel3">
    <w:name w:val="Nivel 3"/>
    <w:basedOn w:val="Normal"/>
    <w:link w:val="Nivel3Char"/>
    <w:qFormat/>
    <w:rsid w:val="008D2A52"/>
    <w:pPr>
      <w:numPr>
        <w:ilvl w:val="2"/>
        <w:numId w:val="1"/>
      </w:numPr>
      <w:spacing w:before="120" w:after="120"/>
      <w:ind w:left="425" w:firstLine="0"/>
      <w:jc w:val="both"/>
    </w:pPr>
    <w:rPr>
      <w:rFonts w:ascii="Arial" w:eastAsia="MS Mincho" w:hAnsi="Arial" w:cs="Arial"/>
      <w:color w:val="000000"/>
      <w:sz w:val="20"/>
      <w:szCs w:val="20"/>
      <w:lang w:eastAsia="pt-BR"/>
    </w:rPr>
  </w:style>
  <w:style w:type="paragraph" w:customStyle="1" w:styleId="Nivel4">
    <w:name w:val="Nivel 4"/>
    <w:basedOn w:val="Nivel3"/>
    <w:link w:val="Nivel4Char"/>
    <w:qFormat/>
    <w:rsid w:val="008D2A52"/>
    <w:pPr>
      <w:numPr>
        <w:ilvl w:val="3"/>
      </w:numPr>
      <w:ind w:left="851" w:firstLine="0"/>
    </w:pPr>
    <w:rPr>
      <w:color w:val="auto"/>
    </w:rPr>
  </w:style>
  <w:style w:type="paragraph" w:customStyle="1" w:styleId="Nivel5">
    <w:name w:val="Nivel 5"/>
    <w:basedOn w:val="Nivel4"/>
    <w:qFormat/>
    <w:rsid w:val="008D2A52"/>
    <w:pPr>
      <w:numPr>
        <w:ilvl w:val="4"/>
      </w:numPr>
      <w:ind w:left="1276" w:firstLine="0"/>
    </w:pPr>
  </w:style>
  <w:style w:type="character" w:customStyle="1" w:styleId="Nivel4Char">
    <w:name w:val="Nivel 4 Char"/>
    <w:basedOn w:val="Fontepargpadro"/>
    <w:link w:val="Nivel4"/>
    <w:rsid w:val="008D2A52"/>
    <w:rPr>
      <w:rFonts w:ascii="Arial" w:eastAsia="MS Mincho" w:hAnsi="Arial" w:cs="Arial"/>
      <w:sz w:val="20"/>
      <w:szCs w:val="20"/>
      <w:lang w:eastAsia="pt-BR"/>
    </w:rPr>
  </w:style>
  <w:style w:type="paragraph" w:customStyle="1" w:styleId="textbody">
    <w:name w:val="textbody"/>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uiPriority w:val="99"/>
    <w:rsid w:val="008D2A52"/>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8D2A5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D2A5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8D2A52"/>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8D2A52"/>
    <w:rPr>
      <w:b/>
      <w:bCs/>
    </w:rPr>
  </w:style>
  <w:style w:type="character" w:styleId="nfase">
    <w:name w:val="Emphasis"/>
    <w:basedOn w:val="Fontepargpadro"/>
    <w:uiPriority w:val="20"/>
    <w:qFormat/>
    <w:rsid w:val="008D2A52"/>
    <w:rPr>
      <w:i/>
      <w:iCs/>
    </w:rPr>
  </w:style>
  <w:style w:type="character" w:customStyle="1" w:styleId="Manoel">
    <w:name w:val="Manoel"/>
    <w:rsid w:val="008D2A52"/>
    <w:rPr>
      <w:rFonts w:ascii="Arial" w:hAnsi="Arial" w:cs="Arial"/>
      <w:color w:val="7030A0"/>
      <w:sz w:val="20"/>
    </w:rPr>
  </w:style>
  <w:style w:type="character" w:customStyle="1" w:styleId="ListLabel12">
    <w:name w:val="ListLabel 12"/>
    <w:rsid w:val="008D2A52"/>
    <w:rPr>
      <w:b/>
    </w:rPr>
  </w:style>
  <w:style w:type="paragraph" w:customStyle="1" w:styleId="texto1">
    <w:name w:val="texto1"/>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8D2A5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8D2A52"/>
    <w:rPr>
      <w:rFonts w:ascii="Arial" w:eastAsia="Calibri" w:hAnsi="Arial" w:cs="Times New Roman"/>
      <w:i/>
      <w:iCs/>
      <w:color w:val="000000"/>
      <w:sz w:val="20"/>
      <w:szCs w:val="24"/>
      <w:shd w:val="clear" w:color="auto" w:fill="FFFFCC"/>
    </w:rPr>
  </w:style>
  <w:style w:type="paragraph" w:customStyle="1" w:styleId="xwestern">
    <w:name w:val="x_western"/>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uiPriority w:val="99"/>
    <w:rsid w:val="008D2A52"/>
    <w:pPr>
      <w:spacing w:after="0" w:line="240" w:lineRule="auto"/>
      <w:ind w:firstLine="1134"/>
      <w:jc w:val="both"/>
    </w:pPr>
    <w:rPr>
      <w:rFonts w:ascii="Times New Roman" w:eastAsia="Times New Roman" w:hAnsi="Times New Roman" w:cs="Times New Roman"/>
      <w:sz w:val="24"/>
    </w:rPr>
  </w:style>
  <w:style w:type="paragraph" w:customStyle="1" w:styleId="Normal10">
    <w:name w:val="Normal_1"/>
    <w:uiPriority w:val="99"/>
    <w:rsid w:val="008D2A52"/>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8D2A52"/>
  </w:style>
  <w:style w:type="paragraph" w:customStyle="1" w:styleId="textojustificado">
    <w:name w:val="texto_justificado"/>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8D2A52"/>
    <w:rPr>
      <w:color w:val="605E5C"/>
      <w:shd w:val="clear" w:color="auto" w:fill="E1DFDD"/>
    </w:rPr>
  </w:style>
  <w:style w:type="character" w:customStyle="1" w:styleId="MenoPendente2">
    <w:name w:val="Menção Pendente2"/>
    <w:basedOn w:val="Fontepargpadro"/>
    <w:uiPriority w:val="99"/>
    <w:semiHidden/>
    <w:unhideWhenUsed/>
    <w:rsid w:val="008D2A52"/>
    <w:rPr>
      <w:color w:val="605E5C"/>
      <w:shd w:val="clear" w:color="auto" w:fill="E1DFDD"/>
    </w:rPr>
  </w:style>
  <w:style w:type="character" w:customStyle="1" w:styleId="Nivel2Char">
    <w:name w:val="Nivel 2 Char"/>
    <w:basedOn w:val="Fontepargpadro"/>
    <w:link w:val="Nivel2"/>
    <w:locked/>
    <w:rsid w:val="008D2A52"/>
    <w:rPr>
      <w:rFonts w:ascii="Arial" w:eastAsia="MS Mincho" w:hAnsi="Arial" w:cs="Arial"/>
      <w:color w:val="000000"/>
      <w:sz w:val="20"/>
      <w:szCs w:val="20"/>
      <w:lang w:eastAsia="pt-BR"/>
    </w:rPr>
  </w:style>
  <w:style w:type="paragraph" w:customStyle="1" w:styleId="Nvel2Opcional">
    <w:name w:val="Nível 2 Opcional"/>
    <w:basedOn w:val="Nivel2"/>
    <w:link w:val="Nvel2OpcionalChar"/>
    <w:qFormat/>
    <w:rsid w:val="008D2A52"/>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8D2A52"/>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8D2A52"/>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8D2A52"/>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8D2A52"/>
    <w:rPr>
      <w:color w:val="808080"/>
    </w:rPr>
  </w:style>
  <w:style w:type="character" w:customStyle="1" w:styleId="PargrafodaListaChar">
    <w:name w:val="Parágrafo da Lista Char"/>
    <w:basedOn w:val="Fontepargpadro"/>
    <w:link w:val="PargrafodaLista1"/>
    <w:uiPriority w:val="34"/>
    <w:rsid w:val="008D2A52"/>
    <w:rPr>
      <w:rFonts w:ascii="Ecofont_Spranq_eco_Sans" w:hAnsi="Ecofont_Spranq_eco_Sans" w:cs="Tahoma"/>
      <w:sz w:val="24"/>
      <w:szCs w:val="24"/>
      <w:lang w:eastAsia="pt-BR"/>
    </w:rPr>
  </w:style>
  <w:style w:type="paragraph" w:customStyle="1" w:styleId="SombreamentoMdio1-nfase31">
    <w:name w:val="Sombreamento Médio 1 - Ênfase 31"/>
    <w:basedOn w:val="Normal"/>
    <w:next w:val="Normal"/>
    <w:uiPriority w:val="99"/>
    <w:rsid w:val="008D2A52"/>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8D2A52"/>
  </w:style>
  <w:style w:type="paragraph" w:customStyle="1" w:styleId="Standard">
    <w:name w:val="Standard"/>
    <w:uiPriority w:val="99"/>
    <w:rsid w:val="008D2A52"/>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8D2A52"/>
    <w:pPr>
      <w:spacing w:after="140" w:line="276" w:lineRule="auto"/>
    </w:pPr>
  </w:style>
  <w:style w:type="character" w:customStyle="1" w:styleId="MenoPendente3">
    <w:name w:val="Menção Pendente3"/>
    <w:basedOn w:val="Fontepargpadro"/>
    <w:uiPriority w:val="99"/>
    <w:semiHidden/>
    <w:unhideWhenUsed/>
    <w:rsid w:val="008D2A52"/>
    <w:rPr>
      <w:color w:val="605E5C"/>
      <w:shd w:val="clear" w:color="auto" w:fill="E1DFDD"/>
    </w:rPr>
  </w:style>
  <w:style w:type="character" w:customStyle="1" w:styleId="MenoPendente4">
    <w:name w:val="Menção Pendente4"/>
    <w:basedOn w:val="Fontepargpadro"/>
    <w:uiPriority w:val="99"/>
    <w:semiHidden/>
    <w:unhideWhenUsed/>
    <w:rsid w:val="008D2A52"/>
    <w:rPr>
      <w:color w:val="605E5C"/>
      <w:shd w:val="clear" w:color="auto" w:fill="E1DFDD"/>
    </w:rPr>
  </w:style>
  <w:style w:type="paragraph" w:customStyle="1" w:styleId="ou">
    <w:name w:val="ou"/>
    <w:basedOn w:val="PargrafodaLista"/>
    <w:link w:val="ouChar"/>
    <w:qFormat/>
    <w:rsid w:val="008D2A52"/>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8D2A52"/>
    <w:rPr>
      <w:rFonts w:ascii="Arial" w:hAnsi="Arial" w:cs="Arial"/>
      <w:b/>
      <w:bCs/>
      <w:i/>
      <w:iCs/>
      <w:color w:val="FF0000"/>
      <w:sz w:val="24"/>
      <w:szCs w:val="24"/>
      <w:u w:val="single"/>
      <w:lang w:eastAsia="pt-BR"/>
    </w:rPr>
  </w:style>
  <w:style w:type="paragraph" w:customStyle="1" w:styleId="dou-paragraph">
    <w:name w:val="dou-paragraph"/>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2-Red">
    <w:name w:val="Nível 2 -Red"/>
    <w:basedOn w:val="Nivel2"/>
    <w:link w:val="Nvel2-RedChar"/>
    <w:qFormat/>
    <w:rsid w:val="008D2A52"/>
    <w:rPr>
      <w:i/>
      <w:iCs/>
      <w:color w:val="FF0000"/>
    </w:rPr>
  </w:style>
  <w:style w:type="paragraph" w:customStyle="1" w:styleId="Nvel3-R">
    <w:name w:val="Nível 3-R"/>
    <w:basedOn w:val="Nivel3"/>
    <w:link w:val="Nvel3-RChar"/>
    <w:uiPriority w:val="99"/>
    <w:qFormat/>
    <w:rsid w:val="008D2A52"/>
    <w:rPr>
      <w:i/>
      <w:iCs/>
      <w:color w:val="FF0000"/>
    </w:rPr>
  </w:style>
  <w:style w:type="character" w:customStyle="1" w:styleId="Nvel2-RedChar">
    <w:name w:val="Nível 2 -Red Char"/>
    <w:basedOn w:val="Nivel2Char"/>
    <w:link w:val="Nvel2-Red"/>
    <w:rsid w:val="008D2A52"/>
    <w:rPr>
      <w:rFonts w:ascii="Arial" w:eastAsia="MS Mincho" w:hAnsi="Arial" w:cs="Arial"/>
      <w:i/>
      <w:iCs/>
      <w:color w:val="FF0000"/>
      <w:sz w:val="20"/>
      <w:szCs w:val="20"/>
      <w:lang w:eastAsia="pt-BR"/>
    </w:rPr>
  </w:style>
  <w:style w:type="paragraph" w:customStyle="1" w:styleId="Nvel4-R">
    <w:name w:val="Nível 4-R"/>
    <w:basedOn w:val="Nivel4"/>
    <w:link w:val="Nvel4-RChar"/>
    <w:uiPriority w:val="99"/>
    <w:qFormat/>
    <w:rsid w:val="008D2A52"/>
    <w:pPr>
      <w:ind w:left="2491" w:hanging="648"/>
    </w:pPr>
    <w:rPr>
      <w:i/>
      <w:iCs/>
      <w:color w:val="FF0000"/>
    </w:rPr>
  </w:style>
  <w:style w:type="character" w:customStyle="1" w:styleId="Nivel3Char">
    <w:name w:val="Nivel 3 Char"/>
    <w:basedOn w:val="Fontepargpadro"/>
    <w:link w:val="Nivel3"/>
    <w:rsid w:val="008D2A52"/>
    <w:rPr>
      <w:rFonts w:ascii="Arial" w:eastAsia="MS Mincho" w:hAnsi="Arial" w:cs="Arial"/>
      <w:color w:val="000000"/>
      <w:sz w:val="20"/>
      <w:szCs w:val="20"/>
      <w:lang w:eastAsia="pt-BR"/>
    </w:rPr>
  </w:style>
  <w:style w:type="character" w:customStyle="1" w:styleId="Nvel3-RChar">
    <w:name w:val="Nível 3-R Char"/>
    <w:basedOn w:val="Nivel3Char"/>
    <w:link w:val="Nvel3-R"/>
    <w:uiPriority w:val="99"/>
    <w:rsid w:val="008D2A52"/>
    <w:rPr>
      <w:rFonts w:ascii="Arial" w:eastAsia="MS Mincho" w:hAnsi="Arial" w:cs="Arial"/>
      <w:i/>
      <w:iCs/>
      <w:color w:val="FF0000"/>
      <w:sz w:val="20"/>
      <w:szCs w:val="20"/>
      <w:lang w:eastAsia="pt-BR"/>
    </w:rPr>
  </w:style>
  <w:style w:type="paragraph" w:customStyle="1" w:styleId="Nvel1-SemNum">
    <w:name w:val="Nível 1-Sem Num"/>
    <w:basedOn w:val="Nivel01"/>
    <w:link w:val="Nvel1-SemNumChar"/>
    <w:qFormat/>
    <w:rsid w:val="008D2A52"/>
    <w:pPr>
      <w:tabs>
        <w:tab w:val="left" w:pos="567"/>
      </w:tabs>
      <w:spacing w:before="240" w:line="240" w:lineRule="auto"/>
      <w:ind w:left="357"/>
      <w:jc w:val="both"/>
      <w:outlineLvl w:val="1"/>
    </w:pPr>
    <w:rPr>
      <w:rFonts w:ascii="Arial" w:hAnsi="Arial" w:cs="Arial"/>
      <w:color w:val="FF0000"/>
      <w:sz w:val="52"/>
      <w:szCs w:val="52"/>
    </w:rPr>
  </w:style>
  <w:style w:type="character" w:customStyle="1" w:styleId="Nvel4-RChar">
    <w:name w:val="Nível 4-R Char"/>
    <w:basedOn w:val="Nivel4Char"/>
    <w:link w:val="Nvel4-R"/>
    <w:uiPriority w:val="99"/>
    <w:rsid w:val="008D2A52"/>
    <w:rPr>
      <w:rFonts w:ascii="Arial" w:eastAsia="MS Mincho" w:hAnsi="Arial" w:cs="Arial"/>
      <w:i/>
      <w:iCs/>
      <w:color w:val="FF0000"/>
      <w:sz w:val="20"/>
      <w:szCs w:val="20"/>
      <w:lang w:eastAsia="pt-BR"/>
    </w:rPr>
  </w:style>
  <w:style w:type="character" w:customStyle="1" w:styleId="LinkdaInternet">
    <w:name w:val="Link da Internet"/>
    <w:basedOn w:val="Fontepargpadro"/>
    <w:uiPriority w:val="99"/>
    <w:unhideWhenUsed/>
    <w:rsid w:val="008D2A52"/>
    <w:rPr>
      <w:color w:val="0000FF"/>
      <w:u w:val="single"/>
    </w:rPr>
  </w:style>
  <w:style w:type="character" w:customStyle="1" w:styleId="Nvel1-SemNumChar">
    <w:name w:val="Nível 1-Sem Num Char"/>
    <w:basedOn w:val="Nivel01Char"/>
    <w:link w:val="Nvel1-SemNum"/>
    <w:rsid w:val="008D2A52"/>
    <w:rPr>
      <w:rFonts w:ascii="Arial" w:eastAsia="MS Gothic" w:hAnsi="Arial" w:cs="Arial"/>
      <w:b/>
      <w:bCs/>
      <w:color w:val="FF0000"/>
      <w:spacing w:val="5"/>
      <w:kern w:val="28"/>
      <w:sz w:val="52"/>
      <w:szCs w:val="52"/>
      <w:lang w:eastAsia="pt-BR"/>
    </w:rPr>
  </w:style>
  <w:style w:type="paragraph" w:customStyle="1" w:styleId="citao2">
    <w:name w:val="citação 2"/>
    <w:basedOn w:val="Citao"/>
    <w:link w:val="citao2Char"/>
    <w:qFormat/>
    <w:rsid w:val="008D2A52"/>
    <w:pPr>
      <w:overflowPunct w:val="0"/>
    </w:pPr>
  </w:style>
  <w:style w:type="paragraph" w:customStyle="1" w:styleId="Prembulo">
    <w:name w:val="Preâmbulo"/>
    <w:basedOn w:val="Normal"/>
    <w:link w:val="PrembuloChar"/>
    <w:qFormat/>
    <w:rsid w:val="008D2A52"/>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8D2A52"/>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8D2A52"/>
    <w:rPr>
      <w:color w:val="605E5C"/>
      <w:shd w:val="clear" w:color="auto" w:fill="E1DFDD"/>
    </w:rPr>
  </w:style>
  <w:style w:type="paragraph" w:customStyle="1" w:styleId="msonormal0">
    <w:name w:val="msonormal"/>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umrio11">
    <w:name w:val="Sumário 11"/>
    <w:basedOn w:val="Normal"/>
    <w:next w:val="Normal"/>
    <w:autoRedefine/>
    <w:uiPriority w:val="39"/>
    <w:semiHidden/>
    <w:unhideWhenUsed/>
    <w:rsid w:val="008D2A52"/>
    <w:pPr>
      <w:spacing w:before="120" w:after="120" w:line="240" w:lineRule="auto"/>
      <w:jc w:val="center"/>
    </w:pPr>
    <w:rPr>
      <w:rFonts w:cs="Cambria"/>
      <w:b/>
      <w:bCs/>
      <w:sz w:val="28"/>
      <w:szCs w:val="28"/>
    </w:rPr>
  </w:style>
  <w:style w:type="paragraph" w:customStyle="1" w:styleId="Textodenotaderodap1">
    <w:name w:val="Texto de nota de rodapé1"/>
    <w:basedOn w:val="Normal"/>
    <w:next w:val="Textodenotaderodap"/>
    <w:link w:val="TextodenotaderodapChar"/>
    <w:uiPriority w:val="99"/>
    <w:semiHidden/>
    <w:unhideWhenUsed/>
    <w:rsid w:val="008D2A52"/>
    <w:pPr>
      <w:spacing w:after="0" w:line="240" w:lineRule="auto"/>
    </w:pPr>
    <w:rPr>
      <w:rFonts w:ascii="Cambria" w:eastAsia="Cambria" w:hAnsi="Cambria" w:cs="Arial"/>
    </w:rPr>
  </w:style>
  <w:style w:type="character" w:customStyle="1" w:styleId="TextodenotaderodapChar">
    <w:name w:val="Texto de nota de rodapé Char"/>
    <w:basedOn w:val="Fontepargpadro"/>
    <w:link w:val="Textodenotaderodap1"/>
    <w:uiPriority w:val="99"/>
    <w:semiHidden/>
    <w:rsid w:val="008D2A52"/>
    <w:rPr>
      <w:rFonts w:ascii="Cambria" w:eastAsia="Cambria" w:hAnsi="Cambria" w:cs="Arial"/>
    </w:rPr>
  </w:style>
  <w:style w:type="paragraph" w:customStyle="1" w:styleId="CabealhodoSumrio1">
    <w:name w:val="Cabeçalho do Sumário1"/>
    <w:basedOn w:val="Ttulo1"/>
    <w:next w:val="Normal"/>
    <w:uiPriority w:val="39"/>
    <w:semiHidden/>
    <w:unhideWhenUsed/>
    <w:qFormat/>
    <w:rsid w:val="008D2A52"/>
  </w:style>
  <w:style w:type="paragraph" w:customStyle="1" w:styleId="assina">
    <w:name w:val="assina"/>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centralizado">
    <w:name w:val="tabela_texto_centralizado"/>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negrito">
    <w:name w:val="texto_justificado_negrito"/>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centralizadomaiusculas">
    <w:name w:val="texto_centralizado_maiusculas"/>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espsimples">
    <w:name w:val="texto_justificado_recuo_primeira_linha_esp_simples"/>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reformattedtext">
    <w:name w:val="preformattedtext"/>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tandard0">
    <w:name w:val="standard"/>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centralizado12">
    <w:name w:val="texto_centralizado_12"/>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centralizadomaiusculasnegrito">
    <w:name w:val="texto_centralizado_maiusculas_negrito"/>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alinhadoesquerda">
    <w:name w:val="tabela_texto_alinhado_esquerda"/>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leParagraph">
    <w:name w:val="Table Paragraph"/>
    <w:basedOn w:val="Normal"/>
    <w:uiPriority w:val="1"/>
    <w:qFormat/>
    <w:rsid w:val="008D2A52"/>
    <w:pPr>
      <w:widowControl w:val="0"/>
      <w:autoSpaceDE w:val="0"/>
      <w:autoSpaceDN w:val="0"/>
      <w:spacing w:after="0" w:line="240" w:lineRule="auto"/>
    </w:pPr>
    <w:rPr>
      <w:rFonts w:ascii="Times New Roman" w:eastAsia="Times New Roman" w:hAnsi="Times New Roman" w:cs="Times New Roman"/>
      <w:lang w:val="pt-PT"/>
    </w:rPr>
  </w:style>
  <w:style w:type="character" w:customStyle="1" w:styleId="citao2Char">
    <w:name w:val="citação 2 Char"/>
    <w:basedOn w:val="CitaoChar"/>
    <w:link w:val="citao2"/>
    <w:locked/>
    <w:rsid w:val="008D2A52"/>
    <w:rPr>
      <w:rFonts w:ascii="Arial" w:eastAsia="Calibri" w:hAnsi="Arial" w:cs="Tahoma"/>
      <w:i/>
      <w:iCs/>
      <w:color w:val="000000"/>
      <w:sz w:val="20"/>
      <w:szCs w:val="24"/>
      <w:shd w:val="clear" w:color="auto" w:fill="FFFFCC"/>
    </w:rPr>
  </w:style>
  <w:style w:type="character" w:styleId="Refdenotaderodap">
    <w:name w:val="footnote reference"/>
    <w:basedOn w:val="Fontepargpadro"/>
    <w:uiPriority w:val="99"/>
    <w:semiHidden/>
    <w:unhideWhenUsed/>
    <w:rsid w:val="008D2A52"/>
    <w:rPr>
      <w:vertAlign w:val="superscript"/>
    </w:rPr>
  </w:style>
  <w:style w:type="character" w:customStyle="1" w:styleId="sr-only">
    <w:name w:val="sr-only"/>
    <w:basedOn w:val="Fontepargpadro"/>
    <w:rsid w:val="008D2A52"/>
  </w:style>
  <w:style w:type="character" w:customStyle="1" w:styleId="documentpublished">
    <w:name w:val="documentpublished"/>
    <w:basedOn w:val="Fontepargpadro"/>
    <w:rsid w:val="008D2A52"/>
  </w:style>
  <w:style w:type="character" w:customStyle="1" w:styleId="value">
    <w:name w:val="value"/>
    <w:basedOn w:val="Fontepargpadro"/>
    <w:rsid w:val="008D2A52"/>
  </w:style>
  <w:style w:type="character" w:customStyle="1" w:styleId="external-link">
    <w:name w:val="external-link"/>
    <w:basedOn w:val="Fontepargpadro"/>
    <w:rsid w:val="008D2A52"/>
  </w:style>
  <w:style w:type="paragraph" w:customStyle="1" w:styleId="ParagraphStyle">
    <w:name w:val="Paragraph Style"/>
    <w:rsid w:val="008D2A52"/>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SemEspaamento">
    <w:name w:val="No Spacing"/>
    <w:link w:val="SemEspaamentoChar"/>
    <w:uiPriority w:val="1"/>
    <w:qFormat/>
    <w:rsid w:val="008D2A52"/>
    <w:pPr>
      <w:spacing w:after="0" w:line="240" w:lineRule="auto"/>
    </w:pPr>
    <w:rPr>
      <w:rFonts w:ascii="Times New Roman" w:eastAsia="PMingLiU" w:hAnsi="Times New Roman" w:cs="Times New Roman"/>
      <w:sz w:val="24"/>
      <w:szCs w:val="24"/>
      <w:lang w:eastAsia="pt-BR"/>
    </w:rPr>
  </w:style>
  <w:style w:type="paragraph" w:customStyle="1" w:styleId="pagespeed1739300735">
    <w:name w:val="page_speed_1739300735"/>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uiPriority w:val="99"/>
    <w:rsid w:val="008D2A52"/>
    <w:pPr>
      <w:autoSpaceDE w:val="0"/>
      <w:autoSpaceDN w:val="0"/>
      <w:adjustRightInd w:val="0"/>
      <w:spacing w:after="0" w:line="240" w:lineRule="auto"/>
    </w:pPr>
    <w:rPr>
      <w:rFonts w:ascii="Arial" w:eastAsia="Calibri" w:hAnsi="Arial" w:cs="Arial"/>
      <w:color w:val="000000"/>
      <w:sz w:val="24"/>
      <w:szCs w:val="24"/>
      <w:lang w:eastAsia="pt-BR"/>
    </w:rPr>
  </w:style>
  <w:style w:type="paragraph" w:customStyle="1" w:styleId="Centered">
    <w:name w:val="Centered"/>
    <w:uiPriority w:val="99"/>
    <w:rsid w:val="008D2A52"/>
    <w:pPr>
      <w:widowControl w:val="0"/>
      <w:autoSpaceDE w:val="0"/>
      <w:autoSpaceDN w:val="0"/>
      <w:adjustRightInd w:val="0"/>
      <w:spacing w:after="0" w:line="240" w:lineRule="auto"/>
      <w:jc w:val="center"/>
    </w:pPr>
    <w:rPr>
      <w:rFonts w:ascii="Arial" w:eastAsia="Times New Roman" w:hAnsi="Arial" w:cs="Arial"/>
      <w:sz w:val="24"/>
      <w:szCs w:val="24"/>
      <w:lang w:eastAsia="pt-BR"/>
    </w:rPr>
  </w:style>
  <w:style w:type="character" w:customStyle="1" w:styleId="MenoPendente6">
    <w:name w:val="Menção Pendente6"/>
    <w:uiPriority w:val="99"/>
    <w:semiHidden/>
    <w:rsid w:val="008D2A52"/>
    <w:rPr>
      <w:color w:val="605E5C"/>
      <w:shd w:val="clear" w:color="auto" w:fill="E1DFDD"/>
    </w:rPr>
  </w:style>
  <w:style w:type="character" w:customStyle="1" w:styleId="pagespeed1100795452">
    <w:name w:val="page_speed_1100795452"/>
    <w:rsid w:val="008D2A52"/>
  </w:style>
  <w:style w:type="character" w:customStyle="1" w:styleId="pagespeed943146824">
    <w:name w:val="page_speed_943146824"/>
    <w:rsid w:val="008D2A52"/>
  </w:style>
  <w:style w:type="character" w:customStyle="1" w:styleId="pagespeed1048573975">
    <w:name w:val="page_speed_1048573975"/>
    <w:rsid w:val="008D2A52"/>
  </w:style>
  <w:style w:type="character" w:customStyle="1" w:styleId="Sobrescrito">
    <w:name w:val="Sobrescrito"/>
    <w:uiPriority w:val="99"/>
    <w:rsid w:val="008D2A52"/>
    <w:rPr>
      <w:position w:val="8"/>
      <w:sz w:val="16"/>
    </w:rPr>
  </w:style>
  <w:style w:type="character" w:customStyle="1" w:styleId="Subscrito">
    <w:name w:val="Subscrito"/>
    <w:uiPriority w:val="99"/>
    <w:rsid w:val="008D2A52"/>
    <w:rPr>
      <w:position w:val="-8"/>
      <w:sz w:val="16"/>
    </w:rPr>
  </w:style>
  <w:style w:type="character" w:customStyle="1" w:styleId="Tag">
    <w:name w:val="Tag"/>
    <w:uiPriority w:val="99"/>
    <w:rsid w:val="008D2A52"/>
    <w:rPr>
      <w:sz w:val="20"/>
      <w:shd w:val="clear" w:color="auto" w:fill="FFFFFF"/>
    </w:rPr>
  </w:style>
  <w:style w:type="character" w:customStyle="1" w:styleId="SemEspaamentoChar">
    <w:name w:val="Sem Espaçamento Char"/>
    <w:basedOn w:val="Fontepargpadro"/>
    <w:link w:val="SemEspaamento"/>
    <w:uiPriority w:val="1"/>
    <w:locked/>
    <w:rsid w:val="008D2A52"/>
    <w:rPr>
      <w:rFonts w:ascii="Times New Roman" w:eastAsia="PMingLiU" w:hAnsi="Times New Roman" w:cs="Times New Roman"/>
      <w:sz w:val="24"/>
      <w:szCs w:val="24"/>
      <w:lang w:eastAsia="pt-BR"/>
    </w:rPr>
  </w:style>
  <w:style w:type="character" w:customStyle="1" w:styleId="CitaoChar1">
    <w:name w:val="Citação Char1"/>
    <w:aliases w:val="TCU Char1,Citação AGU Char1,NotaExplicativa Char1"/>
    <w:basedOn w:val="Fontepargpadro"/>
    <w:uiPriority w:val="99"/>
    <w:rsid w:val="008D2A52"/>
    <w:rPr>
      <w:rFonts w:ascii="Ecofont_Spranq_eco_Sans" w:hAnsi="Ecofont_Spranq_eco_Sans" w:cs="Tahoma"/>
      <w:i/>
      <w:iCs/>
      <w:color w:val="404040"/>
      <w:sz w:val="24"/>
      <w:szCs w:val="24"/>
      <w:lang w:eastAsia="pt-BR"/>
    </w:rPr>
  </w:style>
  <w:style w:type="paragraph" w:customStyle="1" w:styleId="pdq2pgselectionanchorcontainer">
    <w:name w:val="pdq2pg_selectionanchorcontainer"/>
    <w:basedOn w:val="Normal"/>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1">
    <w:name w:val="Título 1 Char1"/>
    <w:basedOn w:val="Fontepargpadro"/>
    <w:uiPriority w:val="9"/>
    <w:rsid w:val="008D2A52"/>
    <w:rPr>
      <w:rFonts w:asciiTheme="majorHAnsi" w:eastAsiaTheme="majorEastAsia" w:hAnsiTheme="majorHAnsi" w:cstheme="majorBidi"/>
      <w:b/>
      <w:bCs/>
      <w:color w:val="365F91" w:themeColor="accent1" w:themeShade="BF"/>
      <w:sz w:val="28"/>
      <w:szCs w:val="28"/>
    </w:rPr>
  </w:style>
  <w:style w:type="character" w:customStyle="1" w:styleId="Ttulo2Char1">
    <w:name w:val="Título 2 Char1"/>
    <w:basedOn w:val="Fontepargpadro"/>
    <w:uiPriority w:val="9"/>
    <w:semiHidden/>
    <w:rsid w:val="008D2A52"/>
    <w:rPr>
      <w:rFonts w:asciiTheme="majorHAnsi" w:eastAsiaTheme="majorEastAsia" w:hAnsiTheme="majorHAnsi" w:cstheme="majorBidi"/>
      <w:b/>
      <w:bCs/>
      <w:color w:val="4F81BD" w:themeColor="accent1"/>
      <w:sz w:val="26"/>
      <w:szCs w:val="26"/>
    </w:rPr>
  </w:style>
  <w:style w:type="character" w:customStyle="1" w:styleId="Ttulo3Char1">
    <w:name w:val="Título 3 Char1"/>
    <w:basedOn w:val="Fontepargpadro"/>
    <w:uiPriority w:val="9"/>
    <w:semiHidden/>
    <w:rsid w:val="008D2A52"/>
    <w:rPr>
      <w:rFonts w:asciiTheme="majorHAnsi" w:eastAsiaTheme="majorEastAsia" w:hAnsiTheme="majorHAnsi" w:cstheme="majorBidi"/>
      <w:b/>
      <w:bCs/>
      <w:color w:val="4F81BD" w:themeColor="accent1"/>
    </w:rPr>
  </w:style>
  <w:style w:type="character" w:customStyle="1" w:styleId="Ttulo4Char1">
    <w:name w:val="Título 4 Char1"/>
    <w:basedOn w:val="Fontepargpadro"/>
    <w:uiPriority w:val="9"/>
    <w:semiHidden/>
    <w:rsid w:val="008D2A52"/>
    <w:rPr>
      <w:rFonts w:asciiTheme="majorHAnsi" w:eastAsiaTheme="majorEastAsia" w:hAnsiTheme="majorHAnsi" w:cstheme="majorBidi"/>
      <w:b/>
      <w:bCs/>
      <w:i/>
      <w:iCs/>
      <w:color w:val="4F81BD" w:themeColor="accent1"/>
    </w:rPr>
  </w:style>
  <w:style w:type="character" w:customStyle="1" w:styleId="Ttulo6Char1">
    <w:name w:val="Título 6 Char1"/>
    <w:basedOn w:val="Fontepargpadro"/>
    <w:uiPriority w:val="9"/>
    <w:semiHidden/>
    <w:rsid w:val="008D2A52"/>
    <w:rPr>
      <w:rFonts w:asciiTheme="majorHAnsi" w:eastAsiaTheme="majorEastAsia" w:hAnsiTheme="majorHAnsi" w:cstheme="majorBidi"/>
      <w:i/>
      <w:iCs/>
      <w:color w:val="243F60" w:themeColor="accent1" w:themeShade="7F"/>
    </w:rPr>
  </w:style>
  <w:style w:type="paragraph" w:styleId="PargrafodaLista">
    <w:name w:val="List Paragraph"/>
    <w:basedOn w:val="Normal"/>
    <w:uiPriority w:val="34"/>
    <w:qFormat/>
    <w:rsid w:val="008D2A52"/>
    <w:pPr>
      <w:ind w:left="720"/>
      <w:contextualSpacing/>
    </w:pPr>
  </w:style>
  <w:style w:type="paragraph" w:styleId="Textodebalo">
    <w:name w:val="Balloon Text"/>
    <w:basedOn w:val="Normal"/>
    <w:link w:val="TextodebaloChar1"/>
    <w:uiPriority w:val="99"/>
    <w:semiHidden/>
    <w:unhideWhenUsed/>
    <w:rsid w:val="008D2A52"/>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8D2A52"/>
    <w:rPr>
      <w:rFonts w:ascii="Tahoma" w:hAnsi="Tahoma" w:cs="Tahoma"/>
      <w:sz w:val="16"/>
      <w:szCs w:val="16"/>
    </w:rPr>
  </w:style>
  <w:style w:type="paragraph" w:styleId="Commarcadores5">
    <w:name w:val="List Bullet 5"/>
    <w:basedOn w:val="Normal"/>
    <w:uiPriority w:val="99"/>
    <w:semiHidden/>
    <w:unhideWhenUsed/>
    <w:rsid w:val="008D2A52"/>
    <w:pPr>
      <w:ind w:left="360" w:hanging="360"/>
      <w:contextualSpacing/>
    </w:pPr>
  </w:style>
  <w:style w:type="paragraph" w:styleId="Textodecomentrio">
    <w:name w:val="annotation text"/>
    <w:basedOn w:val="Normal"/>
    <w:link w:val="TextodecomentrioChar1"/>
    <w:uiPriority w:val="99"/>
    <w:semiHidden/>
    <w:unhideWhenUsed/>
    <w:rsid w:val="008D2A52"/>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D2A52"/>
    <w:rPr>
      <w:sz w:val="20"/>
      <w:szCs w:val="20"/>
    </w:rPr>
  </w:style>
  <w:style w:type="paragraph" w:styleId="Assuntodocomentrio">
    <w:name w:val="annotation subject"/>
    <w:basedOn w:val="Textodecomentrio"/>
    <w:next w:val="Textodecomentrio"/>
    <w:link w:val="AssuntodocomentrioChar"/>
    <w:uiPriority w:val="99"/>
    <w:semiHidden/>
    <w:unhideWhenUsed/>
    <w:rsid w:val="008D2A52"/>
    <w:rPr>
      <w:rFonts w:ascii="Ecofont_Spranq_eco_Sans" w:hAnsi="Ecofont_Spranq_eco_Sans" w:cs="Tahoma"/>
      <w:b/>
      <w:bCs/>
      <w:sz w:val="22"/>
      <w:szCs w:val="22"/>
      <w:lang w:eastAsia="pt-BR"/>
    </w:rPr>
  </w:style>
  <w:style w:type="character" w:customStyle="1" w:styleId="AssuntodocomentrioChar1">
    <w:name w:val="Assunto do comentário Char1"/>
    <w:basedOn w:val="TextodecomentrioChar1"/>
    <w:uiPriority w:val="99"/>
    <w:semiHidden/>
    <w:rsid w:val="008D2A52"/>
    <w:rPr>
      <w:b/>
      <w:bCs/>
      <w:sz w:val="20"/>
      <w:szCs w:val="20"/>
    </w:rPr>
  </w:style>
  <w:style w:type="paragraph" w:styleId="Ttulo">
    <w:name w:val="Title"/>
    <w:basedOn w:val="Normal"/>
    <w:next w:val="Normal"/>
    <w:link w:val="TtuloChar"/>
    <w:uiPriority w:val="10"/>
    <w:qFormat/>
    <w:rsid w:val="008D2A52"/>
    <w:pPr>
      <w:pBdr>
        <w:bottom w:val="single" w:sz="8" w:space="4" w:color="4F81BD" w:themeColor="accent1"/>
      </w:pBdr>
      <w:spacing w:after="300" w:line="240" w:lineRule="auto"/>
      <w:contextualSpacing/>
    </w:pPr>
    <w:rPr>
      <w:rFonts w:ascii="Calibri" w:eastAsia="MS Gothic" w:hAnsi="Calibri" w:cs="Times New Roman"/>
      <w:color w:val="17365D"/>
      <w:spacing w:val="5"/>
      <w:kern w:val="28"/>
      <w:sz w:val="52"/>
      <w:szCs w:val="52"/>
      <w:lang w:eastAsia="pt-BR"/>
    </w:rPr>
  </w:style>
  <w:style w:type="character" w:customStyle="1" w:styleId="TtuloChar1">
    <w:name w:val="Título Char1"/>
    <w:basedOn w:val="Fontepargpadro"/>
    <w:uiPriority w:val="10"/>
    <w:rsid w:val="008D2A52"/>
    <w:rPr>
      <w:rFonts w:asciiTheme="majorHAnsi" w:eastAsiaTheme="majorEastAsia" w:hAnsiTheme="majorHAnsi" w:cstheme="majorBidi"/>
      <w:color w:val="17365D" w:themeColor="text2" w:themeShade="BF"/>
      <w:spacing w:val="5"/>
      <w:kern w:val="28"/>
      <w:sz w:val="52"/>
      <w:szCs w:val="52"/>
    </w:rPr>
  </w:style>
  <w:style w:type="table" w:styleId="Tabelacomgrade">
    <w:name w:val="Table Grid"/>
    <w:basedOn w:val="Tabelanormal"/>
    <w:uiPriority w:val="59"/>
    <w:rsid w:val="008D2A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1"/>
    <w:uiPriority w:val="99"/>
    <w:semiHidden/>
    <w:unhideWhenUsed/>
    <w:rsid w:val="008D2A52"/>
    <w:pPr>
      <w:spacing w:after="0" w:line="240" w:lineRule="auto"/>
    </w:pPr>
    <w:rPr>
      <w:sz w:val="20"/>
      <w:szCs w:val="20"/>
    </w:rPr>
  </w:style>
  <w:style w:type="character" w:customStyle="1" w:styleId="TextodenotaderodapChar1">
    <w:name w:val="Texto de nota de rodapé Char1"/>
    <w:basedOn w:val="Fontepargpadro"/>
    <w:link w:val="Textodenotaderodap"/>
    <w:uiPriority w:val="99"/>
    <w:semiHidden/>
    <w:rsid w:val="008D2A52"/>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8D2A52"/>
    <w:pPr>
      <w:keepNext/>
      <w:keepLines/>
      <w:spacing w:before="480" w:after="0"/>
      <w:outlineLvl w:val="0"/>
    </w:pPr>
    <w:rPr>
      <w:rFonts w:ascii="Calibri" w:eastAsia="MS Gothic" w:hAnsi="Calibri" w:cs="Times New Roman"/>
      <w:b/>
      <w:bCs/>
      <w:color w:val="365F91"/>
      <w:sz w:val="28"/>
      <w:szCs w:val="28"/>
      <w:lang w:eastAsia="pt-BR"/>
    </w:rPr>
  </w:style>
  <w:style w:type="paragraph" w:styleId="Ttulo2">
    <w:name w:val="heading 2"/>
    <w:basedOn w:val="Normal"/>
    <w:next w:val="Normal"/>
    <w:link w:val="Ttulo2Char"/>
    <w:semiHidden/>
    <w:unhideWhenUsed/>
    <w:qFormat/>
    <w:rsid w:val="008D2A52"/>
    <w:pPr>
      <w:keepNext/>
      <w:keepLines/>
      <w:spacing w:before="200" w:after="0"/>
      <w:outlineLvl w:val="1"/>
    </w:pPr>
    <w:rPr>
      <w:b/>
      <w:color w:val="000000"/>
      <w:sz w:val="24"/>
      <w:lang w:eastAsia="pt-BR"/>
    </w:rPr>
  </w:style>
  <w:style w:type="paragraph" w:styleId="Ttulo3">
    <w:name w:val="heading 3"/>
    <w:basedOn w:val="Normal"/>
    <w:next w:val="Normal"/>
    <w:link w:val="Ttulo3Char"/>
    <w:uiPriority w:val="9"/>
    <w:semiHidden/>
    <w:unhideWhenUsed/>
    <w:qFormat/>
    <w:rsid w:val="008D2A52"/>
    <w:pPr>
      <w:keepNext/>
      <w:keepLines/>
      <w:spacing w:before="200" w:after="0"/>
      <w:outlineLvl w:val="2"/>
    </w:pPr>
    <w:rPr>
      <w:rFonts w:ascii="Calibri" w:eastAsia="MS Gothic" w:hAnsi="Calibri" w:cs="Times New Roman"/>
      <w:color w:val="243F60"/>
      <w:sz w:val="24"/>
      <w:szCs w:val="24"/>
    </w:rPr>
  </w:style>
  <w:style w:type="paragraph" w:styleId="Ttulo4">
    <w:name w:val="heading 4"/>
    <w:basedOn w:val="Normal"/>
    <w:next w:val="Normal"/>
    <w:link w:val="Ttulo4Char"/>
    <w:semiHidden/>
    <w:unhideWhenUsed/>
    <w:qFormat/>
    <w:rsid w:val="008D2A52"/>
    <w:pPr>
      <w:keepNext/>
      <w:keepLines/>
      <w:spacing w:before="200" w:after="0"/>
      <w:outlineLvl w:val="3"/>
    </w:pPr>
    <w:rPr>
      <w:rFonts w:ascii="Calibri" w:eastAsia="MS Gothic" w:hAnsi="Calibri" w:cs="Times New Roman"/>
      <w:i/>
      <w:iCs/>
      <w:color w:val="365F91"/>
      <w:sz w:val="24"/>
      <w:szCs w:val="24"/>
      <w:lang w:eastAsia="pt-BR"/>
    </w:rPr>
  </w:style>
  <w:style w:type="paragraph" w:styleId="Ttulo6">
    <w:name w:val="heading 6"/>
    <w:basedOn w:val="Normal"/>
    <w:next w:val="Normal"/>
    <w:link w:val="Ttulo6Char"/>
    <w:uiPriority w:val="9"/>
    <w:semiHidden/>
    <w:unhideWhenUsed/>
    <w:qFormat/>
    <w:rsid w:val="008D2A52"/>
    <w:pPr>
      <w:keepNext/>
      <w:keepLines/>
      <w:spacing w:before="200" w:after="0"/>
      <w:outlineLvl w:val="5"/>
    </w:pPr>
    <w:rPr>
      <w:rFonts w:ascii="Calibri" w:eastAsia="MS Gothic" w:hAnsi="Calibri" w:cs="Times New Roman"/>
      <w:color w:val="243F6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6153D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odalidade">
    <w:name w:val="modalidade"/>
    <w:basedOn w:val="Fontepargpadro"/>
    <w:rsid w:val="006153DA"/>
  </w:style>
  <w:style w:type="character" w:styleId="Hyperlink">
    <w:name w:val="Hyperlink"/>
    <w:basedOn w:val="Fontepargpadro"/>
    <w:uiPriority w:val="99"/>
    <w:unhideWhenUsed/>
    <w:rsid w:val="006153DA"/>
    <w:rPr>
      <w:color w:val="0000FF"/>
      <w:u w:val="single"/>
    </w:rPr>
  </w:style>
  <w:style w:type="character" w:styleId="HiperlinkVisitado">
    <w:name w:val="FollowedHyperlink"/>
    <w:basedOn w:val="Fontepargpadro"/>
    <w:uiPriority w:val="99"/>
    <w:semiHidden/>
    <w:unhideWhenUsed/>
    <w:rsid w:val="006153DA"/>
    <w:rPr>
      <w:color w:val="800080"/>
      <w:u w:val="single"/>
    </w:rPr>
  </w:style>
  <w:style w:type="paragraph" w:customStyle="1" w:styleId="beforesub">
    <w:name w:val="beforesub"/>
    <w:basedOn w:val="Normal"/>
    <w:rsid w:val="006153D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1">
    <w:name w:val="Normal1"/>
    <w:basedOn w:val="Normal"/>
    <w:rsid w:val="006153D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ub1">
    <w:name w:val="sub1"/>
    <w:basedOn w:val="Normal"/>
    <w:rsid w:val="006153D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umeraparticipacao">
    <w:name w:val="numeraparticipacao"/>
    <w:basedOn w:val="Fontepargpadro"/>
    <w:rsid w:val="006153DA"/>
  </w:style>
  <w:style w:type="character" w:customStyle="1" w:styleId="layer1numeraparticipacao">
    <w:name w:val="layer1numeraparticipacao"/>
    <w:basedOn w:val="Fontepargpadro"/>
    <w:rsid w:val="006153DA"/>
  </w:style>
  <w:style w:type="character" w:customStyle="1" w:styleId="layer2numeraparticipacao">
    <w:name w:val="layer2numeraparticipacao"/>
    <w:basedOn w:val="Fontepargpadro"/>
    <w:rsid w:val="006153DA"/>
  </w:style>
  <w:style w:type="character" w:customStyle="1" w:styleId="numerasigiloso">
    <w:name w:val="numerasigiloso"/>
    <w:basedOn w:val="Fontepargpadro"/>
    <w:rsid w:val="006153DA"/>
  </w:style>
  <w:style w:type="character" w:customStyle="1" w:styleId="layer1numerasigiloso">
    <w:name w:val="layer1numerasigiloso"/>
    <w:basedOn w:val="Fontepargpadro"/>
    <w:rsid w:val="006153DA"/>
  </w:style>
  <w:style w:type="character" w:customStyle="1" w:styleId="numeraapresentacao">
    <w:name w:val="numeraapresentacao"/>
    <w:basedOn w:val="Fontepargpadro"/>
    <w:rsid w:val="006153DA"/>
  </w:style>
  <w:style w:type="character" w:customStyle="1" w:styleId="layer1numeraapresentacao">
    <w:name w:val="layer1numeraapresentacao"/>
    <w:basedOn w:val="Fontepargpadro"/>
    <w:rsid w:val="006153DA"/>
  </w:style>
  <w:style w:type="character" w:customStyle="1" w:styleId="layer2numeraapresentacao">
    <w:name w:val="layer2numeraapresentacao"/>
    <w:basedOn w:val="Fontepargpadro"/>
    <w:rsid w:val="006153DA"/>
  </w:style>
  <w:style w:type="character" w:customStyle="1" w:styleId="numeraproposta">
    <w:name w:val="numeraproposta"/>
    <w:basedOn w:val="Fontepargpadro"/>
    <w:rsid w:val="006153DA"/>
  </w:style>
  <w:style w:type="character" w:customStyle="1" w:styleId="layer1numeraproposta">
    <w:name w:val="layer1numeraproposta"/>
    <w:basedOn w:val="Fontepargpadro"/>
    <w:rsid w:val="006153DA"/>
  </w:style>
  <w:style w:type="character" w:customStyle="1" w:styleId="layer2numeraproposta">
    <w:name w:val="layer2numeraproposta"/>
    <w:basedOn w:val="Fontepargpadro"/>
    <w:rsid w:val="006153DA"/>
  </w:style>
  <w:style w:type="character" w:customStyle="1" w:styleId="numeraabertura">
    <w:name w:val="numeraabertura"/>
    <w:basedOn w:val="Fontepargpadro"/>
    <w:rsid w:val="006153DA"/>
  </w:style>
  <w:style w:type="character" w:customStyle="1" w:styleId="layer1numeraabertura">
    <w:name w:val="layer1numeraabertura"/>
    <w:basedOn w:val="Fontepargpadro"/>
    <w:rsid w:val="006153DA"/>
  </w:style>
  <w:style w:type="character" w:customStyle="1" w:styleId="agente">
    <w:name w:val="agente"/>
    <w:basedOn w:val="Fontepargpadro"/>
    <w:rsid w:val="006153DA"/>
  </w:style>
  <w:style w:type="character" w:customStyle="1" w:styleId="layer2numeraabertura">
    <w:name w:val="layer2numeraabertura"/>
    <w:basedOn w:val="Fontepargpadro"/>
    <w:rsid w:val="006153DA"/>
  </w:style>
  <w:style w:type="paragraph" w:customStyle="1" w:styleId="sub2">
    <w:name w:val="sub2"/>
    <w:basedOn w:val="Normal"/>
    <w:rsid w:val="006153D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umerajulgamento">
    <w:name w:val="numerajulgamento"/>
    <w:basedOn w:val="Fontepargpadro"/>
    <w:rsid w:val="006153DA"/>
  </w:style>
  <w:style w:type="character" w:customStyle="1" w:styleId="layer1numerajulgamento">
    <w:name w:val="layer1numerajulgamento"/>
    <w:basedOn w:val="Fontepargpadro"/>
    <w:rsid w:val="006153DA"/>
  </w:style>
  <w:style w:type="character" w:customStyle="1" w:styleId="layer2numerajulgamento">
    <w:name w:val="layer2numerajulgamento"/>
    <w:basedOn w:val="Fontepargpadro"/>
    <w:rsid w:val="006153DA"/>
  </w:style>
  <w:style w:type="character" w:customStyle="1" w:styleId="indproposta10">
    <w:name w:val="indproposta10"/>
    <w:basedOn w:val="Fontepargpadro"/>
    <w:rsid w:val="006153DA"/>
  </w:style>
  <w:style w:type="character" w:customStyle="1" w:styleId="indjulgamento9">
    <w:name w:val="indjulgamento9"/>
    <w:basedOn w:val="Fontepargpadro"/>
    <w:rsid w:val="006153DA"/>
  </w:style>
  <w:style w:type="character" w:customStyle="1" w:styleId="indjulgamento10">
    <w:name w:val="indjulgamento10"/>
    <w:basedOn w:val="Fontepargpadro"/>
    <w:rsid w:val="006153DA"/>
  </w:style>
  <w:style w:type="character" w:customStyle="1" w:styleId="indjulgamento11">
    <w:name w:val="indjulgamento11"/>
    <w:basedOn w:val="Fontepargpadro"/>
    <w:rsid w:val="006153DA"/>
  </w:style>
  <w:style w:type="character" w:customStyle="1" w:styleId="indjulgamento12">
    <w:name w:val="indjulgamento12"/>
    <w:basedOn w:val="Fontepargpadro"/>
    <w:rsid w:val="006153DA"/>
  </w:style>
  <w:style w:type="character" w:customStyle="1" w:styleId="numerahabilitacao">
    <w:name w:val="numerahabilitacao"/>
    <w:basedOn w:val="Fontepargpadro"/>
    <w:rsid w:val="006153DA"/>
  </w:style>
  <w:style w:type="character" w:customStyle="1" w:styleId="layer1numerahabilitacao">
    <w:name w:val="layer1numerahabilitacao"/>
    <w:basedOn w:val="Fontepargpadro"/>
    <w:rsid w:val="006153DA"/>
  </w:style>
  <w:style w:type="character" w:customStyle="1" w:styleId="layer2numerahabilitacao">
    <w:name w:val="layer2numerahabilitacao"/>
    <w:basedOn w:val="Fontepargpadro"/>
    <w:rsid w:val="006153DA"/>
  </w:style>
  <w:style w:type="character" w:customStyle="1" w:styleId="numeratermo">
    <w:name w:val="numeratermo"/>
    <w:basedOn w:val="Fontepargpadro"/>
    <w:rsid w:val="006153DA"/>
  </w:style>
  <w:style w:type="character" w:customStyle="1" w:styleId="layer1numeratermo">
    <w:name w:val="layer1numeratermo"/>
    <w:basedOn w:val="Fontepargpadro"/>
    <w:rsid w:val="006153DA"/>
  </w:style>
  <w:style w:type="character" w:customStyle="1" w:styleId="layer2numeratermo">
    <w:name w:val="layer2numeratermo"/>
    <w:basedOn w:val="Fontepargpadro"/>
    <w:rsid w:val="006153DA"/>
  </w:style>
  <w:style w:type="character" w:customStyle="1" w:styleId="numerarecursos">
    <w:name w:val="numerarecursos"/>
    <w:basedOn w:val="Fontepargpadro"/>
    <w:rsid w:val="006153DA"/>
  </w:style>
  <w:style w:type="character" w:customStyle="1" w:styleId="layer1numerarecursos">
    <w:name w:val="layer1numerarecursos"/>
    <w:basedOn w:val="Fontepargpadro"/>
    <w:rsid w:val="006153DA"/>
  </w:style>
  <w:style w:type="character" w:customStyle="1" w:styleId="layer2numerarecursos">
    <w:name w:val="layer2numerarecursos"/>
    <w:basedOn w:val="Fontepargpadro"/>
    <w:rsid w:val="006153DA"/>
  </w:style>
  <w:style w:type="character" w:customStyle="1" w:styleId="numerainfracoes">
    <w:name w:val="numerainfracoes"/>
    <w:basedOn w:val="Fontepargpadro"/>
    <w:rsid w:val="006153DA"/>
  </w:style>
  <w:style w:type="character" w:customStyle="1" w:styleId="layer1numerainfracoes">
    <w:name w:val="layer1numerainfracoes"/>
    <w:basedOn w:val="Fontepargpadro"/>
    <w:rsid w:val="006153DA"/>
  </w:style>
  <w:style w:type="character" w:customStyle="1" w:styleId="layer2numerainfracoes">
    <w:name w:val="layer2numerainfracoes"/>
    <w:basedOn w:val="Fontepargpadro"/>
    <w:rsid w:val="006153DA"/>
  </w:style>
  <w:style w:type="character" w:customStyle="1" w:styleId="numeraimpugnacao">
    <w:name w:val="numeraimpugnacao"/>
    <w:basedOn w:val="Fontepargpadro"/>
    <w:rsid w:val="006153DA"/>
  </w:style>
  <w:style w:type="character" w:customStyle="1" w:styleId="layer1numeraimpugnacao">
    <w:name w:val="layer1numeraimpugnacao"/>
    <w:basedOn w:val="Fontepargpadro"/>
    <w:rsid w:val="006153DA"/>
  </w:style>
  <w:style w:type="character" w:customStyle="1" w:styleId="numeragerais">
    <w:name w:val="numeragerais"/>
    <w:basedOn w:val="Fontepargpadro"/>
    <w:rsid w:val="006153DA"/>
  </w:style>
  <w:style w:type="character" w:customStyle="1" w:styleId="layer1numeragerais">
    <w:name w:val="layer1numeragerais"/>
    <w:basedOn w:val="Fontepargpadro"/>
    <w:rsid w:val="006153DA"/>
  </w:style>
  <w:style w:type="character" w:customStyle="1" w:styleId="layer2numeragerais">
    <w:name w:val="layer2numeragerais"/>
    <w:basedOn w:val="Fontepargpadro"/>
    <w:rsid w:val="006153DA"/>
  </w:style>
  <w:style w:type="character" w:customStyle="1" w:styleId="numanexop">
    <w:name w:val="numanexop"/>
    <w:basedOn w:val="Fontepargpadro"/>
    <w:rsid w:val="006153DA"/>
  </w:style>
  <w:style w:type="paragraph" w:customStyle="1" w:styleId="centralizado">
    <w:name w:val="centralizado"/>
    <w:basedOn w:val="Normal"/>
    <w:rsid w:val="006153D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6153D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153DA"/>
  </w:style>
  <w:style w:type="paragraph" w:styleId="Rodap">
    <w:name w:val="footer"/>
    <w:basedOn w:val="Normal"/>
    <w:link w:val="RodapChar"/>
    <w:uiPriority w:val="99"/>
    <w:unhideWhenUsed/>
    <w:rsid w:val="006153DA"/>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6153DA"/>
  </w:style>
  <w:style w:type="paragraph" w:customStyle="1" w:styleId="Ttulo11">
    <w:name w:val="Título 11"/>
    <w:basedOn w:val="Normal"/>
    <w:next w:val="Normal"/>
    <w:uiPriority w:val="9"/>
    <w:qFormat/>
    <w:rsid w:val="008D2A52"/>
    <w:pPr>
      <w:keepNext/>
      <w:keepLines/>
      <w:spacing w:before="480" w:after="0" w:line="240" w:lineRule="auto"/>
      <w:outlineLvl w:val="0"/>
    </w:pPr>
    <w:rPr>
      <w:rFonts w:ascii="Calibri" w:eastAsia="MS Gothic" w:hAnsi="Calibri" w:cs="Times New Roman"/>
      <w:b/>
      <w:bCs/>
      <w:color w:val="365F91"/>
      <w:sz w:val="28"/>
      <w:szCs w:val="28"/>
      <w:lang w:eastAsia="pt-BR"/>
    </w:rPr>
  </w:style>
  <w:style w:type="paragraph" w:customStyle="1" w:styleId="Ttulo21">
    <w:name w:val="Título 21"/>
    <w:basedOn w:val="Normal"/>
    <w:next w:val="Normal"/>
    <w:qFormat/>
    <w:rsid w:val="008D2A52"/>
    <w:pPr>
      <w:keepNext/>
      <w:tabs>
        <w:tab w:val="left" w:pos="1701"/>
      </w:tabs>
      <w:spacing w:after="0" w:line="240" w:lineRule="auto"/>
      <w:ind w:right="-1"/>
      <w:jc w:val="center"/>
      <w:outlineLvl w:val="1"/>
    </w:pPr>
    <w:rPr>
      <w:rFonts w:ascii="Times New Roman" w:eastAsia="MS Mincho" w:hAnsi="Times New Roman" w:cs="Times New Roman"/>
      <w:b/>
      <w:color w:val="000000"/>
      <w:sz w:val="24"/>
      <w:szCs w:val="20"/>
      <w:lang w:eastAsia="pt-BR"/>
    </w:rPr>
  </w:style>
  <w:style w:type="paragraph" w:customStyle="1" w:styleId="Ttulo31">
    <w:name w:val="Título 31"/>
    <w:basedOn w:val="Normal"/>
    <w:next w:val="Normal"/>
    <w:uiPriority w:val="9"/>
    <w:semiHidden/>
    <w:unhideWhenUsed/>
    <w:qFormat/>
    <w:rsid w:val="008D2A52"/>
    <w:pPr>
      <w:keepNext/>
      <w:keepLines/>
      <w:spacing w:before="40" w:after="0" w:line="259" w:lineRule="auto"/>
      <w:outlineLvl w:val="2"/>
    </w:pPr>
    <w:rPr>
      <w:rFonts w:ascii="Calibri" w:eastAsia="MS Gothic" w:hAnsi="Calibri" w:cs="Times New Roman"/>
      <w:color w:val="243F60"/>
      <w:sz w:val="24"/>
      <w:szCs w:val="24"/>
    </w:rPr>
  </w:style>
  <w:style w:type="paragraph" w:customStyle="1" w:styleId="Ttulo41">
    <w:name w:val="Título 41"/>
    <w:basedOn w:val="Normal"/>
    <w:next w:val="Normal"/>
    <w:semiHidden/>
    <w:unhideWhenUsed/>
    <w:qFormat/>
    <w:rsid w:val="008D2A52"/>
    <w:pPr>
      <w:keepNext/>
      <w:keepLines/>
      <w:spacing w:before="40" w:after="0" w:line="240" w:lineRule="auto"/>
      <w:outlineLvl w:val="3"/>
    </w:pPr>
    <w:rPr>
      <w:rFonts w:ascii="Calibri" w:eastAsia="MS Gothic" w:hAnsi="Calibri" w:cs="Times New Roman"/>
      <w:i/>
      <w:iCs/>
      <w:color w:val="365F91"/>
      <w:sz w:val="24"/>
      <w:szCs w:val="24"/>
      <w:lang w:eastAsia="pt-BR"/>
    </w:rPr>
  </w:style>
  <w:style w:type="paragraph" w:customStyle="1" w:styleId="Ttulo61">
    <w:name w:val="Título 61"/>
    <w:basedOn w:val="Normal"/>
    <w:next w:val="Normal"/>
    <w:uiPriority w:val="9"/>
    <w:semiHidden/>
    <w:unhideWhenUsed/>
    <w:qFormat/>
    <w:rsid w:val="008D2A52"/>
    <w:pPr>
      <w:keepNext/>
      <w:keepLines/>
      <w:spacing w:before="40" w:after="0" w:line="259" w:lineRule="auto"/>
      <w:outlineLvl w:val="5"/>
    </w:pPr>
    <w:rPr>
      <w:rFonts w:ascii="Calibri" w:eastAsia="MS Gothic" w:hAnsi="Calibri" w:cs="Times New Roman"/>
      <w:color w:val="243F60"/>
    </w:rPr>
  </w:style>
  <w:style w:type="numbering" w:customStyle="1" w:styleId="Semlista1">
    <w:name w:val="Sem lista1"/>
    <w:next w:val="Semlista"/>
    <w:uiPriority w:val="99"/>
    <w:semiHidden/>
    <w:unhideWhenUsed/>
    <w:rsid w:val="008D2A52"/>
  </w:style>
  <w:style w:type="character" w:customStyle="1" w:styleId="Ttulo1Char">
    <w:name w:val="Título 1 Char"/>
    <w:basedOn w:val="Fontepargpadro"/>
    <w:link w:val="Ttulo1"/>
    <w:uiPriority w:val="9"/>
    <w:rsid w:val="008D2A52"/>
    <w:rPr>
      <w:rFonts w:ascii="Calibri" w:eastAsia="MS Gothic" w:hAnsi="Calibri" w:cs="Times New Roman"/>
      <w:b/>
      <w:bCs/>
      <w:color w:val="365F91"/>
      <w:sz w:val="28"/>
      <w:szCs w:val="28"/>
      <w:lang w:eastAsia="pt-BR"/>
    </w:rPr>
  </w:style>
  <w:style w:type="character" w:customStyle="1" w:styleId="Ttulo2Char">
    <w:name w:val="Título 2 Char"/>
    <w:basedOn w:val="Fontepargpadro"/>
    <w:link w:val="Ttulo2"/>
    <w:rsid w:val="008D2A52"/>
    <w:rPr>
      <w:b/>
      <w:color w:val="000000"/>
      <w:sz w:val="24"/>
      <w:lang w:eastAsia="pt-BR"/>
    </w:rPr>
  </w:style>
  <w:style w:type="character" w:customStyle="1" w:styleId="Ttulo3Char">
    <w:name w:val="Título 3 Char"/>
    <w:basedOn w:val="Fontepargpadro"/>
    <w:link w:val="Ttulo3"/>
    <w:uiPriority w:val="9"/>
    <w:semiHidden/>
    <w:rsid w:val="008D2A52"/>
    <w:rPr>
      <w:rFonts w:ascii="Calibri" w:eastAsia="MS Gothic" w:hAnsi="Calibri" w:cs="Times New Roman"/>
      <w:color w:val="243F60"/>
      <w:sz w:val="24"/>
      <w:szCs w:val="24"/>
    </w:rPr>
  </w:style>
  <w:style w:type="character" w:customStyle="1" w:styleId="Ttulo4Char">
    <w:name w:val="Título 4 Char"/>
    <w:basedOn w:val="Fontepargpadro"/>
    <w:link w:val="Ttulo4"/>
    <w:semiHidden/>
    <w:rsid w:val="008D2A52"/>
    <w:rPr>
      <w:rFonts w:ascii="Calibri" w:eastAsia="MS Gothic" w:hAnsi="Calibri" w:cs="Times New Roman"/>
      <w:i/>
      <w:iCs/>
      <w:color w:val="365F91"/>
      <w:sz w:val="24"/>
      <w:szCs w:val="24"/>
      <w:lang w:eastAsia="pt-BR"/>
    </w:rPr>
  </w:style>
  <w:style w:type="character" w:customStyle="1" w:styleId="Ttulo6Char">
    <w:name w:val="Título 6 Char"/>
    <w:basedOn w:val="Fontepargpadro"/>
    <w:link w:val="Ttulo6"/>
    <w:uiPriority w:val="9"/>
    <w:semiHidden/>
    <w:rsid w:val="008D2A52"/>
    <w:rPr>
      <w:rFonts w:ascii="Calibri" w:eastAsia="MS Gothic" w:hAnsi="Calibri" w:cs="Times New Roman"/>
      <w:color w:val="243F60"/>
      <w:sz w:val="22"/>
      <w:szCs w:val="22"/>
    </w:rPr>
  </w:style>
  <w:style w:type="paragraph" w:customStyle="1" w:styleId="PargrafodaLista1">
    <w:name w:val="Parágrafo da Lista1"/>
    <w:basedOn w:val="Normal"/>
    <w:next w:val="PargrafodaLista"/>
    <w:link w:val="PargrafodaListaChar"/>
    <w:uiPriority w:val="99"/>
    <w:qFormat/>
    <w:rsid w:val="008D2A52"/>
    <w:pPr>
      <w:spacing w:after="0" w:line="240" w:lineRule="auto"/>
      <w:ind w:left="720"/>
      <w:contextualSpacing/>
    </w:pPr>
    <w:rPr>
      <w:rFonts w:ascii="Ecofont_Spranq_eco_Sans" w:eastAsia="MS Mincho" w:hAnsi="Ecofont_Spranq_eco_Sans" w:cs="Tahoma"/>
      <w:sz w:val="24"/>
      <w:szCs w:val="24"/>
      <w:lang w:eastAsia="pt-BR"/>
    </w:rPr>
  </w:style>
  <w:style w:type="paragraph" w:customStyle="1" w:styleId="Textodebalo1">
    <w:name w:val="Texto de balão1"/>
    <w:basedOn w:val="Normal"/>
    <w:next w:val="Textodebalo"/>
    <w:link w:val="TextodebaloChar"/>
    <w:uiPriority w:val="99"/>
    <w:rsid w:val="008D2A52"/>
    <w:pPr>
      <w:spacing w:after="0" w:line="240" w:lineRule="auto"/>
    </w:pPr>
    <w:rPr>
      <w:rFonts w:ascii="Tahoma" w:hAnsi="Tahoma" w:cs="Tahoma"/>
      <w:sz w:val="16"/>
      <w:szCs w:val="16"/>
      <w:lang w:eastAsia="pt-BR"/>
    </w:rPr>
  </w:style>
  <w:style w:type="character" w:customStyle="1" w:styleId="TextodebaloChar">
    <w:name w:val="Texto de balão Char"/>
    <w:basedOn w:val="Fontepargpadro"/>
    <w:link w:val="Textodebalo1"/>
    <w:uiPriority w:val="99"/>
    <w:rsid w:val="008D2A52"/>
    <w:rPr>
      <w:rFonts w:ascii="Tahoma" w:hAnsi="Tahoma" w:cs="Tahoma"/>
      <w:sz w:val="16"/>
      <w:szCs w:val="16"/>
      <w:lang w:eastAsia="pt-BR"/>
    </w:rPr>
  </w:style>
  <w:style w:type="paragraph" w:customStyle="1" w:styleId="Nvel2">
    <w:name w:val="Nível 2"/>
    <w:basedOn w:val="Normal"/>
    <w:next w:val="Normal"/>
    <w:uiPriority w:val="99"/>
    <w:rsid w:val="008D2A52"/>
    <w:pPr>
      <w:spacing w:after="120" w:line="240" w:lineRule="auto"/>
      <w:jc w:val="both"/>
    </w:pPr>
    <w:rPr>
      <w:rFonts w:ascii="Arial" w:eastAsia="MS Mincho" w:hAnsi="Arial" w:cs="Times New Roman"/>
      <w:b/>
      <w:sz w:val="24"/>
      <w:szCs w:val="20"/>
      <w:lang w:eastAsia="pt-BR"/>
    </w:rPr>
  </w:style>
  <w:style w:type="character" w:customStyle="1" w:styleId="normalchar1">
    <w:name w:val="normal__char1"/>
    <w:rsid w:val="008D2A52"/>
    <w:rPr>
      <w:rFonts w:ascii="Arial" w:hAnsi="Arial" w:cs="Arial" w:hint="default"/>
      <w:strike w:val="0"/>
      <w:dstrike w:val="0"/>
      <w:sz w:val="24"/>
      <w:szCs w:val="24"/>
      <w:u w:val="none"/>
      <w:effect w:val="none"/>
    </w:rPr>
  </w:style>
  <w:style w:type="character" w:customStyle="1" w:styleId="apple-style-span">
    <w:name w:val="apple-style-span"/>
    <w:basedOn w:val="Fontepargpadro"/>
    <w:rsid w:val="008D2A52"/>
  </w:style>
  <w:style w:type="paragraph" w:styleId="Citao">
    <w:name w:val="Quote"/>
    <w:aliases w:val="TCU,Citação AGU,NotaExplicativa"/>
    <w:basedOn w:val="Normal"/>
    <w:next w:val="Normal"/>
    <w:link w:val="CitaoChar"/>
    <w:qFormat/>
    <w:rsid w:val="008D2A5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8D2A52"/>
    <w:rPr>
      <w:rFonts w:ascii="Arial" w:eastAsia="Calibri" w:hAnsi="Arial" w:cs="Tahoma"/>
      <w:i/>
      <w:iCs/>
      <w:color w:val="000000"/>
      <w:sz w:val="20"/>
      <w:szCs w:val="24"/>
      <w:shd w:val="clear" w:color="auto" w:fill="FFFFCC"/>
    </w:rPr>
  </w:style>
  <w:style w:type="paragraph" w:customStyle="1" w:styleId="Commarcadores51">
    <w:name w:val="Com marcadores 51"/>
    <w:basedOn w:val="Normal"/>
    <w:next w:val="Commarcadores5"/>
    <w:uiPriority w:val="99"/>
    <w:rsid w:val="008D2A52"/>
    <w:pPr>
      <w:numPr>
        <w:numId w:val="2"/>
      </w:numPr>
      <w:spacing w:after="0" w:line="240" w:lineRule="auto"/>
      <w:contextualSpacing/>
    </w:pPr>
    <w:rPr>
      <w:rFonts w:ascii="Ecofont_Spranq_eco_Sans" w:eastAsia="MS Mincho" w:hAnsi="Ecofont_Spranq_eco_Sans" w:cs="Tahoma"/>
      <w:sz w:val="24"/>
      <w:szCs w:val="24"/>
      <w:lang w:eastAsia="pt-BR"/>
    </w:rPr>
  </w:style>
  <w:style w:type="paragraph" w:customStyle="1" w:styleId="Notaexplicativa">
    <w:name w:val="Nota explicativa"/>
    <w:basedOn w:val="Citao"/>
    <w:link w:val="NotaexplicativaChar"/>
    <w:qFormat/>
    <w:rsid w:val="008D2A52"/>
  </w:style>
  <w:style w:type="character" w:customStyle="1" w:styleId="NotaexplicativaChar">
    <w:name w:val="Nota explicativa Char"/>
    <w:basedOn w:val="CitaoChar"/>
    <w:link w:val="Notaexplicativa"/>
    <w:rsid w:val="008D2A52"/>
    <w:rPr>
      <w:rFonts w:ascii="Arial" w:eastAsia="Calibri" w:hAnsi="Arial" w:cs="Tahoma"/>
      <w:i/>
      <w:iCs/>
      <w:color w:val="000000"/>
      <w:sz w:val="20"/>
      <w:szCs w:val="24"/>
      <w:shd w:val="clear" w:color="auto" w:fill="FFFFCC"/>
    </w:rPr>
  </w:style>
  <w:style w:type="numbering" w:customStyle="1" w:styleId="Estilo1">
    <w:name w:val="Estilo1"/>
    <w:uiPriority w:val="99"/>
    <w:rsid w:val="008D2A52"/>
    <w:pPr>
      <w:numPr>
        <w:numId w:val="3"/>
      </w:numPr>
    </w:pPr>
  </w:style>
  <w:style w:type="numbering" w:customStyle="1" w:styleId="Estilo2">
    <w:name w:val="Estilo2"/>
    <w:uiPriority w:val="99"/>
    <w:rsid w:val="008D2A52"/>
    <w:pPr>
      <w:numPr>
        <w:numId w:val="4"/>
      </w:numPr>
    </w:pPr>
  </w:style>
  <w:style w:type="numbering" w:customStyle="1" w:styleId="Estilo3">
    <w:name w:val="Estilo3"/>
    <w:uiPriority w:val="99"/>
    <w:rsid w:val="008D2A52"/>
    <w:pPr>
      <w:numPr>
        <w:numId w:val="5"/>
      </w:numPr>
    </w:pPr>
  </w:style>
  <w:style w:type="numbering" w:customStyle="1" w:styleId="Estilo4">
    <w:name w:val="Estilo4"/>
    <w:uiPriority w:val="99"/>
    <w:rsid w:val="008D2A52"/>
    <w:pPr>
      <w:numPr>
        <w:numId w:val="6"/>
      </w:numPr>
    </w:pPr>
  </w:style>
  <w:style w:type="numbering" w:customStyle="1" w:styleId="Estilo5">
    <w:name w:val="Estilo5"/>
    <w:uiPriority w:val="99"/>
    <w:rsid w:val="008D2A52"/>
    <w:pPr>
      <w:numPr>
        <w:numId w:val="7"/>
      </w:numPr>
    </w:pPr>
  </w:style>
  <w:style w:type="numbering" w:customStyle="1" w:styleId="Estilo6">
    <w:name w:val="Estilo6"/>
    <w:uiPriority w:val="99"/>
    <w:rsid w:val="008D2A52"/>
    <w:pPr>
      <w:numPr>
        <w:numId w:val="8"/>
      </w:numPr>
    </w:pPr>
  </w:style>
  <w:style w:type="character" w:styleId="Refdecomentrio">
    <w:name w:val="annotation reference"/>
    <w:basedOn w:val="Fontepargpadro"/>
    <w:unhideWhenUsed/>
    <w:qFormat/>
    <w:rsid w:val="008D2A52"/>
    <w:rPr>
      <w:sz w:val="16"/>
      <w:szCs w:val="16"/>
    </w:rPr>
  </w:style>
  <w:style w:type="paragraph" w:customStyle="1" w:styleId="Textodecomentrio1">
    <w:name w:val="Texto de comentário1"/>
    <w:basedOn w:val="Normal"/>
    <w:next w:val="Textodecomentrio"/>
    <w:link w:val="TextodecomentrioChar"/>
    <w:uiPriority w:val="99"/>
    <w:unhideWhenUsed/>
    <w:qFormat/>
    <w:rsid w:val="008D2A52"/>
    <w:pPr>
      <w:spacing w:after="0" w:line="240" w:lineRule="auto"/>
    </w:pPr>
    <w:rPr>
      <w:rFonts w:ascii="Ecofont_Spranq_eco_Sans" w:hAnsi="Ecofont_Spranq_eco_Sans" w:cs="Tahoma"/>
      <w:lang w:eastAsia="pt-BR"/>
    </w:rPr>
  </w:style>
  <w:style w:type="character" w:customStyle="1" w:styleId="TextodecomentrioChar">
    <w:name w:val="Texto de comentário Char"/>
    <w:basedOn w:val="Fontepargpadro"/>
    <w:link w:val="Textodecomentrio1"/>
    <w:uiPriority w:val="99"/>
    <w:qFormat/>
    <w:rsid w:val="008D2A52"/>
    <w:rPr>
      <w:rFonts w:ascii="Ecofont_Spranq_eco_Sans" w:hAnsi="Ecofont_Spranq_eco_Sans" w:cs="Tahoma"/>
      <w:lang w:eastAsia="pt-BR"/>
    </w:rPr>
  </w:style>
  <w:style w:type="paragraph" w:customStyle="1" w:styleId="Assuntodocomentrio1">
    <w:name w:val="Assunto do comentário1"/>
    <w:basedOn w:val="Textodecomentrio"/>
    <w:next w:val="Textodecomentrio"/>
    <w:uiPriority w:val="99"/>
    <w:semiHidden/>
    <w:unhideWhenUsed/>
    <w:rsid w:val="008D2A52"/>
    <w:pPr>
      <w:spacing w:after="0"/>
    </w:pPr>
    <w:rPr>
      <w:rFonts w:ascii="Ecofont_Spranq_eco_Sans" w:eastAsia="MS Mincho" w:hAnsi="Ecofont_Spranq_eco_Sans" w:cs="Tahoma"/>
      <w:b/>
      <w:bCs/>
      <w:lang w:eastAsia="pt-BR"/>
    </w:rPr>
  </w:style>
  <w:style w:type="character" w:customStyle="1" w:styleId="AssuntodocomentrioChar">
    <w:name w:val="Assunto do comentário Char"/>
    <w:basedOn w:val="TextodecomentrioChar"/>
    <w:link w:val="Assuntodocomentrio"/>
    <w:uiPriority w:val="99"/>
    <w:semiHidden/>
    <w:rsid w:val="008D2A52"/>
    <w:rPr>
      <w:rFonts w:ascii="Ecofont_Spranq_eco_Sans" w:hAnsi="Ecofont_Spranq_eco_Sans" w:cs="Tahoma"/>
      <w:b/>
      <w:bCs/>
      <w:lang w:eastAsia="pt-BR"/>
    </w:rPr>
  </w:style>
  <w:style w:type="paragraph" w:customStyle="1" w:styleId="Nivel01">
    <w:name w:val="Nivel 01"/>
    <w:basedOn w:val="Ttulo1"/>
    <w:next w:val="Normal"/>
    <w:link w:val="Nivel01Char"/>
    <w:qFormat/>
    <w:rsid w:val="008D2A52"/>
    <w:pPr>
      <w:numPr>
        <w:numId w:val="1"/>
      </w:numPr>
      <w:ind w:left="0" w:firstLine="0"/>
    </w:pPr>
    <w:rPr>
      <w:spacing w:val="5"/>
      <w:kern w:val="28"/>
    </w:rPr>
  </w:style>
  <w:style w:type="paragraph" w:customStyle="1" w:styleId="Nivel01Titulo">
    <w:name w:val="Nivel_01_Titulo"/>
    <w:basedOn w:val="Nivel01"/>
    <w:link w:val="Nivel01TituloChar"/>
    <w:uiPriority w:val="99"/>
    <w:qFormat/>
    <w:rsid w:val="008D2A52"/>
  </w:style>
  <w:style w:type="paragraph" w:customStyle="1" w:styleId="Ttulo10">
    <w:name w:val="Título1"/>
    <w:basedOn w:val="Normal"/>
    <w:next w:val="Normal"/>
    <w:uiPriority w:val="10"/>
    <w:qFormat/>
    <w:rsid w:val="008D2A52"/>
    <w:pPr>
      <w:pBdr>
        <w:bottom w:val="single" w:sz="8" w:space="4" w:color="4F81BD"/>
      </w:pBdr>
      <w:spacing w:after="300" w:line="240" w:lineRule="auto"/>
      <w:contextualSpacing/>
    </w:pPr>
    <w:rPr>
      <w:rFonts w:ascii="Calibri" w:eastAsia="MS Gothic" w:hAnsi="Calibri" w:cs="Times New Roman"/>
      <w:color w:val="17365D"/>
      <w:spacing w:val="5"/>
      <w:kern w:val="28"/>
      <w:sz w:val="52"/>
      <w:szCs w:val="52"/>
      <w:lang w:eastAsia="pt-BR"/>
    </w:rPr>
  </w:style>
  <w:style w:type="character" w:customStyle="1" w:styleId="TtuloChar">
    <w:name w:val="Título Char"/>
    <w:basedOn w:val="Fontepargpadro"/>
    <w:link w:val="Ttulo"/>
    <w:uiPriority w:val="10"/>
    <w:rsid w:val="008D2A52"/>
    <w:rPr>
      <w:rFonts w:ascii="Calibri" w:eastAsia="MS Gothic" w:hAnsi="Calibri" w:cs="Times New Roman"/>
      <w:color w:val="17365D"/>
      <w:spacing w:val="5"/>
      <w:kern w:val="28"/>
      <w:sz w:val="52"/>
      <w:szCs w:val="52"/>
      <w:lang w:eastAsia="pt-BR"/>
    </w:rPr>
  </w:style>
  <w:style w:type="character" w:customStyle="1" w:styleId="Nivel01Char">
    <w:name w:val="Nivel 01 Char"/>
    <w:basedOn w:val="TtuloChar"/>
    <w:link w:val="Nivel01"/>
    <w:rsid w:val="008D2A52"/>
    <w:rPr>
      <w:rFonts w:ascii="Calibri" w:eastAsia="MS Gothic" w:hAnsi="Calibri" w:cs="Times New Roman"/>
      <w:b/>
      <w:bCs/>
      <w:color w:val="365F91"/>
      <w:spacing w:val="5"/>
      <w:kern w:val="28"/>
      <w:sz w:val="28"/>
      <w:szCs w:val="28"/>
      <w:lang w:eastAsia="pt-BR"/>
    </w:rPr>
  </w:style>
  <w:style w:type="character" w:customStyle="1" w:styleId="Nivel01TituloChar">
    <w:name w:val="Nivel_01_Titulo Char"/>
    <w:basedOn w:val="Nivel01Char"/>
    <w:link w:val="Nivel01Titulo"/>
    <w:uiPriority w:val="99"/>
    <w:qFormat/>
    <w:rsid w:val="008D2A52"/>
    <w:rPr>
      <w:rFonts w:ascii="Calibri" w:eastAsia="MS Gothic" w:hAnsi="Calibri" w:cs="Times New Roman"/>
      <w:b/>
      <w:bCs/>
      <w:color w:val="365F91"/>
      <w:spacing w:val="5"/>
      <w:kern w:val="28"/>
      <w:sz w:val="28"/>
      <w:szCs w:val="28"/>
      <w:lang w:eastAsia="pt-BR"/>
    </w:rPr>
  </w:style>
  <w:style w:type="table" w:customStyle="1" w:styleId="Tabelacomgrade1">
    <w:name w:val="Tabela com grade1"/>
    <w:basedOn w:val="Tabelanormal"/>
    <w:next w:val="Tabelacomgrade"/>
    <w:uiPriority w:val="59"/>
    <w:rsid w:val="008D2A52"/>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uiPriority w:val="99"/>
    <w:qFormat/>
    <w:rsid w:val="008D2A52"/>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8D2A5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8D2A5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8D2A52"/>
  </w:style>
  <w:style w:type="character" w:customStyle="1" w:styleId="eop">
    <w:name w:val="eop"/>
    <w:basedOn w:val="Fontepargpadro"/>
    <w:rsid w:val="008D2A52"/>
  </w:style>
  <w:style w:type="character" w:customStyle="1" w:styleId="spellingerror">
    <w:name w:val="spellingerror"/>
    <w:basedOn w:val="Fontepargpadro"/>
    <w:rsid w:val="008D2A52"/>
  </w:style>
  <w:style w:type="paragraph" w:styleId="Corpodetexto">
    <w:name w:val="Body Text"/>
    <w:basedOn w:val="Normal"/>
    <w:link w:val="CorpodetextoChar"/>
    <w:uiPriority w:val="1"/>
    <w:unhideWhenUsed/>
    <w:qFormat/>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uiPriority w:val="1"/>
    <w:rsid w:val="008D2A52"/>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8D2A52"/>
  </w:style>
  <w:style w:type="character" w:customStyle="1" w:styleId="Nivel1Char">
    <w:name w:val="Nivel1 Char"/>
    <w:basedOn w:val="Ttulo1Char"/>
    <w:link w:val="Nivel1"/>
    <w:rsid w:val="008D2A52"/>
    <w:rPr>
      <w:rFonts w:ascii="Calibri" w:eastAsia="MS Gothic" w:hAnsi="Calibri" w:cs="Times New Roman"/>
      <w:b/>
      <w:bCs/>
      <w:color w:val="365F91"/>
      <w:sz w:val="28"/>
      <w:szCs w:val="28"/>
      <w:lang w:eastAsia="pt-BR"/>
    </w:rPr>
  </w:style>
  <w:style w:type="paragraph" w:customStyle="1" w:styleId="Nivel2">
    <w:name w:val="Nivel 2"/>
    <w:basedOn w:val="Normal"/>
    <w:link w:val="Nivel2Char"/>
    <w:qFormat/>
    <w:rsid w:val="008D2A52"/>
    <w:pPr>
      <w:numPr>
        <w:ilvl w:val="1"/>
        <w:numId w:val="1"/>
      </w:numPr>
      <w:spacing w:before="120" w:after="120"/>
      <w:ind w:left="0" w:firstLine="0"/>
      <w:jc w:val="both"/>
    </w:pPr>
    <w:rPr>
      <w:rFonts w:ascii="Arial" w:eastAsia="MS Mincho" w:hAnsi="Arial" w:cs="Arial"/>
      <w:color w:val="000000"/>
      <w:sz w:val="20"/>
      <w:szCs w:val="20"/>
      <w:lang w:eastAsia="pt-BR"/>
    </w:rPr>
  </w:style>
  <w:style w:type="paragraph" w:customStyle="1" w:styleId="Nivel10">
    <w:name w:val="Nivel 1"/>
    <w:basedOn w:val="Nivel2"/>
    <w:next w:val="Nivel2"/>
    <w:uiPriority w:val="99"/>
    <w:qFormat/>
    <w:rsid w:val="008D2A52"/>
    <w:pPr>
      <w:numPr>
        <w:ilvl w:val="0"/>
        <w:numId w:val="0"/>
      </w:numPr>
      <w:ind w:left="360" w:hanging="360"/>
    </w:pPr>
    <w:rPr>
      <w:b/>
    </w:rPr>
  </w:style>
  <w:style w:type="paragraph" w:customStyle="1" w:styleId="Nivel3">
    <w:name w:val="Nivel 3"/>
    <w:basedOn w:val="Normal"/>
    <w:link w:val="Nivel3Char"/>
    <w:qFormat/>
    <w:rsid w:val="008D2A52"/>
    <w:pPr>
      <w:numPr>
        <w:ilvl w:val="2"/>
        <w:numId w:val="1"/>
      </w:numPr>
      <w:spacing w:before="120" w:after="120"/>
      <w:ind w:left="425" w:firstLine="0"/>
      <w:jc w:val="both"/>
    </w:pPr>
    <w:rPr>
      <w:rFonts w:ascii="Arial" w:eastAsia="MS Mincho" w:hAnsi="Arial" w:cs="Arial"/>
      <w:color w:val="000000"/>
      <w:sz w:val="20"/>
      <w:szCs w:val="20"/>
      <w:lang w:eastAsia="pt-BR"/>
    </w:rPr>
  </w:style>
  <w:style w:type="paragraph" w:customStyle="1" w:styleId="Nivel4">
    <w:name w:val="Nivel 4"/>
    <w:basedOn w:val="Nivel3"/>
    <w:link w:val="Nivel4Char"/>
    <w:qFormat/>
    <w:rsid w:val="008D2A52"/>
    <w:pPr>
      <w:numPr>
        <w:ilvl w:val="3"/>
      </w:numPr>
      <w:ind w:left="851" w:firstLine="0"/>
    </w:pPr>
    <w:rPr>
      <w:color w:val="auto"/>
    </w:rPr>
  </w:style>
  <w:style w:type="paragraph" w:customStyle="1" w:styleId="Nivel5">
    <w:name w:val="Nivel 5"/>
    <w:basedOn w:val="Nivel4"/>
    <w:qFormat/>
    <w:rsid w:val="008D2A52"/>
    <w:pPr>
      <w:numPr>
        <w:ilvl w:val="4"/>
      </w:numPr>
      <w:ind w:left="1276" w:firstLine="0"/>
    </w:pPr>
  </w:style>
  <w:style w:type="character" w:customStyle="1" w:styleId="Nivel4Char">
    <w:name w:val="Nivel 4 Char"/>
    <w:basedOn w:val="Fontepargpadro"/>
    <w:link w:val="Nivel4"/>
    <w:rsid w:val="008D2A52"/>
    <w:rPr>
      <w:rFonts w:ascii="Arial" w:eastAsia="MS Mincho" w:hAnsi="Arial" w:cs="Arial"/>
      <w:sz w:val="20"/>
      <w:szCs w:val="20"/>
      <w:lang w:eastAsia="pt-BR"/>
    </w:rPr>
  </w:style>
  <w:style w:type="paragraph" w:customStyle="1" w:styleId="textbody">
    <w:name w:val="textbody"/>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uiPriority w:val="99"/>
    <w:rsid w:val="008D2A52"/>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8D2A5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D2A5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8D2A52"/>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8D2A52"/>
    <w:rPr>
      <w:b/>
      <w:bCs/>
    </w:rPr>
  </w:style>
  <w:style w:type="character" w:styleId="nfase">
    <w:name w:val="Emphasis"/>
    <w:basedOn w:val="Fontepargpadro"/>
    <w:uiPriority w:val="20"/>
    <w:qFormat/>
    <w:rsid w:val="008D2A52"/>
    <w:rPr>
      <w:i/>
      <w:iCs/>
    </w:rPr>
  </w:style>
  <w:style w:type="character" w:customStyle="1" w:styleId="Manoel">
    <w:name w:val="Manoel"/>
    <w:rsid w:val="008D2A52"/>
    <w:rPr>
      <w:rFonts w:ascii="Arial" w:hAnsi="Arial" w:cs="Arial"/>
      <w:color w:val="7030A0"/>
      <w:sz w:val="20"/>
    </w:rPr>
  </w:style>
  <w:style w:type="character" w:customStyle="1" w:styleId="ListLabel12">
    <w:name w:val="ListLabel 12"/>
    <w:rsid w:val="008D2A52"/>
    <w:rPr>
      <w:b/>
    </w:rPr>
  </w:style>
  <w:style w:type="paragraph" w:customStyle="1" w:styleId="texto1">
    <w:name w:val="texto1"/>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8D2A5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8D2A52"/>
    <w:rPr>
      <w:rFonts w:ascii="Arial" w:eastAsia="Calibri" w:hAnsi="Arial" w:cs="Times New Roman"/>
      <w:i/>
      <w:iCs/>
      <w:color w:val="000000"/>
      <w:sz w:val="20"/>
      <w:szCs w:val="24"/>
      <w:shd w:val="clear" w:color="auto" w:fill="FFFFCC"/>
    </w:rPr>
  </w:style>
  <w:style w:type="paragraph" w:customStyle="1" w:styleId="xwestern">
    <w:name w:val="x_western"/>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uiPriority w:val="99"/>
    <w:rsid w:val="008D2A52"/>
    <w:pPr>
      <w:spacing w:after="0" w:line="240" w:lineRule="auto"/>
      <w:ind w:firstLine="1134"/>
      <w:jc w:val="both"/>
    </w:pPr>
    <w:rPr>
      <w:rFonts w:ascii="Times New Roman" w:eastAsia="Times New Roman" w:hAnsi="Times New Roman" w:cs="Times New Roman"/>
      <w:sz w:val="24"/>
    </w:rPr>
  </w:style>
  <w:style w:type="paragraph" w:customStyle="1" w:styleId="Normal10">
    <w:name w:val="Normal_1"/>
    <w:uiPriority w:val="99"/>
    <w:rsid w:val="008D2A52"/>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8D2A52"/>
  </w:style>
  <w:style w:type="paragraph" w:customStyle="1" w:styleId="textojustificado">
    <w:name w:val="texto_justificado"/>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8D2A52"/>
    <w:rPr>
      <w:color w:val="605E5C"/>
      <w:shd w:val="clear" w:color="auto" w:fill="E1DFDD"/>
    </w:rPr>
  </w:style>
  <w:style w:type="character" w:customStyle="1" w:styleId="MenoPendente2">
    <w:name w:val="Menção Pendente2"/>
    <w:basedOn w:val="Fontepargpadro"/>
    <w:uiPriority w:val="99"/>
    <w:semiHidden/>
    <w:unhideWhenUsed/>
    <w:rsid w:val="008D2A52"/>
    <w:rPr>
      <w:color w:val="605E5C"/>
      <w:shd w:val="clear" w:color="auto" w:fill="E1DFDD"/>
    </w:rPr>
  </w:style>
  <w:style w:type="character" w:customStyle="1" w:styleId="Nivel2Char">
    <w:name w:val="Nivel 2 Char"/>
    <w:basedOn w:val="Fontepargpadro"/>
    <w:link w:val="Nivel2"/>
    <w:locked/>
    <w:rsid w:val="008D2A52"/>
    <w:rPr>
      <w:rFonts w:ascii="Arial" w:eastAsia="MS Mincho" w:hAnsi="Arial" w:cs="Arial"/>
      <w:color w:val="000000"/>
      <w:sz w:val="20"/>
      <w:szCs w:val="20"/>
      <w:lang w:eastAsia="pt-BR"/>
    </w:rPr>
  </w:style>
  <w:style w:type="paragraph" w:customStyle="1" w:styleId="Nvel2Opcional">
    <w:name w:val="Nível 2 Opcional"/>
    <w:basedOn w:val="Nivel2"/>
    <w:link w:val="Nvel2OpcionalChar"/>
    <w:qFormat/>
    <w:rsid w:val="008D2A52"/>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8D2A52"/>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8D2A52"/>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8D2A52"/>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8D2A52"/>
    <w:rPr>
      <w:color w:val="808080"/>
    </w:rPr>
  </w:style>
  <w:style w:type="character" w:customStyle="1" w:styleId="PargrafodaListaChar">
    <w:name w:val="Parágrafo da Lista Char"/>
    <w:basedOn w:val="Fontepargpadro"/>
    <w:link w:val="PargrafodaLista1"/>
    <w:uiPriority w:val="34"/>
    <w:rsid w:val="008D2A52"/>
    <w:rPr>
      <w:rFonts w:ascii="Ecofont_Spranq_eco_Sans" w:hAnsi="Ecofont_Spranq_eco_Sans" w:cs="Tahoma"/>
      <w:sz w:val="24"/>
      <w:szCs w:val="24"/>
      <w:lang w:eastAsia="pt-BR"/>
    </w:rPr>
  </w:style>
  <w:style w:type="paragraph" w:customStyle="1" w:styleId="SombreamentoMdio1-nfase31">
    <w:name w:val="Sombreamento Médio 1 - Ênfase 31"/>
    <w:basedOn w:val="Normal"/>
    <w:next w:val="Normal"/>
    <w:uiPriority w:val="99"/>
    <w:rsid w:val="008D2A52"/>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8D2A52"/>
  </w:style>
  <w:style w:type="paragraph" w:customStyle="1" w:styleId="Standard">
    <w:name w:val="Standard"/>
    <w:uiPriority w:val="99"/>
    <w:rsid w:val="008D2A52"/>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8D2A52"/>
    <w:pPr>
      <w:spacing w:after="140" w:line="276" w:lineRule="auto"/>
    </w:pPr>
  </w:style>
  <w:style w:type="character" w:customStyle="1" w:styleId="MenoPendente3">
    <w:name w:val="Menção Pendente3"/>
    <w:basedOn w:val="Fontepargpadro"/>
    <w:uiPriority w:val="99"/>
    <w:semiHidden/>
    <w:unhideWhenUsed/>
    <w:rsid w:val="008D2A52"/>
    <w:rPr>
      <w:color w:val="605E5C"/>
      <w:shd w:val="clear" w:color="auto" w:fill="E1DFDD"/>
    </w:rPr>
  </w:style>
  <w:style w:type="character" w:customStyle="1" w:styleId="MenoPendente4">
    <w:name w:val="Menção Pendente4"/>
    <w:basedOn w:val="Fontepargpadro"/>
    <w:uiPriority w:val="99"/>
    <w:semiHidden/>
    <w:unhideWhenUsed/>
    <w:rsid w:val="008D2A52"/>
    <w:rPr>
      <w:color w:val="605E5C"/>
      <w:shd w:val="clear" w:color="auto" w:fill="E1DFDD"/>
    </w:rPr>
  </w:style>
  <w:style w:type="paragraph" w:customStyle="1" w:styleId="ou">
    <w:name w:val="ou"/>
    <w:basedOn w:val="PargrafodaLista"/>
    <w:link w:val="ouChar"/>
    <w:qFormat/>
    <w:rsid w:val="008D2A52"/>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8D2A52"/>
    <w:rPr>
      <w:rFonts w:ascii="Arial" w:hAnsi="Arial" w:cs="Arial"/>
      <w:b/>
      <w:bCs/>
      <w:i/>
      <w:iCs/>
      <w:color w:val="FF0000"/>
      <w:sz w:val="24"/>
      <w:szCs w:val="24"/>
      <w:u w:val="single"/>
      <w:lang w:eastAsia="pt-BR"/>
    </w:rPr>
  </w:style>
  <w:style w:type="paragraph" w:customStyle="1" w:styleId="dou-paragraph">
    <w:name w:val="dou-paragraph"/>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2-Red">
    <w:name w:val="Nível 2 -Red"/>
    <w:basedOn w:val="Nivel2"/>
    <w:link w:val="Nvel2-RedChar"/>
    <w:qFormat/>
    <w:rsid w:val="008D2A52"/>
    <w:rPr>
      <w:i/>
      <w:iCs/>
      <w:color w:val="FF0000"/>
    </w:rPr>
  </w:style>
  <w:style w:type="paragraph" w:customStyle="1" w:styleId="Nvel3-R">
    <w:name w:val="Nível 3-R"/>
    <w:basedOn w:val="Nivel3"/>
    <w:link w:val="Nvel3-RChar"/>
    <w:uiPriority w:val="99"/>
    <w:qFormat/>
    <w:rsid w:val="008D2A52"/>
    <w:rPr>
      <w:i/>
      <w:iCs/>
      <w:color w:val="FF0000"/>
    </w:rPr>
  </w:style>
  <w:style w:type="character" w:customStyle="1" w:styleId="Nvel2-RedChar">
    <w:name w:val="Nível 2 -Red Char"/>
    <w:basedOn w:val="Nivel2Char"/>
    <w:link w:val="Nvel2-Red"/>
    <w:rsid w:val="008D2A52"/>
    <w:rPr>
      <w:rFonts w:ascii="Arial" w:eastAsia="MS Mincho" w:hAnsi="Arial" w:cs="Arial"/>
      <w:i/>
      <w:iCs/>
      <w:color w:val="FF0000"/>
      <w:sz w:val="20"/>
      <w:szCs w:val="20"/>
      <w:lang w:eastAsia="pt-BR"/>
    </w:rPr>
  </w:style>
  <w:style w:type="paragraph" w:customStyle="1" w:styleId="Nvel4-R">
    <w:name w:val="Nível 4-R"/>
    <w:basedOn w:val="Nivel4"/>
    <w:link w:val="Nvel4-RChar"/>
    <w:uiPriority w:val="99"/>
    <w:qFormat/>
    <w:rsid w:val="008D2A52"/>
    <w:pPr>
      <w:ind w:left="2491" w:hanging="648"/>
    </w:pPr>
    <w:rPr>
      <w:i/>
      <w:iCs/>
      <w:color w:val="FF0000"/>
    </w:rPr>
  </w:style>
  <w:style w:type="character" w:customStyle="1" w:styleId="Nivel3Char">
    <w:name w:val="Nivel 3 Char"/>
    <w:basedOn w:val="Fontepargpadro"/>
    <w:link w:val="Nivel3"/>
    <w:rsid w:val="008D2A52"/>
    <w:rPr>
      <w:rFonts w:ascii="Arial" w:eastAsia="MS Mincho" w:hAnsi="Arial" w:cs="Arial"/>
      <w:color w:val="000000"/>
      <w:sz w:val="20"/>
      <w:szCs w:val="20"/>
      <w:lang w:eastAsia="pt-BR"/>
    </w:rPr>
  </w:style>
  <w:style w:type="character" w:customStyle="1" w:styleId="Nvel3-RChar">
    <w:name w:val="Nível 3-R Char"/>
    <w:basedOn w:val="Nivel3Char"/>
    <w:link w:val="Nvel3-R"/>
    <w:uiPriority w:val="99"/>
    <w:rsid w:val="008D2A52"/>
    <w:rPr>
      <w:rFonts w:ascii="Arial" w:eastAsia="MS Mincho" w:hAnsi="Arial" w:cs="Arial"/>
      <w:i/>
      <w:iCs/>
      <w:color w:val="FF0000"/>
      <w:sz w:val="20"/>
      <w:szCs w:val="20"/>
      <w:lang w:eastAsia="pt-BR"/>
    </w:rPr>
  </w:style>
  <w:style w:type="paragraph" w:customStyle="1" w:styleId="Nvel1-SemNum">
    <w:name w:val="Nível 1-Sem Num"/>
    <w:basedOn w:val="Nivel01"/>
    <w:link w:val="Nvel1-SemNumChar"/>
    <w:qFormat/>
    <w:rsid w:val="008D2A52"/>
    <w:pPr>
      <w:tabs>
        <w:tab w:val="left" w:pos="567"/>
      </w:tabs>
      <w:spacing w:before="240" w:line="240" w:lineRule="auto"/>
      <w:ind w:left="357"/>
      <w:jc w:val="both"/>
      <w:outlineLvl w:val="1"/>
    </w:pPr>
    <w:rPr>
      <w:rFonts w:ascii="Arial" w:hAnsi="Arial" w:cs="Arial"/>
      <w:color w:val="FF0000"/>
      <w:sz w:val="52"/>
      <w:szCs w:val="52"/>
    </w:rPr>
  </w:style>
  <w:style w:type="character" w:customStyle="1" w:styleId="Nvel4-RChar">
    <w:name w:val="Nível 4-R Char"/>
    <w:basedOn w:val="Nivel4Char"/>
    <w:link w:val="Nvel4-R"/>
    <w:uiPriority w:val="99"/>
    <w:rsid w:val="008D2A52"/>
    <w:rPr>
      <w:rFonts w:ascii="Arial" w:eastAsia="MS Mincho" w:hAnsi="Arial" w:cs="Arial"/>
      <w:i/>
      <w:iCs/>
      <w:color w:val="FF0000"/>
      <w:sz w:val="20"/>
      <w:szCs w:val="20"/>
      <w:lang w:eastAsia="pt-BR"/>
    </w:rPr>
  </w:style>
  <w:style w:type="character" w:customStyle="1" w:styleId="LinkdaInternet">
    <w:name w:val="Link da Internet"/>
    <w:basedOn w:val="Fontepargpadro"/>
    <w:uiPriority w:val="99"/>
    <w:unhideWhenUsed/>
    <w:rsid w:val="008D2A52"/>
    <w:rPr>
      <w:color w:val="0000FF"/>
      <w:u w:val="single"/>
    </w:rPr>
  </w:style>
  <w:style w:type="character" w:customStyle="1" w:styleId="Nvel1-SemNumChar">
    <w:name w:val="Nível 1-Sem Num Char"/>
    <w:basedOn w:val="Nivel01Char"/>
    <w:link w:val="Nvel1-SemNum"/>
    <w:rsid w:val="008D2A52"/>
    <w:rPr>
      <w:rFonts w:ascii="Arial" w:eastAsia="MS Gothic" w:hAnsi="Arial" w:cs="Arial"/>
      <w:b/>
      <w:bCs/>
      <w:color w:val="FF0000"/>
      <w:spacing w:val="5"/>
      <w:kern w:val="28"/>
      <w:sz w:val="52"/>
      <w:szCs w:val="52"/>
      <w:lang w:eastAsia="pt-BR"/>
    </w:rPr>
  </w:style>
  <w:style w:type="paragraph" w:customStyle="1" w:styleId="citao2">
    <w:name w:val="citação 2"/>
    <w:basedOn w:val="Citao"/>
    <w:link w:val="citao2Char"/>
    <w:qFormat/>
    <w:rsid w:val="008D2A52"/>
    <w:pPr>
      <w:overflowPunct w:val="0"/>
    </w:pPr>
  </w:style>
  <w:style w:type="paragraph" w:customStyle="1" w:styleId="Prembulo">
    <w:name w:val="Preâmbulo"/>
    <w:basedOn w:val="Normal"/>
    <w:link w:val="PrembuloChar"/>
    <w:qFormat/>
    <w:rsid w:val="008D2A52"/>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8D2A52"/>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8D2A52"/>
    <w:rPr>
      <w:color w:val="605E5C"/>
      <w:shd w:val="clear" w:color="auto" w:fill="E1DFDD"/>
    </w:rPr>
  </w:style>
  <w:style w:type="paragraph" w:customStyle="1" w:styleId="msonormal0">
    <w:name w:val="msonormal"/>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umrio11">
    <w:name w:val="Sumário 11"/>
    <w:basedOn w:val="Normal"/>
    <w:next w:val="Normal"/>
    <w:autoRedefine/>
    <w:uiPriority w:val="39"/>
    <w:semiHidden/>
    <w:unhideWhenUsed/>
    <w:rsid w:val="008D2A52"/>
    <w:pPr>
      <w:spacing w:before="120" w:after="120" w:line="240" w:lineRule="auto"/>
      <w:jc w:val="center"/>
    </w:pPr>
    <w:rPr>
      <w:rFonts w:cs="Cambria"/>
      <w:b/>
      <w:bCs/>
      <w:sz w:val="28"/>
      <w:szCs w:val="28"/>
    </w:rPr>
  </w:style>
  <w:style w:type="paragraph" w:customStyle="1" w:styleId="Textodenotaderodap1">
    <w:name w:val="Texto de nota de rodapé1"/>
    <w:basedOn w:val="Normal"/>
    <w:next w:val="Textodenotaderodap"/>
    <w:link w:val="TextodenotaderodapChar"/>
    <w:uiPriority w:val="99"/>
    <w:semiHidden/>
    <w:unhideWhenUsed/>
    <w:rsid w:val="008D2A52"/>
    <w:pPr>
      <w:spacing w:after="0" w:line="240" w:lineRule="auto"/>
    </w:pPr>
    <w:rPr>
      <w:rFonts w:ascii="Cambria" w:eastAsia="Cambria" w:hAnsi="Cambria" w:cs="Arial"/>
    </w:rPr>
  </w:style>
  <w:style w:type="character" w:customStyle="1" w:styleId="TextodenotaderodapChar">
    <w:name w:val="Texto de nota de rodapé Char"/>
    <w:basedOn w:val="Fontepargpadro"/>
    <w:link w:val="Textodenotaderodap1"/>
    <w:uiPriority w:val="99"/>
    <w:semiHidden/>
    <w:rsid w:val="008D2A52"/>
    <w:rPr>
      <w:rFonts w:ascii="Cambria" w:eastAsia="Cambria" w:hAnsi="Cambria" w:cs="Arial"/>
    </w:rPr>
  </w:style>
  <w:style w:type="paragraph" w:customStyle="1" w:styleId="CabealhodoSumrio1">
    <w:name w:val="Cabeçalho do Sumário1"/>
    <w:basedOn w:val="Ttulo1"/>
    <w:next w:val="Normal"/>
    <w:uiPriority w:val="39"/>
    <w:semiHidden/>
    <w:unhideWhenUsed/>
    <w:qFormat/>
    <w:rsid w:val="008D2A52"/>
  </w:style>
  <w:style w:type="paragraph" w:customStyle="1" w:styleId="assina">
    <w:name w:val="assina"/>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centralizado">
    <w:name w:val="tabela_texto_centralizado"/>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negrito">
    <w:name w:val="texto_justificado_negrito"/>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centralizadomaiusculas">
    <w:name w:val="texto_centralizado_maiusculas"/>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espsimples">
    <w:name w:val="texto_justificado_recuo_primeira_linha_esp_simples"/>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reformattedtext">
    <w:name w:val="preformattedtext"/>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tandard0">
    <w:name w:val="standard"/>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centralizado12">
    <w:name w:val="texto_centralizado_12"/>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centralizadomaiusculasnegrito">
    <w:name w:val="texto_centralizado_maiusculas_negrito"/>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alinhadoesquerda">
    <w:name w:val="tabela_texto_alinhado_esquerda"/>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leParagraph">
    <w:name w:val="Table Paragraph"/>
    <w:basedOn w:val="Normal"/>
    <w:uiPriority w:val="1"/>
    <w:qFormat/>
    <w:rsid w:val="008D2A52"/>
    <w:pPr>
      <w:widowControl w:val="0"/>
      <w:autoSpaceDE w:val="0"/>
      <w:autoSpaceDN w:val="0"/>
      <w:spacing w:after="0" w:line="240" w:lineRule="auto"/>
    </w:pPr>
    <w:rPr>
      <w:rFonts w:ascii="Times New Roman" w:eastAsia="Times New Roman" w:hAnsi="Times New Roman" w:cs="Times New Roman"/>
      <w:lang w:val="pt-PT"/>
    </w:rPr>
  </w:style>
  <w:style w:type="character" w:customStyle="1" w:styleId="citao2Char">
    <w:name w:val="citação 2 Char"/>
    <w:basedOn w:val="CitaoChar"/>
    <w:link w:val="citao2"/>
    <w:locked/>
    <w:rsid w:val="008D2A52"/>
    <w:rPr>
      <w:rFonts w:ascii="Arial" w:eastAsia="Calibri" w:hAnsi="Arial" w:cs="Tahoma"/>
      <w:i/>
      <w:iCs/>
      <w:color w:val="000000"/>
      <w:sz w:val="20"/>
      <w:szCs w:val="24"/>
      <w:shd w:val="clear" w:color="auto" w:fill="FFFFCC"/>
    </w:rPr>
  </w:style>
  <w:style w:type="character" w:styleId="Refdenotaderodap">
    <w:name w:val="footnote reference"/>
    <w:basedOn w:val="Fontepargpadro"/>
    <w:uiPriority w:val="99"/>
    <w:semiHidden/>
    <w:unhideWhenUsed/>
    <w:rsid w:val="008D2A52"/>
    <w:rPr>
      <w:vertAlign w:val="superscript"/>
    </w:rPr>
  </w:style>
  <w:style w:type="character" w:customStyle="1" w:styleId="sr-only">
    <w:name w:val="sr-only"/>
    <w:basedOn w:val="Fontepargpadro"/>
    <w:rsid w:val="008D2A52"/>
  </w:style>
  <w:style w:type="character" w:customStyle="1" w:styleId="documentpublished">
    <w:name w:val="documentpublished"/>
    <w:basedOn w:val="Fontepargpadro"/>
    <w:rsid w:val="008D2A52"/>
  </w:style>
  <w:style w:type="character" w:customStyle="1" w:styleId="value">
    <w:name w:val="value"/>
    <w:basedOn w:val="Fontepargpadro"/>
    <w:rsid w:val="008D2A52"/>
  </w:style>
  <w:style w:type="character" w:customStyle="1" w:styleId="external-link">
    <w:name w:val="external-link"/>
    <w:basedOn w:val="Fontepargpadro"/>
    <w:rsid w:val="008D2A52"/>
  </w:style>
  <w:style w:type="paragraph" w:customStyle="1" w:styleId="ParagraphStyle">
    <w:name w:val="Paragraph Style"/>
    <w:rsid w:val="008D2A52"/>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SemEspaamento">
    <w:name w:val="No Spacing"/>
    <w:link w:val="SemEspaamentoChar"/>
    <w:uiPriority w:val="1"/>
    <w:qFormat/>
    <w:rsid w:val="008D2A52"/>
    <w:pPr>
      <w:spacing w:after="0" w:line="240" w:lineRule="auto"/>
    </w:pPr>
    <w:rPr>
      <w:rFonts w:ascii="Times New Roman" w:eastAsia="PMingLiU" w:hAnsi="Times New Roman" w:cs="Times New Roman"/>
      <w:sz w:val="24"/>
      <w:szCs w:val="24"/>
      <w:lang w:eastAsia="pt-BR"/>
    </w:rPr>
  </w:style>
  <w:style w:type="paragraph" w:customStyle="1" w:styleId="pagespeed1739300735">
    <w:name w:val="page_speed_1739300735"/>
    <w:basedOn w:val="Normal"/>
    <w:uiPriority w:val="99"/>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uiPriority w:val="99"/>
    <w:rsid w:val="008D2A52"/>
    <w:pPr>
      <w:autoSpaceDE w:val="0"/>
      <w:autoSpaceDN w:val="0"/>
      <w:adjustRightInd w:val="0"/>
      <w:spacing w:after="0" w:line="240" w:lineRule="auto"/>
    </w:pPr>
    <w:rPr>
      <w:rFonts w:ascii="Arial" w:eastAsia="Calibri" w:hAnsi="Arial" w:cs="Arial"/>
      <w:color w:val="000000"/>
      <w:sz w:val="24"/>
      <w:szCs w:val="24"/>
      <w:lang w:eastAsia="pt-BR"/>
    </w:rPr>
  </w:style>
  <w:style w:type="paragraph" w:customStyle="1" w:styleId="Centered">
    <w:name w:val="Centered"/>
    <w:uiPriority w:val="99"/>
    <w:rsid w:val="008D2A52"/>
    <w:pPr>
      <w:widowControl w:val="0"/>
      <w:autoSpaceDE w:val="0"/>
      <w:autoSpaceDN w:val="0"/>
      <w:adjustRightInd w:val="0"/>
      <w:spacing w:after="0" w:line="240" w:lineRule="auto"/>
      <w:jc w:val="center"/>
    </w:pPr>
    <w:rPr>
      <w:rFonts w:ascii="Arial" w:eastAsia="Times New Roman" w:hAnsi="Arial" w:cs="Arial"/>
      <w:sz w:val="24"/>
      <w:szCs w:val="24"/>
      <w:lang w:eastAsia="pt-BR"/>
    </w:rPr>
  </w:style>
  <w:style w:type="character" w:customStyle="1" w:styleId="MenoPendente6">
    <w:name w:val="Menção Pendente6"/>
    <w:uiPriority w:val="99"/>
    <w:semiHidden/>
    <w:rsid w:val="008D2A52"/>
    <w:rPr>
      <w:color w:val="605E5C"/>
      <w:shd w:val="clear" w:color="auto" w:fill="E1DFDD"/>
    </w:rPr>
  </w:style>
  <w:style w:type="character" w:customStyle="1" w:styleId="pagespeed1100795452">
    <w:name w:val="page_speed_1100795452"/>
    <w:rsid w:val="008D2A52"/>
  </w:style>
  <w:style w:type="character" w:customStyle="1" w:styleId="pagespeed943146824">
    <w:name w:val="page_speed_943146824"/>
    <w:rsid w:val="008D2A52"/>
  </w:style>
  <w:style w:type="character" w:customStyle="1" w:styleId="pagespeed1048573975">
    <w:name w:val="page_speed_1048573975"/>
    <w:rsid w:val="008D2A52"/>
  </w:style>
  <w:style w:type="character" w:customStyle="1" w:styleId="Sobrescrito">
    <w:name w:val="Sobrescrito"/>
    <w:uiPriority w:val="99"/>
    <w:rsid w:val="008D2A52"/>
    <w:rPr>
      <w:position w:val="8"/>
      <w:sz w:val="16"/>
    </w:rPr>
  </w:style>
  <w:style w:type="character" w:customStyle="1" w:styleId="Subscrito">
    <w:name w:val="Subscrito"/>
    <w:uiPriority w:val="99"/>
    <w:rsid w:val="008D2A52"/>
    <w:rPr>
      <w:position w:val="-8"/>
      <w:sz w:val="16"/>
    </w:rPr>
  </w:style>
  <w:style w:type="character" w:customStyle="1" w:styleId="Tag">
    <w:name w:val="Tag"/>
    <w:uiPriority w:val="99"/>
    <w:rsid w:val="008D2A52"/>
    <w:rPr>
      <w:sz w:val="20"/>
      <w:shd w:val="clear" w:color="auto" w:fill="FFFFFF"/>
    </w:rPr>
  </w:style>
  <w:style w:type="character" w:customStyle="1" w:styleId="SemEspaamentoChar">
    <w:name w:val="Sem Espaçamento Char"/>
    <w:basedOn w:val="Fontepargpadro"/>
    <w:link w:val="SemEspaamento"/>
    <w:uiPriority w:val="1"/>
    <w:locked/>
    <w:rsid w:val="008D2A52"/>
    <w:rPr>
      <w:rFonts w:ascii="Times New Roman" w:eastAsia="PMingLiU" w:hAnsi="Times New Roman" w:cs="Times New Roman"/>
      <w:sz w:val="24"/>
      <w:szCs w:val="24"/>
      <w:lang w:eastAsia="pt-BR"/>
    </w:rPr>
  </w:style>
  <w:style w:type="character" w:customStyle="1" w:styleId="CitaoChar1">
    <w:name w:val="Citação Char1"/>
    <w:aliases w:val="TCU Char1,Citação AGU Char1,NotaExplicativa Char1"/>
    <w:basedOn w:val="Fontepargpadro"/>
    <w:uiPriority w:val="99"/>
    <w:rsid w:val="008D2A52"/>
    <w:rPr>
      <w:rFonts w:ascii="Ecofont_Spranq_eco_Sans" w:hAnsi="Ecofont_Spranq_eco_Sans" w:cs="Tahoma"/>
      <w:i/>
      <w:iCs/>
      <w:color w:val="404040"/>
      <w:sz w:val="24"/>
      <w:szCs w:val="24"/>
      <w:lang w:eastAsia="pt-BR"/>
    </w:rPr>
  </w:style>
  <w:style w:type="paragraph" w:customStyle="1" w:styleId="pdq2pgselectionanchorcontainer">
    <w:name w:val="pdq2pg_selectionanchorcontainer"/>
    <w:basedOn w:val="Normal"/>
    <w:rsid w:val="008D2A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1">
    <w:name w:val="Título 1 Char1"/>
    <w:basedOn w:val="Fontepargpadro"/>
    <w:uiPriority w:val="9"/>
    <w:rsid w:val="008D2A52"/>
    <w:rPr>
      <w:rFonts w:asciiTheme="majorHAnsi" w:eastAsiaTheme="majorEastAsia" w:hAnsiTheme="majorHAnsi" w:cstheme="majorBidi"/>
      <w:b/>
      <w:bCs/>
      <w:color w:val="365F91" w:themeColor="accent1" w:themeShade="BF"/>
      <w:sz w:val="28"/>
      <w:szCs w:val="28"/>
    </w:rPr>
  </w:style>
  <w:style w:type="character" w:customStyle="1" w:styleId="Ttulo2Char1">
    <w:name w:val="Título 2 Char1"/>
    <w:basedOn w:val="Fontepargpadro"/>
    <w:uiPriority w:val="9"/>
    <w:semiHidden/>
    <w:rsid w:val="008D2A52"/>
    <w:rPr>
      <w:rFonts w:asciiTheme="majorHAnsi" w:eastAsiaTheme="majorEastAsia" w:hAnsiTheme="majorHAnsi" w:cstheme="majorBidi"/>
      <w:b/>
      <w:bCs/>
      <w:color w:val="4F81BD" w:themeColor="accent1"/>
      <w:sz w:val="26"/>
      <w:szCs w:val="26"/>
    </w:rPr>
  </w:style>
  <w:style w:type="character" w:customStyle="1" w:styleId="Ttulo3Char1">
    <w:name w:val="Título 3 Char1"/>
    <w:basedOn w:val="Fontepargpadro"/>
    <w:uiPriority w:val="9"/>
    <w:semiHidden/>
    <w:rsid w:val="008D2A52"/>
    <w:rPr>
      <w:rFonts w:asciiTheme="majorHAnsi" w:eastAsiaTheme="majorEastAsia" w:hAnsiTheme="majorHAnsi" w:cstheme="majorBidi"/>
      <w:b/>
      <w:bCs/>
      <w:color w:val="4F81BD" w:themeColor="accent1"/>
    </w:rPr>
  </w:style>
  <w:style w:type="character" w:customStyle="1" w:styleId="Ttulo4Char1">
    <w:name w:val="Título 4 Char1"/>
    <w:basedOn w:val="Fontepargpadro"/>
    <w:uiPriority w:val="9"/>
    <w:semiHidden/>
    <w:rsid w:val="008D2A52"/>
    <w:rPr>
      <w:rFonts w:asciiTheme="majorHAnsi" w:eastAsiaTheme="majorEastAsia" w:hAnsiTheme="majorHAnsi" w:cstheme="majorBidi"/>
      <w:b/>
      <w:bCs/>
      <w:i/>
      <w:iCs/>
      <w:color w:val="4F81BD" w:themeColor="accent1"/>
    </w:rPr>
  </w:style>
  <w:style w:type="character" w:customStyle="1" w:styleId="Ttulo6Char1">
    <w:name w:val="Título 6 Char1"/>
    <w:basedOn w:val="Fontepargpadro"/>
    <w:uiPriority w:val="9"/>
    <w:semiHidden/>
    <w:rsid w:val="008D2A52"/>
    <w:rPr>
      <w:rFonts w:asciiTheme="majorHAnsi" w:eastAsiaTheme="majorEastAsia" w:hAnsiTheme="majorHAnsi" w:cstheme="majorBidi"/>
      <w:i/>
      <w:iCs/>
      <w:color w:val="243F60" w:themeColor="accent1" w:themeShade="7F"/>
    </w:rPr>
  </w:style>
  <w:style w:type="paragraph" w:styleId="PargrafodaLista">
    <w:name w:val="List Paragraph"/>
    <w:basedOn w:val="Normal"/>
    <w:uiPriority w:val="34"/>
    <w:qFormat/>
    <w:rsid w:val="008D2A52"/>
    <w:pPr>
      <w:ind w:left="720"/>
      <w:contextualSpacing/>
    </w:pPr>
  </w:style>
  <w:style w:type="paragraph" w:styleId="Textodebalo">
    <w:name w:val="Balloon Text"/>
    <w:basedOn w:val="Normal"/>
    <w:link w:val="TextodebaloChar1"/>
    <w:uiPriority w:val="99"/>
    <w:semiHidden/>
    <w:unhideWhenUsed/>
    <w:rsid w:val="008D2A52"/>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8D2A52"/>
    <w:rPr>
      <w:rFonts w:ascii="Tahoma" w:hAnsi="Tahoma" w:cs="Tahoma"/>
      <w:sz w:val="16"/>
      <w:szCs w:val="16"/>
    </w:rPr>
  </w:style>
  <w:style w:type="paragraph" w:styleId="Commarcadores5">
    <w:name w:val="List Bullet 5"/>
    <w:basedOn w:val="Normal"/>
    <w:uiPriority w:val="99"/>
    <w:semiHidden/>
    <w:unhideWhenUsed/>
    <w:rsid w:val="008D2A52"/>
    <w:pPr>
      <w:ind w:left="360" w:hanging="360"/>
      <w:contextualSpacing/>
    </w:pPr>
  </w:style>
  <w:style w:type="paragraph" w:styleId="Textodecomentrio">
    <w:name w:val="annotation text"/>
    <w:basedOn w:val="Normal"/>
    <w:link w:val="TextodecomentrioChar1"/>
    <w:uiPriority w:val="99"/>
    <w:semiHidden/>
    <w:unhideWhenUsed/>
    <w:rsid w:val="008D2A52"/>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D2A52"/>
    <w:rPr>
      <w:sz w:val="20"/>
      <w:szCs w:val="20"/>
    </w:rPr>
  </w:style>
  <w:style w:type="paragraph" w:styleId="Assuntodocomentrio">
    <w:name w:val="annotation subject"/>
    <w:basedOn w:val="Textodecomentrio"/>
    <w:next w:val="Textodecomentrio"/>
    <w:link w:val="AssuntodocomentrioChar"/>
    <w:uiPriority w:val="99"/>
    <w:semiHidden/>
    <w:unhideWhenUsed/>
    <w:rsid w:val="008D2A52"/>
    <w:rPr>
      <w:rFonts w:ascii="Ecofont_Spranq_eco_Sans" w:hAnsi="Ecofont_Spranq_eco_Sans" w:cs="Tahoma"/>
      <w:b/>
      <w:bCs/>
      <w:sz w:val="22"/>
      <w:szCs w:val="22"/>
      <w:lang w:eastAsia="pt-BR"/>
    </w:rPr>
  </w:style>
  <w:style w:type="character" w:customStyle="1" w:styleId="AssuntodocomentrioChar1">
    <w:name w:val="Assunto do comentário Char1"/>
    <w:basedOn w:val="TextodecomentrioChar1"/>
    <w:uiPriority w:val="99"/>
    <w:semiHidden/>
    <w:rsid w:val="008D2A52"/>
    <w:rPr>
      <w:b/>
      <w:bCs/>
      <w:sz w:val="20"/>
      <w:szCs w:val="20"/>
    </w:rPr>
  </w:style>
  <w:style w:type="paragraph" w:styleId="Ttulo">
    <w:name w:val="Title"/>
    <w:basedOn w:val="Normal"/>
    <w:next w:val="Normal"/>
    <w:link w:val="TtuloChar"/>
    <w:uiPriority w:val="10"/>
    <w:qFormat/>
    <w:rsid w:val="008D2A52"/>
    <w:pPr>
      <w:pBdr>
        <w:bottom w:val="single" w:sz="8" w:space="4" w:color="4F81BD" w:themeColor="accent1"/>
      </w:pBdr>
      <w:spacing w:after="300" w:line="240" w:lineRule="auto"/>
      <w:contextualSpacing/>
    </w:pPr>
    <w:rPr>
      <w:rFonts w:ascii="Calibri" w:eastAsia="MS Gothic" w:hAnsi="Calibri" w:cs="Times New Roman"/>
      <w:color w:val="17365D"/>
      <w:spacing w:val="5"/>
      <w:kern w:val="28"/>
      <w:sz w:val="52"/>
      <w:szCs w:val="52"/>
      <w:lang w:eastAsia="pt-BR"/>
    </w:rPr>
  </w:style>
  <w:style w:type="character" w:customStyle="1" w:styleId="TtuloChar1">
    <w:name w:val="Título Char1"/>
    <w:basedOn w:val="Fontepargpadro"/>
    <w:uiPriority w:val="10"/>
    <w:rsid w:val="008D2A52"/>
    <w:rPr>
      <w:rFonts w:asciiTheme="majorHAnsi" w:eastAsiaTheme="majorEastAsia" w:hAnsiTheme="majorHAnsi" w:cstheme="majorBidi"/>
      <w:color w:val="17365D" w:themeColor="text2" w:themeShade="BF"/>
      <w:spacing w:val="5"/>
      <w:kern w:val="28"/>
      <w:sz w:val="52"/>
      <w:szCs w:val="52"/>
    </w:rPr>
  </w:style>
  <w:style w:type="table" w:styleId="Tabelacomgrade">
    <w:name w:val="Table Grid"/>
    <w:basedOn w:val="Tabelanormal"/>
    <w:uiPriority w:val="59"/>
    <w:rsid w:val="008D2A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1"/>
    <w:uiPriority w:val="99"/>
    <w:semiHidden/>
    <w:unhideWhenUsed/>
    <w:rsid w:val="008D2A52"/>
    <w:pPr>
      <w:spacing w:after="0" w:line="240" w:lineRule="auto"/>
    </w:pPr>
    <w:rPr>
      <w:sz w:val="20"/>
      <w:szCs w:val="20"/>
    </w:rPr>
  </w:style>
  <w:style w:type="character" w:customStyle="1" w:styleId="TextodenotaderodapChar1">
    <w:name w:val="Texto de nota de rodapé Char1"/>
    <w:basedOn w:val="Fontepargpadro"/>
    <w:link w:val="Textodenotaderodap"/>
    <w:uiPriority w:val="99"/>
    <w:semiHidden/>
    <w:rsid w:val="008D2A5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965560">
      <w:bodyDiv w:val="1"/>
      <w:marLeft w:val="0"/>
      <w:marRight w:val="0"/>
      <w:marTop w:val="0"/>
      <w:marBottom w:val="0"/>
      <w:divBdr>
        <w:top w:val="none" w:sz="0" w:space="0" w:color="auto"/>
        <w:left w:val="none" w:sz="0" w:space="0" w:color="auto"/>
        <w:bottom w:val="none" w:sz="0" w:space="0" w:color="auto"/>
        <w:right w:val="none" w:sz="0" w:space="0" w:color="auto"/>
      </w:divBdr>
      <w:divsChild>
        <w:div w:id="1866400213">
          <w:marLeft w:val="0"/>
          <w:marRight w:val="0"/>
          <w:marTop w:val="0"/>
          <w:marBottom w:val="0"/>
          <w:divBdr>
            <w:top w:val="none" w:sz="0" w:space="0" w:color="auto"/>
            <w:left w:val="none" w:sz="0" w:space="0" w:color="auto"/>
            <w:bottom w:val="none" w:sz="0" w:space="0" w:color="auto"/>
            <w:right w:val="none" w:sz="0" w:space="0" w:color="auto"/>
          </w:divBdr>
        </w:div>
        <w:div w:id="1272469871">
          <w:marLeft w:val="0"/>
          <w:marRight w:val="0"/>
          <w:marTop w:val="0"/>
          <w:marBottom w:val="0"/>
          <w:divBdr>
            <w:top w:val="none" w:sz="0" w:space="0" w:color="auto"/>
            <w:left w:val="none" w:sz="0" w:space="0" w:color="auto"/>
            <w:bottom w:val="none" w:sz="0" w:space="0" w:color="auto"/>
            <w:right w:val="none" w:sz="0" w:space="0" w:color="auto"/>
          </w:divBdr>
        </w:div>
        <w:div w:id="753434050">
          <w:marLeft w:val="0"/>
          <w:marRight w:val="0"/>
          <w:marTop w:val="0"/>
          <w:marBottom w:val="0"/>
          <w:divBdr>
            <w:top w:val="none" w:sz="0" w:space="0" w:color="auto"/>
            <w:left w:val="none" w:sz="0" w:space="0" w:color="auto"/>
            <w:bottom w:val="none" w:sz="0" w:space="0" w:color="auto"/>
            <w:right w:val="none" w:sz="0" w:space="0" w:color="auto"/>
          </w:divBdr>
        </w:div>
        <w:div w:id="686061488">
          <w:marLeft w:val="0"/>
          <w:marRight w:val="0"/>
          <w:marTop w:val="0"/>
          <w:marBottom w:val="0"/>
          <w:divBdr>
            <w:top w:val="none" w:sz="0" w:space="0" w:color="auto"/>
            <w:left w:val="none" w:sz="0" w:space="0" w:color="auto"/>
            <w:bottom w:val="none" w:sz="0" w:space="0" w:color="auto"/>
            <w:right w:val="none" w:sz="0" w:space="0" w:color="auto"/>
          </w:divBdr>
        </w:div>
        <w:div w:id="875780084">
          <w:marLeft w:val="0"/>
          <w:marRight w:val="0"/>
          <w:marTop w:val="0"/>
          <w:marBottom w:val="0"/>
          <w:divBdr>
            <w:top w:val="none" w:sz="0" w:space="0" w:color="auto"/>
            <w:left w:val="none" w:sz="0" w:space="0" w:color="auto"/>
            <w:bottom w:val="none" w:sz="0" w:space="0" w:color="auto"/>
            <w:right w:val="none" w:sz="0" w:space="0" w:color="auto"/>
          </w:divBdr>
        </w:div>
        <w:div w:id="1435592840">
          <w:marLeft w:val="0"/>
          <w:marRight w:val="0"/>
          <w:marTop w:val="0"/>
          <w:marBottom w:val="0"/>
          <w:divBdr>
            <w:top w:val="none" w:sz="0" w:space="0" w:color="auto"/>
            <w:left w:val="none" w:sz="0" w:space="0" w:color="auto"/>
            <w:bottom w:val="none" w:sz="0" w:space="0" w:color="auto"/>
            <w:right w:val="none" w:sz="0" w:space="0" w:color="auto"/>
          </w:divBdr>
        </w:div>
        <w:div w:id="1088648675">
          <w:marLeft w:val="0"/>
          <w:marRight w:val="0"/>
          <w:marTop w:val="0"/>
          <w:marBottom w:val="0"/>
          <w:divBdr>
            <w:top w:val="none" w:sz="0" w:space="0" w:color="auto"/>
            <w:left w:val="none" w:sz="0" w:space="0" w:color="auto"/>
            <w:bottom w:val="none" w:sz="0" w:space="0" w:color="auto"/>
            <w:right w:val="none" w:sz="0" w:space="0" w:color="auto"/>
          </w:divBdr>
        </w:div>
        <w:div w:id="571933907">
          <w:marLeft w:val="0"/>
          <w:marRight w:val="0"/>
          <w:marTop w:val="0"/>
          <w:marBottom w:val="0"/>
          <w:divBdr>
            <w:top w:val="none" w:sz="0" w:space="0" w:color="auto"/>
            <w:left w:val="none" w:sz="0" w:space="0" w:color="auto"/>
            <w:bottom w:val="none" w:sz="0" w:space="0" w:color="auto"/>
            <w:right w:val="none" w:sz="0" w:space="0" w:color="auto"/>
          </w:divBdr>
        </w:div>
        <w:div w:id="341247668">
          <w:marLeft w:val="0"/>
          <w:marRight w:val="0"/>
          <w:marTop w:val="0"/>
          <w:marBottom w:val="0"/>
          <w:divBdr>
            <w:top w:val="none" w:sz="0" w:space="0" w:color="auto"/>
            <w:left w:val="none" w:sz="0" w:space="0" w:color="auto"/>
            <w:bottom w:val="none" w:sz="0" w:space="0" w:color="auto"/>
            <w:right w:val="none" w:sz="0" w:space="0" w:color="auto"/>
          </w:divBdr>
        </w:div>
        <w:div w:id="647246845">
          <w:marLeft w:val="0"/>
          <w:marRight w:val="0"/>
          <w:marTop w:val="0"/>
          <w:marBottom w:val="0"/>
          <w:divBdr>
            <w:top w:val="none" w:sz="0" w:space="0" w:color="auto"/>
            <w:left w:val="none" w:sz="0" w:space="0" w:color="auto"/>
            <w:bottom w:val="none" w:sz="0" w:space="0" w:color="auto"/>
            <w:right w:val="none" w:sz="0" w:space="0" w:color="auto"/>
          </w:divBdr>
        </w:div>
        <w:div w:id="7605362">
          <w:marLeft w:val="0"/>
          <w:marRight w:val="0"/>
          <w:marTop w:val="0"/>
          <w:marBottom w:val="0"/>
          <w:divBdr>
            <w:top w:val="none" w:sz="0" w:space="0" w:color="auto"/>
            <w:left w:val="none" w:sz="0" w:space="0" w:color="auto"/>
            <w:bottom w:val="none" w:sz="0" w:space="0" w:color="auto"/>
            <w:right w:val="none" w:sz="0" w:space="0" w:color="auto"/>
          </w:divBdr>
        </w:div>
        <w:div w:id="1927807721">
          <w:marLeft w:val="0"/>
          <w:marRight w:val="0"/>
          <w:marTop w:val="0"/>
          <w:marBottom w:val="0"/>
          <w:divBdr>
            <w:top w:val="none" w:sz="0" w:space="0" w:color="auto"/>
            <w:left w:val="none" w:sz="0" w:space="0" w:color="auto"/>
            <w:bottom w:val="none" w:sz="0" w:space="0" w:color="auto"/>
            <w:right w:val="none" w:sz="0" w:space="0" w:color="auto"/>
          </w:divBdr>
        </w:div>
        <w:div w:id="661544904">
          <w:marLeft w:val="0"/>
          <w:marRight w:val="0"/>
          <w:marTop w:val="0"/>
          <w:marBottom w:val="0"/>
          <w:divBdr>
            <w:top w:val="none" w:sz="0" w:space="0" w:color="auto"/>
            <w:left w:val="none" w:sz="0" w:space="0" w:color="auto"/>
            <w:bottom w:val="none" w:sz="0" w:space="0" w:color="auto"/>
            <w:right w:val="none" w:sz="0" w:space="0" w:color="auto"/>
          </w:divBdr>
          <w:divsChild>
            <w:div w:id="415051980">
              <w:marLeft w:val="0"/>
              <w:marRight w:val="0"/>
              <w:marTop w:val="0"/>
              <w:marBottom w:val="0"/>
              <w:divBdr>
                <w:top w:val="none" w:sz="0" w:space="0" w:color="auto"/>
                <w:left w:val="none" w:sz="0" w:space="0" w:color="auto"/>
                <w:bottom w:val="none" w:sz="0" w:space="0" w:color="auto"/>
                <w:right w:val="none" w:sz="0" w:space="0" w:color="auto"/>
              </w:divBdr>
            </w:div>
          </w:divsChild>
        </w:div>
        <w:div w:id="546188594">
          <w:marLeft w:val="0"/>
          <w:marRight w:val="0"/>
          <w:marTop w:val="0"/>
          <w:marBottom w:val="0"/>
          <w:divBdr>
            <w:top w:val="none" w:sz="0" w:space="0" w:color="auto"/>
            <w:left w:val="none" w:sz="0" w:space="0" w:color="auto"/>
            <w:bottom w:val="none" w:sz="0" w:space="0" w:color="auto"/>
            <w:right w:val="none" w:sz="0" w:space="0" w:color="auto"/>
          </w:divBdr>
        </w:div>
        <w:div w:id="1400908684">
          <w:marLeft w:val="0"/>
          <w:marRight w:val="0"/>
          <w:marTop w:val="0"/>
          <w:marBottom w:val="0"/>
          <w:divBdr>
            <w:top w:val="none" w:sz="0" w:space="0" w:color="auto"/>
            <w:left w:val="none" w:sz="0" w:space="0" w:color="auto"/>
            <w:bottom w:val="none" w:sz="0" w:space="0" w:color="auto"/>
            <w:right w:val="none" w:sz="0" w:space="0" w:color="auto"/>
          </w:divBdr>
          <w:divsChild>
            <w:div w:id="431436375">
              <w:marLeft w:val="0"/>
              <w:marRight w:val="0"/>
              <w:marTop w:val="0"/>
              <w:marBottom w:val="0"/>
              <w:divBdr>
                <w:top w:val="none" w:sz="0" w:space="0" w:color="auto"/>
                <w:left w:val="none" w:sz="0" w:space="0" w:color="auto"/>
                <w:bottom w:val="none" w:sz="0" w:space="0" w:color="auto"/>
                <w:right w:val="none" w:sz="0" w:space="0" w:color="auto"/>
              </w:divBdr>
            </w:div>
          </w:divsChild>
        </w:div>
        <w:div w:id="1032070320">
          <w:marLeft w:val="0"/>
          <w:marRight w:val="0"/>
          <w:marTop w:val="0"/>
          <w:marBottom w:val="0"/>
          <w:divBdr>
            <w:top w:val="none" w:sz="0" w:space="0" w:color="auto"/>
            <w:left w:val="none" w:sz="0" w:space="0" w:color="auto"/>
            <w:bottom w:val="none" w:sz="0" w:space="0" w:color="auto"/>
            <w:right w:val="none" w:sz="0" w:space="0" w:color="auto"/>
          </w:divBdr>
        </w:div>
        <w:div w:id="2002922356">
          <w:marLeft w:val="0"/>
          <w:marRight w:val="0"/>
          <w:marTop w:val="0"/>
          <w:marBottom w:val="0"/>
          <w:divBdr>
            <w:top w:val="none" w:sz="0" w:space="0" w:color="auto"/>
            <w:left w:val="none" w:sz="0" w:space="0" w:color="auto"/>
            <w:bottom w:val="none" w:sz="0" w:space="0" w:color="auto"/>
            <w:right w:val="none" w:sz="0" w:space="0" w:color="auto"/>
          </w:divBdr>
        </w:div>
        <w:div w:id="538513761">
          <w:marLeft w:val="0"/>
          <w:marRight w:val="0"/>
          <w:marTop w:val="0"/>
          <w:marBottom w:val="0"/>
          <w:divBdr>
            <w:top w:val="none" w:sz="0" w:space="0" w:color="auto"/>
            <w:left w:val="none" w:sz="0" w:space="0" w:color="auto"/>
            <w:bottom w:val="none" w:sz="0" w:space="0" w:color="auto"/>
            <w:right w:val="none" w:sz="0" w:space="0" w:color="auto"/>
          </w:divBdr>
        </w:div>
        <w:div w:id="1409885945">
          <w:marLeft w:val="0"/>
          <w:marRight w:val="0"/>
          <w:marTop w:val="0"/>
          <w:marBottom w:val="0"/>
          <w:divBdr>
            <w:top w:val="none" w:sz="0" w:space="0" w:color="auto"/>
            <w:left w:val="none" w:sz="0" w:space="0" w:color="auto"/>
            <w:bottom w:val="none" w:sz="0" w:space="0" w:color="auto"/>
            <w:right w:val="none" w:sz="0" w:space="0" w:color="auto"/>
          </w:divBdr>
        </w:div>
        <w:div w:id="571742696">
          <w:marLeft w:val="0"/>
          <w:marRight w:val="0"/>
          <w:marTop w:val="0"/>
          <w:marBottom w:val="0"/>
          <w:divBdr>
            <w:top w:val="none" w:sz="0" w:space="0" w:color="auto"/>
            <w:left w:val="none" w:sz="0" w:space="0" w:color="auto"/>
            <w:bottom w:val="none" w:sz="0" w:space="0" w:color="auto"/>
            <w:right w:val="none" w:sz="0" w:space="0" w:color="auto"/>
          </w:divBdr>
        </w:div>
        <w:div w:id="1592348694">
          <w:marLeft w:val="0"/>
          <w:marRight w:val="0"/>
          <w:marTop w:val="0"/>
          <w:marBottom w:val="0"/>
          <w:divBdr>
            <w:top w:val="none" w:sz="0" w:space="0" w:color="auto"/>
            <w:left w:val="none" w:sz="0" w:space="0" w:color="auto"/>
            <w:bottom w:val="none" w:sz="0" w:space="0" w:color="auto"/>
            <w:right w:val="none" w:sz="0" w:space="0" w:color="auto"/>
          </w:divBdr>
        </w:div>
        <w:div w:id="2051148147">
          <w:marLeft w:val="0"/>
          <w:marRight w:val="0"/>
          <w:marTop w:val="0"/>
          <w:marBottom w:val="0"/>
          <w:divBdr>
            <w:top w:val="none" w:sz="0" w:space="0" w:color="auto"/>
            <w:left w:val="none" w:sz="0" w:space="0" w:color="auto"/>
            <w:bottom w:val="none" w:sz="0" w:space="0" w:color="auto"/>
            <w:right w:val="none" w:sz="0" w:space="0" w:color="auto"/>
          </w:divBdr>
        </w:div>
        <w:div w:id="2022463018">
          <w:marLeft w:val="0"/>
          <w:marRight w:val="0"/>
          <w:marTop w:val="0"/>
          <w:marBottom w:val="0"/>
          <w:divBdr>
            <w:top w:val="none" w:sz="0" w:space="0" w:color="auto"/>
            <w:left w:val="none" w:sz="0" w:space="0" w:color="auto"/>
            <w:bottom w:val="none" w:sz="0" w:space="0" w:color="auto"/>
            <w:right w:val="none" w:sz="0" w:space="0" w:color="auto"/>
          </w:divBdr>
        </w:div>
        <w:div w:id="603656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15-2018/2015/decreto/d8539.htm" TargetMode="External"/><Relationship Id="rId39"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hyperlink" Target="https://www.planalto.gov.br/ccivil_03/leis/lcp/lcp123.htm" TargetMode="External"/><Relationship Id="rId34" Type="http://schemas.openxmlformats.org/officeDocument/2006/relationships/hyperlink" Target="https://www.gov.br/compras"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429.htm"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br/compras/pt-br%20"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eader" Target="header1.xml"/><Relationship Id="rId10" Type="http://schemas.openxmlformats.org/officeDocument/2006/relationships/hyperlink" Target="https://www.gov.br/compras"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gov.br/compra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86</Pages>
  <Words>34374</Words>
  <Characters>185624</Characters>
  <Application>Microsoft Office Word</Application>
  <DocSecurity>0</DocSecurity>
  <Lines>1546</Lines>
  <Paragraphs>439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Licitação</cp:lastModifiedBy>
  <cp:revision>11</cp:revision>
  <dcterms:created xsi:type="dcterms:W3CDTF">2026-10-09T13:36:00Z</dcterms:created>
  <dcterms:modified xsi:type="dcterms:W3CDTF">2026-10-14T18:12:00Z</dcterms:modified>
</cp:coreProperties>
</file>