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2.9.0 -->
  <w:body>
    <w:bookmarkStart w:id="0" w:name="__bookmark_1"/>
    <w:bookmarkEnd w:id="0"/>
    <w:p/>
    <w:tbl>
      <w:tblPr>
        <w:tblStyle w:val="TableNormal"/>
        <w:tblOverlap w:val="never"/>
        <w:tblW w:w="9072" w:type="dxa"/>
        <w:jc w:val="left"/>
        <w:tblInd w:w="0" w:type="dxa"/>
        <w:tblLayout w:type="fixed"/>
        <w:tblCellMar>
          <w:top w:w="0" w:type="dxa"/>
          <w:left w:w="0" w:type="dxa"/>
          <w:bottom w:w="0" w:type="dxa"/>
          <w:right w:w="0" w:type="dxa"/>
        </w:tblCellMar>
        <w:tblLook w:val="01E0"/>
      </w:tblPr>
      <w:tblGrid>
        <w:gridCol w:w="9072"/>
      </w:tblGrid>
      <w:tr>
        <w:tblPrEx>
          <w:tblW w:w="9072" w:type="dxa"/>
          <w:jc w:val="left"/>
          <w:tblInd w:w="0" w:type="dxa"/>
          <w:tblLayout w:type="fixed"/>
          <w:tblCellMar>
            <w:top w:w="0" w:type="dxa"/>
            <w:left w:w="0" w:type="dxa"/>
            <w:bottom w:w="0" w:type="dxa"/>
            <w:right w:w="0" w:type="dxa"/>
          </w:tblCellMar>
          <w:tblLook w:val="01E0"/>
        </w:tblPrEx>
        <w:trPr>
          <w:jc w:val="left"/>
        </w:trPr>
        <w:tc>
          <w:tcPr>
            <w:tcW w:w="9072" w:type="dxa"/>
            <w:noWrap w:val="0"/>
            <w:tcMar>
              <w:top w:w="0" w:type="dxa"/>
              <w:left w:w="0" w:type="dxa"/>
              <w:bottom w:w="0" w:type="dxa"/>
              <w:right w:w="0" w:type="dxa"/>
            </w:tcMar>
            <w:vAlign w:val="top"/>
          </w:tcPr>
          <w:p>
            <w:pPr>
              <w:bidi w:val="0"/>
              <w:spacing w:before="0" w:after="141"/>
              <w:ind w:firstLine="700"/>
              <w:jc w:val="both"/>
            </w:pPr>
            <w:r>
              <w:rPr>
                <w:rFonts w:ascii="Times New Roman" w:eastAsia="Times New Roman" w:hAnsi="Times New Roman" w:cs="Times New Roman"/>
                <w:b/>
                <w:bCs/>
                <w:color w:val="000000"/>
                <w:spacing w:val="0"/>
                <w:sz w:val="32"/>
                <w:szCs w:val="32"/>
                <w:shd w:val="clear" w:color="auto" w:fill="FFFF00"/>
              </w:rPr>
              <w:t xml:space="preserve">ATENÇÃO: Com as mudanças propostas pelo Decreto nº 10.024 de 20 de setembro de 2019 salientamos a necessidade de anexar à plataforma do COMPRASNET </w:t>
            </w:r>
            <w:r>
              <w:rPr>
                <w:rFonts w:ascii="Times New Roman" w:eastAsia="Times New Roman" w:hAnsi="Times New Roman" w:cs="Times New Roman"/>
                <w:b/>
                <w:bCs/>
                <w:color w:val="FF0000"/>
                <w:spacing w:val="0"/>
                <w:sz w:val="32"/>
                <w:szCs w:val="32"/>
                <w:shd w:val="clear" w:color="auto" w:fill="FFFF00"/>
              </w:rPr>
              <w:t>toda</w:t>
            </w:r>
            <w:r>
              <w:rPr>
                <w:rFonts w:ascii="Times New Roman" w:eastAsia="Times New Roman" w:hAnsi="Times New Roman" w:cs="Times New Roman"/>
                <w:b/>
                <w:bCs/>
                <w:color w:val="000000"/>
                <w:spacing w:val="0"/>
                <w:sz w:val="32"/>
                <w:szCs w:val="32"/>
                <w:shd w:val="clear" w:color="auto" w:fill="FFFF00"/>
              </w:rPr>
              <w:t xml:space="preserve"> a documentação de habilitação exigida no edital no ato de cadastramento da proposta, ou seja, </w:t>
            </w:r>
            <w:r>
              <w:rPr>
                <w:rFonts w:ascii="Times New Roman" w:eastAsia="Times New Roman" w:hAnsi="Times New Roman" w:cs="Times New Roman"/>
                <w:b/>
                <w:bCs/>
                <w:color w:val="FF0000"/>
                <w:spacing w:val="0"/>
                <w:sz w:val="32"/>
                <w:szCs w:val="32"/>
                <w:shd w:val="clear" w:color="auto" w:fill="FFFF00"/>
              </w:rPr>
              <w:t>ANTES</w:t>
            </w:r>
            <w:r>
              <w:rPr>
                <w:rFonts w:ascii="Times New Roman" w:eastAsia="Times New Roman" w:hAnsi="Times New Roman" w:cs="Times New Roman"/>
                <w:b/>
                <w:bCs/>
                <w:color w:val="000000"/>
                <w:spacing w:val="0"/>
                <w:sz w:val="32"/>
                <w:szCs w:val="32"/>
                <w:shd w:val="clear" w:color="auto" w:fill="FFFF00"/>
              </w:rPr>
              <w:t xml:space="preserve"> do início da sessão.</w:t>
            </w:r>
          </w:p>
        </w:tc>
      </w:tr>
    </w:tbl>
    <w:p/>
    <w:tbl>
      <w:tblPr>
        <w:tblStyle w:val="TableNormal"/>
        <w:tblOverlap w:val="never"/>
        <w:tblW w:w="9072" w:type="dxa"/>
        <w:jc w:val="left"/>
        <w:tblInd w:w="0" w:type="dxa"/>
        <w:tblLayout w:type="fixed"/>
        <w:tblCellMar>
          <w:top w:w="0" w:type="dxa"/>
          <w:left w:w="0" w:type="dxa"/>
          <w:bottom w:w="0" w:type="dxa"/>
          <w:right w:w="0" w:type="dxa"/>
        </w:tblCellMar>
        <w:tblLook w:val="01E0"/>
      </w:tblPr>
      <w:tblGrid>
        <w:gridCol w:w="9072"/>
      </w:tblGrid>
      <w:tr>
        <w:tblPrEx>
          <w:tblW w:w="9072" w:type="dxa"/>
          <w:jc w:val="left"/>
          <w:tblInd w:w="0" w:type="dxa"/>
          <w:tblLayout w:type="fixed"/>
          <w:tblCellMar>
            <w:top w:w="0" w:type="dxa"/>
            <w:left w:w="0" w:type="dxa"/>
            <w:bottom w:w="0" w:type="dxa"/>
            <w:right w:w="0" w:type="dxa"/>
          </w:tblCellMar>
          <w:tblLook w:val="01E0"/>
        </w:tblPrEx>
        <w:trPr>
          <w:jc w:val="left"/>
        </w:trPr>
        <w:tc>
          <w:tcPr>
            <w:tcW w:w="9072" w:type="dxa"/>
            <w:noWrap w:val="0"/>
            <w:tcMar>
              <w:top w:w="0" w:type="dxa"/>
              <w:left w:w="0" w:type="dxa"/>
              <w:bottom w:w="0" w:type="dxa"/>
              <w:right w:w="0" w:type="dxa"/>
            </w:tcMar>
            <w:vAlign w:val="top"/>
          </w:tcPr>
          <w:bookmarkStart w:id="1" w:name="__bookmark_3"/>
          <w:bookmarkEnd w:id="1"/>
          <w:p>
            <w:pPr>
              <w:bidi w:val="0"/>
              <w:spacing w:before="0" w:after="141"/>
              <w:jc w:val="center"/>
            </w:pPr>
            <w:r>
              <w:rPr>
                <w:rFonts w:ascii="Times New Roman" w:eastAsia="Times New Roman" w:hAnsi="Times New Roman" w:cs="Times New Roman"/>
                <w:b/>
                <w:bCs/>
                <w:color w:val="000000"/>
                <w:spacing w:val="0"/>
                <w:sz w:val="20"/>
                <w:szCs w:val="20"/>
              </w:rPr>
              <w:t>PREGÃO ELETRÔNICO Nº 21/2024</w:t>
            </w:r>
          </w:p>
          <w:p>
            <w:pPr>
              <w:bidi w:val="0"/>
              <w:spacing w:before="0" w:after="141"/>
              <w:jc w:val="center"/>
            </w:pPr>
            <w:r>
              <w:rPr>
                <w:rFonts w:ascii="Times New Roman" w:eastAsia="Times New Roman" w:hAnsi="Times New Roman" w:cs="Times New Roman"/>
                <w:b/>
                <w:bCs/>
                <w:color w:val="000000"/>
                <w:spacing w:val="0"/>
                <w:sz w:val="20"/>
                <w:szCs w:val="20"/>
              </w:rPr>
              <w:t>SISTEMA DE REGISTRO DE PREÇOS</w:t>
            </w:r>
          </w:p>
          <w:p>
            <w:pPr>
              <w:bidi w:val="0"/>
              <w:spacing w:before="0" w:after="141"/>
              <w:jc w:val="center"/>
            </w:pPr>
            <w:r>
              <w:rPr>
                <w:rFonts w:ascii="Times New Roman" w:eastAsia="Times New Roman" w:hAnsi="Times New Roman" w:cs="Times New Roman"/>
                <w:b/>
                <w:bCs/>
                <w:color w:val="000000"/>
                <w:spacing w:val="0"/>
                <w:sz w:val="20"/>
                <w:szCs w:val="20"/>
              </w:rPr>
              <w:t>(Processo Administrativo n.° 102/2024)</w:t>
            </w:r>
          </w:p>
          <w:p>
            <w:pPr>
              <w:bidi w:val="0"/>
              <w:spacing w:before="0" w:after="141"/>
              <w:ind w:firstLine="560"/>
              <w:jc w:val="both"/>
            </w:pPr>
            <w:r>
              <w:rPr>
                <w:rFonts w:ascii="Times New Roman" w:eastAsia="Times New Roman" w:hAnsi="Times New Roman" w:cs="Times New Roman"/>
                <w:color w:val="000000"/>
                <w:spacing w:val="0"/>
                <w:sz w:val="20"/>
                <w:szCs w:val="20"/>
              </w:rPr>
              <w:t>Torna-se público, para conhecimento dos interessados, que o Município de Rio Negro, Estado do Paraná, por meio do Departamento de Licitações, sediado na Rua Juvenal Ferreira Pinto, 2070, Bairro Seminário, realizará licitação para REGISTRO DE PREÇOS, na modalidade PREGÃO, na forma ELETRÔNICO, do tipo Menor Preço - (Nova Lei de Licitações) Por Item, nos termos da Lei nº 10.520, de 17 de julho de 2002, do Decreto nº 10.024 de 20 de setembro de 2019, do Artigo 27 – Inciso XXI da Constituição do Estado do Paraná, dos Decretos Municipais n.ºs 002/2006 e 003/2007, Portaria n.º 002/2020, da Instrução Normativa SLTI/MPOG nº 2, de 11 de outubro de 2010, da Lei Complementar n° 123, de 14 de dezembro de 2006, aplicando-se, subsidiariamente, a Lei nº 8.666, de 21 de junho de 1993, Lei Complementar 147 de 07 de agosto de 2014, legislação complementar vigente e pertinente à matéria e às exigências estabelecidas neste Edital.</w:t>
            </w:r>
          </w:p>
          <w:p>
            <w:pPr>
              <w:bidi w:val="0"/>
              <w:spacing w:before="0" w:after="0"/>
              <w:ind w:firstLine="560"/>
              <w:jc w:val="both"/>
            </w:pPr>
            <w:r>
              <w:rPr>
                <w:rFonts w:ascii="Times New Roman" w:eastAsia="Times New Roman" w:hAnsi="Times New Roman" w:cs="Times New Roman"/>
                <w:b/>
                <w:bCs/>
                <w:color w:val="000000"/>
                <w:spacing w:val="0"/>
                <w:sz w:val="20"/>
                <w:szCs w:val="20"/>
              </w:rPr>
              <w:t>Data da sessão: sexta-feira, 19 de abril de 2024</w:t>
            </w:r>
          </w:p>
          <w:p>
            <w:pPr>
              <w:bidi w:val="0"/>
              <w:spacing w:before="0" w:after="0"/>
              <w:ind w:firstLine="560"/>
              <w:jc w:val="both"/>
            </w:pPr>
            <w:r>
              <w:rPr>
                <w:rFonts w:ascii="Times New Roman" w:eastAsia="Times New Roman" w:hAnsi="Times New Roman" w:cs="Times New Roman"/>
                <w:b/>
                <w:bCs/>
                <w:color w:val="000000"/>
                <w:spacing w:val="0"/>
                <w:sz w:val="20"/>
                <w:szCs w:val="20"/>
              </w:rPr>
              <w:t>Horário: 08:30h</w:t>
            </w:r>
          </w:p>
          <w:p>
            <w:pPr>
              <w:bidi w:val="0"/>
              <w:spacing w:before="0" w:after="141"/>
              <w:ind w:firstLine="560"/>
              <w:jc w:val="both"/>
            </w:pPr>
            <w:r>
              <w:rPr>
                <w:rFonts w:ascii="Times New Roman" w:eastAsia="Times New Roman" w:hAnsi="Times New Roman" w:cs="Times New Roman"/>
                <w:b/>
                <w:bCs/>
                <w:color w:val="000000"/>
                <w:spacing w:val="0"/>
                <w:sz w:val="20"/>
                <w:szCs w:val="20"/>
              </w:rPr>
              <w:t xml:space="preserve">Local: Portal de Compras do Governo Federal – </w:t>
            </w:r>
            <w:hyperlink r:id="rId4" w:history="1">
              <w:r>
                <w:rPr>
                  <w:rStyle w:val="Hyperlink"/>
                  <w:rFonts w:ascii="Times New Roman" w:eastAsia="Times New Roman" w:hAnsi="Times New Roman" w:cs="Times New Roman"/>
                  <w:b/>
                  <w:bCs/>
                  <w:spacing w:val="0"/>
                  <w:sz w:val="20"/>
                  <w:szCs w:val="20"/>
                </w:rPr>
                <w:t>www.comprasgovernamentais.gov.br</w:t>
              </w:r>
            </w:hyperlink>
            <w:r>
              <w:rPr>
                <w:rFonts w:ascii="Times New Roman" w:eastAsia="Times New Roman" w:hAnsi="Times New Roman" w:cs="Times New Roman"/>
                <w:b/>
                <w:bCs/>
                <w:color w:val="000000"/>
                <w:spacing w:val="0"/>
                <w:sz w:val="20"/>
                <w:szCs w:val="20"/>
              </w:rPr>
              <w:t xml:space="preserve"> – UASG 987.823</w:t>
            </w:r>
          </w:p>
          <w:p>
            <w:pPr>
              <w:bidi w:val="0"/>
              <w:spacing w:before="0" w:after="0"/>
              <w:ind w:firstLine="560"/>
              <w:jc w:val="both"/>
            </w:pPr>
            <w:r>
              <w:rPr>
                <w:rFonts w:ascii="Times New Roman" w:eastAsia="Times New Roman" w:hAnsi="Times New Roman" w:cs="Times New Roman"/>
                <w:b/>
                <w:bCs/>
                <w:color w:val="000000"/>
                <w:spacing w:val="0"/>
                <w:sz w:val="20"/>
                <w:szCs w:val="20"/>
              </w:rPr>
              <w:t>1. DO OBJETO</w:t>
            </w:r>
          </w:p>
          <w:p>
            <w:pPr>
              <w:bidi w:val="0"/>
              <w:spacing w:before="0" w:after="0"/>
              <w:ind w:firstLine="560"/>
              <w:jc w:val="both"/>
            </w:pPr>
            <w:r>
              <w:rPr>
                <w:rFonts w:ascii="Times New Roman" w:eastAsia="Times New Roman" w:hAnsi="Times New Roman" w:cs="Times New Roman"/>
                <w:color w:val="000000"/>
                <w:spacing w:val="0"/>
                <w:sz w:val="20"/>
                <w:szCs w:val="20"/>
              </w:rPr>
              <w:t xml:space="preserve">1.1. O objeto da presente licitação é o registro de preços para </w:t>
            </w:r>
            <w:r>
              <w:rPr>
                <w:rFonts w:ascii="Times New Roman" w:eastAsia="Times New Roman" w:hAnsi="Times New Roman" w:cs="Times New Roman"/>
                <w:b/>
                <w:bCs/>
                <w:color w:val="000000"/>
                <w:spacing w:val="0"/>
                <w:sz w:val="20"/>
                <w:szCs w:val="20"/>
              </w:rPr>
              <w:t>AQUISIÇÃO DE MATERIAL ESPORTIVO</w:t>
            </w:r>
            <w:r>
              <w:rPr>
                <w:rFonts w:ascii="Times New Roman" w:eastAsia="Times New Roman" w:hAnsi="Times New Roman" w:cs="Times New Roman"/>
                <w:color w:val="000000"/>
                <w:spacing w:val="0"/>
                <w:sz w:val="20"/>
                <w:szCs w:val="20"/>
              </w:rPr>
              <w:t>, conforme condições, quantidades e exigências estabelecidas neste Edital e seus anexos.</w:t>
            </w:r>
          </w:p>
          <w:p>
            <w:pPr>
              <w:bidi w:val="0"/>
              <w:spacing w:before="0" w:after="141"/>
              <w:ind w:firstLine="560"/>
              <w:jc w:val="both"/>
            </w:pPr>
            <w:r>
              <w:rPr>
                <w:rFonts w:ascii="Times New Roman" w:eastAsia="Times New Roman" w:hAnsi="Times New Roman" w:cs="Times New Roman"/>
                <w:color w:val="000000"/>
                <w:spacing w:val="0"/>
                <w:sz w:val="20"/>
                <w:szCs w:val="20"/>
              </w:rPr>
              <w:t>1.2. A licitação será dividida em itens, conforme tabela constante do Termo de Referência.</w:t>
            </w:r>
          </w:p>
          <w:p>
            <w:pPr>
              <w:bidi w:val="0"/>
              <w:spacing w:before="0" w:after="0"/>
              <w:ind w:firstLine="560"/>
              <w:jc w:val="both"/>
            </w:pPr>
            <w:r>
              <w:rPr>
                <w:rFonts w:ascii="Times New Roman" w:eastAsia="Times New Roman" w:hAnsi="Times New Roman" w:cs="Times New Roman"/>
                <w:b/>
                <w:bCs/>
                <w:color w:val="000000"/>
                <w:spacing w:val="0"/>
                <w:sz w:val="20"/>
                <w:szCs w:val="20"/>
              </w:rPr>
              <w:t>2. DA ADESÃO À ATA DE REGISTRO DE PREÇOS</w:t>
            </w:r>
          </w:p>
          <w:p>
            <w:pPr>
              <w:bidi w:val="0"/>
              <w:spacing w:before="0" w:after="141"/>
              <w:ind w:firstLine="560"/>
              <w:jc w:val="both"/>
            </w:pPr>
            <w:r>
              <w:rPr>
                <w:rFonts w:ascii="Times New Roman" w:eastAsia="Times New Roman" w:hAnsi="Times New Roman" w:cs="Times New Roman"/>
                <w:color w:val="000000"/>
                <w:spacing w:val="0"/>
                <w:sz w:val="20"/>
                <w:szCs w:val="20"/>
              </w:rPr>
              <w:t>2.1. Não será admitida a adesão à ata de registro de preços decorrente desta licitação.</w:t>
            </w:r>
          </w:p>
          <w:p>
            <w:pPr>
              <w:bidi w:val="0"/>
              <w:spacing w:before="0" w:after="0"/>
              <w:ind w:firstLine="560"/>
              <w:jc w:val="both"/>
            </w:pPr>
            <w:r>
              <w:rPr>
                <w:rFonts w:ascii="Times New Roman" w:eastAsia="Times New Roman" w:hAnsi="Times New Roman" w:cs="Times New Roman"/>
                <w:b/>
                <w:bCs/>
                <w:color w:val="000000"/>
                <w:spacing w:val="0"/>
                <w:sz w:val="20"/>
                <w:szCs w:val="20"/>
              </w:rPr>
              <w:t>3. DO CREDENCIAMENTO</w:t>
            </w:r>
          </w:p>
          <w:p>
            <w:pPr>
              <w:bidi w:val="0"/>
              <w:spacing w:before="0" w:after="0"/>
              <w:ind w:firstLine="560"/>
              <w:jc w:val="both"/>
            </w:pPr>
            <w:r>
              <w:rPr>
                <w:rFonts w:ascii="Times New Roman" w:eastAsia="Times New Roman" w:hAnsi="Times New Roman" w:cs="Times New Roman"/>
                <w:color w:val="000000"/>
                <w:spacing w:val="0"/>
                <w:sz w:val="20"/>
                <w:szCs w:val="20"/>
              </w:rPr>
              <w:t>3.1. O Credenciamento é o nível básico do registro cadastral no SICAF, que permite a participação dos interessados na modalidade licitatória Pregão, em sua forma eletrônico.</w:t>
            </w:r>
          </w:p>
          <w:p>
            <w:pPr>
              <w:bidi w:val="0"/>
              <w:spacing w:before="0" w:after="0"/>
              <w:ind w:firstLine="560"/>
              <w:jc w:val="both"/>
            </w:pPr>
            <w:r>
              <w:rPr>
                <w:rFonts w:ascii="Times New Roman" w:eastAsia="Times New Roman" w:hAnsi="Times New Roman" w:cs="Times New Roman"/>
                <w:color w:val="000000"/>
                <w:spacing w:val="0"/>
                <w:sz w:val="20"/>
                <w:szCs w:val="20"/>
              </w:rPr>
              <w:t>3.2. O cadastro no SICAF deverá ser realizado no Portal de Compras do Governo Federal – Comprasnet, no sítio www.comprasnet.gov.br, por meio de certificado digital conferido pela Infraestrutura de Chaves Públicas Brasileira – ICP-Brasil.</w:t>
            </w:r>
          </w:p>
          <w:p>
            <w:pPr>
              <w:bidi w:val="0"/>
              <w:spacing w:before="0" w:after="0"/>
              <w:ind w:firstLine="560"/>
              <w:jc w:val="both"/>
            </w:pPr>
            <w:r>
              <w:rPr>
                <w:rFonts w:ascii="Times New Roman" w:eastAsia="Times New Roman" w:hAnsi="Times New Roman" w:cs="Times New Roman"/>
                <w:color w:val="000000"/>
                <w:spacing w:val="0"/>
                <w:sz w:val="20"/>
                <w:szCs w:val="20"/>
              </w:rPr>
              <w:t>3.3. O credenciamento junto ao provedor do sistema implica a responsabilidade do licitante ou de seu representante legal e a presunção de sua capacidade técnica para realização das transações inerentes a este Pregão.</w:t>
            </w:r>
          </w:p>
          <w:p>
            <w:pPr>
              <w:bidi w:val="0"/>
              <w:spacing w:before="0" w:after="0"/>
              <w:ind w:firstLine="560"/>
              <w:jc w:val="both"/>
            </w:pPr>
            <w:r>
              <w:rPr>
                <w:rFonts w:ascii="Times New Roman" w:eastAsia="Times New Roman" w:hAnsi="Times New Roman" w:cs="Times New Roman"/>
                <w:color w:val="000000"/>
                <w:spacing w:val="0"/>
                <w:sz w:val="20"/>
                <w:szCs w:val="20"/>
              </w:rPr>
              <w:t>3.4. 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w:t>
            </w:r>
          </w:p>
          <w:p>
            <w:pPr>
              <w:bidi w:val="0"/>
              <w:spacing w:before="0" w:after="141"/>
              <w:ind w:firstLine="560"/>
              <w:jc w:val="both"/>
            </w:pPr>
            <w:r>
              <w:rPr>
                <w:rFonts w:ascii="Times New Roman" w:eastAsia="Times New Roman" w:hAnsi="Times New Roman" w:cs="Times New Roman"/>
                <w:color w:val="000000"/>
                <w:spacing w:val="0"/>
                <w:sz w:val="20"/>
                <w:szCs w:val="20"/>
              </w:rPr>
              <w:t>3.5. A perda da senha ou a quebra de sigilo deverão ser comunicadas imediatamente ao provedor do sistema para imediato bloqueio de acesso.</w:t>
            </w:r>
          </w:p>
          <w:p>
            <w:pPr>
              <w:bidi w:val="0"/>
              <w:spacing w:before="0" w:after="0"/>
              <w:ind w:firstLine="560"/>
              <w:jc w:val="both"/>
            </w:pPr>
            <w:r>
              <w:rPr>
                <w:rFonts w:ascii="Times New Roman" w:eastAsia="Times New Roman" w:hAnsi="Times New Roman" w:cs="Times New Roman"/>
                <w:b/>
                <w:bCs/>
                <w:color w:val="000000"/>
                <w:spacing w:val="0"/>
                <w:sz w:val="20"/>
                <w:szCs w:val="20"/>
              </w:rPr>
              <w:t>4. DA PARTICIPAÇÃO NO PREGÃO</w:t>
            </w:r>
          </w:p>
          <w:p>
            <w:pPr>
              <w:bidi w:val="0"/>
              <w:spacing w:before="0" w:after="141"/>
              <w:ind w:firstLine="560"/>
              <w:jc w:val="both"/>
            </w:pPr>
            <w:r>
              <w:rPr>
                <w:rFonts w:ascii="Times New Roman" w:eastAsia="Times New Roman" w:hAnsi="Times New Roman" w:cs="Times New Roman"/>
                <w:color w:val="000000"/>
                <w:spacing w:val="0"/>
                <w:sz w:val="20"/>
                <w:szCs w:val="20"/>
              </w:rPr>
              <w:t>4.1. A participação neste Pregão é exclusiva a empresas, cujo ramo de atividade seja compatível com o objeto desta licitação, e que estejam com Credenciamento regular no Sistema de Cadastramento Unificado de Fornecedores – SICAF, conforme disposto no §3º do artigo 8º da Instrução Normativa SLTI/MPOG nº 2, de 2010.</w:t>
            </w:r>
          </w:p>
          <w:p>
            <w:pPr>
              <w:bidi w:val="0"/>
              <w:spacing w:before="0" w:after="0"/>
              <w:ind w:firstLine="560"/>
              <w:jc w:val="both"/>
            </w:pPr>
            <w:r>
              <w:rPr>
                <w:rFonts w:ascii="Times New Roman" w:eastAsia="Times New Roman" w:hAnsi="Times New Roman" w:cs="Times New Roman"/>
                <w:color w:val="000000"/>
                <w:spacing w:val="0"/>
                <w:sz w:val="20"/>
                <w:szCs w:val="20"/>
              </w:rPr>
              <w:t>4.1.1. Os licitantes, através de seu representante legal, deverão utilizar o certificado digital (e-cpf) para acesso ao Sistema</w:t>
            </w:r>
          </w:p>
          <w:p>
            <w:pPr>
              <w:bidi w:val="0"/>
              <w:spacing w:before="0" w:after="0"/>
              <w:ind w:firstLine="560"/>
              <w:jc w:val="both"/>
            </w:pPr>
            <w:r>
              <w:rPr>
                <w:rFonts w:ascii="Times New Roman" w:eastAsia="Times New Roman" w:hAnsi="Times New Roman" w:cs="Times New Roman"/>
                <w:color w:val="000000"/>
                <w:spacing w:val="0"/>
                <w:sz w:val="20"/>
                <w:szCs w:val="20"/>
              </w:rPr>
              <w:t>4.2. Não poderão participar desta licitação os proponentes enquadrados nas seguintes situações:</w:t>
            </w:r>
          </w:p>
          <w:p>
            <w:pPr>
              <w:bidi w:val="0"/>
              <w:spacing w:before="0" w:after="0"/>
              <w:ind w:firstLine="560"/>
              <w:jc w:val="both"/>
            </w:pPr>
            <w:r>
              <w:rPr>
                <w:rFonts w:ascii="Times New Roman" w:eastAsia="Times New Roman" w:hAnsi="Times New Roman" w:cs="Times New Roman"/>
                <w:color w:val="000000"/>
                <w:spacing w:val="0"/>
                <w:sz w:val="20"/>
                <w:szCs w:val="20"/>
              </w:rPr>
              <w:t>4.2.1. proibidos de participar de licitações e celebrar contratos administrativos, na forma da legislação vigente;</w:t>
            </w:r>
          </w:p>
          <w:p>
            <w:pPr>
              <w:bidi w:val="0"/>
              <w:spacing w:before="0" w:after="0"/>
              <w:ind w:firstLine="560"/>
              <w:jc w:val="both"/>
            </w:pPr>
            <w:r>
              <w:rPr>
                <w:rFonts w:ascii="Times New Roman" w:eastAsia="Times New Roman" w:hAnsi="Times New Roman" w:cs="Times New Roman"/>
                <w:color w:val="000000"/>
                <w:spacing w:val="0"/>
                <w:sz w:val="20"/>
                <w:szCs w:val="20"/>
              </w:rPr>
              <w:t>4.2.2. que estejam sob falência, em recuperação judicial ou extrajudicial, concurso de credores, concordata ou insolvência, em processo de dissolução ou liquidação;</w:t>
            </w:r>
          </w:p>
          <w:p>
            <w:pPr>
              <w:bidi w:val="0"/>
              <w:spacing w:before="0" w:after="0"/>
              <w:ind w:firstLine="560"/>
              <w:jc w:val="both"/>
            </w:pPr>
            <w:r>
              <w:rPr>
                <w:rFonts w:ascii="Times New Roman" w:eastAsia="Times New Roman" w:hAnsi="Times New Roman" w:cs="Times New Roman"/>
                <w:color w:val="000000"/>
                <w:spacing w:val="0"/>
                <w:sz w:val="20"/>
                <w:szCs w:val="20"/>
              </w:rPr>
              <w:t>4.2.3. que estejam reunidas em consórcio;</w:t>
            </w:r>
          </w:p>
          <w:p>
            <w:pPr>
              <w:bidi w:val="0"/>
              <w:spacing w:before="0" w:after="0"/>
              <w:ind w:firstLine="560"/>
              <w:jc w:val="both"/>
            </w:pPr>
            <w:r>
              <w:rPr>
                <w:rFonts w:ascii="Times New Roman" w:eastAsia="Times New Roman" w:hAnsi="Times New Roman" w:cs="Times New Roman"/>
                <w:color w:val="000000"/>
                <w:spacing w:val="0"/>
                <w:sz w:val="20"/>
                <w:szCs w:val="20"/>
              </w:rPr>
              <w:t>4.3. Também é vedada a participação de quaisquer interessados que se enquadrem nas vedações previstas no artigo 9º da Lei nº 8.666, de 1993.</w:t>
            </w:r>
          </w:p>
          <w:p>
            <w:pPr>
              <w:bidi w:val="0"/>
              <w:spacing w:before="0" w:after="0"/>
              <w:ind w:firstLine="560"/>
              <w:jc w:val="both"/>
            </w:pPr>
            <w:r>
              <w:rPr>
                <w:rFonts w:ascii="Times New Roman" w:eastAsia="Times New Roman" w:hAnsi="Times New Roman" w:cs="Times New Roman"/>
                <w:color w:val="000000"/>
                <w:spacing w:val="0"/>
                <w:sz w:val="20"/>
                <w:szCs w:val="20"/>
              </w:rPr>
              <w:t>4.4. Como condição para participação no Pregão, a entidade de menor porte deverá declarar:</w:t>
            </w:r>
          </w:p>
          <w:p>
            <w:pPr>
              <w:bidi w:val="0"/>
              <w:spacing w:before="0" w:after="0"/>
              <w:ind w:firstLine="560"/>
              <w:jc w:val="both"/>
            </w:pPr>
            <w:r>
              <w:rPr>
                <w:rFonts w:ascii="Times New Roman" w:eastAsia="Times New Roman" w:hAnsi="Times New Roman" w:cs="Times New Roman"/>
                <w:color w:val="000000"/>
                <w:spacing w:val="0"/>
                <w:sz w:val="20"/>
                <w:szCs w:val="20"/>
              </w:rPr>
              <w:t>4.4.1. que cumpre os requisitos estabelecidos no artigo 3° da Lei Complementar nº 123, de 2006, estando apta a usufruir do tratamento favorecido estabelecido em seus arts. 42 a 49.</w:t>
            </w:r>
          </w:p>
          <w:p>
            <w:pPr>
              <w:bidi w:val="0"/>
              <w:spacing w:before="0" w:after="0"/>
              <w:ind w:firstLine="560"/>
              <w:jc w:val="both"/>
            </w:pPr>
            <w:r>
              <w:rPr>
                <w:rFonts w:ascii="Times New Roman" w:eastAsia="Times New Roman" w:hAnsi="Times New Roman" w:cs="Times New Roman"/>
                <w:color w:val="000000"/>
                <w:spacing w:val="0"/>
                <w:sz w:val="20"/>
                <w:szCs w:val="20"/>
              </w:rPr>
              <w:t>4.5. Deverá assinalar, ainda, “sim” ou “não” em campo próprio do sistema eletrônico, relativo às seguintes declarações:</w:t>
            </w:r>
          </w:p>
          <w:p>
            <w:pPr>
              <w:bidi w:val="0"/>
              <w:spacing w:before="0" w:after="0"/>
              <w:ind w:firstLine="560"/>
              <w:jc w:val="both"/>
            </w:pPr>
            <w:r>
              <w:rPr>
                <w:rFonts w:ascii="Times New Roman" w:eastAsia="Times New Roman" w:hAnsi="Times New Roman" w:cs="Times New Roman"/>
                <w:color w:val="000000"/>
                <w:spacing w:val="0"/>
                <w:sz w:val="20"/>
                <w:szCs w:val="20"/>
              </w:rPr>
              <w:t>4.5.1. que está ciente e concorda com as condições contidas no Edital e seus anexos, bem como de que cumpre plenamente os requisitos de habilitação definidos no Edital;</w:t>
            </w:r>
          </w:p>
          <w:p>
            <w:pPr>
              <w:bidi w:val="0"/>
              <w:spacing w:before="0" w:after="0"/>
              <w:ind w:firstLine="560"/>
              <w:jc w:val="both"/>
            </w:pPr>
            <w:r>
              <w:rPr>
                <w:rFonts w:ascii="Times New Roman" w:eastAsia="Times New Roman" w:hAnsi="Times New Roman" w:cs="Times New Roman"/>
                <w:color w:val="000000"/>
                <w:spacing w:val="0"/>
                <w:sz w:val="20"/>
                <w:szCs w:val="20"/>
              </w:rPr>
              <w:t>4.5.2. que inexistem fatos impeditivos para sua habilitação no certame, ciente da obrigatoriedade de declarar ocorrências posteriores;</w:t>
            </w:r>
          </w:p>
          <w:p>
            <w:pPr>
              <w:bidi w:val="0"/>
              <w:spacing w:before="0" w:after="141"/>
              <w:ind w:firstLine="560"/>
              <w:jc w:val="both"/>
            </w:pPr>
            <w:r>
              <w:rPr>
                <w:rFonts w:ascii="Times New Roman" w:eastAsia="Times New Roman" w:hAnsi="Times New Roman" w:cs="Times New Roman"/>
                <w:color w:val="000000"/>
                <w:spacing w:val="0"/>
                <w:sz w:val="20"/>
                <w:szCs w:val="20"/>
              </w:rPr>
              <w:t>4.5.3. que não emprega menor de 18 anos em trabalho noturno, perigoso ou insalubre e não emprega menor de 16 anos, salvo menor, a partir de 14 anos, na condição de aprendiz, nos termos do artigo 7°, XXXIII, da Constituição.</w:t>
            </w:r>
          </w:p>
          <w:p>
            <w:pPr>
              <w:bidi w:val="0"/>
              <w:spacing w:before="0" w:after="0"/>
              <w:ind w:firstLine="560"/>
              <w:jc w:val="both"/>
            </w:pPr>
            <w:r>
              <w:rPr>
                <w:rFonts w:ascii="Times New Roman" w:eastAsia="Times New Roman" w:hAnsi="Times New Roman" w:cs="Times New Roman"/>
                <w:b/>
                <w:bCs/>
                <w:color w:val="000000"/>
                <w:spacing w:val="0"/>
                <w:sz w:val="20"/>
                <w:szCs w:val="20"/>
              </w:rPr>
              <w:t>5. DA APRESENTAÇÃO DA PROPOSTA E DOS DOCUMENTOS DE HABILITAÇÃO</w:t>
            </w:r>
          </w:p>
          <w:p>
            <w:pPr>
              <w:bidi w:val="0"/>
              <w:spacing w:before="0" w:after="0"/>
              <w:ind w:firstLine="560"/>
              <w:jc w:val="both"/>
            </w:pPr>
            <w:r>
              <w:rPr>
                <w:rFonts w:ascii="Times New Roman" w:eastAsia="Times New Roman" w:hAnsi="Times New Roman" w:cs="Times New Roman"/>
                <w:color w:val="000000"/>
                <w:spacing w:val="0"/>
                <w:sz w:val="20"/>
                <w:szCs w:val="20"/>
              </w:rPr>
              <w:t>5.1.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pPr>
              <w:bidi w:val="0"/>
              <w:spacing w:before="0" w:after="0"/>
              <w:ind w:firstLine="560"/>
              <w:jc w:val="both"/>
            </w:pPr>
            <w:r>
              <w:rPr>
                <w:rFonts w:ascii="Times New Roman" w:eastAsia="Times New Roman" w:hAnsi="Times New Roman" w:cs="Times New Roman"/>
                <w:color w:val="000000"/>
                <w:spacing w:val="0"/>
                <w:sz w:val="20"/>
                <w:szCs w:val="20"/>
              </w:rPr>
              <w:t>5.2. O envio da proposta, acompanhada dos documentos de habilitação exigidos neste Edital, ocorrerá por meio de chave de acesso e senha.</w:t>
            </w:r>
          </w:p>
          <w:p>
            <w:pPr>
              <w:bidi w:val="0"/>
              <w:spacing w:before="0" w:after="0"/>
              <w:ind w:firstLine="560"/>
              <w:jc w:val="both"/>
            </w:pPr>
            <w:r>
              <w:rPr>
                <w:rFonts w:ascii="Times New Roman" w:eastAsia="Times New Roman" w:hAnsi="Times New Roman" w:cs="Times New Roman"/>
                <w:color w:val="000000"/>
                <w:spacing w:val="0"/>
                <w:sz w:val="20"/>
                <w:szCs w:val="20"/>
              </w:rPr>
              <w:t>5.3. Os licitantes poderão deixar de apresentar os documentos de habilitação que constem do SICAF, assegurado aos demais licitantes o direito de acesso aos dados constantes dos sistemas.</w:t>
            </w:r>
          </w:p>
          <w:p>
            <w:pPr>
              <w:bidi w:val="0"/>
              <w:spacing w:before="0" w:after="0"/>
              <w:ind w:firstLine="560"/>
              <w:jc w:val="both"/>
            </w:pPr>
            <w:r>
              <w:rPr>
                <w:rFonts w:ascii="Times New Roman" w:eastAsia="Times New Roman" w:hAnsi="Times New Roman" w:cs="Times New Roman"/>
                <w:color w:val="000000"/>
                <w:spacing w:val="0"/>
                <w:sz w:val="20"/>
                <w:szCs w:val="20"/>
              </w:rPr>
              <w:t>5.4. As Microempresas e Empresas de Pequeno Porte deverão encaminhar a documentação de habilitação, ainda que haja alguma restrição de regularidade fiscal e trabalhista, nos termos do art. 43, § 1º da LC nº 123, de 2006.</w:t>
            </w:r>
          </w:p>
          <w:p>
            <w:pPr>
              <w:bidi w:val="0"/>
              <w:spacing w:before="0" w:after="0"/>
              <w:ind w:firstLine="560"/>
              <w:jc w:val="both"/>
            </w:pPr>
            <w:r>
              <w:rPr>
                <w:rFonts w:ascii="Times New Roman" w:eastAsia="Times New Roman" w:hAnsi="Times New Roman" w:cs="Times New Roman"/>
                <w:color w:val="000000"/>
                <w:spacing w:val="0"/>
                <w:sz w:val="20"/>
                <w:szCs w:val="20"/>
              </w:rPr>
              <w:t>5.5.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pPr>
              <w:bidi w:val="0"/>
              <w:spacing w:before="0" w:after="0"/>
              <w:ind w:firstLine="560"/>
              <w:jc w:val="both"/>
            </w:pPr>
            <w:r>
              <w:rPr>
                <w:rFonts w:ascii="Times New Roman" w:eastAsia="Times New Roman" w:hAnsi="Times New Roman" w:cs="Times New Roman"/>
                <w:color w:val="000000"/>
                <w:spacing w:val="0"/>
                <w:sz w:val="20"/>
                <w:szCs w:val="20"/>
              </w:rPr>
              <w:t>5.6. Até a abertura da sessão pública, os licitantes poderão retirar ou substituir a proposta e os documentos de habilitação anteriormente inseridos no sistema;</w:t>
            </w:r>
          </w:p>
          <w:p>
            <w:pPr>
              <w:bidi w:val="0"/>
              <w:spacing w:before="0" w:after="0"/>
              <w:ind w:firstLine="560"/>
              <w:jc w:val="both"/>
            </w:pPr>
            <w:r>
              <w:rPr>
                <w:rFonts w:ascii="Times New Roman" w:eastAsia="Times New Roman" w:hAnsi="Times New Roman" w:cs="Times New Roman"/>
                <w:color w:val="000000"/>
                <w:spacing w:val="0"/>
                <w:sz w:val="20"/>
                <w:szCs w:val="20"/>
              </w:rPr>
              <w:t>5.7. Não será estabelecida, nessa etapa do certame, ordem de classificação entre as propostas apresentadas, o que somente ocorrerá após a realização dos procedimentos de negociação e julgamento da proposta.</w:t>
            </w:r>
          </w:p>
          <w:p>
            <w:pPr>
              <w:bidi w:val="0"/>
              <w:spacing w:before="0" w:after="0"/>
              <w:ind w:firstLine="560"/>
              <w:jc w:val="both"/>
            </w:pPr>
            <w:r>
              <w:rPr>
                <w:rFonts w:ascii="Times New Roman" w:eastAsia="Times New Roman" w:hAnsi="Times New Roman" w:cs="Times New Roman"/>
                <w:color w:val="000000"/>
                <w:spacing w:val="0"/>
                <w:sz w:val="20"/>
                <w:szCs w:val="20"/>
              </w:rPr>
              <w:t>5.8. Os documentos que compõem a proposta e a habilitação do licitante melhor classificado somente serão disponibilizados para avaliação do pregoeiro e para acesso público após o encerramento do envio de lances.</w:t>
            </w:r>
          </w:p>
          <w:p>
            <w:pPr>
              <w:bidi w:val="0"/>
              <w:spacing w:before="0" w:after="0"/>
              <w:ind w:firstLine="560"/>
              <w:jc w:val="both"/>
            </w:pPr>
            <w:r>
              <w:rPr>
                <w:rFonts w:ascii="Times New Roman" w:eastAsia="Times New Roman" w:hAnsi="Times New Roman" w:cs="Times New Roman"/>
                <w:color w:val="000000"/>
                <w:spacing w:val="0"/>
                <w:sz w:val="20"/>
                <w:szCs w:val="20"/>
              </w:rPr>
              <w:t>5.9. O licitante deverá enviar sua proposta mediante o preenchimento, no sistema eletrônico, dos seguintes campos:</w:t>
            </w:r>
          </w:p>
          <w:p>
            <w:pPr>
              <w:bidi w:val="0"/>
              <w:spacing w:before="0" w:after="0"/>
              <w:ind w:firstLine="560"/>
              <w:jc w:val="both"/>
            </w:pPr>
            <w:r>
              <w:rPr>
                <w:rFonts w:ascii="Times New Roman" w:eastAsia="Times New Roman" w:hAnsi="Times New Roman" w:cs="Times New Roman"/>
                <w:b/>
                <w:bCs/>
                <w:color w:val="000000"/>
                <w:spacing w:val="0"/>
                <w:sz w:val="20"/>
                <w:szCs w:val="20"/>
                <w:shd w:val="clear" w:color="auto" w:fill="C0C0C0"/>
              </w:rPr>
              <w:t>5.9.1. valor unitário;</w:t>
            </w:r>
          </w:p>
          <w:p>
            <w:pPr>
              <w:bidi w:val="0"/>
              <w:spacing w:before="0" w:after="0"/>
              <w:ind w:firstLine="560"/>
              <w:jc w:val="both"/>
            </w:pPr>
            <w:r>
              <w:rPr>
                <w:rFonts w:ascii="Times New Roman" w:eastAsia="Times New Roman" w:hAnsi="Times New Roman" w:cs="Times New Roman"/>
                <w:b/>
                <w:bCs/>
                <w:color w:val="000000"/>
                <w:spacing w:val="0"/>
                <w:sz w:val="20"/>
                <w:szCs w:val="20"/>
              </w:rPr>
              <w:t>5.9.2. a quantidade de unidades, observada a quantidade mínima fixada no Termo de Referência para cada item;</w:t>
            </w:r>
          </w:p>
          <w:p>
            <w:pPr>
              <w:bidi w:val="0"/>
              <w:spacing w:before="0" w:after="0"/>
              <w:ind w:firstLine="560"/>
              <w:jc w:val="both"/>
            </w:pPr>
            <w:r>
              <w:rPr>
                <w:rFonts w:ascii="Times New Roman" w:eastAsia="Times New Roman" w:hAnsi="Times New Roman" w:cs="Times New Roman"/>
                <w:b/>
                <w:bCs/>
                <w:color w:val="000000"/>
                <w:spacing w:val="0"/>
                <w:sz w:val="20"/>
                <w:szCs w:val="20"/>
              </w:rPr>
              <w:t>5.9.2.1. Em não havendo quantidade mínima fixada, deverá ser cotada a quantidade total prevista para o item.</w:t>
            </w:r>
          </w:p>
          <w:p>
            <w:pPr>
              <w:bidi w:val="0"/>
              <w:spacing w:before="0" w:after="0"/>
              <w:ind w:firstLine="560"/>
              <w:jc w:val="both"/>
            </w:pPr>
            <w:r>
              <w:rPr>
                <w:rFonts w:ascii="Times New Roman" w:eastAsia="Times New Roman" w:hAnsi="Times New Roman" w:cs="Times New Roman"/>
                <w:color w:val="000000"/>
                <w:spacing w:val="0"/>
                <w:sz w:val="20"/>
                <w:szCs w:val="20"/>
              </w:rPr>
              <w:t>5.10. Nos valores propostos deverão estar inclusos todos os custos operacionais, embalagens, transporte, encargos previdenciários, trabalhistas, tributários, comerciais e quaisquer outros que incidam direta ou indiretamente no fornecimento do objeto, conforme o caso.</w:t>
            </w:r>
          </w:p>
          <w:p>
            <w:pPr>
              <w:bidi w:val="0"/>
              <w:spacing w:before="0" w:after="0"/>
              <w:jc w:val="both"/>
            </w:pPr>
            <w:r>
              <w:rPr>
                <w:rFonts w:ascii="Times New Roman" w:eastAsia="Times New Roman" w:hAnsi="Times New Roman" w:cs="Times New Roman"/>
                <w:color w:val="000000"/>
                <w:spacing w:val="0"/>
                <w:sz w:val="20"/>
                <w:szCs w:val="20"/>
              </w:rPr>
              <w:t>           </w:t>
            </w:r>
            <w:r>
              <w:rPr>
                <w:rFonts w:ascii="Times New Roman" w:eastAsia="Times New Roman" w:hAnsi="Times New Roman" w:cs="Times New Roman"/>
                <w:color w:val="000000"/>
                <w:spacing w:val="0"/>
                <w:sz w:val="20"/>
                <w:szCs w:val="20"/>
                <w:shd w:val="clear" w:color="auto" w:fill="C0C0C0"/>
              </w:rPr>
              <w:t>5.11. O prazo de validade da proposta não será inferior a 60 (sessenta) dias, a contar da data de sua apresentação.</w:t>
            </w:r>
            <w:r>
              <w:rPr>
                <w:rFonts w:ascii="Times New Roman" w:eastAsia="Times New Roman" w:hAnsi="Times New Roman" w:cs="Times New Roman"/>
                <w:color w:val="000000"/>
                <w:spacing w:val="0"/>
                <w:sz w:val="20"/>
                <w:szCs w:val="20"/>
              </w:rPr>
              <w:t xml:space="preserve"> </w:t>
            </w:r>
          </w:p>
          <w:p>
            <w:pPr>
              <w:bidi w:val="0"/>
              <w:spacing w:before="0" w:after="141"/>
              <w:ind w:firstLine="560"/>
              <w:jc w:val="both"/>
            </w:pPr>
            <w:r>
              <w:rPr>
                <w:rFonts w:ascii="Times New Roman" w:eastAsia="Times New Roman" w:hAnsi="Times New Roman" w:cs="Times New Roman"/>
                <w:color w:val="000000"/>
                <w:spacing w:val="0"/>
                <w:sz w:val="20"/>
                <w:szCs w:val="20"/>
              </w:rPr>
              <w:t>5.12. NO CASO DE INCONSISTÊNCIA NO DESCRITIVO DOS ITENS ENTRE O TERMO DE REFERÊNCIA (ANEXO I) E O CONSTANTE NA PLATAFORMA DO PREGÃO ELETRÔNICO, DEVERÁ SER CONSIDERADO O DESCRITIVO DO TERMO DE REFERÊNCIA (ANEXO I).</w:t>
            </w:r>
          </w:p>
          <w:p>
            <w:pPr>
              <w:bidi w:val="0"/>
              <w:spacing w:before="0" w:after="0"/>
              <w:ind w:firstLine="560"/>
              <w:jc w:val="both"/>
            </w:pPr>
            <w:r>
              <w:rPr>
                <w:rFonts w:ascii="Times New Roman" w:eastAsia="Times New Roman" w:hAnsi="Times New Roman" w:cs="Times New Roman"/>
                <w:b/>
                <w:bCs/>
                <w:color w:val="000000"/>
                <w:spacing w:val="0"/>
                <w:sz w:val="20"/>
                <w:szCs w:val="20"/>
              </w:rPr>
              <w:t>6. DAS PROPOSTAS E FORMULAÇÃO DE LANCES</w:t>
            </w:r>
          </w:p>
          <w:p>
            <w:pPr>
              <w:bidi w:val="0"/>
              <w:spacing w:before="0" w:after="0"/>
              <w:ind w:firstLine="560"/>
              <w:jc w:val="both"/>
            </w:pPr>
            <w:r>
              <w:rPr>
                <w:rFonts w:ascii="Times New Roman" w:eastAsia="Times New Roman" w:hAnsi="Times New Roman" w:cs="Times New Roman"/>
                <w:color w:val="000000"/>
                <w:spacing w:val="0"/>
                <w:sz w:val="20"/>
                <w:szCs w:val="20"/>
              </w:rPr>
              <w:t>6.1. A abertura da presente licitação dar-se-á em sessão pública, por meio de sistema eletrônico, na data, horário e local indicados neste Edital.</w:t>
            </w:r>
          </w:p>
          <w:p>
            <w:pPr>
              <w:bidi w:val="0"/>
              <w:spacing w:before="0" w:after="0"/>
              <w:ind w:firstLine="560"/>
              <w:jc w:val="both"/>
            </w:pPr>
            <w:r>
              <w:rPr>
                <w:rFonts w:ascii="Times New Roman" w:eastAsia="Times New Roman" w:hAnsi="Times New Roman" w:cs="Times New Roman"/>
                <w:color w:val="000000"/>
                <w:spacing w:val="0"/>
                <w:sz w:val="20"/>
                <w:szCs w:val="20"/>
              </w:rPr>
              <w:t>6.2. 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pPr>
              <w:bidi w:val="0"/>
              <w:spacing w:before="0" w:after="0"/>
              <w:ind w:firstLine="560"/>
              <w:jc w:val="both"/>
            </w:pPr>
            <w:r>
              <w:rPr>
                <w:rFonts w:ascii="Times New Roman" w:eastAsia="Times New Roman" w:hAnsi="Times New Roman" w:cs="Times New Roman"/>
                <w:color w:val="000000"/>
                <w:spacing w:val="0"/>
                <w:sz w:val="20"/>
                <w:szCs w:val="20"/>
              </w:rPr>
              <w:t>6.2.1. A desclassificação será sempre fundamentada e registrada no sistema, com acompanhamento em tempo real por todos os participantes.</w:t>
            </w:r>
          </w:p>
          <w:p>
            <w:pPr>
              <w:bidi w:val="0"/>
              <w:spacing w:before="0" w:after="0"/>
              <w:ind w:firstLine="560"/>
              <w:jc w:val="both"/>
            </w:pPr>
            <w:r>
              <w:rPr>
                <w:rFonts w:ascii="Times New Roman" w:eastAsia="Times New Roman" w:hAnsi="Times New Roman" w:cs="Times New Roman"/>
                <w:color w:val="000000"/>
                <w:spacing w:val="0"/>
                <w:sz w:val="20"/>
                <w:szCs w:val="20"/>
              </w:rPr>
              <w:t>6.2.2. A classificação da proposta não impede o seu julgamento definitivo em sentido contrário, levado a efeito na fase de aceitação.</w:t>
            </w:r>
          </w:p>
          <w:p>
            <w:pPr>
              <w:bidi w:val="0"/>
              <w:spacing w:before="0" w:after="0"/>
              <w:ind w:firstLine="560"/>
              <w:jc w:val="both"/>
            </w:pPr>
            <w:r>
              <w:rPr>
                <w:rFonts w:ascii="Times New Roman" w:eastAsia="Times New Roman" w:hAnsi="Times New Roman" w:cs="Times New Roman"/>
                <w:color w:val="000000"/>
                <w:spacing w:val="0"/>
                <w:sz w:val="20"/>
                <w:szCs w:val="20"/>
              </w:rPr>
              <w:t>6.3. O sistema ordenará automaticamente as propostas classificadas, sendo que somente estas participarão da fase de lances.</w:t>
            </w:r>
          </w:p>
          <w:p>
            <w:pPr>
              <w:bidi w:val="0"/>
              <w:spacing w:before="0" w:after="0"/>
              <w:ind w:firstLine="560"/>
              <w:jc w:val="both"/>
            </w:pPr>
            <w:r>
              <w:rPr>
                <w:rFonts w:ascii="Times New Roman" w:eastAsia="Times New Roman" w:hAnsi="Times New Roman" w:cs="Times New Roman"/>
                <w:color w:val="000000"/>
                <w:spacing w:val="0"/>
                <w:sz w:val="20"/>
                <w:szCs w:val="20"/>
              </w:rPr>
              <w:t>6.4. O sistema disponibilizará campo próprio para troca de mensagem entre o Pregoeiro e os licitantes.</w:t>
            </w:r>
          </w:p>
          <w:p>
            <w:pPr>
              <w:bidi w:val="0"/>
              <w:spacing w:before="0" w:after="0"/>
              <w:ind w:firstLine="560"/>
              <w:jc w:val="both"/>
            </w:pPr>
            <w:r>
              <w:rPr>
                <w:rFonts w:ascii="Times New Roman" w:eastAsia="Times New Roman" w:hAnsi="Times New Roman" w:cs="Times New Roman"/>
                <w:color w:val="000000"/>
                <w:spacing w:val="0"/>
                <w:sz w:val="20"/>
                <w:szCs w:val="20"/>
              </w:rPr>
              <w:t>6.5. Iniciada a etapa competitiva, os licitantes deverão encaminhar lances exclusivamente por meio de sistema eletrônico, sendo imediatamente informados do seu recebimento e do valor consignado no registro.</w:t>
            </w:r>
          </w:p>
          <w:p>
            <w:pPr>
              <w:bidi w:val="0"/>
              <w:spacing w:before="0" w:after="141"/>
              <w:ind w:firstLine="560"/>
              <w:jc w:val="both"/>
            </w:pPr>
            <w:r>
              <w:rPr>
                <w:rFonts w:ascii="Times New Roman" w:eastAsia="Times New Roman" w:hAnsi="Times New Roman" w:cs="Times New Roman"/>
                <w:b/>
                <w:bCs/>
                <w:color w:val="000000"/>
                <w:spacing w:val="0"/>
                <w:sz w:val="20"/>
                <w:szCs w:val="20"/>
              </w:rPr>
              <w:t>6.5.1. O lance deverá ser ofertado pelo valor unitário do item.</w:t>
            </w:r>
          </w:p>
          <w:p>
            <w:pPr>
              <w:bidi w:val="0"/>
              <w:spacing w:before="0" w:after="0"/>
              <w:ind w:firstLine="560"/>
              <w:jc w:val="both"/>
            </w:pPr>
            <w:r>
              <w:rPr>
                <w:rFonts w:ascii="Times New Roman" w:eastAsia="Times New Roman" w:hAnsi="Times New Roman" w:cs="Times New Roman"/>
                <w:color w:val="000000"/>
                <w:spacing w:val="0"/>
                <w:sz w:val="20"/>
                <w:szCs w:val="20"/>
              </w:rPr>
              <w:t>6.6. Os licitantes poderão oferecer lances sucessivos, observando o horário fixado para abertura da sessão e as regras estabelecidas no Edital.</w:t>
            </w:r>
          </w:p>
          <w:p>
            <w:pPr>
              <w:bidi w:val="0"/>
              <w:spacing w:before="0" w:after="0"/>
              <w:ind w:firstLine="560"/>
              <w:jc w:val="both"/>
            </w:pPr>
            <w:r>
              <w:rPr>
                <w:rFonts w:ascii="Times New Roman" w:eastAsia="Times New Roman" w:hAnsi="Times New Roman" w:cs="Times New Roman"/>
                <w:color w:val="000000"/>
                <w:spacing w:val="0"/>
                <w:sz w:val="20"/>
                <w:szCs w:val="20"/>
              </w:rPr>
              <w:t>6.7. O licitante somente poderá oferecer lance inferior ao último por ele ofertado e registrado pelo sistema.</w:t>
            </w:r>
          </w:p>
          <w:p>
            <w:pPr>
              <w:bidi w:val="0"/>
              <w:spacing w:before="0" w:after="0"/>
              <w:ind w:firstLine="560"/>
              <w:jc w:val="both"/>
            </w:pPr>
            <w:r>
              <w:rPr>
                <w:rFonts w:ascii="Times New Roman" w:eastAsia="Times New Roman" w:hAnsi="Times New Roman" w:cs="Times New Roman"/>
                <w:color w:val="000000"/>
                <w:spacing w:val="0"/>
                <w:sz w:val="20"/>
                <w:szCs w:val="20"/>
              </w:rPr>
              <w:t xml:space="preserve">6.7.1. O intervalo mínimo de diferença de valores ou percentuais entre os lances, que incidirá tanto em relação aos lances intermediários quanto em relação à proposta que cobrir a melhor oferta deverá ser no mínimo </w:t>
            </w:r>
            <w:r>
              <w:rPr>
                <w:rFonts w:ascii="Times New Roman" w:eastAsia="Times New Roman" w:hAnsi="Times New Roman" w:cs="Times New Roman"/>
                <w:color w:val="000000"/>
                <w:spacing w:val="0"/>
                <w:sz w:val="20"/>
                <w:szCs w:val="20"/>
                <w:shd w:val="clear" w:color="auto" w:fill="FF0000"/>
              </w:rPr>
              <w:t>1% (Um por cento)</w:t>
            </w:r>
            <w:r>
              <w:rPr>
                <w:rFonts w:ascii="Times New Roman" w:eastAsia="Times New Roman" w:hAnsi="Times New Roman" w:cs="Times New Roman"/>
                <w:color w:val="000000"/>
                <w:spacing w:val="0"/>
                <w:sz w:val="20"/>
                <w:szCs w:val="20"/>
              </w:rPr>
              <w:t>.</w:t>
            </w:r>
          </w:p>
          <w:p>
            <w:pPr>
              <w:bidi w:val="0"/>
              <w:spacing w:before="0" w:after="141"/>
              <w:ind w:firstLine="560"/>
              <w:jc w:val="both"/>
            </w:pPr>
            <w:r>
              <w:rPr>
                <w:rFonts w:ascii="Times New Roman" w:eastAsia="Times New Roman" w:hAnsi="Times New Roman" w:cs="Times New Roman"/>
                <w:color w:val="000000"/>
                <w:spacing w:val="0"/>
                <w:sz w:val="20"/>
                <w:szCs w:val="20"/>
              </w:rPr>
              <w:t>6.7.2. O intervalo entre os lances enviados pelo mesmo licitante não poderá ser inferior a vinte (20) segundos e o intervalo entre lances não poderá ser inferior a três (3) segundos</w:t>
            </w:r>
          </w:p>
          <w:p>
            <w:pPr>
              <w:bidi w:val="0"/>
              <w:spacing w:before="0" w:after="0"/>
              <w:ind w:firstLine="560"/>
              <w:jc w:val="both"/>
            </w:pPr>
            <w:r>
              <w:rPr>
                <w:rFonts w:ascii="Times New Roman" w:eastAsia="Times New Roman" w:hAnsi="Times New Roman" w:cs="Times New Roman"/>
                <w:color w:val="000000"/>
                <w:spacing w:val="0"/>
                <w:sz w:val="20"/>
                <w:szCs w:val="20"/>
              </w:rPr>
              <w:t>6.8. Será adotado para o envio de lances no pregão eletrônico o modo de disputa “aberto”, em que os licitantes apresentarão lances públicos e sucessivos, com prorrogações.</w:t>
            </w:r>
          </w:p>
          <w:p>
            <w:pPr>
              <w:bidi w:val="0"/>
              <w:spacing w:before="0" w:after="0"/>
              <w:ind w:firstLine="560"/>
              <w:jc w:val="both"/>
            </w:pPr>
            <w:r>
              <w:rPr>
                <w:rFonts w:ascii="Times New Roman" w:eastAsia="Times New Roman" w:hAnsi="Times New Roman" w:cs="Times New Roman"/>
                <w:color w:val="000000"/>
                <w:spacing w:val="0"/>
                <w:sz w:val="20"/>
                <w:szCs w:val="20"/>
              </w:rPr>
              <w:t>6.9. A etapa de lances da sessão pública terá duração de dez minutos e, após isso, será prorrogada automaticamente pelo sistema quando houver lance ofertado nos últimos dois minutos do período de duração da sessão pública.</w:t>
            </w:r>
          </w:p>
          <w:p>
            <w:pPr>
              <w:bidi w:val="0"/>
              <w:spacing w:before="0" w:after="0"/>
              <w:ind w:firstLine="560"/>
              <w:jc w:val="both"/>
            </w:pPr>
            <w:r>
              <w:rPr>
                <w:rFonts w:ascii="Times New Roman" w:eastAsia="Times New Roman" w:hAnsi="Times New Roman" w:cs="Times New Roman"/>
                <w:color w:val="000000"/>
                <w:spacing w:val="0"/>
                <w:sz w:val="20"/>
                <w:szCs w:val="20"/>
              </w:rPr>
              <w:t>6.10. A prorrogação automática da etapa de lances, de que trata o item anterior, será de dois minutos e ocorrerá sucessivamente sempre que houver lances enviados nesse período de prorrogação, inclusive no caso de lances intermediários.</w:t>
            </w:r>
          </w:p>
          <w:p>
            <w:pPr>
              <w:bidi w:val="0"/>
              <w:spacing w:before="0" w:after="0"/>
              <w:ind w:firstLine="560"/>
              <w:jc w:val="both"/>
            </w:pPr>
            <w:r>
              <w:rPr>
                <w:rFonts w:ascii="Times New Roman" w:eastAsia="Times New Roman" w:hAnsi="Times New Roman" w:cs="Times New Roman"/>
                <w:color w:val="000000"/>
                <w:spacing w:val="0"/>
                <w:sz w:val="20"/>
                <w:szCs w:val="20"/>
              </w:rPr>
              <w:t>6.11. Não havendo novos lances na forma estabelecida nos itens anteriores, a sessão pública encerrar-se-á automaticamente.</w:t>
            </w:r>
          </w:p>
          <w:p>
            <w:pPr>
              <w:bidi w:val="0"/>
              <w:spacing w:before="0" w:after="141"/>
              <w:ind w:firstLine="560"/>
              <w:jc w:val="both"/>
            </w:pPr>
            <w:r>
              <w:rPr>
                <w:rFonts w:ascii="Times New Roman" w:eastAsia="Times New Roman" w:hAnsi="Times New Roman" w:cs="Times New Roman"/>
                <w:color w:val="000000"/>
                <w:spacing w:val="0"/>
                <w:sz w:val="20"/>
                <w:szCs w:val="20"/>
              </w:rPr>
              <w:t>6.12. Encerrada a fase competitiva sem que haja a prorrogação automática pelo sistema, poderá o pregoeiro, assessorado pela equipe de apoio, justificadamente, admitir o reinício da sessão pública de lances, em prol da consecução do melhor preço.</w:t>
            </w:r>
          </w:p>
          <w:p>
            <w:pPr>
              <w:bidi w:val="0"/>
              <w:spacing w:before="0" w:after="0"/>
              <w:ind w:firstLine="560"/>
              <w:jc w:val="both"/>
            </w:pPr>
            <w:r>
              <w:rPr>
                <w:rFonts w:ascii="Times New Roman" w:eastAsia="Times New Roman" w:hAnsi="Times New Roman" w:cs="Times New Roman"/>
                <w:color w:val="000000"/>
                <w:spacing w:val="0"/>
                <w:sz w:val="20"/>
                <w:szCs w:val="20"/>
              </w:rPr>
              <w:t>6.13. Não serão aceitos dois ou mais lances de mesmo valor, prevalecendo aquele que for recebido e registrado em primeiro lugar.</w:t>
            </w:r>
          </w:p>
          <w:p>
            <w:pPr>
              <w:bidi w:val="0"/>
              <w:spacing w:before="0" w:after="0"/>
              <w:ind w:firstLine="560"/>
              <w:jc w:val="both"/>
            </w:pPr>
            <w:r>
              <w:rPr>
                <w:rFonts w:ascii="Times New Roman" w:eastAsia="Times New Roman" w:hAnsi="Times New Roman" w:cs="Times New Roman"/>
                <w:color w:val="000000"/>
                <w:spacing w:val="0"/>
                <w:sz w:val="20"/>
                <w:szCs w:val="20"/>
              </w:rPr>
              <w:t>6.14. Durante o transcurso da sessão pública, os licitantes serão informados, em tempo real, do valor do menor lance registrado, vedada a identificação do licitante.</w:t>
            </w:r>
          </w:p>
          <w:p>
            <w:pPr>
              <w:bidi w:val="0"/>
              <w:spacing w:before="0" w:after="0"/>
              <w:ind w:firstLine="560"/>
              <w:jc w:val="both"/>
            </w:pPr>
            <w:r>
              <w:rPr>
                <w:rFonts w:ascii="Times New Roman" w:eastAsia="Times New Roman" w:hAnsi="Times New Roman" w:cs="Times New Roman"/>
                <w:color w:val="000000"/>
                <w:spacing w:val="0"/>
                <w:sz w:val="20"/>
                <w:szCs w:val="20"/>
              </w:rPr>
              <w:t>6.15. No caso de desconexão com o Pregoeiro, no decorrer da etapa competitiva do Pregão, o sistema eletrônico poderá permanecer acessível aos licitantes para a recepção dos lances.</w:t>
            </w:r>
          </w:p>
          <w:p>
            <w:pPr>
              <w:bidi w:val="0"/>
              <w:spacing w:before="0" w:after="0"/>
              <w:ind w:firstLine="560"/>
              <w:jc w:val="both"/>
            </w:pPr>
            <w:r>
              <w:rPr>
                <w:rFonts w:ascii="Times New Roman" w:eastAsia="Times New Roman" w:hAnsi="Times New Roman" w:cs="Times New Roman"/>
                <w:color w:val="000000"/>
                <w:spacing w:val="0"/>
                <w:sz w:val="20"/>
                <w:szCs w:val="20"/>
              </w:rPr>
              <w:t>6.16. Se a desconexão perdurar por tempo superior a 10 (dez) minutos, a sessão será suspensa e terá reinício somente após comunicação expressa do Pregoeiro aos participantes.</w:t>
            </w:r>
          </w:p>
          <w:p>
            <w:pPr>
              <w:bidi w:val="0"/>
              <w:spacing w:before="0" w:after="0"/>
              <w:ind w:firstLine="560"/>
              <w:jc w:val="both"/>
            </w:pPr>
            <w:r>
              <w:rPr>
                <w:rFonts w:ascii="Times New Roman" w:eastAsia="Times New Roman" w:hAnsi="Times New Roman" w:cs="Times New Roman"/>
                <w:color w:val="000000"/>
                <w:spacing w:val="0"/>
                <w:sz w:val="20"/>
                <w:szCs w:val="20"/>
              </w:rPr>
              <w:t>6.19. Caso o licitante não apresente lances, concorrerá com o valor de sua proposta e, na hipótese de desistência de apresentar outros lances, valerá o último lance por ele ofertado, para efeito de ordenação das propostas.</w:t>
            </w:r>
          </w:p>
          <w:p>
            <w:pPr>
              <w:bidi w:val="0"/>
              <w:spacing w:before="0" w:after="0"/>
              <w:ind w:firstLine="560"/>
              <w:jc w:val="both"/>
            </w:pPr>
            <w:r>
              <w:rPr>
                <w:rFonts w:ascii="Times New Roman" w:eastAsia="Times New Roman" w:hAnsi="Times New Roman" w:cs="Times New Roman"/>
                <w:color w:val="000000"/>
                <w:spacing w:val="0"/>
                <w:sz w:val="20"/>
                <w:szCs w:val="20"/>
              </w:rPr>
              <w:t>6.20. Encerrada a etapa de lances será efetivada a verificação automática, junto à Receita Federal, do porte da entidade empresarial. O sistema identificará em coluna própria as microempresas, empresas de pequeno porte e sociedades cooperativas participantes, procedendo à comparação com os valores da primeira colocada, se esta for empresa de maior porte, assim como das demais classificadas, para o fim de aplicar-se o disposto nos arts. 44 e 45 da LC nº 123, de 2006, regulamentada pelo Decreto nº 6.204, de 2007.</w:t>
            </w:r>
          </w:p>
          <w:p>
            <w:pPr>
              <w:bidi w:val="0"/>
              <w:spacing w:before="0" w:after="0"/>
              <w:ind w:firstLine="560"/>
              <w:jc w:val="both"/>
            </w:pPr>
            <w:r>
              <w:rPr>
                <w:rFonts w:ascii="Times New Roman" w:eastAsia="Times New Roman" w:hAnsi="Times New Roman" w:cs="Times New Roman"/>
                <w:color w:val="000000"/>
                <w:spacing w:val="0"/>
                <w:sz w:val="20"/>
                <w:szCs w:val="20"/>
              </w:rPr>
              <w:t>6.21. Nessas condições, as propostas de microempresas, empresas de pequeno porte e sociedades cooperativas que se encontrarem na faixa de até 5% (cinco por cento) acima da proposta ou lance de menor preço serão consideradas empatadas com a primeira colocada.</w:t>
            </w:r>
          </w:p>
          <w:p>
            <w:pPr>
              <w:bidi w:val="0"/>
              <w:spacing w:before="0" w:after="0"/>
              <w:ind w:firstLine="560"/>
              <w:jc w:val="both"/>
            </w:pPr>
            <w:r>
              <w:rPr>
                <w:rFonts w:ascii="Times New Roman" w:eastAsia="Times New Roman" w:hAnsi="Times New Roman" w:cs="Times New Roman"/>
                <w:color w:val="000000"/>
                <w:spacing w:val="0"/>
                <w:sz w:val="20"/>
                <w:szCs w:val="20"/>
              </w:rPr>
              <w:t>6.22.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pPr>
              <w:bidi w:val="0"/>
              <w:spacing w:before="0" w:after="0"/>
              <w:ind w:firstLine="560"/>
              <w:jc w:val="both"/>
            </w:pPr>
            <w:r>
              <w:rPr>
                <w:rFonts w:ascii="Times New Roman" w:eastAsia="Times New Roman" w:hAnsi="Times New Roman" w:cs="Times New Roman"/>
                <w:color w:val="000000"/>
                <w:spacing w:val="0"/>
                <w:sz w:val="20"/>
                <w:szCs w:val="20"/>
              </w:rPr>
              <w:t>6.23. Caso a microempresa, empresa de pequeno porte ou sociedade cooperativa melhor classificada desista ou não se manifeste no prazo estabelecido, serão convocadas as demais licitantes microempresa, empresa de pequeno porte e sociedade cooperativa que se encontrem naquele intervalo de 5% (cinco por cento), na ordem de classificação, para o exercício do mesmo direito, no prazo estabelecido no subitem anterior.</w:t>
            </w:r>
          </w:p>
          <w:p>
            <w:pPr>
              <w:bidi w:val="0"/>
              <w:spacing w:before="0" w:after="0"/>
              <w:ind w:firstLine="560"/>
              <w:jc w:val="both"/>
            </w:pPr>
            <w:r>
              <w:rPr>
                <w:rFonts w:ascii="Times New Roman" w:eastAsia="Times New Roman" w:hAnsi="Times New Roman" w:cs="Times New Roman"/>
                <w:color w:val="000000"/>
                <w:spacing w:val="0"/>
                <w:sz w:val="20"/>
                <w:szCs w:val="20"/>
              </w:rPr>
              <w:t>6.24. No caso de equivalência dos valores apresentados pela microempresa, empresa de pequeno porte e equiparados que se encontrem em situação de empate, será realizado sorteio para que se identifique a primeira que poderá apresentar melhor oferta.</w:t>
            </w:r>
          </w:p>
          <w:p>
            <w:pPr>
              <w:bidi w:val="0"/>
              <w:spacing w:before="0" w:after="0"/>
              <w:ind w:firstLine="560"/>
              <w:jc w:val="both"/>
            </w:pPr>
            <w:r>
              <w:rPr>
                <w:rFonts w:ascii="Times New Roman" w:eastAsia="Times New Roman" w:hAnsi="Times New Roman" w:cs="Times New Roman"/>
                <w:color w:val="000000"/>
                <w:spacing w:val="0"/>
                <w:sz w:val="20"/>
                <w:szCs w:val="20"/>
              </w:rPr>
              <w:t>6.25. Havendo eventual empate entre propostas ou lances, o critério de desempate será aquele previsto no art. 3º, § 2º, da Lei nº 8.666, de 1993, assegurando-se a preferência, sucessivamente, aos bens produzidos:</w:t>
            </w:r>
          </w:p>
          <w:p>
            <w:pPr>
              <w:bidi w:val="0"/>
              <w:spacing w:before="0" w:after="0"/>
              <w:ind w:firstLine="840"/>
              <w:jc w:val="both"/>
            </w:pPr>
            <w:r>
              <w:rPr>
                <w:rFonts w:ascii="Times New Roman" w:eastAsia="Times New Roman" w:hAnsi="Times New Roman" w:cs="Times New Roman"/>
                <w:color w:val="000000"/>
                <w:spacing w:val="0"/>
                <w:sz w:val="20"/>
                <w:szCs w:val="20"/>
              </w:rPr>
              <w:t>6.25.1. no país;</w:t>
            </w:r>
          </w:p>
          <w:p>
            <w:pPr>
              <w:bidi w:val="0"/>
              <w:spacing w:before="0" w:after="0"/>
              <w:ind w:firstLine="840"/>
              <w:jc w:val="both"/>
            </w:pPr>
            <w:r>
              <w:rPr>
                <w:rFonts w:ascii="Times New Roman" w:eastAsia="Times New Roman" w:hAnsi="Times New Roman" w:cs="Times New Roman"/>
                <w:color w:val="000000"/>
                <w:spacing w:val="0"/>
                <w:sz w:val="20"/>
                <w:szCs w:val="20"/>
              </w:rPr>
              <w:t>6.25.2. por empresas brasileiras;</w:t>
            </w:r>
          </w:p>
          <w:p>
            <w:pPr>
              <w:bidi w:val="0"/>
              <w:spacing w:before="0" w:after="0"/>
              <w:ind w:firstLine="840"/>
              <w:jc w:val="both"/>
            </w:pPr>
            <w:r>
              <w:rPr>
                <w:rFonts w:ascii="Times New Roman" w:eastAsia="Times New Roman" w:hAnsi="Times New Roman" w:cs="Times New Roman"/>
                <w:color w:val="000000"/>
                <w:spacing w:val="0"/>
                <w:sz w:val="20"/>
                <w:szCs w:val="20"/>
              </w:rPr>
              <w:t>6.25.3. por empresas que invistam em pesquisa e no desenvolvimento de tecnologia no País;</w:t>
            </w:r>
          </w:p>
          <w:p>
            <w:pPr>
              <w:bidi w:val="0"/>
              <w:spacing w:before="0" w:after="0"/>
              <w:ind w:firstLine="840"/>
              <w:jc w:val="both"/>
            </w:pPr>
            <w:r>
              <w:rPr>
                <w:rFonts w:ascii="Times New Roman" w:eastAsia="Times New Roman" w:hAnsi="Times New Roman" w:cs="Times New Roman"/>
                <w:color w:val="000000"/>
                <w:spacing w:val="0"/>
                <w:sz w:val="20"/>
                <w:szCs w:val="20"/>
              </w:rPr>
              <w:t>6.25.4. por empresas que comprovem cumprimento de reserva de cargos prevista em lei para pessoa com deficiência ou para reabilitado da Previdência Social e que atendam às regras de acessibilidade previstas na legislação.</w:t>
            </w:r>
          </w:p>
          <w:p>
            <w:pPr>
              <w:bidi w:val="0"/>
              <w:spacing w:before="0" w:after="0"/>
              <w:ind w:firstLine="560"/>
              <w:jc w:val="both"/>
            </w:pPr>
            <w:r>
              <w:rPr>
                <w:rFonts w:ascii="Times New Roman" w:eastAsia="Times New Roman" w:hAnsi="Times New Roman" w:cs="Times New Roman"/>
                <w:color w:val="000000"/>
                <w:spacing w:val="0"/>
                <w:sz w:val="20"/>
                <w:szCs w:val="20"/>
              </w:rPr>
              <w:t>6.26 Persistindo o empate, a proposta vencedora será sorteada pelo sistema eletrônico dentre as propostas empatadas.</w:t>
            </w:r>
          </w:p>
          <w:p>
            <w:pPr>
              <w:bidi w:val="0"/>
              <w:spacing w:before="0" w:after="0"/>
              <w:ind w:firstLine="560"/>
              <w:jc w:val="both"/>
            </w:pPr>
            <w:r>
              <w:rPr>
                <w:rFonts w:ascii="Times New Roman" w:eastAsia="Times New Roman" w:hAnsi="Times New Roman" w:cs="Times New Roman"/>
                <w:color w:val="000000"/>
                <w:spacing w:val="0"/>
                <w:sz w:val="20"/>
                <w:szCs w:val="20"/>
              </w:rPr>
              <w:t>6.27.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pPr>
              <w:bidi w:val="0"/>
              <w:spacing w:before="0" w:after="0"/>
              <w:ind w:firstLine="560"/>
              <w:jc w:val="both"/>
            </w:pPr>
            <w:r>
              <w:rPr>
                <w:rFonts w:ascii="Times New Roman" w:eastAsia="Times New Roman" w:hAnsi="Times New Roman" w:cs="Times New Roman"/>
                <w:color w:val="000000"/>
                <w:spacing w:val="0"/>
                <w:sz w:val="20"/>
                <w:szCs w:val="20"/>
              </w:rPr>
              <w:t>6.28. Também nas hipóteses em que o Pregoeiro não aceitar a proposta e passar à subsequente, poderá negociar com o licitante para que seja obtido preço melhor.</w:t>
            </w:r>
          </w:p>
          <w:p>
            <w:pPr>
              <w:bidi w:val="0"/>
              <w:spacing w:before="0" w:after="141"/>
              <w:ind w:firstLine="560"/>
              <w:jc w:val="both"/>
            </w:pPr>
            <w:r>
              <w:rPr>
                <w:rFonts w:ascii="Times New Roman" w:eastAsia="Times New Roman" w:hAnsi="Times New Roman" w:cs="Times New Roman"/>
                <w:color w:val="000000"/>
                <w:spacing w:val="0"/>
                <w:sz w:val="20"/>
                <w:szCs w:val="20"/>
              </w:rPr>
              <w:t>6.29. A negociação será realizada por meio do sistema, podendo ser acompanhada pelos demais licitantes.</w:t>
            </w:r>
          </w:p>
          <w:p>
            <w:pPr>
              <w:bidi w:val="0"/>
              <w:spacing w:before="0" w:after="0"/>
              <w:ind w:firstLine="560"/>
              <w:jc w:val="both"/>
            </w:pPr>
            <w:r>
              <w:rPr>
                <w:rFonts w:ascii="Times New Roman" w:eastAsia="Times New Roman" w:hAnsi="Times New Roman" w:cs="Times New Roman"/>
                <w:b/>
                <w:bCs/>
                <w:color w:val="000000"/>
                <w:spacing w:val="0"/>
                <w:sz w:val="20"/>
                <w:szCs w:val="20"/>
              </w:rPr>
              <w:t>7. DA ACEITABILIDADE DA PROPOSTA VENCEDORA</w:t>
            </w:r>
          </w:p>
          <w:p>
            <w:pPr>
              <w:bidi w:val="0"/>
              <w:spacing w:before="0" w:after="0"/>
              <w:ind w:firstLine="560"/>
              <w:jc w:val="both"/>
            </w:pPr>
            <w:r>
              <w:rPr>
                <w:rFonts w:ascii="Times New Roman" w:eastAsia="Times New Roman" w:hAnsi="Times New Roman" w:cs="Times New Roman"/>
                <w:color w:val="000000"/>
                <w:spacing w:val="0"/>
                <w:sz w:val="20"/>
                <w:szCs w:val="20"/>
              </w:rPr>
              <w:t>7.1. Encerrada a etapa de lances e depois da verificação de possível empate, o Pregoeiro examinará a proposta classificada em primeiro lugar quanto ao preço, a sua exequibilidade, bem como quanto ao cumprimento das especificações do objeto.</w:t>
            </w:r>
          </w:p>
          <w:p>
            <w:pPr>
              <w:bidi w:val="0"/>
              <w:spacing w:before="0" w:after="0"/>
              <w:ind w:firstLine="560"/>
              <w:jc w:val="both"/>
            </w:pPr>
            <w:r>
              <w:rPr>
                <w:rFonts w:ascii="Times New Roman" w:eastAsia="Times New Roman" w:hAnsi="Times New Roman" w:cs="Times New Roman"/>
                <w:color w:val="000000"/>
                <w:spacing w:val="0"/>
                <w:sz w:val="20"/>
                <w:szCs w:val="20"/>
              </w:rPr>
              <w:t xml:space="preserve">7.2. </w:t>
            </w:r>
            <w:r>
              <w:rPr>
                <w:rFonts w:ascii="Times New Roman" w:eastAsia="Times New Roman" w:hAnsi="Times New Roman" w:cs="Times New Roman"/>
                <w:b/>
                <w:bCs/>
                <w:color w:val="000000"/>
                <w:spacing w:val="0"/>
                <w:sz w:val="20"/>
                <w:szCs w:val="20"/>
                <w:shd w:val="clear" w:color="auto" w:fill="C0C0C0"/>
              </w:rPr>
              <w:t>Será desclassificada a proposta ou o lance vencedor com valor superior ao preço máximo fixado, que apresentar preço manifestamente inexequível ou que não atenda ao descritivo constante do Termo de Referência (ANEXO I) deste Edital, independente do descritivo da plataforma do Pregão Eletrônico.</w:t>
            </w:r>
          </w:p>
          <w:p>
            <w:pPr>
              <w:bidi w:val="0"/>
              <w:spacing w:before="0" w:after="0"/>
              <w:ind w:firstLine="560"/>
              <w:jc w:val="both"/>
            </w:pPr>
            <w:r>
              <w:rPr>
                <w:rFonts w:ascii="Times New Roman" w:eastAsia="Times New Roman" w:hAnsi="Times New Roman" w:cs="Times New Roman"/>
                <w:color w:val="000000"/>
                <w:spacing w:val="0"/>
                <w:sz w:val="20"/>
                <w:szCs w:val="20"/>
              </w:rPr>
              <w:t>7.3.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pPr>
              <w:bidi w:val="0"/>
              <w:spacing w:before="0" w:after="0"/>
              <w:ind w:firstLine="560"/>
              <w:jc w:val="both"/>
            </w:pPr>
            <w:r>
              <w:rPr>
                <w:rFonts w:ascii="Times New Roman" w:eastAsia="Times New Roman" w:hAnsi="Times New Roman" w:cs="Times New Roman"/>
                <w:color w:val="000000"/>
                <w:spacing w:val="0"/>
                <w:sz w:val="20"/>
                <w:szCs w:val="20"/>
              </w:rPr>
              <w:t>7.4. O Pregoeiro poderá convocar o licitante para enviar documento digital, por meio de funcionalidade disponível no sistema, estabelecendo no “chat” prazo razoável para tanto, sob pena de não aceitação da proposta.</w:t>
            </w:r>
          </w:p>
          <w:p>
            <w:pPr>
              <w:bidi w:val="0"/>
              <w:spacing w:before="0" w:after="0"/>
              <w:ind w:firstLine="560"/>
              <w:jc w:val="both"/>
            </w:pPr>
            <w:r>
              <w:rPr>
                <w:rFonts w:ascii="Times New Roman" w:eastAsia="Times New Roman" w:hAnsi="Times New Roman" w:cs="Times New Roman"/>
                <w:color w:val="000000"/>
                <w:spacing w:val="0"/>
                <w:sz w:val="20"/>
                <w:szCs w:val="20"/>
              </w:rPr>
              <w:t>7.4.1. Dentre os documentos passíveis de solicitação pelo Pregoeiro, destacam-se os que contenham as características do material ofertado, em compatibilidade com o Termo de Referência, minudenciando o modelo, tipo, procedência, garantia, além de outras informações pertinentes, a exemplo de catálogos e/ou folhetos.</w:t>
            </w:r>
          </w:p>
          <w:p>
            <w:pPr>
              <w:bidi w:val="0"/>
              <w:spacing w:before="0" w:after="0"/>
              <w:ind w:firstLine="560"/>
              <w:jc w:val="both"/>
            </w:pPr>
            <w:r>
              <w:rPr>
                <w:rFonts w:ascii="Times New Roman" w:eastAsia="Times New Roman" w:hAnsi="Times New Roman" w:cs="Times New Roman"/>
                <w:color w:val="000000"/>
                <w:spacing w:val="0"/>
                <w:sz w:val="20"/>
                <w:szCs w:val="20"/>
              </w:rPr>
              <w:t>7.4.1.1. O prazo estabelecido pelo Pregoeiro poderá ser prorrogado por solicitação escrita e justificada do licitante, formulada antes de findo o prazo estabelecido, e formalmente aceita pelo Pregoeiro.</w:t>
            </w:r>
          </w:p>
          <w:p>
            <w:pPr>
              <w:bidi w:val="0"/>
              <w:spacing w:before="0" w:after="0"/>
              <w:ind w:firstLine="560"/>
              <w:jc w:val="both"/>
            </w:pPr>
            <w:r>
              <w:rPr>
                <w:rFonts w:ascii="Times New Roman" w:eastAsia="Times New Roman" w:hAnsi="Times New Roman" w:cs="Times New Roman"/>
                <w:color w:val="000000"/>
                <w:spacing w:val="0"/>
                <w:sz w:val="20"/>
                <w:szCs w:val="20"/>
              </w:rPr>
              <w:t>7.5. Se a proposta ou lance vencedor for desclassificado, o Pregoeiro examinará a proposta ou lance subsequente, e, assim sucessivamente, na ordem de classificação.</w:t>
            </w:r>
          </w:p>
          <w:p>
            <w:pPr>
              <w:bidi w:val="0"/>
              <w:spacing w:before="0" w:after="0"/>
              <w:ind w:firstLine="560"/>
              <w:jc w:val="both"/>
            </w:pPr>
            <w:r>
              <w:rPr>
                <w:rFonts w:ascii="Times New Roman" w:eastAsia="Times New Roman" w:hAnsi="Times New Roman" w:cs="Times New Roman"/>
                <w:color w:val="000000"/>
                <w:spacing w:val="0"/>
                <w:sz w:val="20"/>
                <w:szCs w:val="20"/>
              </w:rPr>
              <w:t>7.6. Havendo necessidade, o Pregoeiro suspenderá a sessão, informando no “chat” a nova data e horário para a continuidade da mesma.</w:t>
            </w:r>
          </w:p>
          <w:p>
            <w:pPr>
              <w:bidi w:val="0"/>
              <w:spacing w:before="0" w:after="0"/>
              <w:ind w:firstLine="560"/>
              <w:jc w:val="both"/>
            </w:pPr>
            <w:r>
              <w:rPr>
                <w:rFonts w:ascii="Times New Roman" w:eastAsia="Times New Roman" w:hAnsi="Times New Roman" w:cs="Times New Roman"/>
                <w:color w:val="000000"/>
                <w:spacing w:val="0"/>
                <w:sz w:val="20"/>
                <w:szCs w:val="20"/>
              </w:rPr>
              <w:t>7.7. O Pregoeiro poderá encaminhar, por meio do sistema eletrônico, contraproposta ao licitante que apresentou o lance mais vantajoso, com o fim de negociar a obtenção de melhor preço, vedada a negociação em condições diversas das previstas neste Edital.</w:t>
            </w:r>
          </w:p>
          <w:p>
            <w:pPr>
              <w:bidi w:val="0"/>
              <w:spacing w:before="0" w:after="0"/>
              <w:ind w:firstLine="560"/>
              <w:jc w:val="both"/>
            </w:pPr>
            <w:r>
              <w:rPr>
                <w:rFonts w:ascii="Times New Roman" w:eastAsia="Times New Roman" w:hAnsi="Times New Roman" w:cs="Times New Roman"/>
                <w:color w:val="000000"/>
                <w:spacing w:val="0"/>
                <w:sz w:val="20"/>
                <w:szCs w:val="20"/>
              </w:rPr>
              <w:t>7.7.1. Também nas hipóteses em que o Pregoeiro não aceitar a proposta e passar à subsequente, poderá negociar com o licitante para que seja obtido preço melhor.</w:t>
            </w:r>
          </w:p>
          <w:p>
            <w:pPr>
              <w:bidi w:val="0"/>
              <w:spacing w:before="0" w:after="0"/>
              <w:ind w:firstLine="560"/>
              <w:jc w:val="both"/>
            </w:pPr>
            <w:r>
              <w:rPr>
                <w:rFonts w:ascii="Times New Roman" w:eastAsia="Times New Roman" w:hAnsi="Times New Roman" w:cs="Times New Roman"/>
                <w:color w:val="000000"/>
                <w:spacing w:val="0"/>
                <w:sz w:val="20"/>
                <w:szCs w:val="20"/>
              </w:rPr>
              <w:t>7.7.2. A negociação será realizada por meio do sistema, podendo ser acompanhada pelos demais licitantes.</w:t>
            </w:r>
          </w:p>
          <w:p>
            <w:pPr>
              <w:bidi w:val="0"/>
              <w:spacing w:before="0" w:after="141"/>
              <w:ind w:firstLine="560"/>
              <w:jc w:val="both"/>
            </w:pPr>
            <w:r>
              <w:rPr>
                <w:rFonts w:ascii="Times New Roman" w:eastAsia="Times New Roman" w:hAnsi="Times New Roman" w:cs="Times New Roman"/>
                <w:color w:val="000000"/>
                <w:spacing w:val="0"/>
                <w:sz w:val="20"/>
                <w:szCs w:val="20"/>
              </w:rPr>
              <w:t>7.8. Nos itens em que for admitido oferecer quantitativos inferiores, se a proposta do licitante vencedor não atender ao quantitativo total estimado para a contratação, respeitada a ordem de classificação, poderão ser convocados tantos quantos forem necessários para alcançar o total estimado, observado o preço da proposta vencedora.</w:t>
            </w:r>
          </w:p>
          <w:p>
            <w:pPr>
              <w:bidi w:val="0"/>
              <w:spacing w:before="0" w:after="0"/>
              <w:ind w:firstLine="560"/>
              <w:jc w:val="both"/>
            </w:pPr>
            <w:r>
              <w:rPr>
                <w:rFonts w:ascii="Times New Roman" w:eastAsia="Times New Roman" w:hAnsi="Times New Roman" w:cs="Times New Roman"/>
                <w:b/>
                <w:bCs/>
                <w:color w:val="000000"/>
                <w:spacing w:val="0"/>
                <w:sz w:val="20"/>
                <w:szCs w:val="20"/>
              </w:rPr>
              <w:t>8. DA HABILITAÇÃO</w:t>
            </w:r>
          </w:p>
          <w:p>
            <w:pPr>
              <w:bidi w:val="0"/>
              <w:spacing w:before="0" w:after="0"/>
              <w:ind w:firstLine="560"/>
              <w:jc w:val="both"/>
            </w:pPr>
            <w:r>
              <w:rPr>
                <w:rFonts w:ascii="Times New Roman" w:eastAsia="Times New Roman" w:hAnsi="Times New Roman" w:cs="Times New Roman"/>
                <w:color w:val="000000"/>
                <w:spacing w:val="0"/>
                <w:sz w:val="20"/>
                <w:szCs w:val="20"/>
              </w:rPr>
              <w:t>8.1.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pPr>
              <w:bidi w:val="0"/>
              <w:spacing w:before="0" w:after="0"/>
              <w:ind w:firstLine="560"/>
              <w:jc w:val="both"/>
            </w:pPr>
            <w:r>
              <w:rPr>
                <w:rFonts w:ascii="Times New Roman" w:eastAsia="Times New Roman" w:hAnsi="Times New Roman" w:cs="Times New Roman"/>
                <w:color w:val="000000"/>
                <w:spacing w:val="0"/>
                <w:sz w:val="20"/>
                <w:szCs w:val="20"/>
              </w:rPr>
              <w:t>8.1.1. SICAF;</w:t>
            </w:r>
          </w:p>
          <w:p>
            <w:pPr>
              <w:bidi w:val="0"/>
              <w:spacing w:before="0" w:after="0"/>
              <w:ind w:firstLine="560"/>
              <w:jc w:val="both"/>
            </w:pPr>
            <w:r>
              <w:rPr>
                <w:rFonts w:ascii="Times New Roman" w:eastAsia="Times New Roman" w:hAnsi="Times New Roman" w:cs="Times New Roman"/>
                <w:color w:val="000000"/>
                <w:spacing w:val="0"/>
                <w:sz w:val="20"/>
                <w:szCs w:val="20"/>
              </w:rPr>
              <w:t>8.1.2. Consulta Consolidada de Pessoa Jurídica do Tribunal de Contas da União (</w:t>
            </w:r>
            <w:hyperlink r:id="rId5" w:history="1">
              <w:r>
                <w:rPr>
                  <w:rStyle w:val="Hyperlink"/>
                  <w:rFonts w:ascii="Times New Roman" w:eastAsia="Times New Roman" w:hAnsi="Times New Roman" w:cs="Times New Roman"/>
                  <w:spacing w:val="0"/>
                  <w:sz w:val="20"/>
                  <w:szCs w:val="20"/>
                </w:rPr>
                <w:t>https://certidoes-apf.apps.tcu.gov.br/</w:t>
              </w:r>
            </w:hyperlink>
            <w:r>
              <w:rPr>
                <w:rFonts w:ascii="Times New Roman" w:eastAsia="Times New Roman" w:hAnsi="Times New Roman" w:cs="Times New Roman"/>
                <w:color w:val="000000"/>
                <w:spacing w:val="0"/>
                <w:sz w:val="20"/>
                <w:szCs w:val="20"/>
              </w:rPr>
              <w:t>).</w:t>
            </w:r>
          </w:p>
          <w:p>
            <w:pPr>
              <w:bidi w:val="0"/>
              <w:spacing w:before="0" w:after="0"/>
              <w:ind w:firstLine="560"/>
              <w:jc w:val="both"/>
            </w:pPr>
            <w:r>
              <w:rPr>
                <w:rFonts w:ascii="Times New Roman" w:eastAsia="Times New Roman" w:hAnsi="Times New Roman" w:cs="Times New Roman"/>
                <w:color w:val="000000"/>
                <w:spacing w:val="0"/>
                <w:sz w:val="20"/>
                <w:szCs w:val="20"/>
              </w:rPr>
              <w:t>8.1.3. A consulta aos cadastros será realizada em nome da empresa licitante.</w:t>
            </w:r>
          </w:p>
          <w:p>
            <w:pPr>
              <w:bidi w:val="0"/>
              <w:spacing w:before="0" w:after="0"/>
              <w:ind w:firstLine="560"/>
              <w:jc w:val="both"/>
            </w:pPr>
            <w:r>
              <w:rPr>
                <w:rFonts w:ascii="Times New Roman" w:eastAsia="Times New Roman" w:hAnsi="Times New Roman" w:cs="Times New Roman"/>
                <w:color w:val="000000"/>
                <w:spacing w:val="0"/>
                <w:sz w:val="20"/>
                <w:szCs w:val="20"/>
              </w:rPr>
              <w:t>8.1.6. Constatada a existência de sanção, o Pregoeiro reputará o licitante inabilitado, por falta de condição de participação.</w:t>
            </w:r>
          </w:p>
          <w:p>
            <w:pPr>
              <w:bidi w:val="0"/>
              <w:spacing w:before="0" w:after="0"/>
              <w:ind w:firstLine="560"/>
              <w:jc w:val="both"/>
            </w:pPr>
            <w:r>
              <w:rPr>
                <w:rFonts w:ascii="Times New Roman" w:eastAsia="Times New Roman" w:hAnsi="Times New Roman" w:cs="Times New Roman"/>
                <w:color w:val="000000"/>
                <w:spacing w:val="0"/>
                <w:sz w:val="20"/>
                <w:szCs w:val="20"/>
              </w:rPr>
              <w:t>8.1.7. Considerar-se-á desclassificada e/ou inabilitada a licitante que:</w:t>
            </w:r>
          </w:p>
          <w:p>
            <w:pPr>
              <w:bidi w:val="0"/>
              <w:spacing w:before="0" w:after="0"/>
              <w:ind w:firstLine="560"/>
              <w:jc w:val="both"/>
            </w:pPr>
            <w:r>
              <w:rPr>
                <w:rFonts w:ascii="Times New Roman" w:eastAsia="Times New Roman" w:hAnsi="Times New Roman" w:cs="Times New Roman"/>
                <w:color w:val="000000"/>
                <w:spacing w:val="0"/>
                <w:sz w:val="20"/>
                <w:szCs w:val="20"/>
              </w:rPr>
              <w:t>8.1.7.1. Seja declarada inidônea em qualquer esfera do Governo;</w:t>
            </w:r>
          </w:p>
          <w:p>
            <w:pPr>
              <w:bidi w:val="0"/>
              <w:spacing w:before="0" w:after="0"/>
              <w:ind w:firstLine="560"/>
              <w:jc w:val="both"/>
            </w:pPr>
            <w:r>
              <w:rPr>
                <w:rFonts w:ascii="Times New Roman" w:eastAsia="Times New Roman" w:hAnsi="Times New Roman" w:cs="Times New Roman"/>
                <w:color w:val="000000"/>
                <w:spacing w:val="0"/>
                <w:sz w:val="20"/>
                <w:szCs w:val="20"/>
              </w:rPr>
              <w:t>8.1.7.2. Estiver cumprindo penalidade de suspensão temporária ou outra penalidade imposta por qualquer Órgão da Administração Pública Municipal, Estadual ou Federal.</w:t>
            </w:r>
          </w:p>
          <w:p>
            <w:pPr>
              <w:bidi w:val="0"/>
              <w:spacing w:before="0" w:after="0"/>
              <w:ind w:firstLine="560"/>
              <w:jc w:val="both"/>
            </w:pPr>
            <w:r>
              <w:rPr>
                <w:rFonts w:ascii="Times New Roman" w:eastAsia="Times New Roman" w:hAnsi="Times New Roman" w:cs="Times New Roman"/>
                <w:color w:val="000000"/>
                <w:spacing w:val="0"/>
                <w:sz w:val="20"/>
                <w:szCs w:val="20"/>
              </w:rPr>
              <w:t>8.2. O Pregoeiro consultará o Sistema de Cadastro Unificado de Fornecedores – SICAF, em relação à habilitação jurídica e à regularidade fiscal e trabalhista, conforme disposto nos arts. 4º, caput, 8º, § 3º, 13, 14 e 43 da Instrução Normativa SLTI/MPOG nº 2, de 2010.</w:t>
            </w:r>
          </w:p>
          <w:p>
            <w:pPr>
              <w:bidi w:val="0"/>
              <w:spacing w:before="0" w:after="0"/>
              <w:ind w:firstLine="560"/>
              <w:jc w:val="both"/>
            </w:pPr>
            <w:r>
              <w:rPr>
                <w:rFonts w:ascii="Times New Roman" w:eastAsia="Times New Roman" w:hAnsi="Times New Roman" w:cs="Times New Roman"/>
                <w:color w:val="000000"/>
                <w:spacing w:val="0"/>
                <w:sz w:val="20"/>
                <w:szCs w:val="20"/>
              </w:rPr>
              <w:t>8.2.1. Também poderão ser consultados os sítios oficiais emissores de certidões, especialmente quando o licitante esteja com alguma documentação vencida junto ao SICAF.</w:t>
            </w:r>
          </w:p>
          <w:p>
            <w:pPr>
              <w:bidi w:val="0"/>
              <w:spacing w:before="0" w:after="0"/>
              <w:ind w:firstLine="560"/>
              <w:jc w:val="both"/>
            </w:pPr>
            <w:r>
              <w:rPr>
                <w:rFonts w:ascii="Times New Roman" w:eastAsia="Times New Roman" w:hAnsi="Times New Roman" w:cs="Times New Roman"/>
                <w:color w:val="000000"/>
                <w:spacing w:val="0"/>
                <w:sz w:val="20"/>
                <w:szCs w:val="20"/>
              </w:rPr>
              <w:t>8.2.2. Caso o Pregoeiro não logre êxito em obter a certidão correspondente através do sítio oficial, ou na hipótese de se encontrar vencida no referido sistema, será consultado o rol de documentos anexados juntamente com a proposta para identificar documento válido que comprove o atendimento das exigências deste Edital, sob pena de inabilitação, ressalvado o disposto quanto à comprovação da regularidade fiscal das licitantes qualificadas como microempresas ou empresas de pequeno porte, conforme estatui o art. 43, § 1º da LC nº 123, de 2006.</w:t>
            </w:r>
          </w:p>
          <w:p>
            <w:pPr>
              <w:bidi w:val="0"/>
              <w:spacing w:before="0" w:after="0"/>
              <w:ind w:firstLine="560"/>
              <w:jc w:val="both"/>
            </w:pPr>
            <w:r>
              <w:rPr>
                <w:rFonts w:ascii="Times New Roman" w:eastAsia="Times New Roman" w:hAnsi="Times New Roman" w:cs="Times New Roman"/>
                <w:color w:val="000000"/>
                <w:spacing w:val="0"/>
                <w:sz w:val="20"/>
                <w:szCs w:val="20"/>
              </w:rPr>
              <w:t>8.2.3. Conforme Instrução Normativa Federal Nº 3/2018, somente haverá a necessidade de comprovação do preenchimento de requisitos mediante apresentação dos documentos originais não-digitais quando houver dúvida em relação à integridade do documento digital.</w:t>
            </w:r>
          </w:p>
          <w:p>
            <w:pPr>
              <w:bidi w:val="0"/>
              <w:spacing w:before="0" w:after="0"/>
              <w:ind w:firstLine="560"/>
              <w:jc w:val="both"/>
            </w:pPr>
            <w:r>
              <w:rPr>
                <w:rFonts w:ascii="Times New Roman" w:eastAsia="Times New Roman" w:hAnsi="Times New Roman" w:cs="Times New Roman"/>
                <w:color w:val="000000"/>
                <w:spacing w:val="0"/>
                <w:sz w:val="20"/>
                <w:szCs w:val="20"/>
              </w:rPr>
              <w:t xml:space="preserve">8.3. Os licitantes </w:t>
            </w:r>
            <w:r>
              <w:rPr>
                <w:rFonts w:ascii="Times New Roman" w:eastAsia="Times New Roman" w:hAnsi="Times New Roman" w:cs="Times New Roman"/>
                <w:b/>
                <w:bCs/>
                <w:color w:val="000000"/>
                <w:spacing w:val="0"/>
                <w:sz w:val="20"/>
                <w:szCs w:val="20"/>
              </w:rPr>
              <w:t>que não estiverem com as certidões atualizadas</w:t>
            </w:r>
            <w:r>
              <w:rPr>
                <w:rFonts w:ascii="Times New Roman" w:eastAsia="Times New Roman" w:hAnsi="Times New Roman" w:cs="Times New Roman"/>
                <w:color w:val="000000"/>
                <w:spacing w:val="0"/>
                <w:sz w:val="20"/>
                <w:szCs w:val="20"/>
              </w:rPr>
              <w:t xml:space="preserve"> no Sistema de Cadastro Unificado de Fornecedores – SICAF além do nível de credenciamento exigido pela Instrução Normativa SLTI/MPOG nº 2, de 11.10.10, deverão incluir a seguinte documentação relativa à Habilitação Jurídica e à Regularidade Fiscal e trabalhista, NO ATO DO CADASTRAMENTO DA PROPOSTA, nas condições seguintes:</w:t>
            </w:r>
          </w:p>
          <w:p>
            <w:pPr>
              <w:bidi w:val="0"/>
              <w:spacing w:before="0" w:after="0"/>
              <w:ind w:firstLine="560"/>
              <w:jc w:val="both"/>
            </w:pPr>
            <w:r>
              <w:rPr>
                <w:rFonts w:ascii="Times New Roman" w:eastAsia="Times New Roman" w:hAnsi="Times New Roman" w:cs="Times New Roman"/>
                <w:color w:val="000000"/>
                <w:spacing w:val="0"/>
                <w:sz w:val="20"/>
                <w:szCs w:val="20"/>
              </w:rPr>
              <w:t xml:space="preserve">8.4. </w:t>
            </w:r>
            <w:r>
              <w:rPr>
                <w:rFonts w:ascii="Times New Roman" w:eastAsia="Times New Roman" w:hAnsi="Times New Roman" w:cs="Times New Roman"/>
                <w:b/>
                <w:bCs/>
                <w:color w:val="000000"/>
                <w:spacing w:val="0"/>
                <w:sz w:val="20"/>
                <w:szCs w:val="20"/>
              </w:rPr>
              <w:t>Habilitação jurídica:</w:t>
            </w:r>
          </w:p>
          <w:p>
            <w:pPr>
              <w:bidi w:val="0"/>
              <w:spacing w:before="0" w:after="0"/>
              <w:ind w:firstLine="560"/>
              <w:jc w:val="both"/>
            </w:pPr>
            <w:r>
              <w:rPr>
                <w:rFonts w:ascii="Times New Roman" w:eastAsia="Times New Roman" w:hAnsi="Times New Roman" w:cs="Times New Roman"/>
                <w:color w:val="000000"/>
                <w:spacing w:val="0"/>
                <w:sz w:val="20"/>
                <w:szCs w:val="20"/>
              </w:rPr>
              <w:t>8.4.1. No caso de empresário individual: inscrição no Registro Público de Empresas Mercantis, a cargo da Junta Comercial da respectiva sede;</w:t>
            </w:r>
          </w:p>
          <w:p>
            <w:pPr>
              <w:bidi w:val="0"/>
              <w:spacing w:before="0" w:after="0"/>
              <w:ind w:firstLine="560"/>
              <w:jc w:val="both"/>
            </w:pPr>
            <w:r>
              <w:rPr>
                <w:rFonts w:ascii="Times New Roman" w:eastAsia="Times New Roman" w:hAnsi="Times New Roman" w:cs="Times New Roman"/>
                <w:color w:val="000000"/>
                <w:spacing w:val="0"/>
                <w:sz w:val="20"/>
                <w:szCs w:val="20"/>
              </w:rPr>
              <w:t>8.4.2. Em se tratando de microempreendedor individual – MEI: Certificado da Condição de Microempreendedor Individual - CCMEI, na forma da Resolução CGSIM nº 16, de 2009, cuja aceitação ficará condicionada à verificação da autenticidade no sítio www.portaldoempreendedor.gov.br;</w:t>
            </w:r>
          </w:p>
          <w:p>
            <w:pPr>
              <w:bidi w:val="0"/>
              <w:spacing w:before="0" w:after="0"/>
              <w:ind w:firstLine="560"/>
              <w:jc w:val="both"/>
            </w:pPr>
            <w:r>
              <w:rPr>
                <w:rFonts w:ascii="Times New Roman" w:eastAsia="Times New Roman" w:hAnsi="Times New Roman" w:cs="Times New Roman"/>
                <w:color w:val="000000"/>
                <w:spacing w:val="0"/>
                <w:sz w:val="20"/>
                <w:szCs w:val="20"/>
              </w:rPr>
              <w:t>8.4.3.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pPr>
              <w:bidi w:val="0"/>
              <w:spacing w:before="0" w:after="0"/>
              <w:ind w:firstLine="560"/>
              <w:jc w:val="both"/>
            </w:pPr>
            <w:r>
              <w:rPr>
                <w:rFonts w:ascii="Times New Roman" w:eastAsia="Times New Roman" w:hAnsi="Times New Roman" w:cs="Times New Roman"/>
                <w:color w:val="000000"/>
                <w:spacing w:val="0"/>
                <w:sz w:val="20"/>
                <w:szCs w:val="20"/>
              </w:rPr>
              <w:t>8.4.4. Os documentos acima deverão estar acompanhados de todas as alterações ou da consolidação respectiva;</w:t>
            </w:r>
          </w:p>
          <w:p>
            <w:pPr>
              <w:bidi w:val="0"/>
              <w:spacing w:before="0" w:after="0"/>
              <w:ind w:firstLine="560"/>
              <w:jc w:val="both"/>
            </w:pPr>
            <w:r>
              <w:rPr>
                <w:rFonts w:ascii="Times New Roman" w:eastAsia="Times New Roman" w:hAnsi="Times New Roman" w:cs="Times New Roman"/>
                <w:color w:val="000000"/>
                <w:spacing w:val="0"/>
                <w:sz w:val="20"/>
                <w:szCs w:val="20"/>
              </w:rPr>
              <w:t>8.4.5. No caso de sociedade simples: inscrição do ato constitutivo no Registro Civil das Pessoas Jurídicas do local de sua sede, acompanhada de prova da indicação dos seus administradores;</w:t>
            </w:r>
          </w:p>
          <w:p>
            <w:pPr>
              <w:bidi w:val="0"/>
              <w:spacing w:before="0" w:after="0"/>
              <w:ind w:firstLine="560"/>
              <w:jc w:val="both"/>
            </w:pPr>
            <w:r>
              <w:rPr>
                <w:rFonts w:ascii="Times New Roman" w:eastAsia="Times New Roman" w:hAnsi="Times New Roman" w:cs="Times New Roman"/>
                <w:color w:val="000000"/>
                <w:spacing w:val="0"/>
                <w:sz w:val="20"/>
                <w:szCs w:val="20"/>
              </w:rPr>
              <w:t>8.4.6.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pPr>
              <w:bidi w:val="0"/>
              <w:spacing w:before="0" w:after="0"/>
              <w:ind w:firstLine="560"/>
              <w:jc w:val="both"/>
            </w:pPr>
            <w:r>
              <w:rPr>
                <w:rFonts w:ascii="Times New Roman" w:eastAsia="Times New Roman" w:hAnsi="Times New Roman" w:cs="Times New Roman"/>
                <w:color w:val="000000"/>
                <w:spacing w:val="0"/>
                <w:sz w:val="20"/>
                <w:szCs w:val="20"/>
              </w:rPr>
              <w:t>8.4.7.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bidi w:val="0"/>
              <w:spacing w:before="0" w:after="0"/>
              <w:ind w:firstLine="560"/>
              <w:jc w:val="both"/>
            </w:pPr>
            <w:r>
              <w:rPr>
                <w:rFonts w:ascii="Times New Roman" w:eastAsia="Times New Roman" w:hAnsi="Times New Roman" w:cs="Times New Roman"/>
                <w:color w:val="000000"/>
                <w:spacing w:val="0"/>
                <w:sz w:val="20"/>
                <w:szCs w:val="20"/>
              </w:rPr>
              <w:t>8.4.8. No caso de agricultor familiar: Declaração de Aptidão ao Pronaf – DAP ou DAP-P válida, ou, ainda, outros documentos definidos pelo Ministério do Desenvolvimento Agrário, nos termos do art. 4º, §2º do Decreto n. 7.775, de 2012.</w:t>
            </w:r>
          </w:p>
          <w:p>
            <w:pPr>
              <w:bidi w:val="0"/>
              <w:spacing w:before="0" w:after="141"/>
              <w:ind w:firstLine="560"/>
              <w:jc w:val="both"/>
            </w:pPr>
            <w:r>
              <w:rPr>
                <w:rFonts w:ascii="Times New Roman" w:eastAsia="Times New Roman" w:hAnsi="Times New Roman" w:cs="Times New Roman"/>
                <w:color w:val="000000"/>
                <w:spacing w:val="0"/>
                <w:sz w:val="20"/>
                <w:szCs w:val="20"/>
              </w:rPr>
              <w:t>8.4.9. No caso de produtor rural: matrícula no Cadastro Específico do INSS – CEI, que comprove a qualificação como produtor rural pessoa física, nos termos da Instrução Normativa RFB n. 971, de 2009 (arts. 17 a 19 e 165).</w:t>
            </w:r>
          </w:p>
          <w:p>
            <w:pPr>
              <w:bidi w:val="0"/>
              <w:spacing w:before="0" w:after="0"/>
              <w:ind w:firstLine="560"/>
              <w:jc w:val="both"/>
            </w:pPr>
            <w:r>
              <w:rPr>
                <w:rFonts w:ascii="Times New Roman" w:eastAsia="Times New Roman" w:hAnsi="Times New Roman" w:cs="Times New Roman"/>
                <w:color w:val="000000"/>
                <w:spacing w:val="0"/>
                <w:sz w:val="20"/>
                <w:szCs w:val="20"/>
                <w:shd w:val="clear" w:color="auto" w:fill="FF0000"/>
              </w:rPr>
              <w:t>8.4.10. No caso de exercício de atividade de XXXX: ato de registro ou autorização para funcionamento expedido pelo órgão competente, nos termos do artigo XX da (Lei/Decreto) n° XXXX.</w:t>
            </w:r>
          </w:p>
          <w:p>
            <w:pPr>
              <w:bidi w:val="0"/>
              <w:spacing w:before="0" w:after="0"/>
              <w:ind w:firstLine="560"/>
              <w:jc w:val="both"/>
            </w:pPr>
            <w:r>
              <w:rPr>
                <w:rFonts w:ascii="Times New Roman" w:eastAsia="Times New Roman" w:hAnsi="Times New Roman" w:cs="Times New Roman"/>
                <w:i/>
                <w:iCs/>
                <w:color w:val="000000"/>
                <w:spacing w:val="0"/>
                <w:sz w:val="20"/>
                <w:szCs w:val="20"/>
                <w:shd w:val="clear" w:color="auto" w:fill="FF0000"/>
              </w:rPr>
              <w:t>Nota Explicativa: Tal exigência remonta ao art. 28, V, da Lei n° 8.666/93. Cabe ao órgão analisar se a atividade relativa ao objeto licitado exige tal registro ou autorização para funcionamento, em razão de previsão normativa (ANVISA, ANP, Polícia Federal, Ministério da Agricultura, IBAMA, etc.). Em caso positivo, especificar o documento a ser apresentado e o órgão competente para expedi-lo, além do fundamento legal.</w:t>
            </w:r>
          </w:p>
          <w:p>
            <w:pPr>
              <w:bidi w:val="0"/>
              <w:spacing w:before="0" w:after="0"/>
              <w:ind w:firstLine="560"/>
              <w:jc w:val="both"/>
            </w:pPr>
            <w:r>
              <w:rPr>
                <w:rFonts w:ascii="Times New Roman" w:eastAsia="Times New Roman" w:hAnsi="Times New Roman" w:cs="Times New Roman"/>
                <w:color w:val="000000"/>
                <w:spacing w:val="0"/>
                <w:sz w:val="20"/>
                <w:szCs w:val="20"/>
              </w:rPr>
              <w:t>8.4.11. Os documentos acima deverão estar acompanhados de todas as alterações ou da consolidação respectiva;</w:t>
            </w:r>
          </w:p>
          <w:p>
            <w:pPr>
              <w:bidi w:val="0"/>
              <w:spacing w:before="0" w:after="0"/>
              <w:ind w:firstLine="560"/>
              <w:jc w:val="both"/>
            </w:pPr>
            <w:r>
              <w:rPr>
                <w:rFonts w:ascii="Times New Roman" w:eastAsia="Times New Roman" w:hAnsi="Times New Roman" w:cs="Times New Roman"/>
                <w:color w:val="000000"/>
                <w:spacing w:val="0"/>
                <w:sz w:val="20"/>
                <w:szCs w:val="20"/>
              </w:rPr>
              <w:t xml:space="preserve">8.5. </w:t>
            </w:r>
            <w:r>
              <w:rPr>
                <w:rFonts w:ascii="Times New Roman" w:eastAsia="Times New Roman" w:hAnsi="Times New Roman" w:cs="Times New Roman"/>
                <w:b/>
                <w:bCs/>
                <w:color w:val="000000"/>
                <w:spacing w:val="0"/>
                <w:sz w:val="20"/>
                <w:szCs w:val="20"/>
              </w:rPr>
              <w:t>Regularidade fiscal e trabalhista:</w:t>
            </w:r>
          </w:p>
          <w:p>
            <w:pPr>
              <w:bidi w:val="0"/>
              <w:spacing w:before="0" w:after="0"/>
              <w:ind w:firstLine="560"/>
              <w:jc w:val="both"/>
            </w:pPr>
            <w:r>
              <w:rPr>
                <w:rFonts w:ascii="Times New Roman" w:eastAsia="Times New Roman" w:hAnsi="Times New Roman" w:cs="Times New Roman"/>
                <w:color w:val="000000"/>
                <w:spacing w:val="0"/>
                <w:sz w:val="20"/>
                <w:szCs w:val="20"/>
              </w:rPr>
              <w:t>8.5.1. prova de inscrição no Cadastro Nacional de Pessoas Jurídicas ou no Cadastro de Pessoas Físicas, conforme o caso;</w:t>
            </w:r>
          </w:p>
          <w:p>
            <w:pPr>
              <w:bidi w:val="0"/>
              <w:spacing w:before="0" w:after="0"/>
              <w:ind w:firstLine="560"/>
              <w:jc w:val="both"/>
            </w:pPr>
            <w:r>
              <w:rPr>
                <w:rFonts w:ascii="Times New Roman" w:eastAsia="Times New Roman" w:hAnsi="Times New Roman" w:cs="Times New Roman"/>
                <w:color w:val="000000"/>
                <w:spacing w:val="0"/>
                <w:sz w:val="20"/>
                <w:szCs w:val="20"/>
              </w:rPr>
              <w:t>8.5.2. prova de regularidade fiscal perante a Fazenda Nacional, mediante apresentação de CND;</w:t>
            </w:r>
          </w:p>
          <w:p>
            <w:pPr>
              <w:bidi w:val="0"/>
              <w:spacing w:before="0" w:after="0"/>
              <w:ind w:firstLine="560"/>
              <w:jc w:val="both"/>
            </w:pPr>
            <w:r>
              <w:rPr>
                <w:rFonts w:ascii="Times New Roman" w:eastAsia="Times New Roman" w:hAnsi="Times New Roman" w:cs="Times New Roman"/>
                <w:color w:val="000000"/>
                <w:spacing w:val="0"/>
                <w:sz w:val="20"/>
                <w:szCs w:val="20"/>
              </w:rPr>
              <w:t>8.5.3. prova de regularidade fiscal perante a Fazenda Estadual, mediante apresentação de CND;</w:t>
            </w:r>
          </w:p>
          <w:p>
            <w:pPr>
              <w:bidi w:val="0"/>
              <w:spacing w:before="0" w:after="0"/>
              <w:ind w:firstLine="560"/>
              <w:jc w:val="both"/>
            </w:pPr>
            <w:r>
              <w:rPr>
                <w:rFonts w:ascii="Times New Roman" w:eastAsia="Times New Roman" w:hAnsi="Times New Roman" w:cs="Times New Roman"/>
                <w:color w:val="000000"/>
                <w:spacing w:val="0"/>
                <w:sz w:val="20"/>
                <w:szCs w:val="20"/>
              </w:rPr>
              <w:t>8.5.4. prova de regularidade fiscal perante a Fazenda Municipal, mediante apresentação de CND;</w:t>
            </w:r>
          </w:p>
          <w:p>
            <w:pPr>
              <w:bidi w:val="0"/>
              <w:spacing w:before="0" w:after="0"/>
              <w:ind w:firstLine="560"/>
              <w:jc w:val="both"/>
            </w:pPr>
            <w:r>
              <w:rPr>
                <w:rFonts w:ascii="Times New Roman" w:eastAsia="Times New Roman" w:hAnsi="Times New Roman" w:cs="Times New Roman"/>
                <w:color w:val="000000"/>
                <w:spacing w:val="0"/>
                <w:sz w:val="20"/>
                <w:szCs w:val="20"/>
              </w:rPr>
              <w:t>8.5.5. prova de regularidade com o Fundo de Garantia do Tempo de Serviço (FGTS);</w:t>
            </w:r>
          </w:p>
          <w:p>
            <w:pPr>
              <w:bidi w:val="0"/>
              <w:spacing w:before="0" w:after="0"/>
              <w:ind w:firstLine="560"/>
              <w:jc w:val="both"/>
            </w:pPr>
            <w:r>
              <w:rPr>
                <w:rFonts w:ascii="Times New Roman" w:eastAsia="Times New Roman" w:hAnsi="Times New Roman" w:cs="Times New Roman"/>
                <w:color w:val="000000"/>
                <w:spacing w:val="0"/>
                <w:sz w:val="20"/>
                <w:szCs w:val="20"/>
              </w:rPr>
              <w:t>8.5.6. prova de inexistência de débitos inadimplidos perante a Justiça do Trabalho – CNDT;</w:t>
            </w:r>
          </w:p>
          <w:p>
            <w:pPr>
              <w:bidi w:val="0"/>
              <w:spacing w:before="0" w:after="0"/>
              <w:ind w:firstLine="560"/>
              <w:jc w:val="both"/>
            </w:pPr>
            <w:r>
              <w:rPr>
                <w:rFonts w:ascii="Times New Roman" w:eastAsia="Times New Roman" w:hAnsi="Times New Roman" w:cs="Times New Roman"/>
                <w:color w:val="000000"/>
                <w:spacing w:val="0"/>
                <w:sz w:val="20"/>
                <w:szCs w:val="20"/>
              </w:rPr>
              <w:t>8.5.7.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pPr>
              <w:bidi w:val="0"/>
              <w:spacing w:before="0" w:after="141"/>
              <w:ind w:firstLine="560"/>
              <w:jc w:val="both"/>
            </w:pPr>
            <w:r>
              <w:rPr>
                <w:rFonts w:ascii="Times New Roman" w:eastAsia="Times New Roman" w:hAnsi="Times New Roman" w:cs="Times New Roman"/>
                <w:color w:val="000000"/>
                <w:spacing w:val="0"/>
                <w:sz w:val="20"/>
                <w:szCs w:val="20"/>
              </w:rPr>
              <w:t>8.6. 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bidi w:val="0"/>
              <w:spacing w:before="0" w:after="0"/>
              <w:ind w:firstLine="560"/>
              <w:jc w:val="both"/>
            </w:pPr>
            <w:r>
              <w:rPr>
                <w:rFonts w:ascii="Times New Roman" w:eastAsia="Times New Roman" w:hAnsi="Times New Roman" w:cs="Times New Roman"/>
                <w:color w:val="000000"/>
                <w:spacing w:val="0"/>
                <w:sz w:val="20"/>
                <w:szCs w:val="20"/>
                <w:shd w:val="clear" w:color="auto" w:fill="FF0000"/>
              </w:rPr>
              <w:t>8.7. QUALIFICAÇÃO TÉCNICA</w:t>
            </w:r>
          </w:p>
          <w:p>
            <w:pPr>
              <w:bidi w:val="0"/>
              <w:spacing w:before="0" w:after="0"/>
              <w:ind w:firstLine="560"/>
              <w:jc w:val="both"/>
            </w:pPr>
            <w:r>
              <w:rPr>
                <w:rFonts w:ascii="Times New Roman" w:eastAsia="Times New Roman" w:hAnsi="Times New Roman" w:cs="Times New Roman"/>
                <w:color w:val="000000"/>
                <w:spacing w:val="0"/>
                <w:sz w:val="20"/>
                <w:szCs w:val="20"/>
                <w:shd w:val="clear" w:color="auto" w:fill="FF0000"/>
              </w:rPr>
              <w:t>8.7.1. Os Proponentes deverão anexar no sistema eletrônico, JUNTAMENTE COM A PROPOSTA INICIAL o(s) seguinte(s) documento(s) de Qualificação Técnica</w:t>
            </w:r>
          </w:p>
          <w:p>
            <w:pPr>
              <w:bidi w:val="0"/>
              <w:spacing w:before="0" w:after="141"/>
              <w:ind w:firstLine="560"/>
              <w:jc w:val="both"/>
            </w:pPr>
            <w:r>
              <w:rPr>
                <w:rFonts w:ascii="Times New Roman" w:eastAsia="Times New Roman" w:hAnsi="Times New Roman" w:cs="Times New Roman"/>
                <w:color w:val="000000"/>
                <w:spacing w:val="0"/>
                <w:sz w:val="20"/>
                <w:szCs w:val="20"/>
                <w:shd w:val="clear" w:color="auto" w:fill="FF0000"/>
              </w:rPr>
              <w:t>8.7.1.1. Comprovação da capacidade técnico-operacional, em nome da proponente para desempenho de atividade, pertinente e compatível em características com o objeto desta licitação, através da apresentação de ATESTADO(S) fornecido(s) por pessoa de direito público ou privado, em que figure o nome da empresa na condição de contratada.</w:t>
            </w:r>
          </w:p>
          <w:p>
            <w:pPr>
              <w:bidi w:val="0"/>
              <w:spacing w:before="0" w:after="0"/>
              <w:ind w:firstLine="560"/>
              <w:jc w:val="both"/>
            </w:pPr>
            <w:r>
              <w:rPr>
                <w:rFonts w:ascii="Times New Roman" w:eastAsia="Times New Roman" w:hAnsi="Times New Roman" w:cs="Times New Roman"/>
                <w:color w:val="000000"/>
                <w:spacing w:val="0"/>
                <w:sz w:val="20"/>
                <w:szCs w:val="20"/>
              </w:rPr>
              <w:t xml:space="preserve">8.8. </w:t>
            </w:r>
            <w:r>
              <w:rPr>
                <w:rFonts w:ascii="Times New Roman" w:eastAsia="Times New Roman" w:hAnsi="Times New Roman" w:cs="Times New Roman"/>
                <w:b/>
                <w:bCs/>
                <w:color w:val="000000"/>
                <w:spacing w:val="0"/>
                <w:sz w:val="20"/>
                <w:szCs w:val="20"/>
              </w:rPr>
              <w:t>Qualificação Econômico Financeira:</w:t>
            </w:r>
          </w:p>
          <w:p>
            <w:pPr>
              <w:bidi w:val="0"/>
              <w:spacing w:before="0" w:after="141"/>
              <w:ind w:firstLine="560"/>
              <w:jc w:val="both"/>
            </w:pPr>
            <w:r>
              <w:rPr>
                <w:rFonts w:ascii="Times New Roman" w:eastAsia="Times New Roman" w:hAnsi="Times New Roman" w:cs="Times New Roman"/>
                <w:color w:val="000000"/>
                <w:spacing w:val="0"/>
                <w:sz w:val="20"/>
                <w:szCs w:val="20"/>
              </w:rPr>
              <w:t xml:space="preserve">8.8.1. No caso de não constar tal informação, ou a mesma estar desatualizada na plataforma de consulta do SICAF, o(a) deverá ser anexada, juntamente com a proposta inicial, a </w:t>
            </w:r>
            <w:r>
              <w:rPr>
                <w:rFonts w:ascii="Times New Roman" w:eastAsia="Times New Roman" w:hAnsi="Times New Roman" w:cs="Times New Roman"/>
                <w:b/>
                <w:bCs/>
                <w:color w:val="000000"/>
                <w:spacing w:val="0"/>
                <w:sz w:val="20"/>
                <w:szCs w:val="20"/>
              </w:rPr>
              <w:t>Certidão de Falência e Concordata</w:t>
            </w:r>
            <w:r>
              <w:rPr>
                <w:rFonts w:ascii="Times New Roman" w:eastAsia="Times New Roman" w:hAnsi="Times New Roman" w:cs="Times New Roman"/>
                <w:color w:val="000000"/>
                <w:spacing w:val="0"/>
                <w:sz w:val="20"/>
                <w:szCs w:val="20"/>
              </w:rPr>
              <w:t xml:space="preserve"> com data de emissão inferior a 90 (noventa) dias da abertura do processo licitatório, ou dentro da vigência quando esta estiver indicada no próprio documento.</w:t>
            </w:r>
          </w:p>
          <w:p>
            <w:pPr>
              <w:bidi w:val="0"/>
              <w:spacing w:before="0" w:after="0"/>
              <w:ind w:firstLine="560"/>
              <w:jc w:val="both"/>
            </w:pPr>
            <w:r>
              <w:rPr>
                <w:rFonts w:ascii="Times New Roman" w:eastAsia="Times New Roman" w:hAnsi="Times New Roman" w:cs="Times New Roman"/>
                <w:color w:val="000000"/>
                <w:spacing w:val="0"/>
                <w:sz w:val="20"/>
                <w:szCs w:val="20"/>
              </w:rPr>
              <w:t>8.9. A existência de restrição relativamente à regularidade fiscal não impede que a licitante qualificada como microempresa ou empresa de pequeno porte seja declarada vencedora, uma vez que atenda a todas as demais exigências do edital.</w:t>
            </w:r>
          </w:p>
          <w:p>
            <w:pPr>
              <w:bidi w:val="0"/>
              <w:spacing w:before="0" w:after="0"/>
              <w:ind w:firstLine="560"/>
              <w:jc w:val="both"/>
            </w:pPr>
            <w:r>
              <w:rPr>
                <w:rFonts w:ascii="Times New Roman" w:eastAsia="Times New Roman" w:hAnsi="Times New Roman" w:cs="Times New Roman"/>
                <w:color w:val="000000"/>
                <w:spacing w:val="0"/>
                <w:sz w:val="20"/>
                <w:szCs w:val="20"/>
              </w:rPr>
              <w:t>8.9.1. A declaração do vencedor acontecerá no momento imediatamente posterior à fase de habilitação.</w:t>
            </w:r>
          </w:p>
          <w:p>
            <w:pPr>
              <w:bidi w:val="0"/>
              <w:spacing w:before="0" w:after="0"/>
              <w:ind w:firstLine="560"/>
              <w:jc w:val="both"/>
            </w:pPr>
            <w:r>
              <w:rPr>
                <w:rFonts w:ascii="Times New Roman" w:eastAsia="Times New Roman" w:hAnsi="Times New Roman" w:cs="Times New Roman"/>
                <w:color w:val="000000"/>
                <w:spacing w:val="0"/>
                <w:sz w:val="20"/>
                <w:szCs w:val="20"/>
              </w:rPr>
              <w:t>8.10. 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pPr>
              <w:bidi w:val="0"/>
              <w:spacing w:before="0" w:after="0"/>
              <w:ind w:firstLine="560"/>
              <w:jc w:val="both"/>
            </w:pPr>
            <w:r>
              <w:rPr>
                <w:rFonts w:ascii="Times New Roman" w:eastAsia="Times New Roman" w:hAnsi="Times New Roman" w:cs="Times New Roman"/>
                <w:color w:val="000000"/>
                <w:spacing w:val="0"/>
                <w:sz w:val="20"/>
                <w:szCs w:val="20"/>
              </w:rPr>
              <w:t>8.11. A não-regularização fiscal no prazo previsto no subitem anterior acarretará a inabilitação do licitante, sem prejuízo das sanções previstas neste Edital, com a reabertura da sessão pública.</w:t>
            </w:r>
          </w:p>
          <w:p>
            <w:pPr>
              <w:bidi w:val="0"/>
              <w:spacing w:before="0" w:after="0"/>
              <w:ind w:firstLine="560"/>
              <w:jc w:val="both"/>
            </w:pPr>
            <w:r>
              <w:rPr>
                <w:rFonts w:ascii="Times New Roman" w:eastAsia="Times New Roman" w:hAnsi="Times New Roman" w:cs="Times New Roman"/>
                <w:color w:val="000000"/>
                <w:spacing w:val="0"/>
                <w:sz w:val="20"/>
                <w:szCs w:val="20"/>
              </w:rPr>
              <w:t>8.12. Havendo necessidade de analisar minuciosamente os documentos exigidos, o Pregoeiro suspenderá a sessão, informando no “chat” a nova data e horário para a continuidade da mesma.</w:t>
            </w:r>
          </w:p>
          <w:p>
            <w:pPr>
              <w:bidi w:val="0"/>
              <w:spacing w:before="0" w:after="0"/>
              <w:ind w:firstLine="560"/>
              <w:jc w:val="both"/>
            </w:pPr>
            <w:r>
              <w:rPr>
                <w:rFonts w:ascii="Times New Roman" w:eastAsia="Times New Roman" w:hAnsi="Times New Roman" w:cs="Times New Roman"/>
                <w:color w:val="000000"/>
                <w:spacing w:val="0"/>
                <w:sz w:val="20"/>
                <w:szCs w:val="20"/>
              </w:rPr>
              <w:t>8.13. Será inabilitado o licitante que não comprovar sua habilitação, seja por não apresentar quaisquer dos documentos exigidos, ou apresentá-los em desacordo com o estabelecido neste Edital.</w:t>
            </w:r>
          </w:p>
          <w:p>
            <w:pPr>
              <w:bidi w:val="0"/>
              <w:spacing w:before="0" w:after="0"/>
              <w:ind w:firstLine="560"/>
              <w:jc w:val="both"/>
            </w:pPr>
            <w:r>
              <w:rPr>
                <w:rFonts w:ascii="Times New Roman" w:eastAsia="Times New Roman" w:hAnsi="Times New Roman" w:cs="Times New Roman"/>
                <w:color w:val="000000"/>
                <w:spacing w:val="0"/>
                <w:sz w:val="20"/>
                <w:szCs w:val="20"/>
              </w:rPr>
              <w:t>8.14. No caso de inabilitação, haverá nova verificação, pelo sistema, da eventual ocorrência do empate ficto, previsto nos artigos 44 e 45 da LC nº 123, de 2006, seguindo-se a disciplina antes estabelecida para aceitação da proposta subsequente.</w:t>
            </w:r>
          </w:p>
          <w:p>
            <w:pPr>
              <w:bidi w:val="0"/>
              <w:spacing w:before="0" w:after="0"/>
              <w:jc w:val="both"/>
            </w:pPr>
            <w:r>
              <w:rPr>
                <w:rFonts w:ascii="Times New Roman" w:eastAsia="Times New Roman" w:hAnsi="Times New Roman" w:cs="Times New Roman"/>
                <w:b/>
                <w:bCs/>
                <w:color w:val="000000"/>
                <w:spacing w:val="0"/>
                <w:sz w:val="20"/>
                <w:szCs w:val="20"/>
                <w:shd w:val="clear" w:color="auto" w:fill="C0C0C0"/>
              </w:rPr>
              <w:t>8.15. Os documentos exigidos para habilitação relacionados nos subitens acima, deverão ser apresentados em meio digital pelos licitantes, por meio de funcionalidade presente no sistema (upload), no momento do cadastro da proposta inicial. Após a sessão, havendo necessidade de COMPLEMENTAÇÃO da documentação já enviada, o pregoeiro solicitará o envio da mesma via plataforma Comprasnet dentro do prazo de 04 (quatro) horas.</w:t>
            </w:r>
            <w:r>
              <w:rPr>
                <w:rFonts w:ascii="Times New Roman" w:eastAsia="Times New Roman" w:hAnsi="Times New Roman" w:cs="Times New Roman"/>
                <w:color w:val="000000"/>
                <w:spacing w:val="0"/>
                <w:sz w:val="20"/>
                <w:szCs w:val="20"/>
              </w:rPr>
              <w:t xml:space="preserve"> </w:t>
            </w:r>
          </w:p>
          <w:p>
            <w:pPr>
              <w:bidi w:val="0"/>
              <w:spacing w:before="0" w:after="0"/>
              <w:ind w:firstLine="560"/>
              <w:jc w:val="both"/>
            </w:pPr>
            <w:r>
              <w:rPr>
                <w:rFonts w:ascii="Times New Roman" w:eastAsia="Times New Roman" w:hAnsi="Times New Roman" w:cs="Times New Roman"/>
                <w:color w:val="000000"/>
                <w:spacing w:val="0"/>
                <w:sz w:val="20"/>
                <w:szCs w:val="20"/>
              </w:rPr>
              <w:t>8.15.1. Havendo a necessidade do envio físico de qualquer documento, esse será solicitado pelo pregoeiro durante a sessão.</w:t>
            </w:r>
          </w:p>
          <w:p>
            <w:pPr>
              <w:bidi w:val="0"/>
              <w:spacing w:before="0" w:after="0"/>
              <w:ind w:firstLine="560"/>
              <w:jc w:val="both"/>
            </w:pPr>
            <w:r>
              <w:rPr>
                <w:rFonts w:ascii="Times New Roman" w:eastAsia="Times New Roman" w:hAnsi="Times New Roman" w:cs="Times New Roman"/>
                <w:color w:val="000000"/>
                <w:spacing w:val="0"/>
                <w:sz w:val="20"/>
                <w:szCs w:val="20"/>
              </w:rPr>
              <w:t>8.15.1.1. A documentação solicitada a ser remetida deverá ser original ou cópia reprográfica autenticada por tabelião de notas ou por servidor da Administração, desde que conferidos com o original, ou publicação em órgão da imprensa oficial.</w:t>
            </w:r>
          </w:p>
          <w:p>
            <w:pPr>
              <w:bidi w:val="0"/>
              <w:spacing w:before="0" w:after="0"/>
              <w:ind w:firstLine="560"/>
              <w:jc w:val="both"/>
            </w:pPr>
            <w:r>
              <w:rPr>
                <w:rFonts w:ascii="Times New Roman" w:eastAsia="Times New Roman" w:hAnsi="Times New Roman" w:cs="Times New Roman"/>
                <w:color w:val="000000"/>
                <w:spacing w:val="0"/>
                <w:sz w:val="20"/>
                <w:szCs w:val="20"/>
              </w:rPr>
              <w:t>8.15.1.2. O prazo para envio será de 05 (cinco) dias úteis, após solicitação do pregoeiro.</w:t>
            </w:r>
          </w:p>
          <w:p>
            <w:pPr>
              <w:bidi w:val="0"/>
              <w:spacing w:before="0" w:after="141"/>
              <w:ind w:firstLine="560"/>
              <w:jc w:val="both"/>
            </w:pPr>
            <w:r>
              <w:rPr>
                <w:rFonts w:ascii="Times New Roman" w:eastAsia="Times New Roman" w:hAnsi="Times New Roman" w:cs="Times New Roman"/>
                <w:color w:val="000000"/>
                <w:spacing w:val="0"/>
                <w:sz w:val="20"/>
                <w:szCs w:val="20"/>
              </w:rPr>
              <w:t>8.16. Da sessão pública do Pregão divulgar-se-á Ata no sistema eletrônico.</w:t>
            </w:r>
          </w:p>
          <w:p>
            <w:pPr>
              <w:bidi w:val="0"/>
              <w:spacing w:before="0" w:after="0"/>
              <w:ind w:firstLine="560"/>
              <w:jc w:val="both"/>
            </w:pPr>
            <w:r>
              <w:rPr>
                <w:rFonts w:ascii="Times New Roman" w:eastAsia="Times New Roman" w:hAnsi="Times New Roman" w:cs="Times New Roman"/>
                <w:b/>
                <w:bCs/>
                <w:color w:val="000000"/>
                <w:spacing w:val="0"/>
                <w:sz w:val="20"/>
                <w:szCs w:val="20"/>
              </w:rPr>
              <w:t>9. DO ENCAMINHAMENTO DA PROPOSTA VENCEDORA</w:t>
            </w:r>
          </w:p>
          <w:p>
            <w:pPr>
              <w:bidi w:val="0"/>
              <w:spacing w:before="0" w:after="0"/>
              <w:ind w:firstLine="560"/>
              <w:jc w:val="both"/>
            </w:pPr>
            <w:r>
              <w:rPr>
                <w:rFonts w:ascii="Times New Roman" w:eastAsia="Times New Roman" w:hAnsi="Times New Roman" w:cs="Times New Roman"/>
                <w:color w:val="000000"/>
                <w:spacing w:val="0"/>
                <w:sz w:val="20"/>
                <w:szCs w:val="20"/>
              </w:rPr>
              <w:t xml:space="preserve">9.1. A proposta final do licitante declarado vencedor deverá ser encaminhada no prazo de </w:t>
            </w:r>
            <w:r>
              <w:rPr>
                <w:rFonts w:ascii="Times New Roman" w:eastAsia="Times New Roman" w:hAnsi="Times New Roman" w:cs="Times New Roman"/>
                <w:color w:val="000000"/>
                <w:spacing w:val="0"/>
                <w:sz w:val="20"/>
                <w:szCs w:val="20"/>
                <w:shd w:val="clear" w:color="auto" w:fill="C0C0C0"/>
              </w:rPr>
              <w:t>04 (quatro) horas</w:t>
            </w:r>
            <w:r>
              <w:rPr>
                <w:rFonts w:ascii="Times New Roman" w:eastAsia="Times New Roman" w:hAnsi="Times New Roman" w:cs="Times New Roman"/>
                <w:color w:val="000000"/>
                <w:spacing w:val="0"/>
                <w:sz w:val="20"/>
                <w:szCs w:val="20"/>
              </w:rPr>
              <w:t>, a contar da solicitação do Pregoeiro no sistema eletrônico e deverá:</w:t>
            </w:r>
          </w:p>
          <w:p>
            <w:pPr>
              <w:bidi w:val="0"/>
              <w:spacing w:before="0" w:after="0"/>
              <w:ind w:firstLine="560"/>
              <w:jc w:val="both"/>
            </w:pPr>
            <w:r>
              <w:rPr>
                <w:rFonts w:ascii="Times New Roman" w:eastAsia="Times New Roman" w:hAnsi="Times New Roman" w:cs="Times New Roman"/>
                <w:color w:val="000000"/>
                <w:spacing w:val="0"/>
                <w:sz w:val="20"/>
                <w:szCs w:val="20"/>
              </w:rPr>
              <w:t>9.1.1. ser redigida em língua portuguesa, digitada, sem emendas, rasuras, entrelinhas ou ressalvas, devendo a última folha ser assinada e as demais rubricadas pelo licitante ou seu representante legal.</w:t>
            </w:r>
          </w:p>
          <w:p>
            <w:pPr>
              <w:bidi w:val="0"/>
              <w:spacing w:before="0" w:after="0"/>
              <w:ind w:firstLine="560"/>
              <w:jc w:val="both"/>
            </w:pPr>
            <w:r>
              <w:rPr>
                <w:rFonts w:ascii="Times New Roman" w:eastAsia="Times New Roman" w:hAnsi="Times New Roman" w:cs="Times New Roman"/>
                <w:color w:val="000000"/>
                <w:spacing w:val="0"/>
                <w:sz w:val="20"/>
                <w:szCs w:val="20"/>
              </w:rPr>
              <w:t>9.1.2. conter a indicação do banco, número da conta e agência do licitante vencedor, para fins de pagamento.</w:t>
            </w:r>
          </w:p>
          <w:p>
            <w:pPr>
              <w:bidi w:val="0"/>
              <w:spacing w:before="0" w:after="0"/>
              <w:ind w:firstLine="560"/>
              <w:jc w:val="both"/>
            </w:pPr>
            <w:r>
              <w:rPr>
                <w:rFonts w:ascii="Times New Roman" w:eastAsia="Times New Roman" w:hAnsi="Times New Roman" w:cs="Times New Roman"/>
                <w:color w:val="000000"/>
                <w:spacing w:val="0"/>
                <w:sz w:val="20"/>
                <w:szCs w:val="20"/>
              </w:rPr>
              <w:t>9.1.3. O prazo estabelecido poderá ser prorrogado pelo Pregoeiro por solicitação escrita e justificada do licitante, formulada antes de findo o prazo, e formalmente aceita pelo Pregoeiro.</w:t>
            </w:r>
          </w:p>
          <w:p>
            <w:pPr>
              <w:bidi w:val="0"/>
              <w:spacing w:before="0" w:after="141"/>
              <w:ind w:firstLine="560"/>
              <w:jc w:val="both"/>
            </w:pPr>
            <w:r>
              <w:rPr>
                <w:rFonts w:ascii="Times New Roman" w:eastAsia="Times New Roman" w:hAnsi="Times New Roman" w:cs="Times New Roman"/>
                <w:color w:val="000000"/>
                <w:spacing w:val="0"/>
                <w:sz w:val="20"/>
                <w:szCs w:val="20"/>
              </w:rPr>
              <w:t>9.1.4. Dentre os documentos passíveis de solicitação pelo Pregoeiro para complementação da proposta,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pPr>
              <w:bidi w:val="0"/>
              <w:spacing w:before="0" w:after="0"/>
              <w:ind w:firstLine="560"/>
              <w:jc w:val="both"/>
            </w:pPr>
            <w:r>
              <w:rPr>
                <w:rFonts w:ascii="Times New Roman" w:eastAsia="Times New Roman" w:hAnsi="Times New Roman" w:cs="Times New Roman"/>
                <w:b/>
                <w:bCs/>
                <w:color w:val="000000"/>
                <w:spacing w:val="0"/>
                <w:sz w:val="20"/>
                <w:szCs w:val="20"/>
              </w:rPr>
              <w:t>10. DOS RECURSOS</w:t>
            </w:r>
          </w:p>
          <w:p>
            <w:pPr>
              <w:bidi w:val="0"/>
              <w:spacing w:before="0" w:after="0"/>
              <w:ind w:firstLine="560"/>
              <w:jc w:val="both"/>
            </w:pPr>
            <w:r>
              <w:rPr>
                <w:rFonts w:ascii="Times New Roman" w:eastAsia="Times New Roman" w:hAnsi="Times New Roman" w:cs="Times New Roman"/>
                <w:color w:val="000000"/>
                <w:spacing w:val="0"/>
                <w:sz w:val="20"/>
                <w:szCs w:val="20"/>
              </w:rPr>
              <w:t>10.1. O Pregoeiro declarará o vencedor e, depois de decorrida a fase de regularização fiscal de microempresa, empresa de pequeno porte ou sociedade cooperativa, se for o caso, concederá o prazo de no mínimo trinta minutos, para que qualquer licitante manifeste a intenção de recorrer, de forma motivada, isto é, indicando contra qual(is) decisão(ões) pretende recorrer e por quais motivos, em campo próprio do sistema.</w:t>
            </w:r>
          </w:p>
          <w:p>
            <w:pPr>
              <w:bidi w:val="0"/>
              <w:spacing w:before="0" w:after="0"/>
              <w:ind w:firstLine="560"/>
              <w:jc w:val="both"/>
            </w:pPr>
            <w:r>
              <w:rPr>
                <w:rFonts w:ascii="Times New Roman" w:eastAsia="Times New Roman" w:hAnsi="Times New Roman" w:cs="Times New Roman"/>
                <w:color w:val="000000"/>
                <w:spacing w:val="0"/>
                <w:sz w:val="20"/>
                <w:szCs w:val="20"/>
              </w:rPr>
              <w:t>10.2. Havendo quem se manifeste, caberá ao Pregoeiro verificar a tempestividade e a existência de motivação da intenção de recorrer, para decidir se admite ou não o recurso, fundamentadamente.</w:t>
            </w:r>
          </w:p>
          <w:p>
            <w:pPr>
              <w:bidi w:val="0"/>
              <w:spacing w:before="0" w:after="0"/>
              <w:ind w:firstLine="560"/>
              <w:jc w:val="both"/>
            </w:pPr>
            <w:r>
              <w:rPr>
                <w:rFonts w:ascii="Times New Roman" w:eastAsia="Times New Roman" w:hAnsi="Times New Roman" w:cs="Times New Roman"/>
                <w:color w:val="000000"/>
                <w:spacing w:val="0"/>
                <w:sz w:val="20"/>
                <w:szCs w:val="20"/>
              </w:rPr>
              <w:t>10.2.1. Nesse momento o Pregoeiro não adentrará no mérito recursal, mas apenas verificará as condições de admissibilidade do recurso.</w:t>
            </w:r>
          </w:p>
          <w:p>
            <w:pPr>
              <w:bidi w:val="0"/>
              <w:spacing w:before="0" w:after="0"/>
              <w:ind w:firstLine="560"/>
              <w:jc w:val="both"/>
            </w:pPr>
            <w:r>
              <w:rPr>
                <w:rFonts w:ascii="Times New Roman" w:eastAsia="Times New Roman" w:hAnsi="Times New Roman" w:cs="Times New Roman"/>
                <w:color w:val="000000"/>
                <w:spacing w:val="0"/>
                <w:sz w:val="20"/>
                <w:szCs w:val="20"/>
              </w:rPr>
              <w:t>10.2.2. A falta de manifestação motivada do licitante quanto à intenção de recorrer importará a decadência desse direito.</w:t>
            </w:r>
          </w:p>
          <w:p>
            <w:pPr>
              <w:bidi w:val="0"/>
              <w:spacing w:before="0" w:after="141"/>
              <w:ind w:firstLine="560"/>
              <w:jc w:val="both"/>
            </w:pPr>
            <w:r>
              <w:rPr>
                <w:rFonts w:ascii="Times New Roman" w:eastAsia="Times New Roman" w:hAnsi="Times New Roman" w:cs="Times New Roman"/>
                <w:color w:val="000000"/>
                <w:spacing w:val="0"/>
                <w:sz w:val="20"/>
                <w:szCs w:val="20"/>
              </w:rPr>
              <w:t>10.2.3.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pPr>
              <w:bidi w:val="0"/>
              <w:spacing w:before="0" w:after="0"/>
              <w:ind w:firstLine="560"/>
              <w:jc w:val="both"/>
            </w:pPr>
            <w:r>
              <w:rPr>
                <w:rFonts w:ascii="Times New Roman" w:eastAsia="Times New Roman" w:hAnsi="Times New Roman" w:cs="Times New Roman"/>
                <w:b/>
                <w:bCs/>
                <w:color w:val="000000"/>
                <w:spacing w:val="0"/>
                <w:sz w:val="20"/>
                <w:szCs w:val="20"/>
              </w:rPr>
              <w:t>11. DA ADJUDICAÇÃO E HOMOLOGAÇÃO</w:t>
            </w:r>
          </w:p>
          <w:p>
            <w:pPr>
              <w:bidi w:val="0"/>
              <w:spacing w:before="0" w:after="0"/>
              <w:ind w:firstLine="560"/>
              <w:jc w:val="both"/>
            </w:pPr>
            <w:r>
              <w:rPr>
                <w:rFonts w:ascii="Times New Roman" w:eastAsia="Times New Roman" w:hAnsi="Times New Roman" w:cs="Times New Roman"/>
                <w:color w:val="000000"/>
                <w:spacing w:val="0"/>
                <w:sz w:val="20"/>
                <w:szCs w:val="20"/>
              </w:rPr>
              <w:t>11.1. O objeto da licitação será adjudicado ao licitante declarado vencedor, por ato do Pregoeiro, caso não haja interposição de recurso, ou pela autoridade competente, após a regular decisão dos recursos apresentados.</w:t>
            </w:r>
          </w:p>
          <w:p>
            <w:pPr>
              <w:bidi w:val="0"/>
              <w:spacing w:before="0" w:after="141"/>
              <w:ind w:firstLine="560"/>
              <w:jc w:val="both"/>
            </w:pPr>
            <w:r>
              <w:rPr>
                <w:rFonts w:ascii="Times New Roman" w:eastAsia="Times New Roman" w:hAnsi="Times New Roman" w:cs="Times New Roman"/>
                <w:color w:val="000000"/>
                <w:spacing w:val="0"/>
                <w:sz w:val="20"/>
                <w:szCs w:val="20"/>
              </w:rPr>
              <w:t>11.2. Após a fase recursal, constatada a regularidade dos atos praticados, a autoridade competente homologará o procedimento licitatório.</w:t>
            </w:r>
          </w:p>
          <w:p>
            <w:pPr>
              <w:bidi w:val="0"/>
              <w:spacing w:before="0" w:after="0"/>
              <w:ind w:firstLine="560"/>
              <w:jc w:val="both"/>
            </w:pPr>
            <w:r>
              <w:rPr>
                <w:rFonts w:ascii="Times New Roman" w:eastAsia="Times New Roman" w:hAnsi="Times New Roman" w:cs="Times New Roman"/>
                <w:b/>
                <w:bCs/>
                <w:color w:val="000000"/>
                <w:spacing w:val="0"/>
                <w:sz w:val="20"/>
                <w:szCs w:val="20"/>
              </w:rPr>
              <w:t>12. DA ATA DE REGISTRO DE PREÇOS</w:t>
            </w:r>
          </w:p>
          <w:p>
            <w:pPr>
              <w:bidi w:val="0"/>
              <w:spacing w:before="0" w:after="0"/>
              <w:ind w:firstLine="560"/>
              <w:jc w:val="both"/>
            </w:pPr>
            <w:r>
              <w:rPr>
                <w:rFonts w:ascii="Times New Roman" w:eastAsia="Times New Roman" w:hAnsi="Times New Roman" w:cs="Times New Roman"/>
                <w:color w:val="000000"/>
                <w:spacing w:val="0"/>
                <w:sz w:val="20"/>
                <w:szCs w:val="20"/>
              </w:rPr>
              <w:t xml:space="preserve">12.1. A Ata de Registro de Preços </w:t>
            </w:r>
            <w:r>
              <w:rPr>
                <w:rFonts w:ascii="Times New Roman" w:eastAsia="Times New Roman" w:hAnsi="Times New Roman" w:cs="Times New Roman"/>
                <w:color w:val="000000"/>
                <w:spacing w:val="0"/>
                <w:sz w:val="20"/>
                <w:szCs w:val="20"/>
                <w:shd w:val="clear" w:color="auto" w:fill="C0C0C0"/>
              </w:rPr>
              <w:t>terá validade por    meses</w:t>
            </w:r>
            <w:r>
              <w:rPr>
                <w:rFonts w:ascii="Times New Roman" w:eastAsia="Times New Roman" w:hAnsi="Times New Roman" w:cs="Times New Roman"/>
                <w:color w:val="000000"/>
                <w:spacing w:val="0"/>
                <w:sz w:val="20"/>
                <w:szCs w:val="20"/>
              </w:rPr>
              <w:t xml:space="preserve"> a partir da data de sua assinatura, sucessivos e ininterruptos.</w:t>
            </w:r>
          </w:p>
          <w:p>
            <w:pPr>
              <w:bidi w:val="0"/>
              <w:spacing w:before="0" w:after="0"/>
              <w:ind w:firstLine="560"/>
              <w:jc w:val="both"/>
            </w:pPr>
            <w:r>
              <w:rPr>
                <w:rFonts w:ascii="Times New Roman" w:eastAsia="Times New Roman" w:hAnsi="Times New Roman" w:cs="Times New Roman"/>
                <w:color w:val="000000"/>
                <w:spacing w:val="0"/>
                <w:sz w:val="20"/>
                <w:szCs w:val="20"/>
              </w:rPr>
              <w:t>12.2. Homologado o resultado da licitação, terá o adjudicatário o prazo de 05 (cinco) dias, contados a partir da data de sua convocação, que se dará por meio eletrônico, para assinar a Ata de Registro de Preços, cujo prazo de validade encontra-se nela fixado, sob pena de decair do direito à contratação, sem prejuízo das sanções previstas neste Edital.</w:t>
            </w:r>
          </w:p>
          <w:p>
            <w:pPr>
              <w:bidi w:val="0"/>
              <w:spacing w:before="0" w:after="0"/>
              <w:ind w:firstLine="560"/>
              <w:jc w:val="both"/>
            </w:pPr>
            <w:r>
              <w:rPr>
                <w:rFonts w:ascii="Times New Roman" w:eastAsia="Times New Roman" w:hAnsi="Times New Roman" w:cs="Times New Roman"/>
                <w:color w:val="000000"/>
                <w:spacing w:val="0"/>
                <w:sz w:val="20"/>
                <w:szCs w:val="20"/>
              </w:rPr>
              <w:t>12.3.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05 (cinco) dias, a contar da data de seu recebimento.</w:t>
            </w:r>
          </w:p>
          <w:p>
            <w:pPr>
              <w:bidi w:val="0"/>
              <w:spacing w:before="0" w:after="141"/>
              <w:ind w:firstLine="560"/>
              <w:jc w:val="both"/>
            </w:pPr>
            <w:r>
              <w:rPr>
                <w:rFonts w:ascii="Times New Roman" w:eastAsia="Times New Roman" w:hAnsi="Times New Roman" w:cs="Times New Roman"/>
                <w:color w:val="000000"/>
                <w:spacing w:val="0"/>
                <w:sz w:val="20"/>
                <w:szCs w:val="20"/>
              </w:rPr>
              <w:t>12.4. O prazo estabelecido no subitem anterior para assinatura da Ata de Registro de Preços poderá ser prorrogado uma única vez, por igual período, quando solicitado pelo(s) licitante(s) vencedor(s), durante o seu transcurso, e desde que devidamente aceito.</w:t>
            </w:r>
          </w:p>
          <w:p>
            <w:pPr>
              <w:bidi w:val="0"/>
              <w:spacing w:before="0" w:after="0"/>
              <w:ind w:firstLine="560"/>
              <w:jc w:val="both"/>
            </w:pPr>
            <w:r>
              <w:rPr>
                <w:rFonts w:ascii="Times New Roman" w:eastAsia="Times New Roman" w:hAnsi="Times New Roman" w:cs="Times New Roman"/>
                <w:b/>
                <w:bCs/>
                <w:color w:val="000000"/>
                <w:spacing w:val="0"/>
                <w:sz w:val="20"/>
                <w:szCs w:val="20"/>
              </w:rPr>
              <w:t>13. DO PREÇO</w:t>
            </w:r>
          </w:p>
          <w:p>
            <w:pPr>
              <w:bidi w:val="0"/>
              <w:spacing w:before="0" w:after="0"/>
              <w:ind w:firstLine="560"/>
              <w:jc w:val="both"/>
            </w:pPr>
            <w:r>
              <w:rPr>
                <w:rFonts w:ascii="Times New Roman" w:eastAsia="Times New Roman" w:hAnsi="Times New Roman" w:cs="Times New Roman"/>
                <w:color w:val="000000"/>
                <w:spacing w:val="0"/>
                <w:sz w:val="20"/>
                <w:szCs w:val="20"/>
              </w:rPr>
              <w:t>13.1. Os preços são fixos e irreajustáveis.</w:t>
            </w:r>
          </w:p>
          <w:p>
            <w:pPr>
              <w:bidi w:val="0"/>
              <w:spacing w:before="0" w:after="0"/>
              <w:ind w:firstLine="560"/>
              <w:jc w:val="both"/>
            </w:pPr>
            <w:r>
              <w:rPr>
                <w:rFonts w:ascii="Times New Roman" w:eastAsia="Times New Roman" w:hAnsi="Times New Roman" w:cs="Times New Roman"/>
                <w:color w:val="000000"/>
                <w:spacing w:val="0"/>
                <w:sz w:val="20"/>
                <w:szCs w:val="20"/>
              </w:rPr>
              <w:t xml:space="preserve">13.2. O beneficiário do Registro de Preços, em função da dinâmica do mercado, poderá solicitar o </w:t>
            </w:r>
            <w:r>
              <w:rPr>
                <w:rFonts w:ascii="Times New Roman" w:eastAsia="Times New Roman" w:hAnsi="Times New Roman" w:cs="Times New Roman"/>
                <w:color w:val="000000"/>
                <w:spacing w:val="0"/>
                <w:sz w:val="20"/>
                <w:szCs w:val="20"/>
                <w:u w:val="single"/>
              </w:rPr>
              <w:t>EQUILÍBRIO ECONÔMICO</w:t>
            </w:r>
            <w:r>
              <w:rPr>
                <w:rFonts w:ascii="Times New Roman" w:eastAsia="Times New Roman" w:hAnsi="Times New Roman" w:cs="Times New Roman"/>
                <w:color w:val="000000"/>
                <w:spacing w:val="0"/>
                <w:sz w:val="20"/>
                <w:szCs w:val="20"/>
              </w:rPr>
              <w:t xml:space="preserve"> dos preços vigentes através de solicitação formal, desde que acompanhado de documentos que comprovem a procedência do pedido. Até a decisão final da Administração Municipal, a qual deverá ser protocolada em até 30 (trinta) dias a contar da entrega completa da documentação comprobatória, o fornecimento do objeto solicitado pela Administração ao Contratado, deverá ocorrer normalmente, pelo preço registrado em vigor.</w:t>
            </w:r>
          </w:p>
          <w:p>
            <w:pPr>
              <w:bidi w:val="0"/>
              <w:spacing w:before="0" w:after="0"/>
              <w:ind w:firstLine="560"/>
              <w:jc w:val="both"/>
            </w:pPr>
            <w:r>
              <w:rPr>
                <w:rFonts w:ascii="Times New Roman" w:eastAsia="Times New Roman" w:hAnsi="Times New Roman" w:cs="Times New Roman"/>
                <w:color w:val="000000"/>
                <w:spacing w:val="0"/>
                <w:sz w:val="20"/>
                <w:szCs w:val="20"/>
              </w:rPr>
              <w:t>13.3. A atualização não poderá ultrapassar o preço praticado no mercado, ou preço praticado no estabelecimento do fornecedor, e deverá manter a diferença percentual apurada entre o preço originalmente constante da proposta e o preço de mercado vigente à época.</w:t>
            </w:r>
          </w:p>
          <w:p>
            <w:pPr>
              <w:bidi w:val="0"/>
              <w:spacing w:before="0" w:after="141"/>
              <w:ind w:firstLine="560"/>
              <w:jc w:val="both"/>
            </w:pPr>
            <w:r>
              <w:rPr>
                <w:rFonts w:ascii="Times New Roman" w:eastAsia="Times New Roman" w:hAnsi="Times New Roman" w:cs="Times New Roman"/>
                <w:color w:val="000000"/>
                <w:spacing w:val="0"/>
                <w:sz w:val="20"/>
                <w:szCs w:val="20"/>
              </w:rPr>
              <w:t>13.4. A contratante poderá, na vigência do Registro de Preços, solicitar a redução dos preços registrados, garantida a prévia defesa do beneficiário do Registro, e de conformidade com os parâmetros de pesquisa de mercado realizada ou quando alterações conjunturais provocarem a redução dos preços praticados no mercado nacional e/ou internacional, sendo que o novo preço será válido a partir da formalização/atualização da Ata de Registro de Preços.</w:t>
            </w:r>
          </w:p>
          <w:p>
            <w:pPr>
              <w:bidi w:val="0"/>
              <w:spacing w:before="0" w:after="0"/>
              <w:ind w:firstLine="560"/>
              <w:jc w:val="both"/>
            </w:pPr>
            <w:r>
              <w:rPr>
                <w:rFonts w:ascii="Times New Roman" w:eastAsia="Times New Roman" w:hAnsi="Times New Roman" w:cs="Times New Roman"/>
                <w:b/>
                <w:bCs/>
                <w:color w:val="000000"/>
                <w:spacing w:val="0"/>
                <w:sz w:val="20"/>
                <w:szCs w:val="20"/>
                <w:shd w:val="clear" w:color="auto" w:fill="C0C0C0"/>
              </w:rPr>
              <w:t>14. DA EXECUÇÃO DO OBJETO E DA FISCALIZAÇÃO</w:t>
            </w:r>
          </w:p>
          <w:p>
            <w:pPr>
              <w:bidi w:val="0"/>
              <w:spacing w:before="0" w:after="141"/>
              <w:ind w:firstLine="560"/>
              <w:jc w:val="both"/>
            </w:pPr>
            <w:r>
              <w:rPr>
                <w:rFonts w:ascii="Times New Roman" w:eastAsia="Times New Roman" w:hAnsi="Times New Roman" w:cs="Times New Roman"/>
                <w:color w:val="000000"/>
                <w:spacing w:val="0"/>
                <w:sz w:val="20"/>
                <w:szCs w:val="20"/>
              </w:rPr>
              <w:t>14.1. Os critérios de recebimento e aceitação do objeto e de fiscalização estão previstos no Termo de Referência.</w:t>
            </w:r>
          </w:p>
          <w:p>
            <w:pPr>
              <w:bidi w:val="0"/>
              <w:spacing w:before="0" w:after="0"/>
              <w:ind w:firstLine="560"/>
              <w:jc w:val="both"/>
            </w:pPr>
            <w:r>
              <w:rPr>
                <w:rFonts w:ascii="Times New Roman" w:eastAsia="Times New Roman" w:hAnsi="Times New Roman" w:cs="Times New Roman"/>
                <w:b/>
                <w:bCs/>
                <w:color w:val="000000"/>
                <w:spacing w:val="0"/>
                <w:sz w:val="20"/>
                <w:szCs w:val="20"/>
              </w:rPr>
              <w:t>15. DAS OBRIGAÇÕES DA CONTRATANTE E DA CONTRATADA</w:t>
            </w:r>
          </w:p>
          <w:p>
            <w:pPr>
              <w:bidi w:val="0"/>
              <w:spacing w:before="0" w:after="141"/>
              <w:ind w:firstLine="560"/>
              <w:jc w:val="both"/>
            </w:pPr>
            <w:r>
              <w:rPr>
                <w:rFonts w:ascii="Times New Roman" w:eastAsia="Times New Roman" w:hAnsi="Times New Roman" w:cs="Times New Roman"/>
                <w:color w:val="000000"/>
                <w:spacing w:val="0"/>
                <w:sz w:val="20"/>
                <w:szCs w:val="20"/>
              </w:rPr>
              <w:t>15.1. As obrigações da Contratante e da Contratada são as estabelecidas no Termo de Referência e na Ata de registro de Preços.</w:t>
            </w:r>
          </w:p>
          <w:p>
            <w:pPr>
              <w:bidi w:val="0"/>
              <w:spacing w:before="0" w:after="0"/>
              <w:ind w:firstLine="560"/>
              <w:jc w:val="both"/>
            </w:pPr>
            <w:r>
              <w:rPr>
                <w:rFonts w:ascii="Times New Roman" w:eastAsia="Times New Roman" w:hAnsi="Times New Roman" w:cs="Times New Roman"/>
                <w:b/>
                <w:bCs/>
                <w:color w:val="000000"/>
                <w:spacing w:val="0"/>
                <w:sz w:val="20"/>
                <w:szCs w:val="20"/>
              </w:rPr>
              <w:t>16. DO PAGAMENTO</w:t>
            </w:r>
          </w:p>
          <w:p>
            <w:pPr>
              <w:bidi w:val="0"/>
              <w:spacing w:before="0" w:after="0"/>
              <w:ind w:firstLine="560"/>
              <w:jc w:val="both"/>
            </w:pPr>
            <w:r>
              <w:rPr>
                <w:rFonts w:ascii="Times New Roman" w:eastAsia="Times New Roman" w:hAnsi="Times New Roman" w:cs="Times New Roman"/>
                <w:color w:val="000000"/>
                <w:spacing w:val="0"/>
                <w:sz w:val="20"/>
                <w:szCs w:val="20"/>
              </w:rPr>
              <w:t>16.1. O pagamento será realizado no prazo máximo de até 15 (quinze) dias, contados a partir da data do recebimento e aceite do objeto, através de ordem bancária, para crédito em banco, agência e conta corrente indicados pelo contratado.</w:t>
            </w:r>
          </w:p>
          <w:p>
            <w:pPr>
              <w:bidi w:val="0"/>
              <w:spacing w:before="0" w:after="0"/>
              <w:ind w:firstLine="560"/>
              <w:jc w:val="both"/>
            </w:pPr>
            <w:r>
              <w:rPr>
                <w:rFonts w:ascii="Times New Roman" w:eastAsia="Times New Roman" w:hAnsi="Times New Roman" w:cs="Times New Roman"/>
                <w:color w:val="000000"/>
                <w:spacing w:val="0"/>
                <w:sz w:val="20"/>
                <w:szCs w:val="20"/>
              </w:rPr>
              <w:t>16.2. O pagamento somente será autorizado depois de efetuado o “aceite” na nota fiscal apresentada.</w:t>
            </w:r>
          </w:p>
          <w:p>
            <w:pPr>
              <w:bidi w:val="0"/>
              <w:spacing w:before="0" w:after="0"/>
              <w:ind w:firstLine="560"/>
              <w:jc w:val="both"/>
            </w:pPr>
            <w:r>
              <w:rPr>
                <w:rFonts w:ascii="Times New Roman" w:eastAsia="Times New Roman" w:hAnsi="Times New Roman" w:cs="Times New Roman"/>
                <w:color w:val="000000"/>
                <w:spacing w:val="0"/>
                <w:sz w:val="20"/>
                <w:szCs w:val="20"/>
              </w:rPr>
              <w:t>16.3.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pPr>
              <w:bidi w:val="0"/>
              <w:spacing w:before="0" w:after="141"/>
              <w:ind w:firstLine="560"/>
              <w:jc w:val="both"/>
            </w:pPr>
            <w:r>
              <w:rPr>
                <w:rFonts w:ascii="Times New Roman" w:eastAsia="Times New Roman" w:hAnsi="Times New Roman" w:cs="Times New Roman"/>
                <w:color w:val="000000"/>
                <w:spacing w:val="0"/>
                <w:sz w:val="20"/>
                <w:szCs w:val="20"/>
              </w:rPr>
              <w:t>16.4. Será considerada data do pagamento o dia em que constar como emitida a ordem bancária para pagamento.</w:t>
            </w:r>
          </w:p>
          <w:p>
            <w:pPr>
              <w:bidi w:val="0"/>
              <w:spacing w:before="0" w:after="0"/>
              <w:ind w:firstLine="560"/>
              <w:jc w:val="both"/>
            </w:pPr>
            <w:r>
              <w:rPr>
                <w:rFonts w:ascii="Times New Roman" w:eastAsia="Times New Roman" w:hAnsi="Times New Roman" w:cs="Times New Roman"/>
                <w:b/>
                <w:bCs/>
                <w:color w:val="000000"/>
                <w:spacing w:val="0"/>
                <w:sz w:val="20"/>
                <w:szCs w:val="20"/>
              </w:rPr>
              <w:t>17. DAS SANÇÕES ADMINISTRATIVAS.</w:t>
            </w:r>
          </w:p>
          <w:p>
            <w:pPr>
              <w:bidi w:val="0"/>
              <w:spacing w:before="0" w:after="0"/>
              <w:ind w:firstLine="560"/>
              <w:jc w:val="both"/>
            </w:pPr>
            <w:r>
              <w:rPr>
                <w:rFonts w:ascii="Times New Roman" w:eastAsia="Times New Roman" w:hAnsi="Times New Roman" w:cs="Times New Roman"/>
                <w:color w:val="000000"/>
                <w:spacing w:val="0"/>
                <w:sz w:val="20"/>
                <w:szCs w:val="20"/>
              </w:rPr>
              <w:t>17.1. Comete infração administrativa, nos termos da Lei nº 10.520, de 2002, o licitante/adjudicatário que:</w:t>
            </w:r>
          </w:p>
          <w:p>
            <w:pPr>
              <w:bidi w:val="0"/>
              <w:spacing w:before="0" w:after="0"/>
              <w:ind w:firstLine="560"/>
              <w:jc w:val="both"/>
            </w:pPr>
            <w:r>
              <w:rPr>
                <w:rFonts w:ascii="Times New Roman" w:eastAsia="Times New Roman" w:hAnsi="Times New Roman" w:cs="Times New Roman"/>
                <w:color w:val="000000"/>
                <w:spacing w:val="0"/>
                <w:sz w:val="20"/>
                <w:szCs w:val="20"/>
              </w:rPr>
              <w:t>17.1.1. não assinar a ata de registro de preços quando convocado dentro do prazo de validade da proposta, não aceitar/retirar a “Autorização de Compra”/”Ordem de Serviços”;</w:t>
            </w:r>
          </w:p>
          <w:p>
            <w:pPr>
              <w:bidi w:val="0"/>
              <w:spacing w:before="0" w:after="0"/>
              <w:ind w:firstLine="560"/>
              <w:jc w:val="both"/>
            </w:pPr>
            <w:r>
              <w:rPr>
                <w:rFonts w:ascii="Times New Roman" w:eastAsia="Times New Roman" w:hAnsi="Times New Roman" w:cs="Times New Roman"/>
                <w:color w:val="000000"/>
                <w:spacing w:val="0"/>
                <w:sz w:val="20"/>
                <w:szCs w:val="20"/>
              </w:rPr>
              <w:t>17.1.2. apresentar documentação falsa;</w:t>
            </w:r>
          </w:p>
          <w:p>
            <w:pPr>
              <w:bidi w:val="0"/>
              <w:spacing w:before="0" w:after="0"/>
              <w:ind w:firstLine="560"/>
              <w:jc w:val="both"/>
            </w:pPr>
            <w:r>
              <w:rPr>
                <w:rFonts w:ascii="Times New Roman" w:eastAsia="Times New Roman" w:hAnsi="Times New Roman" w:cs="Times New Roman"/>
                <w:color w:val="000000"/>
                <w:spacing w:val="0"/>
                <w:sz w:val="20"/>
                <w:szCs w:val="20"/>
              </w:rPr>
              <w:t>17.1.3. deixar de entregar os documentos exigidos no certame;</w:t>
            </w:r>
          </w:p>
          <w:p>
            <w:pPr>
              <w:bidi w:val="0"/>
              <w:spacing w:before="0" w:after="0"/>
              <w:ind w:firstLine="560"/>
              <w:jc w:val="both"/>
            </w:pPr>
            <w:r>
              <w:rPr>
                <w:rFonts w:ascii="Times New Roman" w:eastAsia="Times New Roman" w:hAnsi="Times New Roman" w:cs="Times New Roman"/>
                <w:color w:val="000000"/>
                <w:spacing w:val="0"/>
                <w:sz w:val="20"/>
                <w:szCs w:val="20"/>
              </w:rPr>
              <w:t>17.1.4. ensejar o retardamento da execução do objeto;</w:t>
            </w:r>
          </w:p>
          <w:p>
            <w:pPr>
              <w:bidi w:val="0"/>
              <w:spacing w:before="0" w:after="0"/>
              <w:ind w:firstLine="560"/>
              <w:jc w:val="both"/>
            </w:pPr>
            <w:r>
              <w:rPr>
                <w:rFonts w:ascii="Times New Roman" w:eastAsia="Times New Roman" w:hAnsi="Times New Roman" w:cs="Times New Roman"/>
                <w:color w:val="000000"/>
                <w:spacing w:val="0"/>
                <w:sz w:val="20"/>
                <w:szCs w:val="20"/>
              </w:rPr>
              <w:t>17.1.5. não mantiver a proposta;</w:t>
            </w:r>
          </w:p>
          <w:p>
            <w:pPr>
              <w:bidi w:val="0"/>
              <w:spacing w:before="0" w:after="0"/>
              <w:ind w:firstLine="560"/>
              <w:jc w:val="both"/>
            </w:pPr>
            <w:r>
              <w:rPr>
                <w:rFonts w:ascii="Times New Roman" w:eastAsia="Times New Roman" w:hAnsi="Times New Roman" w:cs="Times New Roman"/>
                <w:color w:val="000000"/>
                <w:spacing w:val="0"/>
                <w:sz w:val="20"/>
                <w:szCs w:val="20"/>
              </w:rPr>
              <w:t>17.1.6. cometer fraude fiscal;</w:t>
            </w:r>
          </w:p>
          <w:p>
            <w:pPr>
              <w:bidi w:val="0"/>
              <w:spacing w:before="0" w:after="0"/>
              <w:ind w:firstLine="560"/>
              <w:jc w:val="both"/>
            </w:pPr>
            <w:r>
              <w:rPr>
                <w:rFonts w:ascii="Times New Roman" w:eastAsia="Times New Roman" w:hAnsi="Times New Roman" w:cs="Times New Roman"/>
                <w:color w:val="000000"/>
                <w:spacing w:val="0"/>
                <w:sz w:val="20"/>
                <w:szCs w:val="20"/>
              </w:rPr>
              <w:t>17.1.7. comportar-se de modo inidôneo;</w:t>
            </w:r>
          </w:p>
          <w:p>
            <w:pPr>
              <w:bidi w:val="0"/>
              <w:spacing w:before="0" w:after="0"/>
              <w:ind w:firstLine="560"/>
              <w:jc w:val="both"/>
            </w:pPr>
            <w:r>
              <w:rPr>
                <w:rFonts w:ascii="Times New Roman" w:eastAsia="Times New Roman" w:hAnsi="Times New Roman" w:cs="Times New Roman"/>
                <w:color w:val="000000"/>
                <w:spacing w:val="0"/>
                <w:sz w:val="20"/>
                <w:szCs w:val="20"/>
              </w:rPr>
              <w:t>17.2. Considera-se comportamento inidôneo, entre outros, a declaração falsa quanto às condições de participação, quanto ao enquadramento como ME/EPP ou o conluio entre os licitantes, em qualquer momento da licitação, mesmo após o encerramento da fase de lances.</w:t>
            </w:r>
          </w:p>
          <w:p>
            <w:pPr>
              <w:bidi w:val="0"/>
              <w:spacing w:before="0" w:after="0"/>
              <w:ind w:firstLine="560"/>
              <w:jc w:val="both"/>
            </w:pPr>
            <w:r>
              <w:rPr>
                <w:rFonts w:ascii="Times New Roman" w:eastAsia="Times New Roman" w:hAnsi="Times New Roman" w:cs="Times New Roman"/>
                <w:color w:val="000000"/>
                <w:spacing w:val="0"/>
                <w:sz w:val="20"/>
                <w:szCs w:val="20"/>
              </w:rPr>
              <w:t>17.3. O licitante/adjudicatário que cometer qualquer das infrações discriminadas no subitem anterior ficará sujeito, sem prejuízo da responsabilidade civil e criminal, às seguintes sanções:</w:t>
            </w:r>
          </w:p>
          <w:p>
            <w:pPr>
              <w:bidi w:val="0"/>
              <w:spacing w:before="0" w:after="0"/>
              <w:ind w:firstLine="560"/>
              <w:jc w:val="both"/>
            </w:pPr>
            <w:r>
              <w:rPr>
                <w:rFonts w:ascii="Times New Roman" w:eastAsia="Times New Roman" w:hAnsi="Times New Roman" w:cs="Times New Roman"/>
                <w:color w:val="000000"/>
                <w:spacing w:val="0"/>
                <w:sz w:val="20"/>
                <w:szCs w:val="20"/>
              </w:rPr>
              <w:t>a) multa de até 20 % (vinte por cento) do valor de sua proposta de preços; e</w:t>
            </w:r>
          </w:p>
          <w:p>
            <w:pPr>
              <w:bidi w:val="0"/>
              <w:spacing w:before="0" w:after="141"/>
              <w:ind w:firstLine="560"/>
              <w:jc w:val="both"/>
            </w:pPr>
            <w:r>
              <w:rPr>
                <w:rFonts w:ascii="Times New Roman" w:eastAsia="Times New Roman" w:hAnsi="Times New Roman" w:cs="Times New Roman"/>
                <w:color w:val="000000"/>
                <w:spacing w:val="0"/>
                <w:sz w:val="20"/>
                <w:szCs w:val="20"/>
              </w:rPr>
              <w:t>b) impedimento em licitar e contratar com o município pelo prazo de 02 (dois) anos.</w:t>
            </w:r>
          </w:p>
          <w:p>
            <w:pPr>
              <w:bidi w:val="0"/>
              <w:spacing w:before="0" w:after="0"/>
              <w:ind w:firstLine="560"/>
              <w:jc w:val="both"/>
            </w:pPr>
            <w:r>
              <w:rPr>
                <w:rFonts w:ascii="Times New Roman" w:eastAsia="Times New Roman" w:hAnsi="Times New Roman" w:cs="Times New Roman"/>
                <w:color w:val="000000"/>
                <w:spacing w:val="0"/>
                <w:sz w:val="20"/>
                <w:szCs w:val="20"/>
              </w:rPr>
              <w:t>17.3.1. Pelo inadimplemento total ou parcial da Ata, independentemente de rescisão, a CONTRATADA ficará sujeita, a critério do município, às seguintes penalidades:</w:t>
            </w:r>
          </w:p>
          <w:p>
            <w:pPr>
              <w:bidi w:val="0"/>
              <w:spacing w:before="0" w:after="0"/>
              <w:ind w:firstLine="560"/>
              <w:jc w:val="both"/>
            </w:pPr>
            <w:r>
              <w:rPr>
                <w:rFonts w:ascii="Times New Roman" w:eastAsia="Times New Roman" w:hAnsi="Times New Roman" w:cs="Times New Roman"/>
                <w:color w:val="000000"/>
                <w:spacing w:val="0"/>
                <w:sz w:val="20"/>
                <w:szCs w:val="20"/>
              </w:rPr>
              <w:t>a) Multa de até 10% (dez por cento) pela inexecução parcial da ata, incidindo sobre o valor do saldo do mesmo.</w:t>
            </w:r>
          </w:p>
          <w:p>
            <w:pPr>
              <w:bidi w:val="0"/>
              <w:spacing w:before="0" w:after="0"/>
              <w:ind w:firstLine="560"/>
              <w:jc w:val="both"/>
            </w:pPr>
            <w:r>
              <w:rPr>
                <w:rFonts w:ascii="Times New Roman" w:eastAsia="Times New Roman" w:hAnsi="Times New Roman" w:cs="Times New Roman"/>
                <w:color w:val="000000"/>
                <w:spacing w:val="0"/>
                <w:sz w:val="20"/>
                <w:szCs w:val="20"/>
              </w:rPr>
              <w:t>b) Multa de até 20% (vinte por cento) pela inexecução total da ata, incidindo sobre o valor total do mesmo.</w:t>
            </w:r>
          </w:p>
          <w:p>
            <w:pPr>
              <w:bidi w:val="0"/>
              <w:spacing w:before="0" w:after="0"/>
              <w:ind w:firstLine="560"/>
              <w:jc w:val="both"/>
            </w:pPr>
            <w:r>
              <w:rPr>
                <w:rFonts w:ascii="Times New Roman" w:eastAsia="Times New Roman" w:hAnsi="Times New Roman" w:cs="Times New Roman"/>
                <w:color w:val="000000"/>
                <w:spacing w:val="0"/>
                <w:sz w:val="20"/>
                <w:szCs w:val="20"/>
              </w:rPr>
              <w:t>c) Pela inexecução total ou parcial do disposto nesta Ata e/ou seus anexos, ou por imperícia, poderá ser rescindida a contratação, ficando a CONTRATADA impedida de participar de licitações realizadas pelo MUNICÍPIO, pelo período de 02 (dois) anos, sem prejuízo do disposto nos demais subitens deste item.</w:t>
            </w:r>
          </w:p>
          <w:p>
            <w:pPr>
              <w:bidi w:val="0"/>
              <w:spacing w:before="0" w:after="0"/>
              <w:ind w:firstLine="560"/>
              <w:jc w:val="both"/>
            </w:pPr>
            <w:r>
              <w:rPr>
                <w:rFonts w:ascii="Times New Roman" w:eastAsia="Times New Roman" w:hAnsi="Times New Roman" w:cs="Times New Roman"/>
                <w:color w:val="000000"/>
                <w:spacing w:val="0"/>
                <w:sz w:val="20"/>
                <w:szCs w:val="20"/>
              </w:rPr>
              <w:t>d) As sanções previstas nos subitens anteriores poderão ser aplicadas em conjunto com o disposto na Lei 8.666/93 e demais legislações pertinentes.</w:t>
            </w:r>
          </w:p>
          <w:p>
            <w:pPr>
              <w:bidi w:val="0"/>
              <w:spacing w:before="0" w:after="0"/>
              <w:ind w:firstLine="560"/>
              <w:jc w:val="both"/>
            </w:pPr>
            <w:r>
              <w:rPr>
                <w:rFonts w:ascii="Times New Roman" w:eastAsia="Times New Roman" w:hAnsi="Times New Roman" w:cs="Times New Roman"/>
                <w:color w:val="000000"/>
                <w:spacing w:val="0"/>
                <w:sz w:val="20"/>
                <w:szCs w:val="20"/>
              </w:rPr>
              <w:t>e) As multas previstas neste item, não terão caráter compensatório, mas meramente moratório e o pagamento delas não exime a CONTRATADA da reparação dos eventuais danos, perdas ou prejuízos que seu ato vier a acarretar.</w:t>
            </w:r>
          </w:p>
          <w:p>
            <w:pPr>
              <w:bidi w:val="0"/>
              <w:spacing w:before="0" w:after="141"/>
              <w:ind w:firstLine="560"/>
              <w:jc w:val="both"/>
            </w:pPr>
            <w:r>
              <w:rPr>
                <w:rFonts w:ascii="Times New Roman" w:eastAsia="Times New Roman" w:hAnsi="Times New Roman" w:cs="Times New Roman"/>
                <w:color w:val="000000"/>
                <w:spacing w:val="0"/>
                <w:sz w:val="20"/>
                <w:szCs w:val="20"/>
              </w:rPr>
              <w:t>f) As sanções são independentes e a aplicação de uma não exclui a das outras, sendo descontadas do pagamento respectivo ou, se for o caso, cobrada judicialmente.</w:t>
            </w:r>
          </w:p>
          <w:p>
            <w:pPr>
              <w:bidi w:val="0"/>
              <w:spacing w:before="0" w:after="0"/>
              <w:ind w:firstLine="560"/>
              <w:jc w:val="both"/>
            </w:pPr>
            <w:r>
              <w:rPr>
                <w:rFonts w:ascii="Times New Roman" w:eastAsia="Times New Roman" w:hAnsi="Times New Roman" w:cs="Times New Roman"/>
                <w:color w:val="000000"/>
                <w:spacing w:val="0"/>
                <w:sz w:val="20"/>
                <w:szCs w:val="20"/>
              </w:rPr>
              <w:t>17.4. Da Convocação das Licitantes Remanescentes</w:t>
            </w:r>
          </w:p>
          <w:p>
            <w:pPr>
              <w:bidi w:val="0"/>
              <w:spacing w:before="0" w:after="141"/>
              <w:ind w:firstLine="560"/>
              <w:jc w:val="both"/>
            </w:pPr>
            <w:r>
              <w:rPr>
                <w:rFonts w:ascii="Times New Roman" w:eastAsia="Times New Roman" w:hAnsi="Times New Roman" w:cs="Times New Roman"/>
                <w:color w:val="000000"/>
                <w:spacing w:val="0"/>
                <w:sz w:val="20"/>
                <w:szCs w:val="20"/>
              </w:rPr>
              <w:t>17.4.1. Caso o adjudicatário não apresente situação regular no ato da assinatura do instrumento da ata de registro de preços, se recuse assinar o instrumento equivalente, serão convocadas para assiná-lo as licitantes remanescentes, observada a ordem de classificação.</w:t>
            </w:r>
          </w:p>
          <w:p>
            <w:pPr>
              <w:bidi w:val="0"/>
              <w:spacing w:before="0" w:after="0"/>
              <w:ind w:firstLine="560"/>
              <w:jc w:val="both"/>
            </w:pPr>
            <w:r>
              <w:rPr>
                <w:rFonts w:ascii="Times New Roman" w:eastAsia="Times New Roman" w:hAnsi="Times New Roman" w:cs="Times New Roman"/>
                <w:b/>
                <w:bCs/>
                <w:color w:val="000000"/>
                <w:spacing w:val="0"/>
                <w:sz w:val="20"/>
                <w:szCs w:val="20"/>
              </w:rPr>
              <w:t>18. DA IMPUGNAÇÃO AO EDITAL E DO PEDIDO DE ESCLARECIMENTO</w:t>
            </w:r>
          </w:p>
          <w:p>
            <w:pPr>
              <w:bidi w:val="0"/>
              <w:spacing w:before="0" w:after="0"/>
              <w:ind w:firstLine="560"/>
              <w:jc w:val="both"/>
            </w:pPr>
            <w:r>
              <w:rPr>
                <w:rFonts w:ascii="Times New Roman" w:eastAsia="Times New Roman" w:hAnsi="Times New Roman" w:cs="Times New Roman"/>
                <w:color w:val="000000"/>
                <w:spacing w:val="0"/>
                <w:sz w:val="20"/>
                <w:szCs w:val="20"/>
              </w:rPr>
              <w:t>18.1. Até 03 (três) dias úteis antes da data designada para a abertura da sessão pública, qualquer pessoa poderá impugnar este Edital.</w:t>
            </w:r>
          </w:p>
          <w:p>
            <w:pPr>
              <w:bidi w:val="0"/>
              <w:spacing w:before="0" w:after="0"/>
              <w:ind w:firstLine="560"/>
              <w:jc w:val="both"/>
            </w:pPr>
            <w:r>
              <w:rPr>
                <w:rFonts w:ascii="Times New Roman" w:eastAsia="Times New Roman" w:hAnsi="Times New Roman" w:cs="Times New Roman"/>
                <w:color w:val="000000"/>
                <w:spacing w:val="0"/>
                <w:sz w:val="20"/>
                <w:szCs w:val="20"/>
              </w:rPr>
              <w:t xml:space="preserve">18.2. A </w:t>
            </w:r>
            <w:r>
              <w:rPr>
                <w:rFonts w:ascii="Times New Roman" w:eastAsia="Times New Roman" w:hAnsi="Times New Roman" w:cs="Times New Roman"/>
                <w:b/>
                <w:bCs/>
                <w:color w:val="000000"/>
                <w:spacing w:val="0"/>
                <w:sz w:val="20"/>
                <w:szCs w:val="20"/>
              </w:rPr>
              <w:t>impugnação</w:t>
            </w:r>
            <w:r>
              <w:rPr>
                <w:rFonts w:ascii="Times New Roman" w:eastAsia="Times New Roman" w:hAnsi="Times New Roman" w:cs="Times New Roman"/>
                <w:color w:val="000000"/>
                <w:spacing w:val="0"/>
                <w:sz w:val="20"/>
                <w:szCs w:val="20"/>
              </w:rPr>
              <w:t xml:space="preserve"> poderá ser realizada por forma eletrônica, pelo e-mail licita.rionegro@gmail.com ou licitação.mun@gmail.com, ou por petição dirigida ou protocolada no endereço Rua Juvenal Ferreira Pinto, 2070 – Bairro Seminário – CEP 83880-000, Departamento de Licitações e/ou Protocolo Central.</w:t>
            </w:r>
          </w:p>
          <w:p>
            <w:pPr>
              <w:bidi w:val="0"/>
              <w:spacing w:before="0" w:after="0"/>
              <w:ind w:firstLine="560"/>
              <w:jc w:val="both"/>
            </w:pPr>
            <w:r>
              <w:rPr>
                <w:rFonts w:ascii="Times New Roman" w:eastAsia="Times New Roman" w:hAnsi="Times New Roman" w:cs="Times New Roman"/>
                <w:color w:val="000000"/>
                <w:spacing w:val="0"/>
                <w:sz w:val="20"/>
                <w:szCs w:val="20"/>
              </w:rPr>
              <w:t>18.3. Caberá ao Pregoeiro, auxiliado pelos responsáveis pela elaboração deste edital, decidir sobre a impugnação no prazo de até dois dias úteis, contados da data de recebimento da impugnação.</w:t>
            </w:r>
          </w:p>
          <w:p>
            <w:pPr>
              <w:bidi w:val="0"/>
              <w:spacing w:before="0" w:after="0"/>
              <w:ind w:firstLine="560"/>
              <w:jc w:val="both"/>
            </w:pPr>
            <w:r>
              <w:rPr>
                <w:rFonts w:ascii="Times New Roman" w:eastAsia="Times New Roman" w:hAnsi="Times New Roman" w:cs="Times New Roman"/>
                <w:color w:val="000000"/>
                <w:spacing w:val="0"/>
                <w:sz w:val="20"/>
                <w:szCs w:val="20"/>
              </w:rPr>
              <w:t xml:space="preserve">18.4. Os </w:t>
            </w:r>
            <w:r>
              <w:rPr>
                <w:rFonts w:ascii="Times New Roman" w:eastAsia="Times New Roman" w:hAnsi="Times New Roman" w:cs="Times New Roman"/>
                <w:b/>
                <w:bCs/>
                <w:color w:val="000000"/>
                <w:spacing w:val="0"/>
                <w:sz w:val="20"/>
                <w:szCs w:val="20"/>
              </w:rPr>
              <w:t>pedidos de esclarecimentos</w:t>
            </w:r>
            <w:r>
              <w:rPr>
                <w:rFonts w:ascii="Times New Roman" w:eastAsia="Times New Roman" w:hAnsi="Times New Roman" w:cs="Times New Roman"/>
                <w:color w:val="000000"/>
                <w:spacing w:val="0"/>
                <w:sz w:val="20"/>
                <w:szCs w:val="20"/>
              </w:rPr>
              <w:t xml:space="preserve"> referentes a este processo licitatório deverão ser enviados ao Pregoeiro, até 03 (três) dias úteis anteriores à data designada para abertura da sessão pública, por meio eletrônico ou protocolados no endereço indicado no Edital.</w:t>
            </w:r>
          </w:p>
          <w:p>
            <w:pPr>
              <w:bidi w:val="0"/>
              <w:spacing w:before="0" w:after="0"/>
              <w:ind w:firstLine="560"/>
              <w:jc w:val="both"/>
            </w:pPr>
            <w:r>
              <w:rPr>
                <w:rFonts w:ascii="Times New Roman" w:eastAsia="Times New Roman" w:hAnsi="Times New Roman" w:cs="Times New Roman"/>
                <w:color w:val="000000"/>
                <w:spacing w:val="0"/>
                <w:sz w:val="20"/>
                <w:szCs w:val="20"/>
              </w:rPr>
              <w:t>18.5. As impugnações e os pedidos de esclarecimentos não suspendem os prazos previstos no certame.</w:t>
            </w:r>
          </w:p>
          <w:p>
            <w:pPr>
              <w:bidi w:val="0"/>
              <w:spacing w:before="0" w:after="141"/>
              <w:ind w:firstLine="560"/>
              <w:jc w:val="both"/>
            </w:pPr>
            <w:r>
              <w:rPr>
                <w:rFonts w:ascii="Times New Roman" w:eastAsia="Times New Roman" w:hAnsi="Times New Roman" w:cs="Times New Roman"/>
                <w:color w:val="000000"/>
                <w:spacing w:val="0"/>
                <w:sz w:val="20"/>
                <w:szCs w:val="20"/>
              </w:rPr>
              <w:t>18.6. As respostas às impugnações e os esclarecimentos prestados pelo(a) Pregoeiro(a) serão anexados nos autos do processo licitatório e estarão disponíveis para consulta por qualquer interessado.</w:t>
            </w:r>
          </w:p>
          <w:p>
            <w:pPr>
              <w:bidi w:val="0"/>
              <w:spacing w:before="0" w:after="0"/>
              <w:ind w:firstLine="560"/>
              <w:jc w:val="both"/>
            </w:pPr>
            <w:r>
              <w:rPr>
                <w:rFonts w:ascii="Times New Roman" w:eastAsia="Times New Roman" w:hAnsi="Times New Roman" w:cs="Times New Roman"/>
                <w:b/>
                <w:bCs/>
                <w:color w:val="000000"/>
                <w:spacing w:val="0"/>
                <w:sz w:val="20"/>
                <w:szCs w:val="20"/>
              </w:rPr>
              <w:t>19. DAS DISPOSIÇÕES GERAIS</w:t>
            </w:r>
          </w:p>
          <w:p>
            <w:pPr>
              <w:bidi w:val="0"/>
              <w:spacing w:before="0" w:after="0"/>
              <w:ind w:firstLine="560"/>
              <w:jc w:val="both"/>
            </w:pPr>
            <w:r>
              <w:rPr>
                <w:rFonts w:ascii="Times New Roman" w:eastAsia="Times New Roman" w:hAnsi="Times New Roman" w:cs="Times New Roman"/>
                <w:color w:val="000000"/>
                <w:spacing w:val="0"/>
                <w:sz w:val="20"/>
                <w:szCs w:val="20"/>
              </w:rPr>
              <w:t>19.1.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bidi w:val="0"/>
              <w:spacing w:before="0" w:after="0"/>
              <w:ind w:firstLine="560"/>
              <w:jc w:val="both"/>
            </w:pPr>
            <w:r>
              <w:rPr>
                <w:rFonts w:ascii="Times New Roman" w:eastAsia="Times New Roman" w:hAnsi="Times New Roman" w:cs="Times New Roman"/>
                <w:color w:val="000000"/>
                <w:spacing w:val="0"/>
                <w:sz w:val="20"/>
                <w:szCs w:val="20"/>
              </w:rPr>
              <w:t>19.2.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bidi w:val="0"/>
              <w:spacing w:before="0" w:after="0"/>
              <w:ind w:firstLine="560"/>
              <w:jc w:val="both"/>
            </w:pPr>
            <w:r>
              <w:rPr>
                <w:rFonts w:ascii="Times New Roman" w:eastAsia="Times New Roman" w:hAnsi="Times New Roman" w:cs="Times New Roman"/>
                <w:color w:val="000000"/>
                <w:spacing w:val="0"/>
                <w:sz w:val="20"/>
                <w:szCs w:val="20"/>
              </w:rPr>
              <w:t>19.3. A homologação do resultado desta licitação não implicará direito à contratação.</w:t>
            </w:r>
          </w:p>
          <w:p>
            <w:pPr>
              <w:bidi w:val="0"/>
              <w:spacing w:before="0" w:after="0"/>
              <w:ind w:firstLine="560"/>
              <w:jc w:val="both"/>
            </w:pPr>
            <w:r>
              <w:rPr>
                <w:rFonts w:ascii="Times New Roman" w:eastAsia="Times New Roman" w:hAnsi="Times New Roman" w:cs="Times New Roman"/>
                <w:color w:val="000000"/>
                <w:spacing w:val="0"/>
                <w:sz w:val="20"/>
                <w:szCs w:val="20"/>
              </w:rPr>
              <w:t>19.4. As normas disciplinadoras da licitação serão sempre interpretadas em favor da ampliação da disputa entre os interessados, desde que não comprometam o interesse da Administração, o princípio da isonomia, a finalidade e a segurança da contratação.</w:t>
            </w:r>
          </w:p>
          <w:p>
            <w:pPr>
              <w:bidi w:val="0"/>
              <w:spacing w:before="0" w:after="0"/>
              <w:ind w:firstLine="560"/>
              <w:jc w:val="both"/>
            </w:pPr>
            <w:r>
              <w:rPr>
                <w:rFonts w:ascii="Times New Roman" w:eastAsia="Times New Roman" w:hAnsi="Times New Roman" w:cs="Times New Roman"/>
                <w:color w:val="000000"/>
                <w:spacing w:val="0"/>
                <w:sz w:val="20"/>
                <w:szCs w:val="20"/>
              </w:rPr>
              <w:t>19.5. Os licitantes assumem todos os custos de preparação e apresentação de suas propostas e a Administração não será, em nenhum caso, responsável por esses custos, independentemente da condução ou do resultado do processo licitatório.</w:t>
            </w:r>
          </w:p>
          <w:p>
            <w:pPr>
              <w:bidi w:val="0"/>
              <w:spacing w:before="0" w:after="0"/>
              <w:ind w:firstLine="560"/>
              <w:jc w:val="both"/>
            </w:pPr>
            <w:r>
              <w:rPr>
                <w:rFonts w:ascii="Times New Roman" w:eastAsia="Times New Roman" w:hAnsi="Times New Roman" w:cs="Times New Roman"/>
                <w:color w:val="000000"/>
                <w:spacing w:val="0"/>
                <w:sz w:val="20"/>
                <w:szCs w:val="20"/>
              </w:rPr>
              <w:t>19.6. Na contagem dos prazos estabelecidos neste Edital e seus Anexos, excluir-se-á o dia do início e incluir-se-á o do vencimento. Só se iniciam e vencem os prazos em dias de expediente na Administração.</w:t>
            </w:r>
          </w:p>
          <w:p>
            <w:pPr>
              <w:bidi w:val="0"/>
              <w:spacing w:before="0" w:after="0"/>
              <w:ind w:firstLine="560"/>
              <w:jc w:val="both"/>
            </w:pPr>
            <w:r>
              <w:rPr>
                <w:rFonts w:ascii="Times New Roman" w:eastAsia="Times New Roman" w:hAnsi="Times New Roman" w:cs="Times New Roman"/>
                <w:color w:val="000000"/>
                <w:spacing w:val="0"/>
                <w:sz w:val="20"/>
                <w:szCs w:val="20"/>
              </w:rPr>
              <w:t>19.7. O desatendimento de exigências formais não essenciais não importará o afastamento do licitante, desde que seja possível o aproveitamento do ato, observados os princípios da isonomia e do interesse público.</w:t>
            </w:r>
          </w:p>
          <w:p>
            <w:pPr>
              <w:bidi w:val="0"/>
              <w:spacing w:before="0" w:after="0"/>
              <w:ind w:firstLine="560"/>
              <w:jc w:val="both"/>
            </w:pPr>
            <w:r>
              <w:rPr>
                <w:rFonts w:ascii="Times New Roman" w:eastAsia="Times New Roman" w:hAnsi="Times New Roman" w:cs="Times New Roman"/>
                <w:color w:val="000000"/>
                <w:spacing w:val="0"/>
                <w:sz w:val="20"/>
                <w:szCs w:val="20"/>
              </w:rPr>
              <w:t>19.8. Em caso de divergência entre disposições deste Edital e de seus anexos ou demais peças que compõem o processo, prevalecerá as deste Edital.</w:t>
            </w:r>
          </w:p>
          <w:p>
            <w:pPr>
              <w:bidi w:val="0"/>
              <w:spacing w:before="0" w:after="0"/>
              <w:ind w:firstLine="560"/>
              <w:jc w:val="both"/>
            </w:pPr>
            <w:r>
              <w:rPr>
                <w:rFonts w:ascii="Times New Roman" w:eastAsia="Times New Roman" w:hAnsi="Times New Roman" w:cs="Times New Roman"/>
                <w:color w:val="000000"/>
                <w:spacing w:val="0"/>
                <w:sz w:val="20"/>
                <w:szCs w:val="20"/>
              </w:rPr>
              <w:t>19.9. O Edital está disponibilizado, na íntegra, no endereço eletrônico www.comprasnet.gov.br e www.rionegro.pr.gov.br/atos_pregao.php, e também poderão ser lidos e/ou obtidos no endereço acima indicado, nos dias úteis, no horário das 08:00 horas às 11:30 horas e das 13:30 horas às 17:00 horas, no mesmo endereço e período no qual os autos do processo administrativo permanecerão com vista franqueada aos interessados.</w:t>
            </w:r>
          </w:p>
          <w:p>
            <w:pPr>
              <w:bidi w:val="0"/>
              <w:spacing w:before="0" w:after="141"/>
              <w:ind w:firstLine="560"/>
              <w:jc w:val="both"/>
            </w:pPr>
            <w:r>
              <w:rPr>
                <w:rFonts w:ascii="Times New Roman" w:eastAsia="Times New Roman" w:hAnsi="Times New Roman" w:cs="Times New Roman"/>
                <w:color w:val="000000"/>
                <w:spacing w:val="0"/>
                <w:sz w:val="20"/>
                <w:szCs w:val="20"/>
              </w:rPr>
              <w:t>19.10. Integram este Edital, para todos os fins e efeitos, os seguintes anexos:</w:t>
            </w:r>
          </w:p>
          <w:p>
            <w:pPr>
              <w:bidi w:val="0"/>
              <w:spacing w:before="0" w:after="0"/>
              <w:ind w:firstLine="560"/>
              <w:jc w:val="both"/>
            </w:pPr>
            <w:r>
              <w:rPr>
                <w:rFonts w:ascii="Times New Roman" w:eastAsia="Times New Roman" w:hAnsi="Times New Roman" w:cs="Times New Roman"/>
                <w:color w:val="000000"/>
                <w:spacing w:val="0"/>
                <w:sz w:val="20"/>
                <w:szCs w:val="20"/>
                <w:shd w:val="clear" w:color="auto" w:fill="C0C0C0"/>
              </w:rPr>
              <w:t>19.10.1. ANEXO I - Termo de Referência</w:t>
            </w:r>
          </w:p>
          <w:p>
            <w:pPr>
              <w:bidi w:val="0"/>
              <w:spacing w:before="0" w:after="0"/>
              <w:ind w:firstLine="560"/>
              <w:jc w:val="both"/>
            </w:pPr>
            <w:r>
              <w:rPr>
                <w:rFonts w:ascii="Times New Roman" w:eastAsia="Times New Roman" w:hAnsi="Times New Roman" w:cs="Times New Roman"/>
                <w:color w:val="000000"/>
                <w:spacing w:val="0"/>
                <w:sz w:val="20"/>
                <w:szCs w:val="20"/>
                <w:shd w:val="clear" w:color="auto" w:fill="C0C0C0"/>
              </w:rPr>
              <w:t>19.10.2. ANEXO II - Minuta da Ata de Registro de Preços</w:t>
            </w:r>
          </w:p>
          <w:p>
            <w:pPr>
              <w:bidi w:val="0"/>
              <w:spacing w:before="0" w:after="0"/>
              <w:ind w:firstLine="560"/>
              <w:jc w:val="both"/>
            </w:pPr>
            <w:r>
              <w:rPr>
                <w:rFonts w:ascii="Times New Roman" w:eastAsia="Times New Roman" w:hAnsi="Times New Roman" w:cs="Times New Roman"/>
                <w:color w:val="000000"/>
                <w:spacing w:val="0"/>
                <w:sz w:val="20"/>
                <w:szCs w:val="20"/>
                <w:shd w:val="clear" w:color="auto" w:fill="C0C0C0"/>
              </w:rPr>
              <w:t>19.10.3. ANEXO III - Justificativa pela Exclusividade de Itens para Microempresa ou Empresa de Pequeno Porte</w:t>
            </w:r>
          </w:p>
          <w:p>
            <w:pPr>
              <w:bidi w:val="0"/>
              <w:spacing w:before="0" w:after="141"/>
              <w:ind w:firstLine="560"/>
              <w:jc w:val="both"/>
            </w:pPr>
            <w:r>
              <w:rPr>
                <w:rFonts w:ascii="Times New Roman" w:eastAsia="Times New Roman" w:hAnsi="Times New Roman" w:cs="Times New Roman"/>
                <w:color w:val="000000"/>
                <w:spacing w:val="0"/>
                <w:sz w:val="20"/>
                <w:szCs w:val="20"/>
                <w:shd w:val="clear" w:color="auto" w:fill="C0C0C0"/>
              </w:rPr>
              <w:t>19.10.4. ANEXO IV – Modelo Proposta de Preços</w:t>
            </w:r>
          </w:p>
          <w:p>
            <w:pPr>
              <w:bidi w:val="0"/>
              <w:spacing w:before="0" w:after="0"/>
              <w:ind w:firstLine="560"/>
              <w:jc w:val="both"/>
            </w:pPr>
            <w:r>
              <w:rPr>
                <w:rFonts w:ascii="Times New Roman" w:eastAsia="Times New Roman" w:hAnsi="Times New Roman" w:cs="Times New Roman"/>
                <w:color w:val="000000"/>
                <w:spacing w:val="0"/>
                <w:sz w:val="20"/>
                <w:szCs w:val="20"/>
              </w:rPr>
              <w:t>Rio Negro PR, 03 de abril de 2024.</w:t>
            </w:r>
          </w:p>
        </w:tc>
      </w:tr>
    </w:tbl>
    <w:bookmarkStart w:id="2" w:name="__bookmark_4"/>
    <w:bookmarkEnd w:id="2"/>
    <w:p/>
    <w:tbl>
      <w:tblPr>
        <w:tblStyle w:val="TableNormal"/>
        <w:tblOverlap w:val="never"/>
        <w:tblW w:w="9032" w:type="dxa"/>
        <w:tblInd w:w="20" w:type="dxa"/>
        <w:tblLayout w:type="fixed"/>
        <w:tblLook w:val="01E0"/>
      </w:tblPr>
      <w:tblGrid>
        <w:gridCol w:w="9032"/>
      </w:tblGrid>
      <w:tr>
        <w:tblPrEx>
          <w:tblW w:w="9032" w:type="dxa"/>
          <w:tblInd w:w="20" w:type="dxa"/>
          <w:tblLayout w:type="fixed"/>
          <w:tblLook w:val="01E0"/>
        </w:tblPrEx>
        <w:trPr>
          <w:trHeight w:hRule="exact" w:val="850"/>
          <w:tblHeader/>
        </w:trPr>
        <w:tc>
          <w:tcPr>
            <w:tcW w:w="9072" w:type="dxa"/>
            <w:noWrap w:val="0"/>
            <w:tcMar>
              <w:top w:w="0" w:type="dxa"/>
              <w:left w:w="0" w:type="dxa"/>
              <w:bottom w:w="0" w:type="dxa"/>
              <w:right w:w="0" w:type="dxa"/>
            </w:tcMar>
            <w:vAlign w:val="top"/>
          </w:tcPr>
          <w:p>
            <w:pPr>
              <w:spacing w:line="1" w:lineRule="auto"/>
            </w:pPr>
          </w:p>
        </w:tc>
      </w:tr>
      <w:tr>
        <w:tblPrEx>
          <w:tblW w:w="9032" w:type="dxa"/>
          <w:tblInd w:w="20" w:type="dxa"/>
          <w:tblLayout w:type="fixed"/>
          <w:tblLook w:val="01E0"/>
        </w:tblPrEx>
        <w:tc>
          <w:tcPr>
            <w:tcW w:w="9072" w:type="dxa"/>
            <w:noWrap w:val="0"/>
            <w:tcMar>
              <w:top w:w="0" w:type="dxa"/>
              <w:left w:w="0" w:type="dxa"/>
              <w:bottom w:w="0" w:type="dxa"/>
              <w:right w:w="0" w:type="dxa"/>
            </w:tcMar>
            <w:vAlign w:val="top"/>
          </w:tcPr>
          <w:tbl>
            <w:tblPr>
              <w:tblStyle w:val="TableNormal"/>
              <w:tblOverlap w:val="never"/>
              <w:tblW w:w="9072" w:type="dxa"/>
              <w:jc w:val="center"/>
              <w:tblInd w:w="0" w:type="dxa"/>
              <w:tblLayout w:type="fixed"/>
              <w:tblCellMar>
                <w:top w:w="0" w:type="dxa"/>
                <w:left w:w="0" w:type="dxa"/>
                <w:bottom w:w="0" w:type="dxa"/>
                <w:right w:w="0" w:type="dxa"/>
              </w:tblCellMar>
              <w:tblLook w:val="01E0"/>
            </w:tblPr>
            <w:tblGrid>
              <w:gridCol w:w="9072"/>
            </w:tblGrid>
            <w:tr>
              <w:tblPrEx>
                <w:tblW w:w="9072" w:type="dxa"/>
                <w:jc w:val="center"/>
                <w:tblInd w:w="0" w:type="dxa"/>
                <w:tblLayout w:type="fixed"/>
                <w:tblCellMar>
                  <w:top w:w="0" w:type="dxa"/>
                  <w:left w:w="0" w:type="dxa"/>
                  <w:bottom w:w="0" w:type="dxa"/>
                  <w:right w:w="0" w:type="dxa"/>
                </w:tblCellMar>
                <w:tblLook w:val="01E0"/>
              </w:tblPrEx>
              <w:trPr>
                <w:jc w:val="center"/>
              </w:trPr>
              <w:tc>
                <w:tcPr>
                  <w:tcW w:w="9072" w:type="dxa"/>
                  <w:noWrap w:val="0"/>
                  <w:tcMar>
                    <w:top w:w="0" w:type="dxa"/>
                    <w:left w:w="0" w:type="dxa"/>
                    <w:bottom w:w="0" w:type="dxa"/>
                    <w:right w:w="0" w:type="dxa"/>
                  </w:tcMar>
                  <w:vAlign w:val="top"/>
                </w:tcPr>
                <w:p>
                  <w:pPr>
                    <w:bidi w:val="0"/>
                    <w:spacing w:before="0" w:after="0"/>
                    <w:jc w:val="center"/>
                  </w:pPr>
                  <w:r>
                    <w:rPr>
                      <w:rFonts w:ascii="Times New Roman" w:eastAsia="Times New Roman" w:hAnsi="Times New Roman" w:cs="Times New Roman"/>
                      <w:b/>
                      <w:bCs/>
                      <w:color w:val="000000"/>
                      <w:spacing w:val="0"/>
                      <w:sz w:val="20"/>
                      <w:szCs w:val="20"/>
                    </w:rPr>
                    <w:t>JAMES KARSON VALERIO</w:t>
                  </w:r>
                </w:p>
                <w:p>
                  <w:pPr>
                    <w:bidi w:val="0"/>
                    <w:spacing w:before="0" w:after="0"/>
                    <w:jc w:val="center"/>
                  </w:pPr>
                  <w:r>
                    <w:rPr>
                      <w:rFonts w:ascii="Times New Roman" w:eastAsia="Times New Roman" w:hAnsi="Times New Roman" w:cs="Times New Roman"/>
                      <w:color w:val="000000"/>
                      <w:spacing w:val="0"/>
                      <w:sz w:val="20"/>
                      <w:szCs w:val="20"/>
                    </w:rPr>
                    <w:t>PREFEITO MUNICIPAL</w:t>
                  </w:r>
                </w:p>
              </w:tc>
            </w:tr>
          </w:tbl>
          <w:p>
            <w:pPr>
              <w:spacing w:line="1" w:lineRule="auto"/>
            </w:pPr>
          </w:p>
        </w:tc>
      </w:tr>
    </w:tbl>
    <w:p>
      <w:pPr>
        <w:sectPr>
          <w:headerReference w:type="default" r:id="rId6"/>
          <w:footerReference w:type="default" r:id="rId7"/>
          <w:pgSz w:w="11905" w:h="16837" w:orient="portrait"/>
          <w:pgMar w:top="360" w:right="1133" w:bottom="360" w:left="1700" w:header="360" w:footer="360"/>
          <w:cols w:space="708"/>
        </w:sectPr>
      </w:pPr>
    </w:p>
    <w:p/>
    <w:tbl>
      <w:tblPr>
        <w:tblStyle w:val="TableNormal"/>
        <w:tblOverlap w:val="never"/>
        <w:tblW w:w="9072" w:type="dxa"/>
        <w:jc w:val="left"/>
        <w:tblInd w:w="0" w:type="dxa"/>
        <w:tblLayout w:type="fixed"/>
        <w:tblCellMar>
          <w:top w:w="0" w:type="dxa"/>
          <w:left w:w="0" w:type="dxa"/>
          <w:bottom w:w="0" w:type="dxa"/>
          <w:right w:w="0" w:type="dxa"/>
        </w:tblCellMar>
        <w:tblLook w:val="01E0"/>
      </w:tblPr>
      <w:tblGrid>
        <w:gridCol w:w="9072"/>
      </w:tblGrid>
      <w:tr>
        <w:tblPrEx>
          <w:tblW w:w="9072" w:type="dxa"/>
          <w:jc w:val="left"/>
          <w:tblInd w:w="0" w:type="dxa"/>
          <w:tblLayout w:type="fixed"/>
          <w:tblCellMar>
            <w:top w:w="0" w:type="dxa"/>
            <w:left w:w="0" w:type="dxa"/>
            <w:bottom w:w="0" w:type="dxa"/>
            <w:right w:w="0" w:type="dxa"/>
          </w:tblCellMar>
          <w:tblLook w:val="01E0"/>
        </w:tblPrEx>
        <w:trPr>
          <w:jc w:val="left"/>
        </w:trPr>
        <w:tc>
          <w:tcPr>
            <w:tcW w:w="9072" w:type="dxa"/>
            <w:noWrap w:val="0"/>
            <w:tcMar>
              <w:top w:w="20" w:type="dxa"/>
              <w:left w:w="20" w:type="dxa"/>
              <w:bottom w:w="20" w:type="dxa"/>
              <w:right w:w="20" w:type="dxa"/>
            </w:tcMar>
            <w:vAlign w:val="top"/>
          </w:tcPr>
          <w:bookmarkStart w:id="3" w:name="__bookmark_5"/>
          <w:bookmarkEnd w:id="3"/>
          <w:p>
            <w:pPr>
              <w:bidi w:val="0"/>
              <w:spacing w:before="0" w:after="141"/>
              <w:jc w:val="center"/>
            </w:pPr>
            <w:r>
              <w:rPr>
                <w:rFonts w:ascii="Times New Roman" w:eastAsia="Times New Roman" w:hAnsi="Times New Roman" w:cs="Times New Roman"/>
                <w:b/>
                <w:bCs/>
                <w:color w:val="000000"/>
                <w:spacing w:val="0"/>
                <w:sz w:val="20"/>
                <w:szCs w:val="20"/>
              </w:rPr>
              <w:t>ANEXO I</w:t>
            </w:r>
          </w:p>
          <w:p>
            <w:pPr>
              <w:bidi w:val="0"/>
              <w:spacing w:before="0" w:after="141"/>
              <w:jc w:val="center"/>
            </w:pPr>
            <w:r>
              <w:rPr>
                <w:rFonts w:ascii="Times New Roman" w:eastAsia="Times New Roman" w:hAnsi="Times New Roman" w:cs="Times New Roman"/>
                <w:b/>
                <w:bCs/>
                <w:color w:val="000000"/>
                <w:spacing w:val="0"/>
                <w:sz w:val="20"/>
                <w:szCs w:val="20"/>
              </w:rPr>
              <w:t>TERMO DE REFERÊNCIA</w:t>
            </w:r>
          </w:p>
          <w:p>
            <w:pPr>
              <w:bidi w:val="0"/>
              <w:spacing w:before="0" w:after="141"/>
              <w:jc w:val="center"/>
            </w:pPr>
            <w:r>
              <w:rPr>
                <w:rFonts w:ascii="Times New Roman" w:eastAsia="Times New Roman" w:hAnsi="Times New Roman" w:cs="Times New Roman"/>
                <w:b/>
                <w:bCs/>
                <w:color w:val="000000"/>
                <w:spacing w:val="0"/>
                <w:sz w:val="20"/>
                <w:szCs w:val="20"/>
              </w:rPr>
              <w:t>PREGÃO ELETRÔNICO SRP Nº 21/2024</w:t>
            </w:r>
          </w:p>
          <w:p>
            <w:pPr>
              <w:bidi w:val="0"/>
              <w:spacing w:before="0" w:after="141"/>
              <w:jc w:val="center"/>
            </w:pPr>
            <w:r>
              <w:rPr>
                <w:rFonts w:ascii="Times New Roman" w:eastAsia="Times New Roman" w:hAnsi="Times New Roman" w:cs="Times New Roman"/>
                <w:b/>
                <w:bCs/>
                <w:color w:val="000000"/>
                <w:spacing w:val="0"/>
                <w:sz w:val="20"/>
                <w:szCs w:val="20"/>
              </w:rPr>
              <w:t>SISTEMA DE REGISTRO DE PREÇOS</w:t>
            </w:r>
          </w:p>
          <w:p>
            <w:pPr>
              <w:bidi w:val="0"/>
              <w:spacing w:before="0" w:after="141"/>
              <w:jc w:val="center"/>
            </w:pPr>
            <w:r>
              <w:rPr>
                <w:rFonts w:ascii="Times New Roman" w:eastAsia="Times New Roman" w:hAnsi="Times New Roman" w:cs="Times New Roman"/>
                <w:color w:val="000000"/>
                <w:spacing w:val="0"/>
                <w:sz w:val="20"/>
                <w:szCs w:val="20"/>
              </w:rPr>
              <w:t>(Processo Administrativo n.° 102/2024)</w:t>
            </w:r>
          </w:p>
          <w:p>
            <w:pPr>
              <w:bidi w:val="0"/>
              <w:spacing w:before="0" w:after="141"/>
              <w:ind w:firstLine="560"/>
              <w:jc w:val="both"/>
            </w:pPr>
            <w:r>
              <w:rPr>
                <w:rFonts w:ascii="Times New Roman" w:eastAsia="Times New Roman" w:hAnsi="Times New Roman" w:cs="Times New Roman"/>
                <w:b/>
                <w:bCs/>
                <w:color w:val="000000"/>
                <w:spacing w:val="0"/>
                <w:sz w:val="20"/>
                <w:szCs w:val="20"/>
              </w:rPr>
              <w:t>1. DO OBJETO</w:t>
            </w:r>
          </w:p>
          <w:p>
            <w:pPr>
              <w:bidi w:val="0"/>
              <w:spacing w:before="0" w:after="0"/>
              <w:ind w:firstLine="560"/>
              <w:jc w:val="both"/>
            </w:pPr>
            <w:r>
              <w:rPr>
                <w:rFonts w:ascii="Times New Roman" w:eastAsia="Times New Roman" w:hAnsi="Times New Roman" w:cs="Times New Roman"/>
                <w:b/>
                <w:bCs/>
                <w:color w:val="000000"/>
                <w:spacing w:val="0"/>
                <w:sz w:val="20"/>
                <w:szCs w:val="20"/>
              </w:rPr>
              <w:t>AQUISIÇÃO DE MATERIAL ESPORTIVO</w:t>
            </w:r>
            <w:r>
              <w:rPr>
                <w:rFonts w:ascii="Times New Roman" w:eastAsia="Times New Roman" w:hAnsi="Times New Roman" w:cs="Times New Roman"/>
                <w:color w:val="000000"/>
                <w:spacing w:val="0"/>
                <w:sz w:val="20"/>
                <w:szCs w:val="20"/>
              </w:rPr>
              <w:t>, conforme condições, quantidades, exigências e estimativas, estabelecidas neste instrumento:</w:t>
            </w:r>
          </w:p>
        </w:tc>
      </w:tr>
    </w:tbl>
    <w:bookmarkStart w:id="4" w:name="__bookmark_6"/>
    <w:bookmarkEnd w:id="4"/>
    <w:p/>
    <w:tbl>
      <w:tblPr>
        <w:tblStyle w:val="TableNormal"/>
        <w:tblOverlap w:val="never"/>
        <w:tblW w:w="9032" w:type="dxa"/>
        <w:tblInd w:w="20" w:type="dxa"/>
        <w:tblLayout w:type="fixed"/>
        <w:tblLook w:val="01E0"/>
      </w:tblPr>
      <w:tblGrid>
        <w:gridCol w:w="9032"/>
      </w:tblGrid>
      <w:tr>
        <w:tblPrEx>
          <w:tblW w:w="9032" w:type="dxa"/>
          <w:tblInd w:w="20" w:type="dxa"/>
          <w:tblLayout w:type="fixed"/>
          <w:tblLook w:val="01E0"/>
        </w:tblPrEx>
        <w:trPr>
          <w:trHeight w:hRule="exact" w:val="283"/>
        </w:trPr>
        <w:tc>
          <w:tcPr>
            <w:tcW w:w="9072" w:type="dxa"/>
            <w:noWrap w:val="0"/>
            <w:tcMar>
              <w:top w:w="0" w:type="dxa"/>
              <w:left w:w="0" w:type="dxa"/>
              <w:bottom w:w="0" w:type="dxa"/>
              <w:right w:w="0" w:type="dxa"/>
            </w:tcMar>
            <w:vAlign w:val="top"/>
          </w:tcPr>
          <w:p>
            <w:pPr>
              <w:spacing w:line="1" w:lineRule="auto"/>
            </w:pPr>
          </w:p>
        </w:tc>
      </w:tr>
      <w:tr>
        <w:tblPrEx>
          <w:tblW w:w="9032" w:type="dxa"/>
          <w:tblInd w:w="20" w:type="dxa"/>
          <w:tblLayout w:type="fixed"/>
          <w:tblLook w:val="01E0"/>
        </w:tblPrEx>
        <w:tc>
          <w:tcPr>
            <w:tcW w:w="9072" w:type="dxa"/>
            <w:noWrap w:val="0"/>
            <w:tcMar>
              <w:top w:w="0" w:type="dxa"/>
              <w:left w:w="0" w:type="dxa"/>
              <w:bottom w:w="0" w:type="dxa"/>
              <w:right w:w="0" w:type="dxa"/>
            </w:tcMar>
            <w:vAlign w:val="top"/>
          </w:tcPr>
          <w:bookmarkStart w:id="5" w:name="__bookmark_7"/>
          <w:bookmarkEnd w:id="5"/>
          <w:tbl>
            <w:tblPr>
              <w:tblStyle w:val="TableNormal"/>
              <w:tblOverlap w:val="never"/>
              <w:tblW w:w="8941" w:type="dxa"/>
              <w:tblInd w:w="20" w:type="dxa"/>
              <w:tblLayout w:type="fixed"/>
              <w:tblLook w:val="01E0"/>
            </w:tblPr>
            <w:tblGrid>
              <w:gridCol w:w="620"/>
              <w:gridCol w:w="1016"/>
              <w:gridCol w:w="903"/>
              <w:gridCol w:w="4146"/>
              <w:gridCol w:w="1128"/>
              <w:gridCol w:w="1128"/>
            </w:tblGrid>
            <w:tr>
              <w:tblPrEx>
                <w:tblW w:w="8941" w:type="dxa"/>
                <w:tblInd w:w="20" w:type="dxa"/>
                <w:tblLayout w:type="fixed"/>
                <w:tblLook w:val="01E0"/>
              </w:tblPrEx>
              <w:trPr>
                <w:tblHeader/>
              </w:trPr>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b/>
                      <w:bCs/>
                      <w:color w:val="000000"/>
                      <w:spacing w:val="0"/>
                      <w:sz w:val="20"/>
                      <w:szCs w:val="20"/>
                    </w:rPr>
                  </w:pPr>
                  <w:r>
                    <w:rPr>
                      <w:rFonts w:ascii="Times New Roman" w:eastAsia="Times New Roman" w:hAnsi="Times New Roman" w:cs="Times New Roman"/>
                      <w:b/>
                      <w:bCs/>
                      <w:color w:val="000000"/>
                      <w:spacing w:val="0"/>
                      <w:sz w:val="20"/>
                      <w:szCs w:val="20"/>
                    </w:rPr>
                    <w:t>Item</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b/>
                      <w:bCs/>
                      <w:color w:val="000000"/>
                      <w:spacing w:val="0"/>
                      <w:sz w:val="20"/>
                      <w:szCs w:val="20"/>
                    </w:rPr>
                  </w:pPr>
                  <w:r>
                    <w:rPr>
                      <w:rFonts w:ascii="Times New Roman" w:eastAsia="Times New Roman" w:hAnsi="Times New Roman" w:cs="Times New Roman"/>
                      <w:b/>
                      <w:bCs/>
                      <w:color w:val="000000"/>
                      <w:spacing w:val="0"/>
                      <w:sz w:val="20"/>
                      <w:szCs w:val="20"/>
                    </w:rPr>
                    <w:t>Qtde</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b/>
                      <w:bCs/>
                      <w:color w:val="000000"/>
                      <w:spacing w:val="0"/>
                      <w:sz w:val="20"/>
                      <w:szCs w:val="20"/>
                    </w:rPr>
                  </w:pPr>
                  <w:r>
                    <w:rPr>
                      <w:rFonts w:ascii="Times New Roman" w:eastAsia="Times New Roman" w:hAnsi="Times New Roman" w:cs="Times New Roman"/>
                      <w:b/>
                      <w:bCs/>
                      <w:color w:val="000000"/>
                      <w:spacing w:val="0"/>
                      <w:sz w:val="20"/>
                      <w:szCs w:val="20"/>
                    </w:rPr>
                    <w:t>Un.</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b/>
                      <w:bCs/>
                      <w:color w:val="000000"/>
                      <w:spacing w:val="0"/>
                      <w:sz w:val="20"/>
                      <w:szCs w:val="20"/>
                    </w:rPr>
                  </w:pPr>
                  <w:r>
                    <w:rPr>
                      <w:rFonts w:ascii="Times New Roman" w:eastAsia="Times New Roman" w:hAnsi="Times New Roman" w:cs="Times New Roman"/>
                      <w:b/>
                      <w:bCs/>
                      <w:color w:val="000000"/>
                      <w:spacing w:val="0"/>
                      <w:sz w:val="20"/>
                      <w:szCs w:val="20"/>
                    </w:rPr>
                    <w:t>Especificação</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b/>
                      <w:bCs/>
                      <w:color w:val="000000"/>
                      <w:spacing w:val="0"/>
                      <w:sz w:val="20"/>
                      <w:szCs w:val="20"/>
                    </w:rPr>
                  </w:pPr>
                  <w:r>
                    <w:rPr>
                      <w:rFonts w:ascii="Times New Roman" w:eastAsia="Times New Roman" w:hAnsi="Times New Roman" w:cs="Times New Roman"/>
                      <w:b/>
                      <w:bCs/>
                      <w:color w:val="000000"/>
                      <w:spacing w:val="0"/>
                      <w:sz w:val="20"/>
                      <w:szCs w:val="20"/>
                    </w:rPr>
                    <w:t>Preço Máx. Unitário</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b/>
                      <w:bCs/>
                      <w:color w:val="000000"/>
                      <w:spacing w:val="0"/>
                      <w:sz w:val="20"/>
                      <w:szCs w:val="20"/>
                    </w:rPr>
                  </w:pPr>
                  <w:r>
                    <w:rPr>
                      <w:rFonts w:ascii="Times New Roman" w:eastAsia="Times New Roman" w:hAnsi="Times New Roman" w:cs="Times New Roman"/>
                      <w:b/>
                      <w:bCs/>
                      <w:color w:val="000000"/>
                      <w:spacing w:val="0"/>
                      <w:sz w:val="20"/>
                      <w:szCs w:val="20"/>
                    </w:rPr>
                    <w:t>Preço Máx. Total</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12,00</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UN</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BOLA OFICIAL DE FUTSAL</w:t>
                  </w:r>
                </w:p>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com 11 a 20 gomos, confeccionada com PU PRÓ. Miolo (CÁPSULA SIS), removível e lubrificado. Diâmetro de 62,5 a 63,5 cm e peso 410 a 430 grs. Com selo de certificação FIFA ou CBFS</w:t>
                    <w:br/>
                    <w:t>Marca Sugerida: Penalty/Joma</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357,4500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4.289,40</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8,00</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UN</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BOLA DE HANDEBOL</w:t>
                  </w:r>
                </w:p>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MASCULINO H3L, com 30 a 32</w:t>
                    <w:br/>
                    <w:t>gomos - Certo miolo (CÁPSULA SIS), removível e lubrificado, com peso entre 425-475 grs. E circunferência entre 58-60 cm. 96,-+.Aprovada pela cbhb ou IHF.</w:t>
                    <w:br/>
                    <w:t>Marca Sugerida: Penalty/Kempa</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316,1800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2.529,44</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3</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8,00</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UN</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BOLA DE HANDEBOL</w:t>
                  </w:r>
                </w:p>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FEMININA H2L &amp;#8211; em PU ULTRA GRIP,</w:t>
                    <w:br/>
                    <w:t>com 30 a 32 gomos, miolo (CÁPSULA SIS), removível e lubrificado, com peso entre 325-375 grs. E circunferência entre 54-56 cm. Aprovada pela IHF ou CBHB.</w:t>
                    <w:br/>
                    <w:t>Marca Sugerida: Penalty/Kempa</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312,2000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2.497,60</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4</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16,00</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UN</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BOLA DE VOLEIBOL</w:t>
                  </w:r>
                </w:p>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OFICIAL &amp;#8211; Com 18 gomos, confeccionada em Microfibra, matrizada. Miolo (CÁPSULA SIS), removível e lubrificado. Diâmetro de 65 a 67 cm e peso 260 a 280 grs. Com selo de certificação FIBV ou CBV.</w:t>
                    <w:br/>
                    <w:t> Marca Sugerida: Penalty/Mikasa</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406,5100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6.504,16</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5</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10,00</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UN</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BOLA DE VOLEIBOL</w:t>
                  </w:r>
                </w:p>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OFICIAL: Bola profissional de voleibol; alta maciez, máxima performance; Material: microfibra removível e lubrificado; gomos: 18 peso: 260-310. 0º absorção de água</w:t>
                    <w:br/>
                    <w:t>Marca Sugerida: Penalty/Kagiva</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337,1300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3.371,30</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6</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4,00</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UN</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BOLA DE VOLEI DE PRAIA PRÓ</w:t>
                  </w:r>
                </w:p>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OFICIAL &amp;#8211; com 12 gomos, confeccionada com PU PRÓ. Miolo (CÁPSULA SIS), removível e lubrificado. Diâmetro de 66 a 68 cm e peso 260 a 310 grs. 0 absorção de água. Marca aprovada pela. Aprovada pela FIVB oi FPV</w:t>
                    <w:br/>
                    <w:t>Marca Sugerida: Penalty/Mikasa</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316,9500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1.267,80</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7</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6,00</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UN</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BOLA DE BASQUETE</w:t>
                  </w:r>
                </w:p>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FEMININA &amp;#8211; em microfibra, matrizada, com peso entre 510 a 567 grs. E circunferência entre 72,4 a 73,7 cm, miolo (CÁPSULA SIS) - removível e lubrificado. Aprovada pelo NBB ou CBB.</w:t>
                    <w:br/>
                    <w:t>Marca Sugerida: Penalty/Spalding</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401,0100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2.406,06</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8</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12,00</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UN</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BOLA DE BASQUETE</w:t>
                  </w:r>
                </w:p>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MASCULINO &amp;#8211; em microfibra, com peso entre 567 a 650 grs. E circunferência entre 75 a 78 cm, miolo (CÁPSULA SIS) - removível e lubrificado. Com selo de certificação FIBA ou NBB.</w:t>
                    <w:br/>
                    <w:t>Marca Sugerida: Penalty/Molten</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438,3000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5.259,60</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9</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4,00</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UN</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BOLA DE BASQUETE</w:t>
                  </w:r>
                </w:p>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3X3: oficial para competições, em pu, 580 a 650gr, miolo substituível e lubrificável e aprovada pela fiba; tamanho 6;</w:t>
                    <w:br/>
                    <w:t>marca sugerida: penalty/wilson/spalding</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406,3800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1.625,52</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10</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10,00</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UN</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BOLA DE BASQUETE OFICIAL MIRIM</w:t>
                  </w:r>
                </w:p>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em borracha, com peso entre 450 a 500 grs. E circunferência entre 70 a 74 cm, câmara miolo (CÁPSULA SIS) - removível e lubrificado.</w:t>
                    <w:br/>
                    <w:t>Marca Sugerida: Penalty/Wilson/Magussi</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95,8000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958,00</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11</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12,00</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UN</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BOLA DE FUTEBOL</w:t>
                  </w:r>
                </w:p>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DE CAMPO: 0% de absorção de água, 68-70 cm, peso: 410-450grs, miolo e slip system, removível e lubrificada. Bola aprovada pela cbf ou fifa</w:t>
                    <w:br/>
                    <w:t>Marca Sugerida: Penalty/Nike</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382,9700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4.595,64</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12</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60,00</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UN</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BOLA DE FUTEBOL</w:t>
                  </w:r>
                </w:p>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Menor absorção de água, circunferência: 68-70, peso: 410-450, miolo e slip system, removível e lubrificada. Modelo sem costura. Bola ofícial. Marca Sugerida: Penalty/Topper</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147,7200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8.863,20</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13</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4,00</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UN</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BOLA DE FUTEVÔLEI OFICIAL</w:t>
                  </w:r>
                </w:p>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tamanho 5 FT-5, composição poliuretano, sem costura, circunferência 68 &amp;#8211; 70 cm, peso 400- 440 grs, possuir 32 painéis, cor amarela e preto.</w:t>
                    <w:br/>
                    <w:t>Marca Sugerida: Penalty/Mikasa</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493,5000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1.974,00</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14</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8,00</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UN</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RAQUETE PARA BEACH TENIS</w:t>
                  </w:r>
                </w:p>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Composição: 100% Fibra de Carbono, Área da Cabeça: 27.7cm× 23.3cm, Largura do Perfil: 2 cm. Dimensões Aproximadas: 23,5x50x2 cm</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690,0000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5.520,00</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15</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20,00</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UN</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BOLINHA PARA BEACH TENIS</w:t>
                  </w:r>
                </w:p>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Cor: Amarelo/Laranja, Comprimento/Diâmetro: 7cm, Circunferência: 20cm, Peso: 40g</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29,9200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598,40</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16</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4,00</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UN</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REDE DE VÔLEI</w:t>
                  </w:r>
                </w:p>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OFICIAL DE VOLEIBOL</w:t>
                    <w:br/>
                    <w:t>Medidas: 9,5m de comprimento por 1,00m de altura; Fio: 2mm de polietileno, 100% virgem, com tratamento Anti-UV (contra as ações do tempo); Malha (Distância entre nós): 5cm; Faixa: 4 Faixas em lona de alta resistência na cor branca e com ilhós</w:t>
                    <w:br/>
                    <w:t>para fixação nos postes; Cor da rede: Preta.</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527,2500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2.109,00</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17</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6,00</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UN</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REDE DE VÔLEI</w:t>
                  </w:r>
                </w:p>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Medidas: 9,5m de comprimento por 1,00m de altura; Fio: 2mm de polietileno, 100% virgem, com tratamento Anti-UV (contra as ações do tempo); Malha (Distância entre nós): 10cm; Faixa: 4 Faixas em lona de alta resistência na cor branca e com ilhós para fixação nos postes; Cor da rede: Preta.</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467,3800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2.804,28</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18</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2,00</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JG</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JOGO DE FITAS DEMARCATÓRIAS PARA VÔLEI DE AREIA</w:t>
                  </w:r>
                </w:p>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Tamanho da quadra: 8x16m; Material: Polipropileno; contendo 2 fitas de 5cm de largura e 16 metros de comprimento e 2 fitas com 5cm de largura e 8 metros de comprimento com ilhós nas extremidade e no meio para fixação além de ganchos de metal para fixação. Cor: AZUL</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351,4100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702,82</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19</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3,00</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PRS</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REDE PARA TRAVE DE FUTEBOL</w:t>
                  </w:r>
                </w:p>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 DE CAMPO</w:t>
                    <w:br/>
                    <w:t>Dimensões: 7,50m na largura, 2,50m de altura, 2,00m de recuo superior e 2,00m de recuo inferior; Malha (Distância entre nós): 15x15cm; Fio: 6mm de seda de alta densidade - 100% virgem, com tratamento contra as ações do tempo (U.V); Cor: Branca.</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760,8100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2.282,43</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20</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4,00</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PRS</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REDE PARA TRAVE DE FUTEBOL</w:t>
                  </w:r>
                </w:p>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 DE CAMPO</w:t>
                    <w:br/>
                    <w:t>Dimensões: 7,50m na largura, 2,50m de altura, 2,00m de recuo superior e 2,00m de recuo inferior; Malha (Distância entre nós): 15x15cm; Fio: 4mm de polietileno de alta densidade - 100%virgem, com tratamento contra as ações do tempo (U.V); Cor: Branca.</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729,8700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2.919,48</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21</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3,00</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PRS</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REDE PARA FUTSAL</w:t>
                  </w:r>
                </w:p>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Dimensões: 3,20m na largura, 2,10m de altura, 1,00m de recuo superior e 1,00m de recuo inferior; Malha (Distância entre nós): 12x12cm; Fio: Confeccionada no fio 6mm de seda de alta densidade - 100% virgem, com tratamento contra as ações do</w:t>
                    <w:br/>
                    <w:t>tempo (U.V); Cor: Branca.</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605,9400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1.817,82</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22</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5,00</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PRS</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REDE PARA FUTSAL</w:t>
                  </w:r>
                </w:p>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Dimensões: 3,20m na largura, 2,10m de altura, 1,00m de recuo superior e 1,00m de recuo inferior; Malha (Distância entre nós): 12x12cm; Fio: 4mm de polietileno de alta densidade - 100% virgem, com tratamento contra as ações do tempo (U.V); Cor: Branca.</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556,0000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2.780,00</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23</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3,00</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PRS</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REDE DE FUTEBOL SUÍÇO</w:t>
                  </w:r>
                </w:p>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Dimensões: 5,20m na largura, 2,30m de altura, 1,00m de recuo superior e 1,00m de recuo inferior; Malha (Distância entre nós): 12x12cm; Fio: 6mm de seda de alta densidade - 100% virgem, com tratamento contra as ações do tempo (U.V); Cor: Branca.</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741,8700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2.225,61</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24</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8,00</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PRS</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REDE DE FUTEBOL SUÍÇO</w:t>
                  </w:r>
                </w:p>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Dimensões: 5,20m na largura, 2,30m de altura, 1,00m de recuo superior e 1,00m de recuo inferior; Malha (Distância entre nós): 15x15cm; Fio: 4mm de polietileno de alta densidade - 100% virgem, com tratamento contra as ações do tempo (U.V); Cor: Branca.</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561,2200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4.489,76</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25</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1,00</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PRS</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REDES PARA HANDEBOL</w:t>
                  </w:r>
                </w:p>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Espessura do Fio: 6mm; Malha: 12x12cm; Material: Polietileno&amp;#8211; 100% virgem, com tratamento contra as ações (U.V); Dimensões: 3,20m na largura, 2,10m de altura, 1m de recuo inferior e 0,6m de recuo superior; Cor: Branca.</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687,6500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687,65</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26</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2,00</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PRS</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REDE PARA BASQUETEBOL</w:t>
                  </w:r>
                </w:p>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11 Alças; Espessura da Corda: Fio 4mm; Material Utilizado: Polipropileno; Cor: Branca; Medidas: 0,40x0,45cm.</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79,5000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159,00</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27</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4,00</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UN</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CRONÔMETRO DIGITAL</w:t>
                  </w:r>
                </w:p>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com as seguintes funções: Memória para 200 voltas e parciais com precisão de 1/100 de segundo; Mostra a volta mais rápida, volta mais lenta e calcula o tempo médio; Mostra ano, mês, data, semana, hora, minutos e segundos; Formato de hora 12/24; Tela grande de LCD com mostrador de 3 linhas; Contagem regressiva com faixa de trabalho de 10 horas; Função ritmo com intervalos de ritmo selecionáveis; Dois conjuntos de funções de alarme, função de toque a cada hora. Composição: Caixa de plástico ABS. Peso aproximado: 55 g.</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144,7000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578,80</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28</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2,00</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UN</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PESO PARA ATLETISMO</w:t>
                  </w:r>
                </w:p>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Peso de atletismo de aço 3,00 kg 88 mm para arremesso. Pode ser usado em competições e treinamento. Acabamento rígido de aço galvanizado e pintado. Núcleo de chumbo. Peso preciso, formato esférico e equilíbrio perfeito. Superfície totalmente lisa. Peso: 3,00 kg. Produto oficial, conforme regras da IAAF.</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248,7500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497,50</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29</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2,00</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UN</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PESO PARA ATLETISMO</w:t>
                  </w:r>
                </w:p>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Peso de atletismo de aço 2,00 kg para arremesso. Pode ser usado em competições e treinamento. Acabamento rígido de aço galvanizado e pintado. Núcleo de chumbo. Peso preciso, formato esférico e equilíbrio perfeitos. Superfície totalmente lisa. Peso: 2,00 kg. Produto oficial, conforme regras da IAAF. Diâmetro aproximado: 82mm.</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189,0000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378,00</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30</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2,00</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UN</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PESO PARA ATLETISMO</w:t>
                  </w:r>
                </w:p>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Peso de atletismo de aço 4,00 kg 103 mm para arremesso. Pode ser usado em competições e treinamento. Acabamento rígido de aço galvanizado e pintado. Núcleo de chumbo. Peso e diâmetro precisos, formato esférico e equilíbrio perfeitos. Superfície totalmente lisa. Peso: 4,00 kg. Diâmetro: 103mm. Produto oficial, certificado pela IAAF</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296,5000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593,00</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31</w:t>
                  </w:r>
                </w:p>
              </w:tc>
              <w:tc>
                <w:tcPr>
                  <w:tcW w:w="102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10,00</w:t>
                  </w:r>
                </w:p>
              </w:tc>
              <w:tc>
                <w:tcPr>
                  <w:tcW w:w="90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UN</w:t>
                  </w:r>
                </w:p>
              </w:tc>
              <w:tc>
                <w:tcPr>
                  <w:tcW w:w="416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BARREIRA PARA ATLETISMO</w:t>
                  </w:r>
                </w:p>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Barreira de atletismo de aço/alumínio. Estrutura de aço galvanizado e alumínio, leve e resistente. Travessão de plástico e/ou madeira resistente. Ajuste de 5 alturas (0,685 m a 1,067 m) conforme regras da WA-IAAF. Pintura a pó, mais resistente à corrosão</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705,5300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7.055,30</w:t>
                  </w:r>
                </w:p>
              </w:tc>
            </w:tr>
          </w:tbl>
          <w:p>
            <w:pPr>
              <w:spacing w:line="1" w:lineRule="auto"/>
            </w:pPr>
          </w:p>
        </w:tc>
      </w:tr>
      <w:tr>
        <w:tblPrEx>
          <w:tblW w:w="9032" w:type="dxa"/>
          <w:tblInd w:w="20" w:type="dxa"/>
          <w:tblLayout w:type="fixed"/>
          <w:tblLook w:val="01E0"/>
        </w:tblPrEx>
        <w:trPr>
          <w:trHeight w:hRule="exact" w:val="283"/>
        </w:trPr>
        <w:tc>
          <w:tcPr>
            <w:tcW w:w="9072" w:type="dxa"/>
            <w:noWrap w:val="0"/>
            <w:tcMar>
              <w:top w:w="0" w:type="dxa"/>
              <w:left w:w="0" w:type="dxa"/>
              <w:bottom w:w="0" w:type="dxa"/>
              <w:right w:w="0" w:type="dxa"/>
            </w:tcMar>
            <w:vAlign w:val="top"/>
          </w:tcPr>
          <w:p>
            <w:pPr>
              <w:spacing w:line="1" w:lineRule="auto"/>
            </w:pPr>
          </w:p>
        </w:tc>
      </w:tr>
    </w:tbl>
    <w:p/>
    <w:tbl>
      <w:tblPr>
        <w:tblStyle w:val="TableNormal"/>
        <w:tblOverlap w:val="never"/>
        <w:tblW w:w="9072" w:type="dxa"/>
        <w:jc w:val="left"/>
        <w:tblInd w:w="0" w:type="dxa"/>
        <w:tblLayout w:type="fixed"/>
        <w:tblCellMar>
          <w:top w:w="0" w:type="dxa"/>
          <w:left w:w="0" w:type="dxa"/>
          <w:bottom w:w="0" w:type="dxa"/>
          <w:right w:w="0" w:type="dxa"/>
        </w:tblCellMar>
        <w:tblLook w:val="01E0"/>
      </w:tblPr>
      <w:tblGrid>
        <w:gridCol w:w="9072"/>
      </w:tblGrid>
      <w:tr>
        <w:tblPrEx>
          <w:tblW w:w="9072" w:type="dxa"/>
          <w:jc w:val="left"/>
          <w:tblInd w:w="0" w:type="dxa"/>
          <w:tblLayout w:type="fixed"/>
          <w:tblCellMar>
            <w:top w:w="0" w:type="dxa"/>
            <w:left w:w="0" w:type="dxa"/>
            <w:bottom w:w="0" w:type="dxa"/>
            <w:right w:w="0" w:type="dxa"/>
          </w:tblCellMar>
          <w:tblLook w:val="01E0"/>
        </w:tblPrEx>
        <w:trPr>
          <w:jc w:val="left"/>
        </w:trPr>
        <w:tc>
          <w:tcPr>
            <w:tcW w:w="9072" w:type="dxa"/>
            <w:noWrap w:val="0"/>
            <w:tcMar>
              <w:top w:w="20" w:type="dxa"/>
              <w:left w:w="20" w:type="dxa"/>
              <w:bottom w:w="20" w:type="dxa"/>
              <w:right w:w="20" w:type="dxa"/>
            </w:tcMar>
            <w:vAlign w:val="top"/>
          </w:tcPr>
          <w:bookmarkStart w:id="6" w:name="__bookmark_9"/>
          <w:bookmarkEnd w:id="6"/>
          <w:p>
            <w:pPr>
              <w:bidi w:val="0"/>
              <w:spacing w:before="0" w:after="0"/>
              <w:ind w:firstLine="560"/>
              <w:jc w:val="both"/>
            </w:pPr>
            <w:r>
              <w:rPr>
                <w:rFonts w:ascii="Times New Roman" w:eastAsia="Times New Roman" w:hAnsi="Times New Roman" w:cs="Times New Roman"/>
                <w:b/>
                <w:bCs/>
                <w:color w:val="000000"/>
                <w:spacing w:val="0"/>
                <w:sz w:val="20"/>
                <w:szCs w:val="20"/>
              </w:rPr>
              <w:t>2. VALOR TOTAL MÁXIMO R$ 84.340,57 (oitenta e quatro mil, trezentos e quarenta reais e cinquenta e sete centavos).</w:t>
            </w:r>
          </w:p>
          <w:p>
            <w:pPr>
              <w:bidi w:val="0"/>
              <w:spacing w:before="0" w:after="227"/>
              <w:ind w:firstLine="560"/>
              <w:jc w:val="both"/>
            </w:pPr>
            <w:r>
              <w:rPr>
                <w:rFonts w:ascii="Times New Roman" w:eastAsia="Times New Roman" w:hAnsi="Times New Roman" w:cs="Times New Roman"/>
                <w:color w:val="000000"/>
                <w:spacing w:val="0"/>
                <w:sz w:val="20"/>
                <w:szCs w:val="20"/>
              </w:rPr>
              <w:t>2.1 Os preços unitários e totais máximos, por item, foram obtidos a partir de pesquisa de preços e os valores que os compuseram podem ser observados no portal da transparência do Município através do link: https://rionegro.pr.gov.br -&gt; Editais de Licitação -&gt; Busca pelo ano e número do processo ou modalidade.</w:t>
            </w:r>
          </w:p>
          <w:p>
            <w:pPr>
              <w:bidi w:val="0"/>
              <w:spacing w:before="0" w:after="227"/>
              <w:ind w:firstLine="560"/>
              <w:jc w:val="both"/>
            </w:pPr>
            <w:r>
              <w:rPr>
                <w:rFonts w:ascii="Times New Roman" w:eastAsia="Times New Roman" w:hAnsi="Times New Roman" w:cs="Times New Roman"/>
                <w:b/>
                <w:bCs/>
                <w:color w:val="000000"/>
                <w:spacing w:val="0"/>
                <w:sz w:val="20"/>
                <w:szCs w:val="20"/>
                <w:shd w:val="clear" w:color="auto" w:fill="C0C0C0"/>
              </w:rPr>
              <w:t>NO CASO DE INCONSISTÊNCIA NO DESCRITIVO DOS ITENS ENTRE ESTE TERMO DE REFERÊNCIA E O CONSTANTE NA PLATAFORMA DO PREGÃO ELETRÔNICO, DEVERÁ SER CONSIDERADO O DESCRITIVO DESTE TERMO DE REFERÊNCIA.</w:t>
            </w:r>
          </w:p>
          <w:p>
            <w:pPr>
              <w:bidi w:val="0"/>
              <w:spacing w:before="0" w:after="0"/>
              <w:ind w:firstLine="560"/>
              <w:jc w:val="both"/>
            </w:pPr>
            <w:r>
              <w:rPr>
                <w:rFonts w:ascii="Times New Roman" w:eastAsia="Times New Roman" w:hAnsi="Times New Roman" w:cs="Times New Roman"/>
                <w:b/>
                <w:bCs/>
                <w:color w:val="000000"/>
                <w:spacing w:val="0"/>
                <w:sz w:val="20"/>
                <w:szCs w:val="20"/>
              </w:rPr>
              <w:t>3. EXECUÇÃO E CRITÉRIOS DE ACEITAÇÃO DO OBJETO.</w:t>
            </w:r>
          </w:p>
          <w:p>
            <w:pPr>
              <w:bidi w:val="0"/>
              <w:spacing w:before="0" w:after="141"/>
              <w:ind w:firstLine="560"/>
              <w:jc w:val="both"/>
            </w:pPr>
            <w:r>
              <w:rPr>
                <w:rFonts w:ascii="Times New Roman" w:eastAsia="Times New Roman" w:hAnsi="Times New Roman" w:cs="Times New Roman"/>
                <w:color w:val="000000"/>
                <w:spacing w:val="0"/>
                <w:sz w:val="20"/>
                <w:szCs w:val="20"/>
              </w:rPr>
              <w:t>O beneficiário deverá executar os serviços, livre de qualquer custo adicional, conforme documento emitido pelo Departamento de Licitações e Compras através do documento denominado “Ordem de Serviços”;</w:t>
            </w:r>
          </w:p>
          <w:p>
            <w:pPr>
              <w:bidi w:val="0"/>
              <w:spacing w:before="0" w:after="0"/>
              <w:ind w:firstLine="560"/>
              <w:jc w:val="both"/>
            </w:pPr>
            <w:r>
              <w:rPr>
                <w:rFonts w:ascii="Times New Roman" w:eastAsia="Times New Roman" w:hAnsi="Times New Roman" w:cs="Times New Roman"/>
                <w:b/>
                <w:bCs/>
                <w:color w:val="000000"/>
                <w:spacing w:val="0"/>
                <w:sz w:val="20"/>
                <w:szCs w:val="20"/>
              </w:rPr>
              <w:t xml:space="preserve">3.2. Prazo de execução: </w:t>
            </w:r>
            <w:r>
              <w:rPr>
                <w:rFonts w:ascii="Times New Roman" w:eastAsia="Times New Roman" w:hAnsi="Times New Roman" w:cs="Times New Roman"/>
                <w:b/>
                <w:bCs/>
                <w:color w:val="FF0000"/>
                <w:spacing w:val="0"/>
                <w:sz w:val="20"/>
                <w:szCs w:val="20"/>
              </w:rPr>
              <w:t>  </w:t>
            </w:r>
            <w:r>
              <w:rPr>
                <w:rFonts w:ascii="Times New Roman" w:eastAsia="Times New Roman" w:hAnsi="Times New Roman" w:cs="Times New Roman"/>
                <w:b/>
                <w:bCs/>
                <w:color w:val="000000"/>
                <w:spacing w:val="0"/>
                <w:sz w:val="20"/>
                <w:szCs w:val="20"/>
              </w:rPr>
              <w:t>;</w:t>
            </w:r>
          </w:p>
          <w:p>
            <w:pPr>
              <w:bidi w:val="0"/>
              <w:spacing w:before="0" w:after="0"/>
              <w:ind w:firstLine="560"/>
              <w:jc w:val="both"/>
            </w:pPr>
            <w:r>
              <w:rPr>
                <w:rFonts w:ascii="Times New Roman" w:eastAsia="Times New Roman" w:hAnsi="Times New Roman" w:cs="Times New Roman"/>
                <w:b/>
                <w:bCs/>
                <w:color w:val="000000"/>
                <w:spacing w:val="0"/>
                <w:sz w:val="20"/>
                <w:szCs w:val="20"/>
              </w:rPr>
              <w:t xml:space="preserve">3.3. Local de execução: </w:t>
            </w:r>
            <w:r>
              <w:rPr>
                <w:rFonts w:ascii="Times New Roman" w:eastAsia="Times New Roman" w:hAnsi="Times New Roman" w:cs="Times New Roman"/>
                <w:b/>
                <w:bCs/>
                <w:color w:val="FF0000"/>
                <w:spacing w:val="0"/>
                <w:sz w:val="20"/>
                <w:szCs w:val="20"/>
              </w:rPr>
              <w:t>  </w:t>
            </w:r>
            <w:r>
              <w:rPr>
                <w:rFonts w:ascii="Times New Roman" w:eastAsia="Times New Roman" w:hAnsi="Times New Roman" w:cs="Times New Roman"/>
                <w:b/>
                <w:bCs/>
                <w:color w:val="000000"/>
                <w:spacing w:val="0"/>
                <w:sz w:val="20"/>
                <w:szCs w:val="20"/>
              </w:rPr>
              <w:t>;</w:t>
            </w:r>
          </w:p>
          <w:p>
            <w:pPr>
              <w:bidi w:val="0"/>
              <w:spacing w:before="0" w:after="141"/>
              <w:ind w:firstLine="560"/>
              <w:jc w:val="both"/>
            </w:pPr>
            <w:r>
              <w:rPr>
                <w:rFonts w:ascii="Times New Roman" w:eastAsia="Times New Roman" w:hAnsi="Times New Roman" w:cs="Times New Roman"/>
                <w:b/>
                <w:bCs/>
                <w:color w:val="000000"/>
                <w:spacing w:val="0"/>
                <w:sz w:val="20"/>
                <w:szCs w:val="20"/>
              </w:rPr>
              <w:t xml:space="preserve">3.4. Condições de execução: </w:t>
            </w:r>
            <w:r>
              <w:rPr>
                <w:rFonts w:ascii="Times New Roman" w:eastAsia="Times New Roman" w:hAnsi="Times New Roman" w:cs="Times New Roman"/>
                <w:b/>
                <w:bCs/>
                <w:color w:val="FF0000"/>
                <w:spacing w:val="0"/>
                <w:sz w:val="20"/>
                <w:szCs w:val="20"/>
              </w:rPr>
              <w:t>  </w:t>
            </w:r>
            <w:r>
              <w:rPr>
                <w:rFonts w:ascii="Times New Roman" w:eastAsia="Times New Roman" w:hAnsi="Times New Roman" w:cs="Times New Roman"/>
                <w:b/>
                <w:bCs/>
                <w:color w:val="000000"/>
                <w:spacing w:val="0"/>
                <w:sz w:val="20"/>
                <w:szCs w:val="20"/>
              </w:rPr>
              <w:t>;</w:t>
            </w:r>
          </w:p>
          <w:p>
            <w:pPr>
              <w:bidi w:val="0"/>
              <w:spacing w:before="0" w:after="0"/>
              <w:ind w:firstLine="560"/>
              <w:jc w:val="both"/>
            </w:pPr>
            <w:r>
              <w:rPr>
                <w:rFonts w:ascii="Times New Roman" w:eastAsia="Times New Roman" w:hAnsi="Times New Roman" w:cs="Times New Roman"/>
                <w:color w:val="000000"/>
                <w:spacing w:val="0"/>
                <w:sz w:val="20"/>
                <w:szCs w:val="20"/>
                <w:shd w:val="clear" w:color="auto" w:fill="00EC00"/>
              </w:rPr>
              <w:t>3.5. Os serviços poderão ser rejeitados, no todo ou em parte, quando em desacordo com as especificações constantes neste Termo de Referência e na Proposta, caso não estejam de acordo será efetivada a aplicação das penalidades.</w:t>
            </w:r>
          </w:p>
          <w:p>
            <w:pPr>
              <w:bidi w:val="0"/>
              <w:spacing w:before="0" w:after="0"/>
              <w:ind w:firstLine="560"/>
              <w:jc w:val="both"/>
            </w:pPr>
            <w:r>
              <w:rPr>
                <w:rFonts w:ascii="Times New Roman" w:eastAsia="Times New Roman" w:hAnsi="Times New Roman" w:cs="Times New Roman"/>
                <w:color w:val="000000"/>
                <w:spacing w:val="0"/>
                <w:sz w:val="20"/>
                <w:szCs w:val="20"/>
                <w:shd w:val="clear" w:color="auto" w:fill="00EC00"/>
              </w:rPr>
              <w:t>3.6. Os serviços serão recebidos definitivamente após a verificação da qualidade e quantidade e consequente aceitação mediante aceite aposto na NF.</w:t>
            </w:r>
          </w:p>
          <w:p>
            <w:pPr>
              <w:bidi w:val="0"/>
              <w:spacing w:before="0" w:after="141"/>
              <w:ind w:firstLine="560"/>
              <w:jc w:val="both"/>
            </w:pPr>
            <w:r>
              <w:rPr>
                <w:rFonts w:ascii="Times New Roman" w:eastAsia="Times New Roman" w:hAnsi="Times New Roman" w:cs="Times New Roman"/>
                <w:color w:val="000000"/>
                <w:spacing w:val="0"/>
                <w:sz w:val="20"/>
                <w:szCs w:val="20"/>
                <w:shd w:val="clear" w:color="auto" w:fill="00EC00"/>
              </w:rPr>
              <w:t>3.7. O recebimento provisório ou definitivo do serviço não exclui a responsabilidade da licitante pelos prejuízos resultantes da incorreta execução da Ata de registro de Preços.</w:t>
            </w:r>
          </w:p>
          <w:p>
            <w:pPr>
              <w:bidi w:val="0"/>
              <w:spacing w:before="0" w:after="0"/>
              <w:ind w:firstLine="560"/>
              <w:jc w:val="both"/>
            </w:pPr>
            <w:r>
              <w:rPr>
                <w:rFonts w:ascii="Times New Roman" w:eastAsia="Times New Roman" w:hAnsi="Times New Roman" w:cs="Times New Roman"/>
                <w:color w:val="000000"/>
                <w:spacing w:val="0"/>
                <w:sz w:val="20"/>
                <w:szCs w:val="20"/>
                <w:shd w:val="clear" w:color="auto" w:fill="00EC00"/>
              </w:rPr>
              <w:t>3.4. Os serviços poderão ser rejeitados, no todo ou em parte, quando em desacordo com as especificações constantes neste Termo de Referência e na Proposta, caso não estejam de acordo será efetivada a aplicação das penalidades.</w:t>
            </w:r>
          </w:p>
          <w:p>
            <w:pPr>
              <w:bidi w:val="0"/>
              <w:spacing w:before="0" w:after="0"/>
              <w:ind w:firstLine="560"/>
              <w:jc w:val="both"/>
            </w:pPr>
            <w:r>
              <w:rPr>
                <w:rFonts w:ascii="Times New Roman" w:eastAsia="Times New Roman" w:hAnsi="Times New Roman" w:cs="Times New Roman"/>
                <w:color w:val="000000"/>
                <w:spacing w:val="0"/>
                <w:sz w:val="20"/>
                <w:szCs w:val="20"/>
                <w:shd w:val="clear" w:color="auto" w:fill="00EC00"/>
              </w:rPr>
              <w:t>3.5. Os serviços serão recebidos definitivamente após a verificação da qualidade e quantidade e consequente aceitação mediante aceite aposto na NF.</w:t>
            </w:r>
          </w:p>
          <w:p>
            <w:pPr>
              <w:bidi w:val="0"/>
              <w:spacing w:before="0" w:after="141"/>
              <w:ind w:firstLine="560"/>
              <w:jc w:val="both"/>
            </w:pPr>
            <w:r>
              <w:rPr>
                <w:rFonts w:ascii="Times New Roman" w:eastAsia="Times New Roman" w:hAnsi="Times New Roman" w:cs="Times New Roman"/>
                <w:color w:val="000000"/>
                <w:spacing w:val="0"/>
                <w:sz w:val="20"/>
                <w:szCs w:val="20"/>
                <w:shd w:val="clear" w:color="auto" w:fill="00EC00"/>
              </w:rPr>
              <w:t>3.6. O recebimento provisório ou definitivo do serviço não exclui a responsabilidade da licitante pelos prejuízos resultantes da incorreta execução da Ata de registro de Preços.</w:t>
            </w:r>
          </w:p>
          <w:p>
            <w:pPr>
              <w:bidi w:val="0"/>
              <w:spacing w:before="0" w:after="0"/>
              <w:ind w:firstLine="560"/>
              <w:jc w:val="both"/>
            </w:pPr>
            <w:r>
              <w:rPr>
                <w:rFonts w:ascii="Times New Roman" w:eastAsia="Times New Roman" w:hAnsi="Times New Roman" w:cs="Times New Roman"/>
                <w:b/>
                <w:bCs/>
                <w:color w:val="000000"/>
                <w:spacing w:val="0"/>
                <w:sz w:val="20"/>
                <w:szCs w:val="20"/>
              </w:rPr>
              <w:t>4. DAS OBRIGAÇÕES DA CONTRATANTE</w:t>
            </w:r>
          </w:p>
          <w:p>
            <w:pPr>
              <w:bidi w:val="0"/>
              <w:spacing w:before="0" w:after="0"/>
              <w:ind w:firstLine="560"/>
              <w:jc w:val="both"/>
            </w:pPr>
            <w:r>
              <w:rPr>
                <w:rFonts w:ascii="Times New Roman" w:eastAsia="Times New Roman" w:hAnsi="Times New Roman" w:cs="Times New Roman"/>
                <w:color w:val="000000"/>
                <w:spacing w:val="0"/>
                <w:sz w:val="20"/>
                <w:szCs w:val="20"/>
              </w:rPr>
              <w:t>4.1. São obrigações da Contratante:</w:t>
            </w:r>
          </w:p>
          <w:p>
            <w:pPr>
              <w:bidi w:val="0"/>
              <w:spacing w:before="0" w:after="0"/>
              <w:ind w:firstLine="560"/>
              <w:jc w:val="both"/>
            </w:pPr>
            <w:r>
              <w:rPr>
                <w:rFonts w:ascii="Times New Roman" w:eastAsia="Times New Roman" w:hAnsi="Times New Roman" w:cs="Times New Roman"/>
                <w:color w:val="000000"/>
                <w:spacing w:val="0"/>
                <w:sz w:val="20"/>
                <w:szCs w:val="20"/>
              </w:rPr>
              <w:t>4.1.1. receber o objeto no prazo e condições estabelecidas no Edital e seus anexos;</w:t>
            </w:r>
          </w:p>
          <w:p>
            <w:pPr>
              <w:bidi w:val="0"/>
              <w:spacing w:before="0" w:after="0"/>
              <w:ind w:firstLine="560"/>
              <w:jc w:val="both"/>
            </w:pPr>
            <w:r>
              <w:rPr>
                <w:rFonts w:ascii="Times New Roman" w:eastAsia="Times New Roman" w:hAnsi="Times New Roman" w:cs="Times New Roman"/>
                <w:color w:val="000000"/>
                <w:spacing w:val="0"/>
                <w:sz w:val="20"/>
                <w:szCs w:val="20"/>
              </w:rPr>
              <w:t>4.1.2. verificar minuciosamente o prazo fixado, a conformidade dos bens recebidos provisoriamente com as especificações constantes do Edital e da proposta, para fins de aceitação e recebimento definitivo;</w:t>
            </w:r>
          </w:p>
          <w:p>
            <w:pPr>
              <w:bidi w:val="0"/>
              <w:spacing w:before="0" w:after="0"/>
              <w:ind w:firstLine="560"/>
              <w:jc w:val="both"/>
            </w:pPr>
            <w:r>
              <w:rPr>
                <w:rFonts w:ascii="Times New Roman" w:eastAsia="Times New Roman" w:hAnsi="Times New Roman" w:cs="Times New Roman"/>
                <w:color w:val="000000"/>
                <w:spacing w:val="0"/>
                <w:sz w:val="20"/>
                <w:szCs w:val="20"/>
              </w:rPr>
              <w:t>4.1.3. comunicar à Contratada, por escrito, sobre imperfeições, falhas ou irregularidades verificadas no objeto fornecido, para que seja substituído, reparado ou corrigido;</w:t>
            </w:r>
          </w:p>
          <w:p>
            <w:pPr>
              <w:bidi w:val="0"/>
              <w:spacing w:before="0" w:after="0"/>
              <w:ind w:firstLine="560"/>
              <w:jc w:val="both"/>
            </w:pPr>
            <w:r>
              <w:rPr>
                <w:rFonts w:ascii="Times New Roman" w:eastAsia="Times New Roman" w:hAnsi="Times New Roman" w:cs="Times New Roman"/>
                <w:color w:val="000000"/>
                <w:spacing w:val="0"/>
                <w:sz w:val="20"/>
                <w:szCs w:val="20"/>
              </w:rPr>
              <w:t>4.1.4. acompanhar e fiscalizar o cumprimento das obrigações da Contratada, através de comissão/servidor especialmente designado;</w:t>
            </w:r>
          </w:p>
          <w:p>
            <w:pPr>
              <w:bidi w:val="0"/>
              <w:spacing w:before="0" w:after="0"/>
              <w:ind w:firstLine="560"/>
              <w:jc w:val="both"/>
            </w:pPr>
            <w:r>
              <w:rPr>
                <w:rFonts w:ascii="Times New Roman" w:eastAsia="Times New Roman" w:hAnsi="Times New Roman" w:cs="Times New Roman"/>
                <w:color w:val="000000"/>
                <w:spacing w:val="0"/>
                <w:sz w:val="20"/>
                <w:szCs w:val="20"/>
              </w:rPr>
              <w:t>4.1.5. efetuar o pagamento à Contratada no valor correspondente ao fornecimento do objeto, no prazo e forma estabelecidos no Edital e seus anexos;</w:t>
            </w:r>
          </w:p>
          <w:p>
            <w:pPr>
              <w:bidi w:val="0"/>
              <w:spacing w:before="0" w:after="0"/>
              <w:ind w:firstLine="560"/>
              <w:jc w:val="both"/>
            </w:pPr>
            <w:r>
              <w:rPr>
                <w:rFonts w:ascii="Times New Roman" w:eastAsia="Times New Roman" w:hAnsi="Times New Roman" w:cs="Times New Roman"/>
                <w:color w:val="000000"/>
                <w:spacing w:val="0"/>
                <w:sz w:val="20"/>
                <w:szCs w:val="20"/>
              </w:rPr>
              <w:t>4.2. A Administração não responderá por quaisquer compromissos assumidos pela Contratada com terceiros, bem como por qualquer dano causado a terceiros em decorrência de ato da Contratada, de seus empregados, prepostos ou subordinados.</w:t>
            </w:r>
          </w:p>
          <w:p>
            <w:pPr>
              <w:bidi w:val="0"/>
              <w:spacing w:before="0" w:after="141"/>
              <w:ind w:firstLine="560"/>
              <w:jc w:val="both"/>
            </w:pPr>
            <w:r>
              <w:rPr>
                <w:rFonts w:ascii="Times New Roman" w:eastAsia="Times New Roman" w:hAnsi="Times New Roman" w:cs="Times New Roman"/>
                <w:color w:val="000000"/>
                <w:spacing w:val="0"/>
                <w:sz w:val="20"/>
                <w:szCs w:val="20"/>
              </w:rPr>
              <w:t>4.3. A Administração poderá realizar pesquisa de preços periodicamente, em prazo não superior a 180 (cento e oitenta) dias, a fim de verificar a vantajosidade dos preços registrados em Ata.</w:t>
            </w:r>
          </w:p>
          <w:p>
            <w:pPr>
              <w:bidi w:val="0"/>
              <w:spacing w:before="0" w:after="0"/>
              <w:ind w:firstLine="560"/>
              <w:jc w:val="both"/>
            </w:pPr>
            <w:r>
              <w:rPr>
                <w:rFonts w:ascii="Times New Roman" w:eastAsia="Times New Roman" w:hAnsi="Times New Roman" w:cs="Times New Roman"/>
                <w:b/>
                <w:bCs/>
                <w:color w:val="000000"/>
                <w:spacing w:val="0"/>
                <w:sz w:val="20"/>
                <w:szCs w:val="20"/>
              </w:rPr>
              <w:t>5. OBRIGAÇÕES DA CONTRATADA</w:t>
            </w:r>
          </w:p>
          <w:p>
            <w:pPr>
              <w:bidi w:val="0"/>
              <w:spacing w:before="0" w:after="0"/>
              <w:ind w:firstLine="560"/>
              <w:jc w:val="both"/>
            </w:pPr>
            <w:r>
              <w:rPr>
                <w:rFonts w:ascii="Times New Roman" w:eastAsia="Times New Roman" w:hAnsi="Times New Roman" w:cs="Times New Roman"/>
                <w:color w:val="000000"/>
                <w:spacing w:val="0"/>
                <w:sz w:val="20"/>
                <w:szCs w:val="20"/>
              </w:rPr>
              <w:t>5.1. A Contratada deve cumprir todas as obrigações constantes no Edital, seus anexos e sua proposta, assumindo como exclusivamente seus os riscos e as despesas decorrentes da boa e perfeita execução do objeto e, ainda:</w:t>
            </w:r>
          </w:p>
          <w:p>
            <w:pPr>
              <w:bidi w:val="0"/>
              <w:spacing w:before="0" w:after="0"/>
              <w:ind w:firstLine="560"/>
              <w:jc w:val="both"/>
            </w:pPr>
            <w:r>
              <w:rPr>
                <w:rFonts w:ascii="Times New Roman" w:eastAsia="Times New Roman" w:hAnsi="Times New Roman" w:cs="Times New Roman"/>
                <w:color w:val="000000"/>
                <w:spacing w:val="0"/>
                <w:sz w:val="20"/>
                <w:szCs w:val="20"/>
                <w:shd w:val="clear" w:color="auto" w:fill="C0C0C0"/>
              </w:rPr>
              <w:t>5.1.1. efetuar a entrega do objeto em perfeitas condições, conforme especificações, prazo e local constantes no Edital e seus anexos, acompanhado da respectiva nota fiscal, na qual constarão as indicações referentes a: marca, modelo, fabricante;</w:t>
            </w:r>
          </w:p>
          <w:p>
            <w:pPr>
              <w:bidi w:val="0"/>
              <w:spacing w:before="0" w:after="0"/>
              <w:ind w:firstLine="560"/>
              <w:jc w:val="both"/>
            </w:pPr>
            <w:r>
              <w:rPr>
                <w:rFonts w:ascii="Times New Roman" w:eastAsia="Times New Roman" w:hAnsi="Times New Roman" w:cs="Times New Roman"/>
                <w:color w:val="000000"/>
                <w:spacing w:val="0"/>
                <w:sz w:val="20"/>
                <w:szCs w:val="20"/>
              </w:rPr>
              <w:t>5.1.2. responsabilizar-se pelos vícios e danos do objeto;</w:t>
            </w:r>
          </w:p>
          <w:p>
            <w:pPr>
              <w:bidi w:val="0"/>
              <w:spacing w:before="0" w:after="0"/>
              <w:ind w:firstLine="560"/>
              <w:jc w:val="both"/>
            </w:pPr>
            <w:r>
              <w:rPr>
                <w:rFonts w:ascii="Times New Roman" w:eastAsia="Times New Roman" w:hAnsi="Times New Roman" w:cs="Times New Roman"/>
                <w:color w:val="000000"/>
                <w:spacing w:val="0"/>
                <w:sz w:val="20"/>
                <w:szCs w:val="20"/>
              </w:rPr>
              <w:t>5.1.3. substituir, reparar ou corrigir, às suas expensas, no prazo fixado neste Termo de Referência, o objeto com avarias ou defeitos;</w:t>
            </w:r>
          </w:p>
          <w:p>
            <w:pPr>
              <w:bidi w:val="0"/>
              <w:spacing w:before="0" w:after="0"/>
              <w:ind w:firstLine="560"/>
              <w:jc w:val="both"/>
            </w:pPr>
            <w:r>
              <w:rPr>
                <w:rFonts w:ascii="Times New Roman" w:eastAsia="Times New Roman" w:hAnsi="Times New Roman" w:cs="Times New Roman"/>
                <w:color w:val="000000"/>
                <w:spacing w:val="0"/>
                <w:sz w:val="20"/>
                <w:szCs w:val="20"/>
              </w:rPr>
              <w:t>5.1.4. comunicar à Contratante, no prazo máximo de 24 (vinte e quatro) horas que antecede a data da entrega, os motivos que impossibilitem o cumprimento do prazo previsto, com a devida comprovação;</w:t>
            </w:r>
          </w:p>
          <w:p>
            <w:pPr>
              <w:bidi w:val="0"/>
              <w:spacing w:before="0" w:after="141"/>
              <w:ind w:firstLine="560"/>
              <w:jc w:val="both"/>
            </w:pPr>
            <w:r>
              <w:rPr>
                <w:rFonts w:ascii="Times New Roman" w:eastAsia="Times New Roman" w:hAnsi="Times New Roman" w:cs="Times New Roman"/>
                <w:color w:val="000000"/>
                <w:spacing w:val="0"/>
                <w:sz w:val="20"/>
                <w:szCs w:val="20"/>
              </w:rPr>
              <w:t>5.1.5. manter, durante toda a execução da Ata de Registro de Preços, em compatibilidade com as obrigações assumidas, todas as condições de habilitação e qualificação exigidas na licitação;</w:t>
            </w:r>
          </w:p>
          <w:p>
            <w:pPr>
              <w:bidi w:val="0"/>
              <w:spacing w:before="0" w:after="0"/>
              <w:ind w:firstLine="560"/>
              <w:jc w:val="both"/>
            </w:pPr>
            <w:r>
              <w:rPr>
                <w:rFonts w:ascii="Times New Roman" w:eastAsia="Times New Roman" w:hAnsi="Times New Roman" w:cs="Times New Roman"/>
                <w:b/>
                <w:bCs/>
                <w:color w:val="000000"/>
                <w:spacing w:val="0"/>
                <w:sz w:val="20"/>
                <w:szCs w:val="20"/>
              </w:rPr>
              <w:t>6. DA SUBCONTRATAÇÃO</w:t>
            </w:r>
          </w:p>
          <w:p>
            <w:pPr>
              <w:bidi w:val="0"/>
              <w:spacing w:before="0" w:after="141"/>
              <w:ind w:firstLine="560"/>
              <w:jc w:val="both"/>
            </w:pPr>
            <w:r>
              <w:rPr>
                <w:rFonts w:ascii="Times New Roman" w:eastAsia="Times New Roman" w:hAnsi="Times New Roman" w:cs="Times New Roman"/>
                <w:color w:val="000000"/>
                <w:spacing w:val="0"/>
                <w:sz w:val="20"/>
                <w:szCs w:val="20"/>
              </w:rPr>
              <w:t>6.1. Não será admitida a subcontratação do objeto licitado.</w:t>
            </w:r>
          </w:p>
          <w:p>
            <w:pPr>
              <w:bidi w:val="0"/>
              <w:spacing w:before="0" w:after="0"/>
              <w:ind w:firstLine="560"/>
              <w:jc w:val="both"/>
            </w:pPr>
            <w:r>
              <w:rPr>
                <w:rFonts w:ascii="Times New Roman" w:eastAsia="Times New Roman" w:hAnsi="Times New Roman" w:cs="Times New Roman"/>
                <w:b/>
                <w:bCs/>
                <w:color w:val="000000"/>
                <w:spacing w:val="0"/>
                <w:sz w:val="20"/>
                <w:szCs w:val="20"/>
              </w:rPr>
              <w:t>7. CONTROLE DA EXECUÇÃO</w:t>
            </w:r>
          </w:p>
          <w:p>
            <w:pPr>
              <w:bidi w:val="0"/>
              <w:spacing w:before="0" w:after="0"/>
              <w:ind w:firstLine="560"/>
              <w:jc w:val="both"/>
            </w:pPr>
            <w:r>
              <w:rPr>
                <w:rFonts w:ascii="Times New Roman" w:eastAsia="Times New Roman" w:hAnsi="Times New Roman" w:cs="Times New Roman"/>
                <w:color w:val="000000"/>
                <w:spacing w:val="0"/>
                <w:sz w:val="20"/>
                <w:szCs w:val="20"/>
              </w:rPr>
              <w:t>7.1. A fiscalização não exclui nem reduz a responsabilidade da Contratada, inclusive perante terceiros, por qualquer irregularidade, ainda que resultante de imperfeições técnicas ou vícios redibitórios, e, na ocorrência desta, não implica em coresponsabilidade da Administração ou de seus agentes e prepostos, de conformidade com o art. 70 da Lei nº 8.666, de 1993.</w:t>
            </w:r>
          </w:p>
          <w:p>
            <w:pPr>
              <w:bidi w:val="0"/>
              <w:spacing w:before="0" w:after="141"/>
              <w:ind w:firstLine="560"/>
              <w:jc w:val="both"/>
            </w:pPr>
            <w:r>
              <w:rPr>
                <w:rFonts w:ascii="Times New Roman" w:eastAsia="Times New Roman" w:hAnsi="Times New Roman" w:cs="Times New Roman"/>
                <w:color w:val="000000"/>
                <w:spacing w:val="0"/>
                <w:sz w:val="20"/>
                <w:szCs w:val="20"/>
              </w:rPr>
              <w:t>7.2. O representante da Administração anotará em registro próprio todas as ocorrências relacionadas com a execução do Registro de Preços, indicando dia, mês e ano, bem como o nome dos funcionários eventualmente envolvidos, determinando o que for necessário à regularização das falhas ou defeitos observados e encaminhando os apontamentos à autoridade competente para as providências cabíveis.</w:t>
            </w:r>
          </w:p>
          <w:p>
            <w:pPr>
              <w:bidi w:val="0"/>
              <w:spacing w:before="0" w:after="0"/>
              <w:ind w:firstLine="560"/>
              <w:jc w:val="both"/>
            </w:pPr>
            <w:r>
              <w:rPr>
                <w:rFonts w:ascii="Times New Roman" w:eastAsia="Times New Roman" w:hAnsi="Times New Roman" w:cs="Times New Roman"/>
                <w:color w:val="000000"/>
                <w:spacing w:val="0"/>
                <w:sz w:val="20"/>
                <w:szCs w:val="20"/>
              </w:rPr>
              <w:t>Município de Rio Negro, 03 de abril de 2024.</w:t>
            </w:r>
          </w:p>
        </w:tc>
      </w:tr>
    </w:tbl>
    <w:bookmarkStart w:id="7" w:name="__bookmark_10"/>
    <w:bookmarkEnd w:id="7"/>
    <w:p/>
    <w:tbl>
      <w:tblPr>
        <w:tblStyle w:val="TableNormal"/>
        <w:tblOverlap w:val="never"/>
        <w:tblW w:w="9032" w:type="dxa"/>
        <w:tblInd w:w="20" w:type="dxa"/>
        <w:tblLayout w:type="fixed"/>
        <w:tblLook w:val="01E0"/>
      </w:tblPr>
      <w:tblGrid>
        <w:gridCol w:w="9032"/>
      </w:tblGrid>
      <w:tr>
        <w:tblPrEx>
          <w:tblW w:w="9032" w:type="dxa"/>
          <w:tblInd w:w="20" w:type="dxa"/>
          <w:tblLayout w:type="fixed"/>
          <w:tblLook w:val="01E0"/>
        </w:tblPrEx>
        <w:trPr>
          <w:trHeight w:hRule="exact" w:val="850"/>
          <w:tblHeader/>
        </w:trPr>
        <w:tc>
          <w:tcPr>
            <w:tcW w:w="9072" w:type="dxa"/>
            <w:noWrap w:val="0"/>
            <w:tcMar>
              <w:top w:w="0" w:type="dxa"/>
              <w:left w:w="0" w:type="dxa"/>
              <w:bottom w:w="0" w:type="dxa"/>
              <w:right w:w="0" w:type="dxa"/>
            </w:tcMar>
            <w:vAlign w:val="top"/>
          </w:tcPr>
          <w:p>
            <w:pPr>
              <w:spacing w:line="1" w:lineRule="auto"/>
            </w:pPr>
          </w:p>
        </w:tc>
      </w:tr>
      <w:tr>
        <w:tblPrEx>
          <w:tblW w:w="9032" w:type="dxa"/>
          <w:tblInd w:w="20" w:type="dxa"/>
          <w:tblLayout w:type="fixed"/>
          <w:tblLook w:val="01E0"/>
        </w:tblPrEx>
        <w:tc>
          <w:tcPr>
            <w:tcW w:w="9072" w:type="dxa"/>
            <w:noWrap w:val="0"/>
            <w:tcMar>
              <w:top w:w="0" w:type="dxa"/>
              <w:left w:w="0" w:type="dxa"/>
              <w:bottom w:w="0" w:type="dxa"/>
              <w:right w:w="0" w:type="dxa"/>
            </w:tcMar>
            <w:vAlign w:val="top"/>
          </w:tcPr>
          <w:tbl>
            <w:tblPr>
              <w:tblStyle w:val="TableNormal"/>
              <w:tblOverlap w:val="never"/>
              <w:tblW w:w="9072" w:type="dxa"/>
              <w:jc w:val="center"/>
              <w:tblInd w:w="0" w:type="dxa"/>
              <w:tblLayout w:type="fixed"/>
              <w:tblCellMar>
                <w:top w:w="0" w:type="dxa"/>
                <w:left w:w="0" w:type="dxa"/>
                <w:bottom w:w="0" w:type="dxa"/>
                <w:right w:w="0" w:type="dxa"/>
              </w:tblCellMar>
              <w:tblLook w:val="01E0"/>
            </w:tblPr>
            <w:tblGrid>
              <w:gridCol w:w="9072"/>
            </w:tblGrid>
            <w:tr>
              <w:tblPrEx>
                <w:tblW w:w="9072" w:type="dxa"/>
                <w:jc w:val="center"/>
                <w:tblInd w:w="0" w:type="dxa"/>
                <w:tblLayout w:type="fixed"/>
                <w:tblCellMar>
                  <w:top w:w="0" w:type="dxa"/>
                  <w:left w:w="0" w:type="dxa"/>
                  <w:bottom w:w="0" w:type="dxa"/>
                  <w:right w:w="0" w:type="dxa"/>
                </w:tblCellMar>
                <w:tblLook w:val="01E0"/>
              </w:tblPrEx>
              <w:trPr>
                <w:jc w:val="center"/>
              </w:trPr>
              <w:tc>
                <w:tcPr>
                  <w:tcW w:w="9072" w:type="dxa"/>
                  <w:noWrap w:val="0"/>
                  <w:tcMar>
                    <w:top w:w="0" w:type="dxa"/>
                    <w:left w:w="0" w:type="dxa"/>
                    <w:bottom w:w="0" w:type="dxa"/>
                    <w:right w:w="0" w:type="dxa"/>
                  </w:tcMar>
                  <w:vAlign w:val="top"/>
                </w:tcPr>
                <w:p>
                  <w:pPr>
                    <w:bidi w:val="0"/>
                    <w:spacing w:before="0" w:after="0"/>
                    <w:jc w:val="center"/>
                  </w:pPr>
                  <w:r>
                    <w:rPr>
                      <w:rFonts w:ascii="Times New Roman" w:eastAsia="Times New Roman" w:hAnsi="Times New Roman" w:cs="Times New Roman"/>
                      <w:b/>
                      <w:bCs/>
                      <w:color w:val="000000"/>
                      <w:spacing w:val="0"/>
                      <w:sz w:val="20"/>
                      <w:szCs w:val="20"/>
                    </w:rPr>
                    <w:t>JAMES KARSON VALERIO</w:t>
                  </w:r>
                </w:p>
                <w:p>
                  <w:pPr>
                    <w:bidi w:val="0"/>
                    <w:spacing w:before="0" w:after="0"/>
                    <w:jc w:val="center"/>
                  </w:pPr>
                  <w:r>
                    <w:rPr>
                      <w:rFonts w:ascii="Times New Roman" w:eastAsia="Times New Roman" w:hAnsi="Times New Roman" w:cs="Times New Roman"/>
                      <w:color w:val="000000"/>
                      <w:spacing w:val="0"/>
                      <w:sz w:val="20"/>
                      <w:szCs w:val="20"/>
                    </w:rPr>
                    <w:t>PREFEITO MUNICIPAL</w:t>
                  </w:r>
                </w:p>
              </w:tc>
            </w:tr>
          </w:tbl>
          <w:p>
            <w:pPr>
              <w:spacing w:line="1" w:lineRule="auto"/>
            </w:pPr>
          </w:p>
        </w:tc>
      </w:tr>
    </w:tbl>
    <w:p>
      <w:pPr>
        <w:sectPr>
          <w:headerReference w:type="default" r:id="rId8"/>
          <w:footerReference w:type="default" r:id="rId9"/>
          <w:pgSz w:w="11905" w:h="16837" w:orient="portrait"/>
          <w:pgMar w:top="360" w:right="1133" w:bottom="360" w:left="1700" w:header="360" w:footer="360"/>
          <w:cols w:space="708"/>
        </w:sectPr>
      </w:pPr>
    </w:p>
    <w:p/>
    <w:tbl>
      <w:tblPr>
        <w:tblStyle w:val="TableNormal"/>
        <w:tblOverlap w:val="never"/>
        <w:tblW w:w="9072" w:type="dxa"/>
        <w:jc w:val="left"/>
        <w:tblInd w:w="0" w:type="dxa"/>
        <w:tblLayout w:type="fixed"/>
        <w:tblCellMar>
          <w:top w:w="0" w:type="dxa"/>
          <w:left w:w="0" w:type="dxa"/>
          <w:bottom w:w="0" w:type="dxa"/>
          <w:right w:w="0" w:type="dxa"/>
        </w:tblCellMar>
        <w:tblLook w:val="01E0"/>
      </w:tblPr>
      <w:tblGrid>
        <w:gridCol w:w="9072"/>
      </w:tblGrid>
      <w:tr>
        <w:tblPrEx>
          <w:tblW w:w="9072" w:type="dxa"/>
          <w:jc w:val="left"/>
          <w:tblInd w:w="0" w:type="dxa"/>
          <w:tblLayout w:type="fixed"/>
          <w:tblCellMar>
            <w:top w:w="0" w:type="dxa"/>
            <w:left w:w="0" w:type="dxa"/>
            <w:bottom w:w="0" w:type="dxa"/>
            <w:right w:w="0" w:type="dxa"/>
          </w:tblCellMar>
          <w:tblLook w:val="01E0"/>
        </w:tblPrEx>
        <w:trPr>
          <w:jc w:val="left"/>
        </w:trPr>
        <w:tc>
          <w:tcPr>
            <w:tcW w:w="9072" w:type="dxa"/>
            <w:noWrap w:val="0"/>
            <w:tcMar>
              <w:top w:w="20" w:type="dxa"/>
              <w:left w:w="20" w:type="dxa"/>
              <w:bottom w:w="20" w:type="dxa"/>
              <w:right w:w="20" w:type="dxa"/>
            </w:tcMar>
            <w:vAlign w:val="top"/>
          </w:tcPr>
          <w:bookmarkStart w:id="8" w:name="__bookmark_11"/>
          <w:bookmarkEnd w:id="8"/>
          <w:p>
            <w:pPr>
              <w:bidi w:val="0"/>
              <w:spacing w:before="0" w:after="141"/>
              <w:jc w:val="center"/>
            </w:pPr>
            <w:r>
              <w:rPr>
                <w:rFonts w:ascii="Times New Roman" w:eastAsia="Times New Roman" w:hAnsi="Times New Roman" w:cs="Times New Roman"/>
                <w:b/>
                <w:bCs/>
                <w:color w:val="000000"/>
                <w:spacing w:val="0"/>
                <w:sz w:val="20"/>
                <w:szCs w:val="20"/>
              </w:rPr>
              <w:t>ANEXO II</w:t>
            </w:r>
          </w:p>
          <w:p>
            <w:pPr>
              <w:bidi w:val="0"/>
              <w:spacing w:before="0" w:after="283"/>
              <w:jc w:val="center"/>
            </w:pPr>
            <w:r>
              <w:rPr>
                <w:rFonts w:ascii="Times New Roman" w:eastAsia="Times New Roman" w:hAnsi="Times New Roman" w:cs="Times New Roman"/>
                <w:b/>
                <w:bCs/>
                <w:color w:val="000000"/>
                <w:spacing w:val="0"/>
                <w:sz w:val="20"/>
                <w:szCs w:val="20"/>
              </w:rPr>
              <w:t>(MINUTA ATA DE REGISTRO DE PREÇOS)</w:t>
            </w:r>
          </w:p>
          <w:p>
            <w:pPr>
              <w:bidi w:val="0"/>
              <w:spacing w:before="0" w:after="141"/>
              <w:jc w:val="center"/>
            </w:pPr>
            <w:r>
              <w:rPr>
                <w:rFonts w:ascii="Times New Roman" w:eastAsia="Times New Roman" w:hAnsi="Times New Roman" w:cs="Times New Roman"/>
                <w:b/>
                <w:bCs/>
                <w:color w:val="000000"/>
                <w:spacing w:val="0"/>
                <w:sz w:val="20"/>
                <w:szCs w:val="20"/>
              </w:rPr>
              <w:t>ATA DE REGISTRO DE PREÇOS – nº Número de Instrumento Contratual</w:t>
            </w:r>
          </w:p>
          <w:p>
            <w:pPr>
              <w:bidi w:val="0"/>
              <w:spacing w:before="0" w:after="141"/>
              <w:jc w:val="center"/>
            </w:pPr>
            <w:r>
              <w:rPr>
                <w:rFonts w:ascii="Times New Roman" w:eastAsia="Times New Roman" w:hAnsi="Times New Roman" w:cs="Times New Roman"/>
                <w:b/>
                <w:bCs/>
                <w:color w:val="000000"/>
                <w:spacing w:val="0"/>
                <w:sz w:val="20"/>
                <w:szCs w:val="20"/>
              </w:rPr>
              <w:t>Processo n° 102/2024</w:t>
            </w:r>
          </w:p>
          <w:p>
            <w:pPr>
              <w:bidi w:val="0"/>
              <w:spacing w:before="0" w:after="141"/>
              <w:jc w:val="center"/>
            </w:pPr>
            <w:r>
              <w:rPr>
                <w:rFonts w:ascii="Times New Roman" w:eastAsia="Times New Roman" w:hAnsi="Times New Roman" w:cs="Times New Roman"/>
                <w:color w:val="000000"/>
                <w:spacing w:val="0"/>
                <w:sz w:val="20"/>
                <w:szCs w:val="20"/>
              </w:rPr>
              <w:t>PREGÃO ELETRÔNICO 21/2024</w:t>
            </w:r>
          </w:p>
          <w:p>
            <w:pPr>
              <w:bidi w:val="0"/>
              <w:spacing w:before="0" w:after="141"/>
              <w:jc w:val="both"/>
            </w:pPr>
            <w:r>
              <w:rPr>
                <w:rFonts w:ascii="Times New Roman" w:eastAsia="Times New Roman" w:hAnsi="Times New Roman" w:cs="Times New Roman"/>
                <w:color w:val="000000"/>
                <w:spacing w:val="0"/>
                <w:sz w:val="20"/>
                <w:szCs w:val="20"/>
              </w:rPr>
              <w:t xml:space="preserve">Aos Data de Instrumento Contratual o MUNICÍPIO DE RIO NEGRO-PR, neste ato representado pelo seu PREFEITO MUNICIPAL, JAMES KARSON VALERIO, Brasileiro(a), portador da Carteira de Identidade nº 30080211, expedida pela ssp/PR, inscrito no CPF/MF sob o número 462.174.799-15, residente nesta Cidade, </w:t>
            </w:r>
            <w:r>
              <w:rPr>
                <w:rFonts w:ascii="Times New Roman" w:eastAsia="Times New Roman" w:hAnsi="Times New Roman" w:cs="Times New Roman"/>
                <w:b/>
                <w:bCs/>
                <w:color w:val="000000"/>
                <w:spacing w:val="0"/>
                <w:sz w:val="20"/>
                <w:szCs w:val="20"/>
              </w:rPr>
              <w:t>RESOLVE REGISTRAR OS PREÇOS</w:t>
            </w:r>
            <w:r>
              <w:rPr>
                <w:rFonts w:ascii="Times New Roman" w:eastAsia="Times New Roman" w:hAnsi="Times New Roman" w:cs="Times New Roman"/>
                <w:color w:val="000000"/>
                <w:spacing w:val="0"/>
                <w:sz w:val="20"/>
                <w:szCs w:val="20"/>
              </w:rPr>
              <w:t xml:space="preserve"> para </w:t>
            </w:r>
            <w:r>
              <w:rPr>
                <w:rFonts w:ascii="Times New Roman" w:eastAsia="Times New Roman" w:hAnsi="Times New Roman" w:cs="Times New Roman"/>
                <w:color w:val="000000"/>
                <w:spacing w:val="0"/>
                <w:sz w:val="20"/>
                <w:szCs w:val="20"/>
              </w:rPr>
              <w:t>, do objeto abaixo especificado em face da classificação das propostas apresentadas pelas empresas qualificadas no processo e pregão supramencionado, regido pela Lei nº 10.520, de 17 de julho de 2002, Decreto 5.450, de 31 de maio de 2005, Decreto n° 3.931, de 19 de setembro de 2001, aplicando-se, subsidiariamente, as disposições contidas no Decreto Municipal 002/2006 e 003/2007, da Lei Complementar nº 123, de 14 de dezembro de 2006, Lei nº 8.078, de 11 de setembro de 1990, e na Lei nº 8.666, de 21 de junho de 1993 e demais legislação correlata.</w:t>
            </w:r>
          </w:p>
          <w:p>
            <w:pPr>
              <w:bidi w:val="0"/>
              <w:spacing w:before="0" w:after="141"/>
              <w:jc w:val="both"/>
            </w:pPr>
            <w:r>
              <w:rPr>
                <w:rFonts w:ascii="Times New Roman" w:eastAsia="Times New Roman" w:hAnsi="Times New Roman" w:cs="Times New Roman"/>
                <w:b/>
                <w:bCs/>
                <w:color w:val="000000"/>
                <w:spacing w:val="0"/>
                <w:sz w:val="20"/>
                <w:szCs w:val="20"/>
              </w:rPr>
              <w:t>CONTRATADA: Razão Social</w:t>
            </w:r>
            <w:r>
              <w:rPr>
                <w:rFonts w:ascii="Times New Roman" w:eastAsia="Times New Roman" w:hAnsi="Times New Roman" w:cs="Times New Roman"/>
                <w:color w:val="000000"/>
                <w:spacing w:val="0"/>
                <w:sz w:val="20"/>
                <w:szCs w:val="20"/>
              </w:rPr>
              <w:t xml:space="preserve">, Pessoa Jurídica, inscrita no CNPJ nº Número do CNPJ/CPF, sediada na Nome do Logradouro, nº Número do Imóvel, Nome do Bairro, município de Nome da Cidade, Sigla do UF, neste ato representado pelo(a) seu(ua) </w:t>
            </w:r>
            <w:r>
              <w:rPr>
                <w:rFonts w:ascii="Times New Roman" w:eastAsia="Times New Roman" w:hAnsi="Times New Roman" w:cs="Times New Roman"/>
                <w:color w:val="000000"/>
                <w:spacing w:val="0"/>
                <w:sz w:val="20"/>
                <w:szCs w:val="20"/>
              </w:rPr>
              <w:t xml:space="preserve"> , </w:t>
            </w:r>
            <w:r>
              <w:rPr>
                <w:rFonts w:ascii="Times New Roman" w:eastAsia="Times New Roman" w:hAnsi="Times New Roman" w:cs="Times New Roman"/>
                <w:color w:val="000000"/>
                <w:spacing w:val="0"/>
                <w:sz w:val="20"/>
                <w:szCs w:val="20"/>
              </w:rPr>
              <w:t xml:space="preserve"> brasileiro(a), Portador(a) da Carteira de Identidade nº </w:t>
            </w:r>
            <w:r>
              <w:rPr>
                <w:rFonts w:ascii="Times New Roman" w:eastAsia="Times New Roman" w:hAnsi="Times New Roman" w:cs="Times New Roman"/>
                <w:color w:val="000000"/>
                <w:spacing w:val="0"/>
                <w:sz w:val="20"/>
                <w:szCs w:val="20"/>
              </w:rPr>
              <w:t xml:space="preserve"> e do CPF/MF nº </w:t>
            </w:r>
            <w:r>
              <w:rPr>
                <w:rFonts w:ascii="Times New Roman" w:eastAsia="Times New Roman" w:hAnsi="Times New Roman" w:cs="Times New Roman"/>
                <w:color w:val="000000"/>
                <w:spacing w:val="0"/>
                <w:sz w:val="20"/>
                <w:szCs w:val="20"/>
              </w:rPr>
              <w:t>, devidamente qualificado(a) nos autos do processo, bem como junto ao SICAF (Sistema de Cadastramento Unificado de Fornecedores) do Governo Federal.</w:t>
            </w:r>
          </w:p>
          <w:p>
            <w:pPr>
              <w:bidi w:val="0"/>
              <w:spacing w:before="0" w:after="141"/>
              <w:jc w:val="both"/>
            </w:pPr>
            <w:r>
              <w:rPr>
                <w:rFonts w:ascii="Times New Roman" w:eastAsia="Times New Roman" w:hAnsi="Times New Roman" w:cs="Times New Roman"/>
                <w:b/>
                <w:bCs/>
                <w:color w:val="000000"/>
                <w:spacing w:val="0"/>
                <w:sz w:val="20"/>
                <w:szCs w:val="20"/>
              </w:rPr>
              <w:t>1 – DO OBJETO</w:t>
            </w:r>
          </w:p>
          <w:p>
            <w:pPr>
              <w:bidi w:val="0"/>
              <w:spacing w:before="0" w:after="0"/>
              <w:jc w:val="both"/>
            </w:pPr>
            <w:r>
              <w:rPr>
                <w:rFonts w:ascii="Times New Roman" w:eastAsia="Times New Roman" w:hAnsi="Times New Roman" w:cs="Times New Roman"/>
                <w:b/>
                <w:bCs/>
                <w:color w:val="000000"/>
                <w:spacing w:val="0"/>
                <w:sz w:val="20"/>
                <w:szCs w:val="20"/>
              </w:rPr>
              <w:t>AQUISIÇÃO DE MATERIAL ESPORTIVO</w:t>
            </w:r>
            <w:r>
              <w:rPr>
                <w:rFonts w:ascii="Times New Roman" w:eastAsia="Times New Roman" w:hAnsi="Times New Roman" w:cs="Times New Roman"/>
                <w:color w:val="000000"/>
                <w:spacing w:val="0"/>
                <w:sz w:val="20"/>
                <w:szCs w:val="20"/>
              </w:rPr>
              <w:t>, conforme quantidades e especificações constantes do Termo de Referência e seus Anexos.</w:t>
            </w:r>
          </w:p>
        </w:tc>
      </w:tr>
    </w:tbl>
    <w:p/>
    <w:tbl>
      <w:tblPr>
        <w:tblStyle w:val="TableNormal"/>
        <w:tblOverlap w:val="never"/>
        <w:tblW w:w="8941" w:type="dxa"/>
        <w:tblInd w:w="20" w:type="dxa"/>
        <w:tblLayout w:type="fixed"/>
        <w:tblLook w:val="01E0"/>
      </w:tblPr>
      <w:tblGrid>
        <w:gridCol w:w="621"/>
        <w:gridCol w:w="846"/>
        <w:gridCol w:w="846"/>
        <w:gridCol w:w="2116"/>
        <w:gridCol w:w="1128"/>
        <w:gridCol w:w="1128"/>
        <w:gridCol w:w="1128"/>
        <w:gridCol w:w="1128"/>
      </w:tblGrid>
      <w:tr>
        <w:tblPrEx>
          <w:tblW w:w="8941" w:type="dxa"/>
          <w:tblInd w:w="20" w:type="dxa"/>
          <w:tblLayout w:type="fixed"/>
          <w:tblLook w:val="01E0"/>
        </w:tblPrEx>
        <w:trPr>
          <w:trHeight w:hRule="exact" w:val="283"/>
        </w:trPr>
        <w:tc>
          <w:tcPr>
            <w:tcW w:w="623" w:type="dxa"/>
            <w:noWrap w:val="0"/>
            <w:tcMar>
              <w:top w:w="0" w:type="dxa"/>
              <w:left w:w="0" w:type="dxa"/>
              <w:bottom w:w="0" w:type="dxa"/>
              <w:right w:w="0" w:type="dxa"/>
            </w:tcMar>
            <w:vAlign w:val="top"/>
          </w:tcPr>
          <w:p>
            <w:pPr>
              <w:spacing w:line="1" w:lineRule="auto"/>
            </w:pPr>
          </w:p>
        </w:tc>
        <w:tc>
          <w:tcPr>
            <w:tcW w:w="850" w:type="dxa"/>
            <w:noWrap w:val="0"/>
            <w:tcMar>
              <w:top w:w="0" w:type="dxa"/>
              <w:left w:w="0" w:type="dxa"/>
              <w:bottom w:w="0" w:type="dxa"/>
              <w:right w:w="0" w:type="dxa"/>
            </w:tcMar>
            <w:vAlign w:val="top"/>
          </w:tcPr>
          <w:p>
            <w:pPr>
              <w:spacing w:line="1" w:lineRule="auto"/>
            </w:pPr>
          </w:p>
        </w:tc>
        <w:tc>
          <w:tcPr>
            <w:tcW w:w="850" w:type="dxa"/>
            <w:noWrap w:val="0"/>
            <w:tcMar>
              <w:top w:w="0" w:type="dxa"/>
              <w:left w:w="0" w:type="dxa"/>
              <w:bottom w:w="0" w:type="dxa"/>
              <w:right w:w="0" w:type="dxa"/>
            </w:tcMar>
            <w:vAlign w:val="top"/>
          </w:tcPr>
          <w:p>
            <w:pPr>
              <w:spacing w:line="1" w:lineRule="auto"/>
            </w:pPr>
          </w:p>
        </w:tc>
        <w:tc>
          <w:tcPr>
            <w:tcW w:w="2126" w:type="dxa"/>
            <w:noWrap w:val="0"/>
            <w:tcMar>
              <w:top w:w="0" w:type="dxa"/>
              <w:left w:w="0" w:type="dxa"/>
              <w:bottom w:w="0" w:type="dxa"/>
              <w:right w:w="0" w:type="dxa"/>
            </w:tcMar>
            <w:vAlign w:val="top"/>
          </w:tcPr>
          <w:p>
            <w:pPr>
              <w:spacing w:line="1" w:lineRule="auto"/>
            </w:pPr>
          </w:p>
        </w:tc>
        <w:tc>
          <w:tcPr>
            <w:tcW w:w="1133" w:type="dxa"/>
            <w:noWrap w:val="0"/>
            <w:tcMar>
              <w:top w:w="0" w:type="dxa"/>
              <w:left w:w="0" w:type="dxa"/>
              <w:bottom w:w="0" w:type="dxa"/>
              <w:right w:w="0" w:type="dxa"/>
            </w:tcMar>
            <w:vAlign w:val="top"/>
          </w:tcPr>
          <w:p>
            <w:pPr>
              <w:spacing w:line="1" w:lineRule="auto"/>
            </w:pPr>
          </w:p>
        </w:tc>
        <w:tc>
          <w:tcPr>
            <w:tcW w:w="1133" w:type="dxa"/>
            <w:noWrap w:val="0"/>
            <w:tcMar>
              <w:top w:w="0" w:type="dxa"/>
              <w:left w:w="0" w:type="dxa"/>
              <w:bottom w:w="0" w:type="dxa"/>
              <w:right w:w="0" w:type="dxa"/>
            </w:tcMar>
            <w:vAlign w:val="top"/>
          </w:tcPr>
          <w:p>
            <w:pPr>
              <w:spacing w:line="1" w:lineRule="auto"/>
            </w:pPr>
          </w:p>
        </w:tc>
        <w:tc>
          <w:tcPr>
            <w:tcW w:w="1133" w:type="dxa"/>
            <w:noWrap w:val="0"/>
            <w:tcMar>
              <w:top w:w="0" w:type="dxa"/>
              <w:left w:w="0" w:type="dxa"/>
              <w:bottom w:w="0" w:type="dxa"/>
              <w:right w:w="0" w:type="dxa"/>
            </w:tcMar>
            <w:vAlign w:val="top"/>
          </w:tcPr>
          <w:p>
            <w:pPr>
              <w:spacing w:line="1" w:lineRule="auto"/>
            </w:pPr>
          </w:p>
        </w:tc>
        <w:tc>
          <w:tcPr>
            <w:tcW w:w="1133" w:type="dxa"/>
            <w:noWrap w:val="0"/>
            <w:tcMar>
              <w:top w:w="0" w:type="dxa"/>
              <w:left w:w="0" w:type="dxa"/>
              <w:bottom w:w="0" w:type="dxa"/>
              <w:right w:w="0" w:type="dxa"/>
            </w:tcMar>
            <w:vAlign w:val="top"/>
          </w:tcPr>
          <w:p>
            <w:pPr>
              <w:spacing w:line="1" w:lineRule="auto"/>
            </w:pP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b/>
                <w:bCs/>
                <w:color w:val="000000"/>
                <w:spacing w:val="0"/>
                <w:sz w:val="20"/>
                <w:szCs w:val="20"/>
              </w:rPr>
            </w:pPr>
            <w:r>
              <w:rPr>
                <w:rFonts w:ascii="Times New Roman" w:eastAsia="Times New Roman" w:hAnsi="Times New Roman" w:cs="Times New Roman"/>
                <w:b/>
                <w:bCs/>
                <w:color w:val="000000"/>
                <w:spacing w:val="0"/>
                <w:sz w:val="20"/>
                <w:szCs w:val="20"/>
              </w:rPr>
              <w:t>Item</w:t>
            </w: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b/>
                <w:bCs/>
                <w:color w:val="000000"/>
                <w:spacing w:val="0"/>
                <w:sz w:val="20"/>
                <w:szCs w:val="20"/>
              </w:rPr>
            </w:pPr>
            <w:r>
              <w:rPr>
                <w:rFonts w:ascii="Times New Roman" w:eastAsia="Times New Roman" w:hAnsi="Times New Roman" w:cs="Times New Roman"/>
                <w:b/>
                <w:bCs/>
                <w:color w:val="000000"/>
                <w:spacing w:val="0"/>
                <w:sz w:val="20"/>
                <w:szCs w:val="20"/>
              </w:rPr>
              <w:t>Qtde</w:t>
            </w: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b/>
                <w:bCs/>
                <w:color w:val="000000"/>
                <w:spacing w:val="0"/>
                <w:sz w:val="20"/>
                <w:szCs w:val="20"/>
              </w:rPr>
            </w:pPr>
            <w:r>
              <w:rPr>
                <w:rFonts w:ascii="Times New Roman" w:eastAsia="Times New Roman" w:hAnsi="Times New Roman" w:cs="Times New Roman"/>
                <w:b/>
                <w:bCs/>
                <w:color w:val="000000"/>
                <w:spacing w:val="0"/>
                <w:sz w:val="20"/>
                <w:szCs w:val="20"/>
              </w:rPr>
              <w:t>Un.</w:t>
            </w:r>
          </w:p>
        </w:tc>
        <w:tc>
          <w:tcPr>
            <w:tcW w:w="21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b/>
                <w:bCs/>
                <w:color w:val="000000"/>
                <w:spacing w:val="0"/>
                <w:sz w:val="20"/>
                <w:szCs w:val="20"/>
              </w:rPr>
            </w:pPr>
            <w:r>
              <w:rPr>
                <w:rFonts w:ascii="Times New Roman" w:eastAsia="Times New Roman" w:hAnsi="Times New Roman" w:cs="Times New Roman"/>
                <w:b/>
                <w:bCs/>
                <w:color w:val="000000"/>
                <w:spacing w:val="0"/>
                <w:sz w:val="20"/>
                <w:szCs w:val="20"/>
              </w:rPr>
              <w:t>Especificação</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b/>
                <w:bCs/>
                <w:color w:val="000000"/>
                <w:spacing w:val="0"/>
                <w:sz w:val="20"/>
                <w:szCs w:val="20"/>
              </w:rPr>
            </w:pPr>
            <w:r>
              <w:rPr>
                <w:rFonts w:ascii="Times New Roman" w:eastAsia="Times New Roman" w:hAnsi="Times New Roman" w:cs="Times New Roman"/>
                <w:b/>
                <w:bCs/>
                <w:color w:val="000000"/>
                <w:spacing w:val="0"/>
                <w:sz w:val="20"/>
                <w:szCs w:val="20"/>
              </w:rPr>
              <w:t>Marca</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b/>
                <w:bCs/>
                <w:color w:val="000000"/>
                <w:spacing w:val="0"/>
                <w:sz w:val="20"/>
                <w:szCs w:val="20"/>
              </w:rPr>
            </w:pPr>
            <w:r>
              <w:rPr>
                <w:rFonts w:ascii="Times New Roman" w:eastAsia="Times New Roman" w:hAnsi="Times New Roman" w:cs="Times New Roman"/>
                <w:b/>
                <w:bCs/>
                <w:color w:val="000000"/>
                <w:spacing w:val="0"/>
                <w:sz w:val="20"/>
                <w:szCs w:val="20"/>
              </w:rPr>
              <w:t>Modelo</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b/>
                <w:bCs/>
                <w:color w:val="000000"/>
                <w:spacing w:val="0"/>
                <w:sz w:val="20"/>
                <w:szCs w:val="20"/>
              </w:rPr>
            </w:pPr>
            <w:r>
              <w:rPr>
                <w:rFonts w:ascii="Times New Roman" w:eastAsia="Times New Roman" w:hAnsi="Times New Roman" w:cs="Times New Roman"/>
                <w:b/>
                <w:bCs/>
                <w:color w:val="000000"/>
                <w:spacing w:val="0"/>
                <w:sz w:val="20"/>
                <w:szCs w:val="20"/>
              </w:rPr>
              <w:t>Preço Unitário</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b/>
                <w:bCs/>
                <w:color w:val="000000"/>
                <w:spacing w:val="0"/>
                <w:sz w:val="20"/>
                <w:szCs w:val="20"/>
              </w:rPr>
            </w:pPr>
            <w:r>
              <w:rPr>
                <w:rFonts w:ascii="Times New Roman" w:eastAsia="Times New Roman" w:hAnsi="Times New Roman" w:cs="Times New Roman"/>
                <w:b/>
                <w:bCs/>
                <w:color w:val="000000"/>
                <w:spacing w:val="0"/>
                <w:sz w:val="20"/>
                <w:szCs w:val="20"/>
              </w:rPr>
              <w:t>Preço Total</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w:t>
            </w: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21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w:t>
            </w: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21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21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21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21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21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21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r>
      <w:tr>
        <w:tblPrEx>
          <w:tblW w:w="8941" w:type="dxa"/>
          <w:tblInd w:w="20" w:type="dxa"/>
          <w:tblLayout w:type="fixed"/>
          <w:tblLook w:val="01E0"/>
        </w:tblPrEx>
        <w:trPr>
          <w:trHeight w:hRule="exact" w:val="283"/>
        </w:trPr>
        <w:tc>
          <w:tcPr>
            <w:tcW w:w="623" w:type="dxa"/>
            <w:noWrap w:val="0"/>
            <w:tcMar>
              <w:top w:w="0" w:type="dxa"/>
              <w:left w:w="0" w:type="dxa"/>
              <w:bottom w:w="0" w:type="dxa"/>
              <w:right w:w="0" w:type="dxa"/>
            </w:tcMar>
            <w:vAlign w:val="top"/>
          </w:tcPr>
          <w:p>
            <w:pPr>
              <w:spacing w:line="1" w:lineRule="auto"/>
            </w:pPr>
          </w:p>
        </w:tc>
        <w:tc>
          <w:tcPr>
            <w:tcW w:w="850" w:type="dxa"/>
            <w:noWrap w:val="0"/>
            <w:tcMar>
              <w:top w:w="0" w:type="dxa"/>
              <w:left w:w="0" w:type="dxa"/>
              <w:bottom w:w="0" w:type="dxa"/>
              <w:right w:w="0" w:type="dxa"/>
            </w:tcMar>
            <w:vAlign w:val="top"/>
          </w:tcPr>
          <w:p>
            <w:pPr>
              <w:spacing w:line="1" w:lineRule="auto"/>
            </w:pPr>
          </w:p>
        </w:tc>
        <w:tc>
          <w:tcPr>
            <w:tcW w:w="850" w:type="dxa"/>
            <w:noWrap w:val="0"/>
            <w:tcMar>
              <w:top w:w="0" w:type="dxa"/>
              <w:left w:w="0" w:type="dxa"/>
              <w:bottom w:w="0" w:type="dxa"/>
              <w:right w:w="0" w:type="dxa"/>
            </w:tcMar>
            <w:vAlign w:val="top"/>
          </w:tcPr>
          <w:p>
            <w:pPr>
              <w:spacing w:line="1" w:lineRule="auto"/>
            </w:pPr>
          </w:p>
        </w:tc>
        <w:tc>
          <w:tcPr>
            <w:tcW w:w="2126" w:type="dxa"/>
            <w:noWrap w:val="0"/>
            <w:tcMar>
              <w:top w:w="0" w:type="dxa"/>
              <w:left w:w="0" w:type="dxa"/>
              <w:bottom w:w="0" w:type="dxa"/>
              <w:right w:w="0" w:type="dxa"/>
            </w:tcMar>
            <w:vAlign w:val="top"/>
          </w:tcPr>
          <w:p>
            <w:pPr>
              <w:spacing w:line="1" w:lineRule="auto"/>
            </w:pPr>
          </w:p>
        </w:tc>
        <w:tc>
          <w:tcPr>
            <w:tcW w:w="1133" w:type="dxa"/>
            <w:noWrap w:val="0"/>
            <w:tcMar>
              <w:top w:w="0" w:type="dxa"/>
              <w:left w:w="0" w:type="dxa"/>
              <w:bottom w:w="0" w:type="dxa"/>
              <w:right w:w="0" w:type="dxa"/>
            </w:tcMar>
            <w:vAlign w:val="top"/>
          </w:tcPr>
          <w:p>
            <w:pPr>
              <w:spacing w:line="1" w:lineRule="auto"/>
            </w:pPr>
          </w:p>
        </w:tc>
        <w:tc>
          <w:tcPr>
            <w:tcW w:w="1133" w:type="dxa"/>
            <w:noWrap w:val="0"/>
            <w:tcMar>
              <w:top w:w="0" w:type="dxa"/>
              <w:left w:w="0" w:type="dxa"/>
              <w:bottom w:w="0" w:type="dxa"/>
              <w:right w:w="0" w:type="dxa"/>
            </w:tcMar>
            <w:vAlign w:val="top"/>
          </w:tcPr>
          <w:p>
            <w:pPr>
              <w:spacing w:line="1" w:lineRule="auto"/>
            </w:pPr>
          </w:p>
        </w:tc>
        <w:tc>
          <w:tcPr>
            <w:tcW w:w="1133" w:type="dxa"/>
            <w:noWrap w:val="0"/>
            <w:tcMar>
              <w:top w:w="0" w:type="dxa"/>
              <w:left w:w="0" w:type="dxa"/>
              <w:bottom w:w="0" w:type="dxa"/>
              <w:right w:w="0" w:type="dxa"/>
            </w:tcMar>
            <w:vAlign w:val="top"/>
          </w:tcPr>
          <w:p>
            <w:pPr>
              <w:spacing w:line="1" w:lineRule="auto"/>
            </w:pPr>
          </w:p>
        </w:tc>
        <w:tc>
          <w:tcPr>
            <w:tcW w:w="1133" w:type="dxa"/>
            <w:noWrap w:val="0"/>
            <w:tcMar>
              <w:top w:w="0" w:type="dxa"/>
              <w:left w:w="0" w:type="dxa"/>
              <w:bottom w:w="0" w:type="dxa"/>
              <w:right w:w="0" w:type="dxa"/>
            </w:tcMar>
            <w:vAlign w:val="top"/>
          </w:tcPr>
          <w:p>
            <w:pPr>
              <w:spacing w:line="1" w:lineRule="auto"/>
            </w:pPr>
          </w:p>
        </w:tc>
      </w:tr>
    </w:tbl>
    <w:p/>
    <w:tbl>
      <w:tblPr>
        <w:tblStyle w:val="TableNormal"/>
        <w:tblOverlap w:val="never"/>
        <w:tblW w:w="9072" w:type="dxa"/>
        <w:jc w:val="left"/>
        <w:tblInd w:w="0" w:type="dxa"/>
        <w:tblLayout w:type="fixed"/>
        <w:tblCellMar>
          <w:top w:w="0" w:type="dxa"/>
          <w:left w:w="0" w:type="dxa"/>
          <w:bottom w:w="0" w:type="dxa"/>
          <w:right w:w="0" w:type="dxa"/>
        </w:tblCellMar>
        <w:tblLook w:val="01E0"/>
      </w:tblPr>
      <w:tblGrid>
        <w:gridCol w:w="9072"/>
      </w:tblGrid>
      <w:tr>
        <w:tblPrEx>
          <w:tblW w:w="9072" w:type="dxa"/>
          <w:jc w:val="left"/>
          <w:tblInd w:w="0" w:type="dxa"/>
          <w:tblLayout w:type="fixed"/>
          <w:tblCellMar>
            <w:top w:w="0" w:type="dxa"/>
            <w:left w:w="0" w:type="dxa"/>
            <w:bottom w:w="0" w:type="dxa"/>
            <w:right w:w="0" w:type="dxa"/>
          </w:tblCellMar>
          <w:tblLook w:val="01E0"/>
        </w:tblPrEx>
        <w:trPr>
          <w:jc w:val="left"/>
        </w:trPr>
        <w:tc>
          <w:tcPr>
            <w:tcW w:w="9072" w:type="dxa"/>
            <w:noWrap w:val="0"/>
            <w:tcMar>
              <w:top w:w="20" w:type="dxa"/>
              <w:left w:w="20" w:type="dxa"/>
              <w:bottom w:w="20" w:type="dxa"/>
              <w:right w:w="20" w:type="dxa"/>
            </w:tcMar>
            <w:vAlign w:val="top"/>
          </w:tcPr>
          <w:bookmarkStart w:id="9" w:name="__bookmark_12"/>
          <w:bookmarkEnd w:id="9"/>
          <w:p>
            <w:pPr>
              <w:bidi w:val="0"/>
              <w:spacing w:before="0" w:after="141"/>
              <w:jc w:val="both"/>
            </w:pPr>
            <w:r>
              <w:rPr>
                <w:rFonts w:ascii="Times New Roman" w:eastAsia="Times New Roman" w:hAnsi="Times New Roman" w:cs="Times New Roman"/>
                <w:color w:val="000000"/>
                <w:spacing w:val="0"/>
                <w:sz w:val="20"/>
                <w:szCs w:val="20"/>
              </w:rPr>
              <w:t xml:space="preserve">Os preços registrados correspondem aos valores unitários adjudicados, perfazendo o valor total de </w:t>
            </w:r>
            <w:r>
              <w:rPr>
                <w:rFonts w:ascii="Times New Roman" w:eastAsia="Times New Roman" w:hAnsi="Times New Roman" w:cs="Times New Roman"/>
                <w:b/>
                <w:bCs/>
                <w:color w:val="000000"/>
                <w:spacing w:val="0"/>
                <w:sz w:val="20"/>
                <w:szCs w:val="20"/>
                <w:shd w:val="clear" w:color="auto" w:fill="C0C0C0"/>
              </w:rPr>
              <w:t>R$ Valor total por fornecedor (2 casas decimais) (Valores Totais Fornecedor Extenso)</w:t>
            </w:r>
            <w:r>
              <w:rPr>
                <w:rFonts w:ascii="Times New Roman" w:eastAsia="Times New Roman" w:hAnsi="Times New Roman" w:cs="Times New Roman"/>
                <w:color w:val="000000"/>
                <w:spacing w:val="0"/>
                <w:sz w:val="20"/>
                <w:szCs w:val="20"/>
              </w:rPr>
              <w:t>.</w:t>
            </w:r>
          </w:p>
          <w:p>
            <w:pPr>
              <w:bidi w:val="0"/>
              <w:spacing w:before="0" w:after="141"/>
              <w:jc w:val="both"/>
            </w:pPr>
            <w:r>
              <w:rPr>
                <w:rFonts w:ascii="Times New Roman" w:eastAsia="Times New Roman" w:hAnsi="Times New Roman" w:cs="Times New Roman"/>
                <w:b/>
                <w:bCs/>
                <w:color w:val="000000"/>
                <w:spacing w:val="0"/>
                <w:sz w:val="20"/>
                <w:szCs w:val="20"/>
              </w:rPr>
              <w:t>2 - DA VIGÊNCIA DA ATA DE REGISTRO DE PREÇOS</w:t>
            </w:r>
          </w:p>
          <w:p>
            <w:pPr>
              <w:bidi w:val="0"/>
              <w:spacing w:before="0" w:after="0"/>
              <w:ind w:firstLine="560"/>
              <w:jc w:val="both"/>
            </w:pPr>
            <w:r>
              <w:rPr>
                <w:rFonts w:ascii="Times New Roman" w:eastAsia="Times New Roman" w:hAnsi="Times New Roman" w:cs="Times New Roman"/>
                <w:color w:val="000000"/>
                <w:spacing w:val="0"/>
                <w:sz w:val="20"/>
                <w:szCs w:val="20"/>
              </w:rPr>
              <w:t xml:space="preserve">2.1. A presente Ata de Registro de Preços terá vigência de </w:t>
            </w:r>
            <w:r>
              <w:rPr>
                <w:rFonts w:ascii="Times New Roman" w:eastAsia="Times New Roman" w:hAnsi="Times New Roman" w:cs="Times New Roman"/>
                <w:color w:val="000000"/>
                <w:spacing w:val="0"/>
                <w:sz w:val="20"/>
                <w:szCs w:val="20"/>
                <w:shd w:val="clear" w:color="auto" w:fill="C0C0C0"/>
              </w:rPr>
              <w:t>*** meses</w:t>
            </w:r>
            <w:r>
              <w:rPr>
                <w:rFonts w:ascii="Times New Roman" w:eastAsia="Times New Roman" w:hAnsi="Times New Roman" w:cs="Times New Roman"/>
                <w:color w:val="000000"/>
                <w:spacing w:val="0"/>
                <w:sz w:val="20"/>
                <w:szCs w:val="20"/>
              </w:rPr>
              <w:t>, a contar da data da sua assinatura.</w:t>
            </w:r>
          </w:p>
          <w:p>
            <w:pPr>
              <w:bidi w:val="0"/>
              <w:spacing w:before="0" w:after="0"/>
              <w:ind w:firstLine="560"/>
              <w:jc w:val="both"/>
            </w:pPr>
            <w:r>
              <w:rPr>
                <w:rFonts w:ascii="Times New Roman" w:eastAsia="Times New Roman" w:hAnsi="Times New Roman" w:cs="Times New Roman"/>
                <w:color w:val="000000"/>
                <w:spacing w:val="0"/>
                <w:sz w:val="20"/>
                <w:szCs w:val="20"/>
              </w:rPr>
              <w:t>2.2. Durante o prazo de vigência desta Ata de Registro de Preços, o MUNICÍPIO DE RIO NEGRO – PR não será obrigado a firmar as aquisições/contratações que dela poderão advir, sendo assegurada ao beneficiário do registro a preferência do fornecimento dos itens/execução dos serviços em igualdade de condições.</w:t>
            </w:r>
          </w:p>
          <w:p>
            <w:pPr>
              <w:bidi w:val="0"/>
              <w:spacing w:before="0" w:after="141"/>
              <w:ind w:firstLine="560"/>
              <w:jc w:val="both"/>
            </w:pPr>
            <w:r>
              <w:rPr>
                <w:rFonts w:ascii="Times New Roman" w:eastAsia="Times New Roman" w:hAnsi="Times New Roman" w:cs="Times New Roman"/>
                <w:color w:val="000000"/>
                <w:spacing w:val="0"/>
                <w:sz w:val="20"/>
                <w:szCs w:val="20"/>
              </w:rPr>
              <w:t>2.3. O Instrumento Contratual (Autorização de Compra / Ordem de Serviços) decorrente da Ata de Registro de Preços terá vigência de 12 (doze) meses.</w:t>
            </w:r>
          </w:p>
          <w:p>
            <w:pPr>
              <w:bidi w:val="0"/>
              <w:spacing w:before="0" w:after="141"/>
              <w:jc w:val="both"/>
            </w:pPr>
            <w:r>
              <w:rPr>
                <w:rFonts w:ascii="Times New Roman" w:eastAsia="Times New Roman" w:hAnsi="Times New Roman" w:cs="Times New Roman"/>
                <w:b/>
                <w:bCs/>
                <w:color w:val="000000"/>
                <w:spacing w:val="0"/>
                <w:sz w:val="20"/>
                <w:szCs w:val="20"/>
              </w:rPr>
              <w:t>3 - DA ENTREGA/EXECUÇÃO E CONDIÇÕES DE RECEBIMENTO</w:t>
            </w:r>
          </w:p>
          <w:p>
            <w:pPr>
              <w:bidi w:val="0"/>
              <w:spacing w:before="0" w:after="141"/>
              <w:ind w:firstLine="560"/>
              <w:jc w:val="both"/>
            </w:pPr>
            <w:r>
              <w:rPr>
                <w:rFonts w:ascii="Times New Roman" w:eastAsia="Times New Roman" w:hAnsi="Times New Roman" w:cs="Times New Roman"/>
                <w:color w:val="000000"/>
                <w:spacing w:val="0"/>
                <w:sz w:val="20"/>
                <w:szCs w:val="20"/>
              </w:rPr>
              <w:t>3.1. Conforme especificações do Edital, bem como da Proposta de Preços.</w:t>
            </w:r>
          </w:p>
          <w:p>
            <w:pPr>
              <w:bidi w:val="0"/>
              <w:spacing w:before="0" w:after="141"/>
              <w:jc w:val="both"/>
            </w:pPr>
            <w:r>
              <w:rPr>
                <w:rFonts w:ascii="Times New Roman" w:eastAsia="Times New Roman" w:hAnsi="Times New Roman" w:cs="Times New Roman"/>
                <w:b/>
                <w:bCs/>
                <w:color w:val="000000"/>
                <w:spacing w:val="0"/>
                <w:sz w:val="20"/>
                <w:szCs w:val="20"/>
              </w:rPr>
              <w:t>4 - DO CONTROLE E DAS ALTERAÇÕES DE PREÇOS</w:t>
            </w:r>
          </w:p>
          <w:p>
            <w:pPr>
              <w:bidi w:val="0"/>
              <w:spacing w:before="0" w:after="0"/>
              <w:ind w:firstLine="560"/>
              <w:jc w:val="both"/>
            </w:pPr>
            <w:r>
              <w:rPr>
                <w:rFonts w:ascii="Times New Roman" w:eastAsia="Times New Roman" w:hAnsi="Times New Roman" w:cs="Times New Roman"/>
                <w:color w:val="000000"/>
                <w:spacing w:val="0"/>
                <w:sz w:val="20"/>
                <w:szCs w:val="20"/>
              </w:rPr>
              <w:t>4.1. Durante a vigência da Ata, os preços registrados serão fixos e irreajustáveis, exceto nas hipóteses, devidamente comprovadas, de ocorrência de situação prevista na alínea “d” do inciso II do art. 65 da Lei n. º 8.666/93 ou de redução dos preços praticados no mercado.</w:t>
            </w:r>
          </w:p>
          <w:p>
            <w:pPr>
              <w:bidi w:val="0"/>
              <w:spacing w:before="0" w:after="0"/>
              <w:ind w:firstLine="560"/>
              <w:jc w:val="both"/>
            </w:pPr>
            <w:r>
              <w:rPr>
                <w:rFonts w:ascii="Times New Roman" w:eastAsia="Times New Roman" w:hAnsi="Times New Roman" w:cs="Times New Roman"/>
                <w:color w:val="000000"/>
                <w:spacing w:val="0"/>
                <w:sz w:val="20"/>
                <w:szCs w:val="20"/>
              </w:rPr>
              <w:t>4.2. Mesmo comprovada à ocorrência de situação prevista na alínea “d” do inciso II do art. 65 da Lei n. º 8.666/93, a Administração, se julgar conveniente, poderá optar por cancelar a Ata e iniciar outro processo licitatório.</w:t>
            </w:r>
          </w:p>
          <w:p>
            <w:pPr>
              <w:bidi w:val="0"/>
              <w:spacing w:before="0" w:after="141"/>
              <w:ind w:firstLine="560"/>
              <w:jc w:val="both"/>
            </w:pPr>
            <w:r>
              <w:rPr>
                <w:rFonts w:ascii="Times New Roman" w:eastAsia="Times New Roman" w:hAnsi="Times New Roman" w:cs="Times New Roman"/>
                <w:color w:val="000000"/>
                <w:spacing w:val="0"/>
                <w:sz w:val="20"/>
                <w:szCs w:val="20"/>
              </w:rPr>
              <w:t>4.3. Comprovada a redução dos preços praticados no mercado, nas mesmas condições do registro, e, definidos o novo preço máximo a ser pago pela Administração, o Proponente registrado será convocado pela Secretaria da Administração para alteração, por aditamento, do preço da Ata.</w:t>
            </w:r>
          </w:p>
          <w:p>
            <w:pPr>
              <w:bidi w:val="0"/>
              <w:spacing w:before="0" w:after="141"/>
              <w:jc w:val="both"/>
            </w:pPr>
            <w:r>
              <w:rPr>
                <w:rFonts w:ascii="Times New Roman" w:eastAsia="Times New Roman" w:hAnsi="Times New Roman" w:cs="Times New Roman"/>
                <w:b/>
                <w:bCs/>
                <w:color w:val="000000"/>
                <w:spacing w:val="0"/>
                <w:sz w:val="20"/>
                <w:szCs w:val="20"/>
              </w:rPr>
              <w:t>5 - DAS ATRIBUIÇÕES / OBRIGAÇÕES DO MUNICÍPIO</w:t>
            </w:r>
          </w:p>
          <w:p>
            <w:pPr>
              <w:bidi w:val="0"/>
              <w:spacing w:before="0" w:after="141"/>
              <w:ind w:firstLine="560"/>
              <w:jc w:val="both"/>
            </w:pPr>
            <w:r>
              <w:rPr>
                <w:rFonts w:ascii="Times New Roman" w:eastAsia="Times New Roman" w:hAnsi="Times New Roman" w:cs="Times New Roman"/>
                <w:color w:val="000000"/>
                <w:spacing w:val="0"/>
                <w:sz w:val="20"/>
                <w:szCs w:val="20"/>
              </w:rPr>
              <w:t>5.1. Caberá ao MUNICÍPIO a prática de todos os atos de controle e administração do SRP, e ainda:</w:t>
            </w:r>
          </w:p>
          <w:p>
            <w:pPr>
              <w:bidi w:val="0"/>
              <w:spacing w:before="0" w:after="0"/>
              <w:ind w:firstLine="560"/>
              <w:jc w:val="both"/>
            </w:pPr>
            <w:r>
              <w:rPr>
                <w:rFonts w:ascii="Times New Roman" w:eastAsia="Times New Roman" w:hAnsi="Times New Roman" w:cs="Times New Roman"/>
                <w:color w:val="000000"/>
                <w:spacing w:val="0"/>
                <w:sz w:val="20"/>
                <w:szCs w:val="20"/>
              </w:rPr>
              <w:t>a) realizar os procedimentos de assinatura da Ata e o encaminhamento de sua cópia aos demais órgãos participantes</w:t>
            </w:r>
          </w:p>
          <w:p>
            <w:pPr>
              <w:bidi w:val="0"/>
              <w:spacing w:before="0" w:after="0"/>
              <w:ind w:firstLine="560"/>
              <w:jc w:val="both"/>
            </w:pPr>
            <w:r>
              <w:rPr>
                <w:rFonts w:ascii="Times New Roman" w:eastAsia="Times New Roman" w:hAnsi="Times New Roman" w:cs="Times New Roman"/>
                <w:color w:val="000000"/>
                <w:spacing w:val="0"/>
                <w:sz w:val="20"/>
                <w:szCs w:val="20"/>
              </w:rPr>
              <w:t>b) conduzir os procedimentos relativos a eventuais atualizações dos preços registrados e a aplicação de penalidades por descumprimento do pactuado na Ata de Registro de Preços;</w:t>
            </w:r>
          </w:p>
          <w:p>
            <w:pPr>
              <w:bidi w:val="0"/>
              <w:spacing w:before="0" w:after="0"/>
              <w:ind w:firstLine="560"/>
              <w:jc w:val="both"/>
            </w:pPr>
            <w:r>
              <w:rPr>
                <w:rFonts w:ascii="Times New Roman" w:eastAsia="Times New Roman" w:hAnsi="Times New Roman" w:cs="Times New Roman"/>
                <w:color w:val="000000"/>
                <w:spacing w:val="0"/>
                <w:sz w:val="20"/>
                <w:szCs w:val="20"/>
              </w:rPr>
              <w:t>c) efetuar o pagamento na forma e no prazo convencionados nesta Ata;</w:t>
            </w:r>
          </w:p>
          <w:p>
            <w:pPr>
              <w:bidi w:val="0"/>
              <w:spacing w:before="0" w:after="0"/>
              <w:ind w:firstLine="560"/>
              <w:jc w:val="both"/>
            </w:pPr>
            <w:r>
              <w:rPr>
                <w:rFonts w:ascii="Times New Roman" w:eastAsia="Times New Roman" w:hAnsi="Times New Roman" w:cs="Times New Roman"/>
                <w:color w:val="000000"/>
                <w:spacing w:val="0"/>
                <w:sz w:val="20"/>
                <w:szCs w:val="20"/>
              </w:rPr>
              <w:t>d) aplicar as sanções regulamentares e contratuais, se necessário;</w:t>
            </w:r>
          </w:p>
          <w:p>
            <w:pPr>
              <w:bidi w:val="0"/>
              <w:spacing w:before="0" w:after="0"/>
              <w:ind w:firstLine="560"/>
              <w:jc w:val="both"/>
            </w:pPr>
            <w:r>
              <w:rPr>
                <w:rFonts w:ascii="Times New Roman" w:eastAsia="Times New Roman" w:hAnsi="Times New Roman" w:cs="Times New Roman"/>
                <w:color w:val="000000"/>
                <w:spacing w:val="0"/>
                <w:sz w:val="20"/>
                <w:szCs w:val="20"/>
              </w:rPr>
              <w:t>e) prestar as informações e os esclarecimentos que venham a ser solicitados pela licitante vencedora;</w:t>
            </w:r>
          </w:p>
          <w:p>
            <w:pPr>
              <w:bidi w:val="0"/>
              <w:spacing w:before="0" w:after="0"/>
              <w:ind w:firstLine="560"/>
              <w:jc w:val="both"/>
            </w:pPr>
            <w:r>
              <w:rPr>
                <w:rFonts w:ascii="Times New Roman" w:eastAsia="Times New Roman" w:hAnsi="Times New Roman" w:cs="Times New Roman"/>
                <w:color w:val="000000"/>
                <w:spacing w:val="0"/>
                <w:sz w:val="20"/>
                <w:szCs w:val="20"/>
              </w:rPr>
              <w:t>f) comunicar à licitante vencedora as eventuais irregularidades observadas para adoção das providências saneadoras;</w:t>
            </w:r>
          </w:p>
          <w:p>
            <w:pPr>
              <w:bidi w:val="0"/>
              <w:spacing w:before="0" w:after="141"/>
              <w:ind w:firstLine="560"/>
              <w:jc w:val="both"/>
            </w:pPr>
            <w:r>
              <w:rPr>
                <w:rFonts w:ascii="Times New Roman" w:eastAsia="Times New Roman" w:hAnsi="Times New Roman" w:cs="Times New Roman"/>
                <w:color w:val="000000"/>
                <w:spacing w:val="0"/>
                <w:sz w:val="20"/>
                <w:szCs w:val="20"/>
              </w:rPr>
              <w:t>g) fiscalizar podendo sustar, recusar no todo ou em parte, os produtos entregues/serviços executados fora das especificações e/ou condições e exigências estabelecidas no Termo de Referência.</w:t>
            </w:r>
          </w:p>
          <w:p>
            <w:pPr>
              <w:bidi w:val="0"/>
              <w:spacing w:before="0" w:after="141"/>
              <w:jc w:val="both"/>
            </w:pPr>
            <w:r>
              <w:rPr>
                <w:rFonts w:ascii="Times New Roman" w:eastAsia="Times New Roman" w:hAnsi="Times New Roman" w:cs="Times New Roman"/>
                <w:b/>
                <w:bCs/>
                <w:color w:val="000000"/>
                <w:spacing w:val="0"/>
                <w:sz w:val="20"/>
                <w:szCs w:val="20"/>
              </w:rPr>
              <w:t>6 - ATRIBUIÇÕES/ OBRIGAÇÕES DAS SECRETARIAS MUNICIPAIS/ORGÃOS PARTICIPANTES</w:t>
            </w:r>
          </w:p>
          <w:p>
            <w:pPr>
              <w:bidi w:val="0"/>
              <w:spacing w:before="0" w:after="141"/>
              <w:ind w:firstLine="560"/>
              <w:jc w:val="both"/>
            </w:pPr>
            <w:r>
              <w:rPr>
                <w:rFonts w:ascii="Times New Roman" w:eastAsia="Times New Roman" w:hAnsi="Times New Roman" w:cs="Times New Roman"/>
                <w:color w:val="000000"/>
                <w:spacing w:val="0"/>
                <w:sz w:val="20"/>
                <w:szCs w:val="20"/>
              </w:rPr>
              <w:t>Caberá aos órgãos participantes indicar o gestor da ata, ao qual, além das atribuições previstas no art. 67 da Lei nº 8.666, de 1993, compete:</w:t>
            </w:r>
          </w:p>
          <w:p>
            <w:pPr>
              <w:bidi w:val="0"/>
              <w:spacing w:before="0" w:after="0"/>
              <w:ind w:firstLine="560"/>
              <w:jc w:val="both"/>
            </w:pPr>
            <w:r>
              <w:rPr>
                <w:rFonts w:ascii="Times New Roman" w:eastAsia="Times New Roman" w:hAnsi="Times New Roman" w:cs="Times New Roman"/>
                <w:color w:val="000000"/>
                <w:spacing w:val="0"/>
                <w:sz w:val="20"/>
                <w:szCs w:val="20"/>
              </w:rPr>
              <w:t>a) Promover consulta prévia junto a Secretaria da Administração (Dpto de Licitações), quando da necessidade de contratação, a fim de obter a indicação do fornecedor, os respectivos quantitativos, conforme solicitação inicial e os valores a serem praticados, encaminhando, posteriormente, as informações sobre a contratação efetivamente realizada;</w:t>
            </w:r>
          </w:p>
          <w:p>
            <w:pPr>
              <w:bidi w:val="0"/>
              <w:spacing w:before="0" w:after="0"/>
              <w:ind w:firstLine="560"/>
              <w:jc w:val="both"/>
            </w:pPr>
            <w:r>
              <w:rPr>
                <w:rFonts w:ascii="Times New Roman" w:eastAsia="Times New Roman" w:hAnsi="Times New Roman" w:cs="Times New Roman"/>
                <w:color w:val="000000"/>
                <w:spacing w:val="0"/>
                <w:sz w:val="20"/>
                <w:szCs w:val="20"/>
              </w:rPr>
              <w:t>b) Assegurar-se, quando do uso da Ata de Registro de Preços, que a aquisição a ser procedida atenda aos seus interesses, sobretudo quanto aos valores praticados, informando a Secretaria da Administração eventual desvantagem, quanto à sua utilização;</w:t>
            </w:r>
          </w:p>
          <w:p>
            <w:pPr>
              <w:bidi w:val="0"/>
              <w:spacing w:before="0" w:after="0"/>
              <w:ind w:firstLine="560"/>
              <w:jc w:val="both"/>
            </w:pPr>
            <w:r>
              <w:rPr>
                <w:rFonts w:ascii="Times New Roman" w:eastAsia="Times New Roman" w:hAnsi="Times New Roman" w:cs="Times New Roman"/>
                <w:color w:val="000000"/>
                <w:spacing w:val="0"/>
                <w:sz w:val="20"/>
                <w:szCs w:val="20"/>
              </w:rPr>
              <w:t>c) Zelar, após receber a indicação do fornecedor, pelos demais atos relativos ao cumprimento, pelo mesmo, das obrigações assumidas, e também, em coordenação com o órgão gerenciador, pela aplicação de eventuais penalidades decorrentes do descumprimento das obrigações;</w:t>
            </w:r>
          </w:p>
          <w:p>
            <w:pPr>
              <w:bidi w:val="0"/>
              <w:spacing w:before="0" w:after="0"/>
              <w:ind w:firstLine="560"/>
              <w:jc w:val="both"/>
            </w:pPr>
            <w:r>
              <w:rPr>
                <w:rFonts w:ascii="Times New Roman" w:eastAsia="Times New Roman" w:hAnsi="Times New Roman" w:cs="Times New Roman"/>
                <w:color w:val="000000"/>
                <w:spacing w:val="0"/>
                <w:sz w:val="20"/>
                <w:szCs w:val="20"/>
              </w:rPr>
              <w:t>d) Informar a Secretaria da Administração, quando de sua ocorrência, a recusa do fornecedor em atender às condições estabelecidas no edital, firmadas na Ata de Registro de Preços, as divergências relativas à execução do objeto e a recusa do mesmo, se for o caso, em receber a Autorização de Compra/ Ordem de Serviço;</w:t>
            </w:r>
          </w:p>
          <w:p>
            <w:pPr>
              <w:bidi w:val="0"/>
              <w:spacing w:before="0" w:after="141"/>
              <w:ind w:firstLine="560"/>
              <w:jc w:val="both"/>
            </w:pPr>
            <w:r>
              <w:rPr>
                <w:rFonts w:ascii="Times New Roman" w:eastAsia="Times New Roman" w:hAnsi="Times New Roman" w:cs="Times New Roman"/>
                <w:color w:val="000000"/>
                <w:spacing w:val="0"/>
                <w:sz w:val="20"/>
                <w:szCs w:val="20"/>
              </w:rPr>
              <w:t>e) Proceder ao ato de recebimento do objeto podendo sustar, recusar, solicitar fazer ou desfazer qualquer entrega que não esteja de acordo com as condições e exigências estabelecidas no Termo de Referência, bem como efetuar os pagamentos na forma e nos prazos estabelecidos.</w:t>
            </w:r>
          </w:p>
          <w:p>
            <w:pPr>
              <w:bidi w:val="0"/>
              <w:spacing w:before="0" w:after="141"/>
              <w:jc w:val="both"/>
            </w:pPr>
            <w:r>
              <w:rPr>
                <w:rFonts w:ascii="Times New Roman" w:eastAsia="Times New Roman" w:hAnsi="Times New Roman" w:cs="Times New Roman"/>
                <w:b/>
                <w:bCs/>
                <w:color w:val="000000"/>
                <w:spacing w:val="0"/>
                <w:sz w:val="20"/>
                <w:szCs w:val="20"/>
              </w:rPr>
              <w:t>7 - DAS OBRIGAÇÕES DA CONTRATADA</w:t>
            </w:r>
          </w:p>
          <w:p>
            <w:pPr>
              <w:bidi w:val="0"/>
              <w:spacing w:before="0" w:after="0"/>
              <w:ind w:firstLine="560"/>
              <w:jc w:val="both"/>
            </w:pPr>
            <w:r>
              <w:rPr>
                <w:rFonts w:ascii="Times New Roman" w:eastAsia="Times New Roman" w:hAnsi="Times New Roman" w:cs="Times New Roman"/>
                <w:color w:val="000000"/>
                <w:spacing w:val="0"/>
                <w:sz w:val="20"/>
                <w:szCs w:val="20"/>
              </w:rPr>
              <w:t>7.1. Constituem obrigações da contratada:</w:t>
            </w:r>
          </w:p>
          <w:p>
            <w:pPr>
              <w:bidi w:val="0"/>
              <w:spacing w:before="0" w:after="0"/>
              <w:ind w:firstLine="560"/>
              <w:jc w:val="both"/>
            </w:pPr>
            <w:r>
              <w:rPr>
                <w:rFonts w:ascii="Times New Roman" w:eastAsia="Times New Roman" w:hAnsi="Times New Roman" w:cs="Times New Roman"/>
                <w:color w:val="000000"/>
                <w:spacing w:val="0"/>
                <w:sz w:val="20"/>
                <w:szCs w:val="20"/>
              </w:rPr>
              <w:t>a) dar cumprimento integral ao estabelecido no Termo de Referência, Edital do Pregão supramencionado e à sua proposta e nesta Ata;</w:t>
            </w:r>
          </w:p>
          <w:p>
            <w:pPr>
              <w:bidi w:val="0"/>
              <w:spacing w:before="0" w:after="0"/>
              <w:ind w:firstLine="560"/>
              <w:jc w:val="both"/>
            </w:pPr>
            <w:r>
              <w:rPr>
                <w:rFonts w:ascii="Times New Roman" w:eastAsia="Times New Roman" w:hAnsi="Times New Roman" w:cs="Times New Roman"/>
                <w:color w:val="000000"/>
                <w:spacing w:val="0"/>
                <w:sz w:val="20"/>
                <w:szCs w:val="20"/>
              </w:rPr>
              <w:t>b) substituir o item que se encontra com defeito, no prazo máximo de 48 (quarenta e oito) horas, a contar da data da notificação, observando, fielmente, a conformidade de suas características com as previstas no Termo de Referência;</w:t>
            </w:r>
          </w:p>
          <w:p>
            <w:pPr>
              <w:bidi w:val="0"/>
              <w:spacing w:before="0" w:after="0"/>
              <w:ind w:firstLine="560"/>
              <w:jc w:val="both"/>
            </w:pPr>
            <w:r>
              <w:rPr>
                <w:rFonts w:ascii="Times New Roman" w:eastAsia="Times New Roman" w:hAnsi="Times New Roman" w:cs="Times New Roman"/>
                <w:color w:val="000000"/>
                <w:spacing w:val="0"/>
                <w:sz w:val="20"/>
                <w:szCs w:val="20"/>
              </w:rPr>
              <w:t>c) responder por todos os ônus referentes ao objeto, desde o transporte, matéria prima, como também os encargos trabalhistas, previdenciários, comerciais, fiscais, conforme o caso;</w:t>
            </w:r>
          </w:p>
          <w:p>
            <w:pPr>
              <w:bidi w:val="0"/>
              <w:spacing w:before="0" w:after="0"/>
              <w:ind w:firstLine="560"/>
              <w:jc w:val="both"/>
            </w:pPr>
            <w:r>
              <w:rPr>
                <w:rFonts w:ascii="Times New Roman" w:eastAsia="Times New Roman" w:hAnsi="Times New Roman" w:cs="Times New Roman"/>
                <w:color w:val="000000"/>
                <w:spacing w:val="0"/>
                <w:sz w:val="20"/>
                <w:szCs w:val="20"/>
              </w:rPr>
              <w:t>d) para Atas de Registro de Preço, cujo objeto trata de Prestação de Serviços, deverá responder por danos de qualquer natureza que eventualmente venham a sofrer seus empregados, terceiros ou servidores municipais, em razão de acidentes, ou de ação, ou de omissão dolosa ou culposa de seus empregados;</w:t>
            </w:r>
          </w:p>
          <w:p>
            <w:pPr>
              <w:bidi w:val="0"/>
              <w:spacing w:before="0" w:after="141"/>
              <w:ind w:firstLine="560"/>
              <w:jc w:val="both"/>
            </w:pPr>
            <w:r>
              <w:rPr>
                <w:rFonts w:ascii="Times New Roman" w:eastAsia="Times New Roman" w:hAnsi="Times New Roman" w:cs="Times New Roman"/>
                <w:color w:val="000000"/>
                <w:spacing w:val="0"/>
                <w:sz w:val="20"/>
                <w:szCs w:val="20"/>
              </w:rPr>
              <w:t>e) obter todo e qualquer tipo de licença junto aos Órgãos Fiscalizadores para o perfeito fornecimento / prestação de serviços do objeto, sem ônus adicionais para o Município.</w:t>
            </w:r>
          </w:p>
          <w:p>
            <w:pPr>
              <w:bidi w:val="0"/>
              <w:spacing w:before="0" w:after="141"/>
              <w:jc w:val="both"/>
            </w:pPr>
            <w:r>
              <w:rPr>
                <w:rFonts w:ascii="Times New Roman" w:eastAsia="Times New Roman" w:hAnsi="Times New Roman" w:cs="Times New Roman"/>
                <w:b/>
                <w:bCs/>
                <w:color w:val="000000"/>
                <w:spacing w:val="0"/>
                <w:sz w:val="20"/>
                <w:szCs w:val="20"/>
              </w:rPr>
              <w:t>8 - DO PAGAMENTO</w:t>
            </w:r>
          </w:p>
          <w:p>
            <w:pPr>
              <w:bidi w:val="0"/>
              <w:spacing w:before="0" w:after="0"/>
              <w:ind w:firstLine="560"/>
              <w:jc w:val="both"/>
            </w:pPr>
            <w:r>
              <w:rPr>
                <w:rFonts w:ascii="Times New Roman" w:eastAsia="Times New Roman" w:hAnsi="Times New Roman" w:cs="Times New Roman"/>
                <w:color w:val="000000"/>
                <w:spacing w:val="0"/>
                <w:sz w:val="20"/>
                <w:szCs w:val="20"/>
              </w:rPr>
              <w:t>8.1. O pagamento será efetuado, por meio de Ordem Bancária, para crédito em conta corrente da licitante vencedora, em até 15 (quinze) dias, após a entrega do objeto/prestação dos serviços, mediante apresentação de Nota Fiscal/Fatura devidamente atestada.</w:t>
            </w:r>
          </w:p>
          <w:p>
            <w:pPr>
              <w:bidi w:val="0"/>
              <w:spacing w:before="0" w:after="141"/>
              <w:ind w:firstLine="560"/>
              <w:jc w:val="both"/>
            </w:pPr>
            <w:r>
              <w:rPr>
                <w:rFonts w:ascii="Times New Roman" w:eastAsia="Times New Roman" w:hAnsi="Times New Roman" w:cs="Times New Roman"/>
                <w:color w:val="000000"/>
                <w:spacing w:val="0"/>
                <w:sz w:val="20"/>
                <w:szCs w:val="20"/>
              </w:rPr>
              <w:t>8.2. Qualquer erro ou omissão havido na documentação fiscal ou na fatura será objeto de correção pelo Fornecedor e haverá, em decorrência, suspensão do prazo de pagamento até que o problema seja definitivamente regularizado.</w:t>
            </w:r>
          </w:p>
          <w:p>
            <w:pPr>
              <w:bidi w:val="0"/>
              <w:spacing w:before="0" w:after="141"/>
              <w:jc w:val="both"/>
            </w:pPr>
            <w:r>
              <w:rPr>
                <w:rFonts w:ascii="Times New Roman" w:eastAsia="Times New Roman" w:hAnsi="Times New Roman" w:cs="Times New Roman"/>
                <w:b/>
                <w:bCs/>
                <w:color w:val="000000"/>
                <w:spacing w:val="0"/>
                <w:sz w:val="20"/>
                <w:szCs w:val="20"/>
              </w:rPr>
              <w:t>9 - DO CANCELAMENTO DA ATA DE REGISTRO DE PREÇOS</w:t>
            </w:r>
          </w:p>
          <w:p>
            <w:pPr>
              <w:bidi w:val="0"/>
              <w:spacing w:before="0" w:after="0"/>
              <w:ind w:firstLine="560"/>
              <w:jc w:val="both"/>
            </w:pPr>
            <w:r>
              <w:rPr>
                <w:rFonts w:ascii="Times New Roman" w:eastAsia="Times New Roman" w:hAnsi="Times New Roman" w:cs="Times New Roman"/>
                <w:color w:val="000000"/>
                <w:spacing w:val="0"/>
                <w:sz w:val="20"/>
                <w:szCs w:val="20"/>
              </w:rPr>
              <w:t>9.1. O Proponente terá o seu registro de preço cancelado na Ata, assegurado o contraditório e ampla defesa:</w:t>
            </w:r>
          </w:p>
          <w:p>
            <w:pPr>
              <w:bidi w:val="0"/>
              <w:spacing w:before="0" w:after="0"/>
              <w:ind w:firstLine="560"/>
              <w:jc w:val="both"/>
            </w:pPr>
            <w:r>
              <w:rPr>
                <w:rFonts w:ascii="Times New Roman" w:eastAsia="Times New Roman" w:hAnsi="Times New Roman" w:cs="Times New Roman"/>
                <w:color w:val="000000"/>
                <w:spacing w:val="0"/>
                <w:sz w:val="20"/>
                <w:szCs w:val="20"/>
              </w:rPr>
              <w:t>a) A pedido, quando:</w:t>
            </w:r>
          </w:p>
          <w:p>
            <w:pPr>
              <w:bidi w:val="0"/>
              <w:spacing w:before="0" w:after="0"/>
              <w:ind w:firstLine="560"/>
              <w:jc w:val="both"/>
            </w:pPr>
            <w:r>
              <w:rPr>
                <w:rFonts w:ascii="Times New Roman" w:eastAsia="Times New Roman" w:hAnsi="Times New Roman" w:cs="Times New Roman"/>
                <w:color w:val="000000"/>
                <w:spacing w:val="0"/>
                <w:sz w:val="20"/>
                <w:szCs w:val="20"/>
              </w:rPr>
              <w:t>a.1) comprovar estar impossibilitado de cumprir as exigências da Ata, por ocorrência de casos fortuitos ou de força maior;</w:t>
            </w:r>
          </w:p>
          <w:p>
            <w:pPr>
              <w:bidi w:val="0"/>
              <w:spacing w:before="0" w:after="0"/>
              <w:ind w:firstLine="560"/>
              <w:jc w:val="both"/>
            </w:pPr>
            <w:r>
              <w:rPr>
                <w:rFonts w:ascii="Times New Roman" w:eastAsia="Times New Roman" w:hAnsi="Times New Roman" w:cs="Times New Roman"/>
                <w:color w:val="000000"/>
                <w:spacing w:val="0"/>
                <w:sz w:val="20"/>
                <w:szCs w:val="20"/>
              </w:rPr>
              <w:t>a.2) o seu preço registrado se tornar, comprovadamente, inexequível em função da elevação dos preços de mercado dos insumos que compõem o custo do material.</w:t>
            </w:r>
          </w:p>
          <w:p>
            <w:pPr>
              <w:bidi w:val="0"/>
              <w:spacing w:before="0" w:after="0"/>
              <w:ind w:firstLine="560"/>
              <w:jc w:val="both"/>
            </w:pPr>
            <w:r>
              <w:rPr>
                <w:rFonts w:ascii="Times New Roman" w:eastAsia="Times New Roman" w:hAnsi="Times New Roman" w:cs="Times New Roman"/>
                <w:color w:val="000000"/>
                <w:spacing w:val="0"/>
                <w:sz w:val="20"/>
                <w:szCs w:val="20"/>
              </w:rPr>
              <w:t>b) Por iniciativa do MUNICÍPIO, quando:</w:t>
            </w:r>
          </w:p>
          <w:p>
            <w:pPr>
              <w:bidi w:val="0"/>
              <w:spacing w:before="0" w:after="0"/>
              <w:ind w:firstLine="560"/>
              <w:jc w:val="both"/>
            </w:pPr>
            <w:r>
              <w:rPr>
                <w:rFonts w:ascii="Times New Roman" w:eastAsia="Times New Roman" w:hAnsi="Times New Roman" w:cs="Times New Roman"/>
                <w:color w:val="000000"/>
                <w:spacing w:val="0"/>
                <w:sz w:val="20"/>
                <w:szCs w:val="20"/>
              </w:rPr>
              <w:t>b.1) não aceitar reduzir o preço registrado, na hipótese deste se tornar superior àqueles praticados no mercado;</w:t>
            </w:r>
          </w:p>
          <w:p>
            <w:pPr>
              <w:bidi w:val="0"/>
              <w:spacing w:before="0" w:after="0"/>
              <w:ind w:firstLine="560"/>
              <w:jc w:val="both"/>
            </w:pPr>
            <w:r>
              <w:rPr>
                <w:rFonts w:ascii="Times New Roman" w:eastAsia="Times New Roman" w:hAnsi="Times New Roman" w:cs="Times New Roman"/>
                <w:color w:val="000000"/>
                <w:spacing w:val="0"/>
                <w:sz w:val="20"/>
                <w:szCs w:val="20"/>
              </w:rPr>
              <w:t>b.2) perder qualquer condição de habilitação ou qualificação técnica exigida no processo licitatório;</w:t>
            </w:r>
          </w:p>
          <w:p>
            <w:pPr>
              <w:bidi w:val="0"/>
              <w:spacing w:before="0" w:after="0"/>
              <w:ind w:firstLine="560"/>
              <w:jc w:val="both"/>
            </w:pPr>
            <w:r>
              <w:rPr>
                <w:rFonts w:ascii="Times New Roman" w:eastAsia="Times New Roman" w:hAnsi="Times New Roman" w:cs="Times New Roman"/>
                <w:color w:val="000000"/>
                <w:spacing w:val="0"/>
                <w:sz w:val="20"/>
                <w:szCs w:val="20"/>
              </w:rPr>
              <w:t>b.3) por razões de interesse público devidamente motivadas e justificadas;</w:t>
            </w:r>
          </w:p>
          <w:p>
            <w:pPr>
              <w:bidi w:val="0"/>
              <w:spacing w:before="0" w:after="0"/>
              <w:ind w:firstLine="560"/>
              <w:jc w:val="both"/>
            </w:pPr>
            <w:r>
              <w:rPr>
                <w:rFonts w:ascii="Times New Roman" w:eastAsia="Times New Roman" w:hAnsi="Times New Roman" w:cs="Times New Roman"/>
                <w:color w:val="000000"/>
                <w:spacing w:val="0"/>
                <w:sz w:val="20"/>
                <w:szCs w:val="20"/>
              </w:rPr>
              <w:t>b.4) não cumprir as obrigações decorrentes da Ata de Registro de Preços;</w:t>
            </w:r>
          </w:p>
          <w:p>
            <w:pPr>
              <w:bidi w:val="0"/>
              <w:spacing w:before="0" w:after="0"/>
              <w:ind w:firstLine="560"/>
              <w:jc w:val="both"/>
            </w:pPr>
            <w:r>
              <w:rPr>
                <w:rFonts w:ascii="Times New Roman" w:eastAsia="Times New Roman" w:hAnsi="Times New Roman" w:cs="Times New Roman"/>
                <w:color w:val="000000"/>
                <w:spacing w:val="0"/>
                <w:sz w:val="20"/>
                <w:szCs w:val="20"/>
              </w:rPr>
              <w:t>b.5) não comparecer ou se recusar a retirar, no prazo estabelecido, os pedidos decorrentes da Ata de Registro de Preços, sem justificativa aceitável;</w:t>
            </w:r>
          </w:p>
          <w:p>
            <w:pPr>
              <w:bidi w:val="0"/>
              <w:spacing w:before="0" w:after="0"/>
              <w:ind w:firstLine="560"/>
              <w:jc w:val="both"/>
            </w:pPr>
            <w:r>
              <w:rPr>
                <w:rFonts w:ascii="Times New Roman" w:eastAsia="Times New Roman" w:hAnsi="Times New Roman" w:cs="Times New Roman"/>
                <w:color w:val="000000"/>
                <w:spacing w:val="0"/>
                <w:sz w:val="20"/>
                <w:szCs w:val="20"/>
              </w:rPr>
              <w:t>b.6) caracterizada qualquer hipótese de inexecução total ou parcial das condições estabelecidas na Ata de Registro de Preços ou nos pedidos dela decorrentes.</w:t>
            </w:r>
          </w:p>
          <w:p>
            <w:pPr>
              <w:bidi w:val="0"/>
              <w:spacing w:before="0" w:after="141"/>
              <w:ind w:firstLine="560"/>
              <w:jc w:val="both"/>
            </w:pPr>
            <w:r>
              <w:rPr>
                <w:rFonts w:ascii="Times New Roman" w:eastAsia="Times New Roman" w:hAnsi="Times New Roman" w:cs="Times New Roman"/>
                <w:color w:val="000000"/>
                <w:spacing w:val="0"/>
                <w:sz w:val="20"/>
                <w:szCs w:val="20"/>
              </w:rPr>
              <w:t>c) Demais situações previstas na Lei nº 8.666/93, Lei nº 10.520/02 e na legislação aplicável.</w:t>
            </w:r>
          </w:p>
          <w:p>
            <w:pPr>
              <w:bidi w:val="0"/>
              <w:spacing w:before="0" w:after="141"/>
              <w:jc w:val="both"/>
            </w:pPr>
            <w:r>
              <w:rPr>
                <w:rFonts w:ascii="Times New Roman" w:eastAsia="Times New Roman" w:hAnsi="Times New Roman" w:cs="Times New Roman"/>
                <w:b/>
                <w:bCs/>
                <w:color w:val="000000"/>
                <w:spacing w:val="0"/>
                <w:sz w:val="20"/>
                <w:szCs w:val="20"/>
              </w:rPr>
              <w:t>10 - DO ACOMPANHAMENTO E DA FISCALIZAÇÃO</w:t>
            </w:r>
          </w:p>
          <w:p>
            <w:pPr>
              <w:bidi w:val="0"/>
              <w:spacing w:before="0" w:after="0"/>
              <w:ind w:firstLine="560"/>
              <w:jc w:val="both"/>
            </w:pPr>
            <w:r>
              <w:rPr>
                <w:rFonts w:ascii="Times New Roman" w:eastAsia="Times New Roman" w:hAnsi="Times New Roman" w:cs="Times New Roman"/>
                <w:color w:val="000000"/>
                <w:spacing w:val="0"/>
                <w:sz w:val="20"/>
                <w:szCs w:val="20"/>
              </w:rPr>
              <w:t xml:space="preserve">10.1. A gestão desta Ata de Registro de Preços, a quem compete as ações necessárias ao fiel cumprimento das condições estipuladas, ficará a cargo do(a) Sr.(a) </w:t>
            </w:r>
            <w:r>
              <w:rPr>
                <w:rFonts w:ascii="Times New Roman" w:eastAsia="Times New Roman" w:hAnsi="Times New Roman" w:cs="Times New Roman"/>
                <w:color w:val="000000"/>
                <w:spacing w:val="0"/>
                <w:sz w:val="20"/>
                <w:szCs w:val="20"/>
              </w:rPr>
              <w:t xml:space="preserve"> - CPF: </w:t>
            </w:r>
            <w:r>
              <w:rPr>
                <w:rFonts w:ascii="Times New Roman" w:eastAsia="Times New Roman" w:hAnsi="Times New Roman" w:cs="Times New Roman"/>
                <w:color w:val="000000"/>
                <w:spacing w:val="0"/>
                <w:sz w:val="20"/>
                <w:szCs w:val="20"/>
              </w:rPr>
              <w:t>;</w:t>
            </w:r>
          </w:p>
          <w:p>
            <w:pPr>
              <w:bidi w:val="0"/>
              <w:spacing w:before="0" w:after="141"/>
              <w:ind w:firstLine="560"/>
              <w:jc w:val="both"/>
            </w:pPr>
            <w:r>
              <w:rPr>
                <w:rFonts w:ascii="Times New Roman" w:eastAsia="Times New Roman" w:hAnsi="Times New Roman" w:cs="Times New Roman"/>
                <w:color w:val="000000"/>
                <w:spacing w:val="0"/>
                <w:sz w:val="20"/>
                <w:szCs w:val="20"/>
              </w:rPr>
              <w:t xml:space="preserve">10.2. Caberá ao fiscal desta Ata de Registro de Preços, Sr. (a) </w:t>
            </w:r>
            <w:r>
              <w:rPr>
                <w:rFonts w:ascii="Times New Roman" w:eastAsia="Times New Roman" w:hAnsi="Times New Roman" w:cs="Times New Roman"/>
                <w:color w:val="000000"/>
                <w:spacing w:val="0"/>
                <w:sz w:val="20"/>
                <w:szCs w:val="20"/>
              </w:rPr>
              <w:t xml:space="preserve">, e em caráter substitutivo ao fiscal suplente Sr. (a) </w:t>
            </w:r>
            <w:r>
              <w:rPr>
                <w:rFonts w:ascii="Times New Roman" w:eastAsia="Times New Roman" w:hAnsi="Times New Roman" w:cs="Times New Roman"/>
                <w:color w:val="000000"/>
                <w:spacing w:val="0"/>
                <w:sz w:val="20"/>
                <w:szCs w:val="20"/>
              </w:rPr>
              <w:t>, o acompanhamento da execução do objeto, informando ao gestor todas as ocorrências, em especial as que possam prejudicar o bom andamento da execução da Ata de registro de Preços, nos termos da Instrução Normativa C. I. nº 05/2020.</w:t>
            </w:r>
          </w:p>
          <w:p>
            <w:pPr>
              <w:bidi w:val="0"/>
              <w:spacing w:before="0" w:after="141"/>
              <w:jc w:val="both"/>
            </w:pPr>
            <w:r>
              <w:rPr>
                <w:rFonts w:ascii="Times New Roman" w:eastAsia="Times New Roman" w:hAnsi="Times New Roman" w:cs="Times New Roman"/>
                <w:b/>
                <w:bCs/>
                <w:color w:val="000000"/>
                <w:spacing w:val="0"/>
                <w:sz w:val="20"/>
                <w:szCs w:val="20"/>
              </w:rPr>
              <w:t>11 - DAS SANÇÕES ADMINISTRATIVAS</w:t>
            </w:r>
          </w:p>
          <w:p>
            <w:pPr>
              <w:bidi w:val="0"/>
              <w:spacing w:before="0" w:after="0"/>
              <w:ind w:firstLine="560"/>
              <w:jc w:val="both"/>
            </w:pPr>
            <w:r>
              <w:rPr>
                <w:rFonts w:ascii="Times New Roman" w:eastAsia="Times New Roman" w:hAnsi="Times New Roman" w:cs="Times New Roman"/>
                <w:color w:val="000000"/>
                <w:spacing w:val="0"/>
                <w:sz w:val="20"/>
                <w:szCs w:val="20"/>
              </w:rPr>
              <w:t>11.1. Pela inexecução parcial ou total das condições previstas nesta Ata poderão ser aplicadas ao inadimplente as sanções previstas na Lei nº 8.666/93 e na legislação aplicável.</w:t>
            </w:r>
          </w:p>
        </w:tc>
      </w:tr>
    </w:tbl>
    <w:bookmarkStart w:id="10" w:name="__bookmark_13"/>
    <w:bookmarkEnd w:id="10"/>
    <w:p/>
    <w:tbl>
      <w:tblPr>
        <w:tblStyle w:val="TableNormal"/>
        <w:tblOverlap w:val="never"/>
        <w:tblW w:w="9032" w:type="dxa"/>
        <w:tblInd w:w="20" w:type="dxa"/>
        <w:tblLayout w:type="fixed"/>
        <w:tblLook w:val="01E0"/>
      </w:tblPr>
      <w:tblGrid>
        <w:gridCol w:w="9032"/>
      </w:tblGrid>
      <w:tr>
        <w:tblPrEx>
          <w:tblW w:w="9032" w:type="dxa"/>
          <w:tblInd w:w="20" w:type="dxa"/>
          <w:tblLayout w:type="fixed"/>
          <w:tblLook w:val="01E0"/>
        </w:tblPrEx>
        <w:trPr>
          <w:trHeight w:hRule="exact" w:val="283"/>
        </w:trPr>
        <w:tc>
          <w:tcPr>
            <w:tcW w:w="9072" w:type="dxa"/>
            <w:noWrap w:val="0"/>
            <w:tcMar>
              <w:top w:w="0" w:type="dxa"/>
              <w:left w:w="0" w:type="dxa"/>
              <w:bottom w:w="0" w:type="dxa"/>
              <w:right w:w="0" w:type="dxa"/>
            </w:tcMar>
            <w:vAlign w:val="top"/>
          </w:tcPr>
          <w:p>
            <w:pPr>
              <w:spacing w:line="1" w:lineRule="auto"/>
            </w:pPr>
          </w:p>
        </w:tc>
      </w:tr>
      <w:tr>
        <w:tblPrEx>
          <w:tblW w:w="9032" w:type="dxa"/>
          <w:tblInd w:w="20" w:type="dxa"/>
          <w:tblLayout w:type="fixed"/>
          <w:tblLook w:val="01E0"/>
        </w:tblPrEx>
        <w:tc>
          <w:tcPr>
            <w:tcW w:w="9072" w:type="dxa"/>
            <w:noWrap w:val="0"/>
            <w:tcMar>
              <w:top w:w="0" w:type="dxa"/>
              <w:left w:w="0" w:type="dxa"/>
              <w:bottom w:w="0" w:type="dxa"/>
              <w:right w:w="0" w:type="dxa"/>
            </w:tcMar>
            <w:vAlign w:val="top"/>
          </w:tcPr>
          <w:bookmarkStart w:id="11" w:name="__bookmark_14"/>
          <w:bookmarkEnd w:id="11"/>
          <w:tbl>
            <w:tblPr>
              <w:tblStyle w:val="TableNormal"/>
              <w:tblOverlap w:val="never"/>
              <w:tblW w:w="9032" w:type="dxa"/>
              <w:tblInd w:w="20" w:type="dxa"/>
              <w:tblLayout w:type="fixed"/>
              <w:tblLook w:val="01E0"/>
            </w:tblPr>
            <w:tblGrid>
              <w:gridCol w:w="9032"/>
            </w:tblGrid>
            <w:tr>
              <w:tblPrEx>
                <w:tblW w:w="9032" w:type="dxa"/>
                <w:tblInd w:w="20" w:type="dxa"/>
                <w:tblLayout w:type="fixed"/>
                <w:tblLook w:val="01E0"/>
              </w:tblPrEx>
              <w:trPr>
                <w:tblHeader/>
              </w:trPr>
              <w:tc>
                <w:tcPr>
                  <w:tcW w:w="9072" w:type="dxa"/>
                  <w:noWrap w:val="0"/>
                  <w:tcMar>
                    <w:top w:w="0" w:type="dxa"/>
                    <w:left w:w="0" w:type="dxa"/>
                    <w:bottom w:w="0" w:type="dxa"/>
                    <w:right w:w="0" w:type="dxa"/>
                  </w:tcMar>
                  <w:vAlign w:val="top"/>
                </w:tcPr>
                <w:tbl>
                  <w:tblPr>
                    <w:tblStyle w:val="TableNormal"/>
                    <w:tblOverlap w:val="never"/>
                    <w:tblW w:w="9072" w:type="dxa"/>
                    <w:jc w:val="left"/>
                    <w:tblInd w:w="0" w:type="dxa"/>
                    <w:tblLayout w:type="fixed"/>
                    <w:tblCellMar>
                      <w:top w:w="0" w:type="dxa"/>
                      <w:left w:w="0" w:type="dxa"/>
                      <w:bottom w:w="0" w:type="dxa"/>
                      <w:right w:w="0" w:type="dxa"/>
                    </w:tblCellMar>
                    <w:tblLook w:val="01E0"/>
                  </w:tblPr>
                  <w:tblGrid>
                    <w:gridCol w:w="9072"/>
                  </w:tblGrid>
                  <w:tr>
                    <w:tblPrEx>
                      <w:tblW w:w="9072" w:type="dxa"/>
                      <w:jc w:val="left"/>
                      <w:tblInd w:w="0" w:type="dxa"/>
                      <w:tblLayout w:type="fixed"/>
                      <w:tblCellMar>
                        <w:top w:w="0" w:type="dxa"/>
                        <w:left w:w="0" w:type="dxa"/>
                        <w:bottom w:w="0" w:type="dxa"/>
                        <w:right w:w="0" w:type="dxa"/>
                      </w:tblCellMar>
                      <w:tblLook w:val="01E0"/>
                    </w:tblPrEx>
                    <w:trPr>
                      <w:jc w:val="left"/>
                    </w:trPr>
                    <w:tc>
                      <w:tcPr>
                        <w:tcW w:w="9072" w:type="dxa"/>
                        <w:noWrap w:val="0"/>
                        <w:tcMar>
                          <w:top w:w="0" w:type="dxa"/>
                          <w:left w:w="0" w:type="dxa"/>
                          <w:bottom w:w="0" w:type="dxa"/>
                          <w:right w:w="0" w:type="dxa"/>
                        </w:tcMar>
                        <w:vAlign w:val="top"/>
                      </w:tcPr>
                      <w:p>
                        <w:pPr>
                          <w:bidi w:val="0"/>
                          <w:spacing w:before="0" w:after="141"/>
                          <w:jc w:val="both"/>
                        </w:pPr>
                        <w:r>
                          <w:rPr>
                            <w:rFonts w:ascii="Times New Roman" w:eastAsia="Times New Roman" w:hAnsi="Times New Roman" w:cs="Times New Roman"/>
                            <w:b/>
                            <w:bCs/>
                            <w:color w:val="000000"/>
                            <w:spacing w:val="0"/>
                            <w:sz w:val="20"/>
                            <w:szCs w:val="20"/>
                          </w:rPr>
                          <w:t>12 - DA DOTAÇÃO ORÇAMENTÁRIA</w:t>
                        </w:r>
                      </w:p>
                      <w:p>
                        <w:pPr>
                          <w:bidi w:val="0"/>
                          <w:spacing w:before="0" w:after="0"/>
                          <w:ind w:firstLine="560"/>
                          <w:jc w:val="both"/>
                        </w:pPr>
                        <w:r>
                          <w:rPr>
                            <w:rFonts w:ascii="Times New Roman" w:eastAsia="Times New Roman" w:hAnsi="Times New Roman" w:cs="Times New Roman"/>
                            <w:color w:val="000000"/>
                            <w:spacing w:val="0"/>
                            <w:sz w:val="20"/>
                            <w:szCs w:val="20"/>
                          </w:rPr>
                          <w:t xml:space="preserve">12.1. As despesas decorrentes da aquisição/prestação de serviços, objeto desta Ata, cujo programa de trabalho e elemento de Despesa específico constará da respectiva Nota de Empenho, correrão à conta dos recursos consignados no Orçamento Geral do Município, para o exercício atual </w:t>
                        </w:r>
                        <w:r>
                          <w:rPr>
                            <w:rFonts w:ascii="Times New Roman" w:eastAsia="Times New Roman" w:hAnsi="Times New Roman" w:cs="Times New Roman"/>
                            <w:b/>
                            <w:bCs/>
                            <w:color w:val="000000"/>
                            <w:spacing w:val="0"/>
                            <w:sz w:val="20"/>
                            <w:szCs w:val="20"/>
                          </w:rPr>
                          <w:t>as quais, constará(ão) inicialmente a(s) seguinte(s):</w:t>
                        </w:r>
                      </w:p>
                    </w:tc>
                  </w:tr>
                </w:tbl>
                <w:p>
                  <w:pPr>
                    <w:spacing w:line="1" w:lineRule="auto"/>
                  </w:pPr>
                </w:p>
              </w:tc>
            </w:tr>
            <w:tr>
              <w:tblPrEx>
                <w:tblW w:w="9032" w:type="dxa"/>
                <w:tblInd w:w="20" w:type="dxa"/>
                <w:tblLayout w:type="fixed"/>
                <w:tblLook w:val="01E0"/>
              </w:tblPrEx>
              <w:tc>
                <w:tcPr>
                  <w:tcW w:w="9072" w:type="dxa"/>
                  <w:noWrap w:val="0"/>
                  <w:tcMar>
                    <w:top w:w="0" w:type="dxa"/>
                    <w:left w:w="0" w:type="dxa"/>
                    <w:bottom w:w="0" w:type="dxa"/>
                    <w:right w:w="0" w:type="dxa"/>
                  </w:tcMar>
                  <w:vAlign w:val="top"/>
                </w:tcPr>
                <w:p/>
                <w:tbl>
                  <w:tblPr>
                    <w:tblStyle w:val="TableNormal"/>
                    <w:tblOverlap w:val="never"/>
                    <w:tblW w:w="9072" w:type="dxa"/>
                    <w:tblInd w:w="0" w:type="dxa"/>
                    <w:tblLayout w:type="fixed"/>
                    <w:tblCellMar>
                      <w:top w:w="0" w:type="dxa"/>
                      <w:left w:w="0" w:type="dxa"/>
                      <w:bottom w:w="0" w:type="dxa"/>
                      <w:right w:w="0" w:type="dxa"/>
                    </w:tblCellMar>
                    <w:tblLook w:val="01E0"/>
                  </w:tblPr>
                  <w:tblGrid>
                    <w:gridCol w:w="9072"/>
                  </w:tblGrid>
                  <w:tr>
                    <w:tblPrEx>
                      <w:tblW w:w="9072" w:type="dxa"/>
                      <w:tblInd w:w="0" w:type="dxa"/>
                      <w:tblLayout w:type="fixed"/>
                      <w:tblCellMar>
                        <w:top w:w="0" w:type="dxa"/>
                        <w:left w:w="0" w:type="dxa"/>
                        <w:bottom w:w="0" w:type="dxa"/>
                        <w:right w:w="0" w:type="dxa"/>
                      </w:tblCellMar>
                      <w:tblLook w:val="01E0"/>
                    </w:tblPrEx>
                    <w:tc>
                      <w:tcPr>
                        <w:tcW w:w="9072" w:type="dxa"/>
                        <w:noWrap w:val="0"/>
                        <w:tcMar>
                          <w:top w:w="0" w:type="dxa"/>
                          <w:left w:w="0" w:type="dxa"/>
                          <w:bottom w:w="0" w:type="dxa"/>
                          <w:right w:w="0" w:type="dxa"/>
                        </w:tcMar>
                        <w:vAlign w:val="top"/>
                      </w:tcPr>
                      <w:p>
                        <w:pPr>
                          <w:bidi w:val="0"/>
                          <w:spacing w:before="0" w:after="0"/>
                        </w:pPr>
                        <w:r>
                          <w:rPr>
                            <w:rFonts w:ascii="Times New Roman" w:eastAsia="Times New Roman" w:hAnsi="Times New Roman" w:cs="Times New Roman"/>
                            <w:b/>
                            <w:bCs/>
                            <w:color w:val="000000"/>
                            <w:spacing w:val="0"/>
                            <w:sz w:val="20"/>
                            <w:szCs w:val="20"/>
                          </w:rPr>
                          <w:t>08.002.0027.0812.0011.2078.3339030140000000000 (497)</w:t>
                        </w:r>
                      </w:p>
                    </w:tc>
                  </w:tr>
                </w:tbl>
                <w:p>
                  <w:pPr>
                    <w:spacing w:line="1" w:lineRule="auto"/>
                  </w:pPr>
                </w:p>
              </w:tc>
            </w:tr>
          </w:tbl>
          <w:p>
            <w:pPr>
              <w:spacing w:line="1" w:lineRule="auto"/>
            </w:pPr>
          </w:p>
        </w:tc>
      </w:tr>
      <w:tr>
        <w:tblPrEx>
          <w:tblW w:w="9032" w:type="dxa"/>
          <w:tblInd w:w="20" w:type="dxa"/>
          <w:tblLayout w:type="fixed"/>
          <w:tblLook w:val="01E0"/>
        </w:tblPrEx>
        <w:trPr>
          <w:trHeight w:hRule="exact" w:val="283"/>
        </w:trPr>
        <w:tc>
          <w:tcPr>
            <w:tcW w:w="9072" w:type="dxa"/>
            <w:noWrap w:val="0"/>
            <w:tcMar>
              <w:top w:w="0" w:type="dxa"/>
              <w:left w:w="0" w:type="dxa"/>
              <w:bottom w:w="0" w:type="dxa"/>
              <w:right w:w="0" w:type="dxa"/>
            </w:tcMar>
            <w:vAlign w:val="top"/>
          </w:tcPr>
          <w:p>
            <w:pPr>
              <w:spacing w:line="1" w:lineRule="auto"/>
            </w:pPr>
          </w:p>
        </w:tc>
      </w:tr>
    </w:tbl>
    <w:p/>
    <w:tbl>
      <w:tblPr>
        <w:tblStyle w:val="TableNormal"/>
        <w:tblOverlap w:val="never"/>
        <w:tblW w:w="9072" w:type="dxa"/>
        <w:jc w:val="left"/>
        <w:tblInd w:w="0" w:type="dxa"/>
        <w:tblLayout w:type="fixed"/>
        <w:tblCellMar>
          <w:top w:w="0" w:type="dxa"/>
          <w:left w:w="0" w:type="dxa"/>
          <w:bottom w:w="0" w:type="dxa"/>
          <w:right w:w="0" w:type="dxa"/>
        </w:tblCellMar>
        <w:tblLook w:val="01E0"/>
      </w:tblPr>
      <w:tblGrid>
        <w:gridCol w:w="9072"/>
      </w:tblGrid>
      <w:tr>
        <w:tblPrEx>
          <w:tblW w:w="9072" w:type="dxa"/>
          <w:jc w:val="left"/>
          <w:tblInd w:w="0" w:type="dxa"/>
          <w:tblLayout w:type="fixed"/>
          <w:tblCellMar>
            <w:top w:w="0" w:type="dxa"/>
            <w:left w:w="0" w:type="dxa"/>
            <w:bottom w:w="0" w:type="dxa"/>
            <w:right w:w="0" w:type="dxa"/>
          </w:tblCellMar>
          <w:tblLook w:val="01E0"/>
        </w:tblPrEx>
        <w:trPr>
          <w:jc w:val="left"/>
        </w:trPr>
        <w:tc>
          <w:tcPr>
            <w:tcW w:w="9072" w:type="dxa"/>
            <w:noWrap w:val="0"/>
            <w:tcMar>
              <w:top w:w="20" w:type="dxa"/>
              <w:left w:w="20" w:type="dxa"/>
              <w:bottom w:w="20" w:type="dxa"/>
              <w:right w:w="20" w:type="dxa"/>
            </w:tcMar>
            <w:vAlign w:val="top"/>
          </w:tcPr>
          <w:bookmarkStart w:id="12" w:name="__bookmark_15"/>
          <w:bookmarkEnd w:id="12"/>
          <w:p>
            <w:pPr>
              <w:bidi w:val="0"/>
              <w:spacing w:before="0" w:after="141"/>
              <w:ind w:firstLine="560"/>
              <w:jc w:val="both"/>
            </w:pPr>
            <w:r>
              <w:rPr>
                <w:rFonts w:ascii="Times New Roman" w:eastAsia="Times New Roman" w:hAnsi="Times New Roman" w:cs="Times New Roman"/>
                <w:color w:val="000000"/>
                <w:spacing w:val="0"/>
                <w:sz w:val="20"/>
                <w:szCs w:val="20"/>
              </w:rPr>
              <w:t>12.2. As despesas que seguirem nos exercícios subsequentes correrão à conta das rubricas ou verbas específicas consignadas nos orçamentos do Município, e as alterações se processarão por meio de simples apostilamento.</w:t>
            </w:r>
          </w:p>
          <w:p>
            <w:pPr>
              <w:bidi w:val="0"/>
              <w:spacing w:before="0" w:after="141"/>
              <w:jc w:val="both"/>
            </w:pPr>
            <w:r>
              <w:rPr>
                <w:rFonts w:ascii="Times New Roman" w:eastAsia="Times New Roman" w:hAnsi="Times New Roman" w:cs="Times New Roman"/>
                <w:b/>
                <w:bCs/>
                <w:color w:val="000000"/>
                <w:spacing w:val="0"/>
                <w:sz w:val="20"/>
                <w:szCs w:val="20"/>
              </w:rPr>
              <w:t>13 - DO FORO</w:t>
            </w:r>
          </w:p>
          <w:p>
            <w:pPr>
              <w:bidi w:val="0"/>
              <w:spacing w:before="0" w:after="0"/>
              <w:ind w:firstLine="560"/>
              <w:jc w:val="both"/>
            </w:pPr>
            <w:r>
              <w:rPr>
                <w:rFonts w:ascii="Times New Roman" w:eastAsia="Times New Roman" w:hAnsi="Times New Roman" w:cs="Times New Roman"/>
                <w:color w:val="000000"/>
                <w:spacing w:val="0"/>
                <w:sz w:val="20"/>
                <w:szCs w:val="20"/>
              </w:rPr>
              <w:t>13.1. É competente o Foro da Comarca de Rio Negro – PR, para dirimir quaisquer questões decorrentes da presente Ata de Registro de Preços.</w:t>
            </w:r>
          </w:p>
          <w:p>
            <w:pPr>
              <w:bidi w:val="0"/>
              <w:spacing w:before="0" w:after="283"/>
              <w:ind w:firstLine="560"/>
              <w:jc w:val="both"/>
            </w:pPr>
            <w:r>
              <w:rPr>
                <w:rFonts w:ascii="Times New Roman" w:eastAsia="Times New Roman" w:hAnsi="Times New Roman" w:cs="Times New Roman"/>
                <w:color w:val="000000"/>
                <w:spacing w:val="0"/>
                <w:sz w:val="20"/>
                <w:szCs w:val="20"/>
              </w:rPr>
              <w:t>13.2. E por estarem justas e compromissadas, as partes assinam a presente Ata em 02 (duas) vias de igual teor e forma, para todos os fins de direito, na presença das duas testemunhas abaixo.</w:t>
            </w:r>
          </w:p>
        </w:tc>
      </w:tr>
    </w:tbl>
    <w:bookmarkStart w:id="13" w:name="__bookmark_16"/>
    <w:bookmarkEnd w:id="13"/>
    <w:p/>
    <w:tbl>
      <w:tblPr>
        <w:tblStyle w:val="TableNormal"/>
        <w:tblOverlap w:val="never"/>
        <w:tblW w:w="9032" w:type="dxa"/>
        <w:tblInd w:w="20" w:type="dxa"/>
        <w:tblLayout w:type="fixed"/>
        <w:tblLook w:val="01E0"/>
      </w:tblPr>
      <w:tblGrid>
        <w:gridCol w:w="9032"/>
      </w:tblGrid>
      <w:tr>
        <w:tblPrEx>
          <w:tblW w:w="9032" w:type="dxa"/>
          <w:tblInd w:w="20" w:type="dxa"/>
          <w:tblLayout w:type="fixed"/>
          <w:tblLook w:val="01E0"/>
        </w:tblPrEx>
        <w:trPr>
          <w:trHeight w:hRule="exact" w:val="850"/>
          <w:tblHeader/>
        </w:trPr>
        <w:tc>
          <w:tcPr>
            <w:tcW w:w="9072" w:type="dxa"/>
            <w:noWrap w:val="0"/>
            <w:tcMar>
              <w:top w:w="0" w:type="dxa"/>
              <w:left w:w="0" w:type="dxa"/>
              <w:bottom w:w="0" w:type="dxa"/>
              <w:right w:w="0" w:type="dxa"/>
            </w:tcMar>
            <w:vAlign w:val="top"/>
          </w:tcPr>
          <w:p>
            <w:pPr>
              <w:spacing w:line="1" w:lineRule="auto"/>
            </w:pPr>
          </w:p>
        </w:tc>
      </w:tr>
      <w:tr>
        <w:tblPrEx>
          <w:tblW w:w="9032" w:type="dxa"/>
          <w:tblInd w:w="20" w:type="dxa"/>
          <w:tblLayout w:type="fixed"/>
          <w:tblLook w:val="01E0"/>
        </w:tblPrEx>
        <w:tc>
          <w:tcPr>
            <w:tcW w:w="9072" w:type="dxa"/>
            <w:noWrap w:val="0"/>
            <w:tcMar>
              <w:top w:w="0" w:type="dxa"/>
              <w:left w:w="0" w:type="dxa"/>
              <w:bottom w:w="0" w:type="dxa"/>
              <w:right w:w="0" w:type="dxa"/>
            </w:tcMar>
            <w:vAlign w:val="top"/>
          </w:tcPr>
          <w:tbl>
            <w:tblPr>
              <w:tblStyle w:val="TableNormal"/>
              <w:tblOverlap w:val="never"/>
              <w:tblW w:w="9072" w:type="dxa"/>
              <w:jc w:val="center"/>
              <w:tblInd w:w="0" w:type="dxa"/>
              <w:tblLayout w:type="fixed"/>
              <w:tblCellMar>
                <w:top w:w="0" w:type="dxa"/>
                <w:left w:w="0" w:type="dxa"/>
                <w:bottom w:w="0" w:type="dxa"/>
                <w:right w:w="0" w:type="dxa"/>
              </w:tblCellMar>
              <w:tblLook w:val="01E0"/>
            </w:tblPr>
            <w:tblGrid>
              <w:gridCol w:w="9072"/>
            </w:tblGrid>
            <w:tr>
              <w:tblPrEx>
                <w:tblW w:w="9072" w:type="dxa"/>
                <w:jc w:val="center"/>
                <w:tblInd w:w="0" w:type="dxa"/>
                <w:tblLayout w:type="fixed"/>
                <w:tblCellMar>
                  <w:top w:w="0" w:type="dxa"/>
                  <w:left w:w="0" w:type="dxa"/>
                  <w:bottom w:w="0" w:type="dxa"/>
                  <w:right w:w="0" w:type="dxa"/>
                </w:tblCellMar>
                <w:tblLook w:val="01E0"/>
              </w:tblPrEx>
              <w:trPr>
                <w:jc w:val="center"/>
              </w:trPr>
              <w:tc>
                <w:tcPr>
                  <w:tcW w:w="9072" w:type="dxa"/>
                  <w:noWrap w:val="0"/>
                  <w:tcMar>
                    <w:top w:w="0" w:type="dxa"/>
                    <w:left w:w="0" w:type="dxa"/>
                    <w:bottom w:w="0" w:type="dxa"/>
                    <w:right w:w="0" w:type="dxa"/>
                  </w:tcMar>
                  <w:vAlign w:val="top"/>
                </w:tcPr>
                <w:p>
                  <w:pPr>
                    <w:bidi w:val="0"/>
                    <w:spacing w:before="0" w:after="0"/>
                    <w:jc w:val="center"/>
                  </w:pPr>
                  <w:r>
                    <w:rPr>
                      <w:rFonts w:ascii="Times New Roman" w:eastAsia="Times New Roman" w:hAnsi="Times New Roman" w:cs="Times New Roman"/>
                      <w:b/>
                      <w:bCs/>
                      <w:color w:val="000000"/>
                      <w:spacing w:val="0"/>
                      <w:sz w:val="20"/>
                      <w:szCs w:val="20"/>
                    </w:rPr>
                    <w:t>JAMES KARSON VALERIO</w:t>
                  </w:r>
                </w:p>
                <w:p>
                  <w:pPr>
                    <w:bidi w:val="0"/>
                    <w:spacing w:before="0" w:after="0"/>
                    <w:jc w:val="center"/>
                  </w:pPr>
                  <w:r>
                    <w:rPr>
                      <w:rFonts w:ascii="Times New Roman" w:eastAsia="Times New Roman" w:hAnsi="Times New Roman" w:cs="Times New Roman"/>
                      <w:color w:val="000000"/>
                      <w:spacing w:val="0"/>
                      <w:sz w:val="20"/>
                      <w:szCs w:val="20"/>
                    </w:rPr>
                    <w:t>PREFEITO MUNICIPAL</w:t>
                  </w:r>
                </w:p>
              </w:tc>
            </w:tr>
          </w:tbl>
          <w:p>
            <w:pPr>
              <w:spacing w:line="1" w:lineRule="auto"/>
            </w:pPr>
          </w:p>
        </w:tc>
      </w:tr>
    </w:tbl>
    <w:p/>
    <w:tbl>
      <w:tblPr>
        <w:tblStyle w:val="TableNormal"/>
        <w:tblOverlap w:val="never"/>
        <w:tblW w:w="9032" w:type="dxa"/>
        <w:tblInd w:w="20" w:type="dxa"/>
        <w:tblLayout w:type="fixed"/>
        <w:tblLook w:val="01E0"/>
      </w:tblPr>
      <w:tblGrid>
        <w:gridCol w:w="4234"/>
        <w:gridCol w:w="564"/>
        <w:gridCol w:w="4234"/>
      </w:tblGrid>
      <w:tr>
        <w:tblPrEx>
          <w:tblW w:w="9032" w:type="dxa"/>
          <w:tblInd w:w="20" w:type="dxa"/>
          <w:tblLayout w:type="fixed"/>
          <w:tblLook w:val="01E0"/>
        </w:tblPrEx>
        <w:trPr>
          <w:trHeight w:hRule="exact" w:val="283"/>
        </w:trPr>
        <w:tc>
          <w:tcPr>
            <w:tcW w:w="4253" w:type="dxa"/>
            <w:noWrap w:val="0"/>
            <w:tcMar>
              <w:top w:w="0" w:type="dxa"/>
              <w:left w:w="0" w:type="dxa"/>
              <w:bottom w:w="0" w:type="dxa"/>
              <w:right w:w="0" w:type="dxa"/>
            </w:tcMar>
            <w:vAlign w:val="top"/>
          </w:tcPr>
          <w:p>
            <w:pPr>
              <w:spacing w:line="1" w:lineRule="auto"/>
            </w:pPr>
          </w:p>
        </w:tc>
        <w:tc>
          <w:tcPr>
            <w:tcW w:w="566" w:type="dxa"/>
            <w:noWrap w:val="0"/>
            <w:tcMar>
              <w:top w:w="0" w:type="dxa"/>
              <w:left w:w="0" w:type="dxa"/>
              <w:bottom w:w="0" w:type="dxa"/>
              <w:right w:w="0" w:type="dxa"/>
            </w:tcMar>
            <w:vAlign w:val="top"/>
          </w:tcPr>
          <w:p>
            <w:pPr>
              <w:spacing w:line="1" w:lineRule="auto"/>
            </w:pPr>
          </w:p>
        </w:tc>
        <w:tc>
          <w:tcPr>
            <w:tcW w:w="4253" w:type="dxa"/>
            <w:noWrap w:val="0"/>
            <w:tcMar>
              <w:top w:w="0" w:type="dxa"/>
              <w:left w:w="0" w:type="dxa"/>
              <w:bottom w:w="0" w:type="dxa"/>
              <w:right w:w="0" w:type="dxa"/>
            </w:tcMar>
            <w:vAlign w:val="top"/>
          </w:tcPr>
          <w:p>
            <w:pPr>
              <w:spacing w:line="1" w:lineRule="auto"/>
            </w:pPr>
          </w:p>
        </w:tc>
      </w:tr>
      <w:tr>
        <w:tblPrEx>
          <w:tblW w:w="9032" w:type="dxa"/>
          <w:tblInd w:w="20" w:type="dxa"/>
          <w:tblLayout w:type="fixed"/>
          <w:tblLook w:val="01E0"/>
        </w:tblPrEx>
        <w:trPr>
          <w:trHeight w:hRule="exact" w:val="850"/>
        </w:trPr>
        <w:tc>
          <w:tcPr>
            <w:tcW w:w="4253" w:type="dxa"/>
            <w:noWrap w:val="0"/>
            <w:tcMar>
              <w:top w:w="0" w:type="dxa"/>
              <w:left w:w="0" w:type="dxa"/>
              <w:bottom w:w="0" w:type="dxa"/>
              <w:right w:w="0" w:type="dxa"/>
            </w:tcMar>
            <w:vAlign w:val="top"/>
          </w:tcPr>
          <w:p>
            <w:pPr>
              <w:bidi w:val="0"/>
              <w:rPr>
                <w:rFonts w:ascii="Times New Roman" w:eastAsia="Times New Roman" w:hAnsi="Times New Roman" w:cs="Times New Roman"/>
                <w:b/>
                <w:bCs/>
                <w:color w:val="000000"/>
                <w:spacing w:val="0"/>
                <w:sz w:val="20"/>
                <w:szCs w:val="20"/>
                <w:u w:val="single"/>
              </w:rPr>
            </w:pPr>
            <w:r>
              <w:rPr>
                <w:rFonts w:ascii="Times New Roman" w:eastAsia="Times New Roman" w:hAnsi="Times New Roman" w:cs="Times New Roman"/>
                <w:b/>
                <w:bCs/>
                <w:color w:val="000000"/>
                <w:spacing w:val="0"/>
                <w:sz w:val="20"/>
                <w:szCs w:val="20"/>
                <w:u w:val="single"/>
              </w:rPr>
              <w:t>FISCAIS:</w:t>
            </w:r>
          </w:p>
        </w:tc>
        <w:tc>
          <w:tcPr>
            <w:tcW w:w="566" w:type="dxa"/>
            <w:noWrap w:val="0"/>
            <w:tcMar>
              <w:top w:w="0" w:type="dxa"/>
              <w:left w:w="0" w:type="dxa"/>
              <w:bottom w:w="0" w:type="dxa"/>
              <w:right w:w="0" w:type="dxa"/>
            </w:tcMar>
            <w:vAlign w:val="top"/>
          </w:tcPr>
          <w:p>
            <w:pPr>
              <w:spacing w:line="1" w:lineRule="auto"/>
            </w:pPr>
          </w:p>
        </w:tc>
        <w:tc>
          <w:tcPr>
            <w:tcW w:w="4253" w:type="dxa"/>
            <w:noWrap w:val="0"/>
            <w:tcMar>
              <w:top w:w="0" w:type="dxa"/>
              <w:left w:w="0" w:type="dxa"/>
              <w:bottom w:w="0" w:type="dxa"/>
              <w:right w:w="0" w:type="dxa"/>
            </w:tcMar>
            <w:vAlign w:val="top"/>
          </w:tcPr>
          <w:p>
            <w:pPr>
              <w:spacing w:line="1" w:lineRule="auto"/>
            </w:pPr>
          </w:p>
        </w:tc>
      </w:tr>
      <w:tr>
        <w:tblPrEx>
          <w:tblW w:w="9032" w:type="dxa"/>
          <w:tblInd w:w="20" w:type="dxa"/>
          <w:tblLayout w:type="fixed"/>
          <w:tblLook w:val="01E0"/>
        </w:tblPrEx>
        <w:tc>
          <w:tcPr>
            <w:tcW w:w="4253" w:type="dxa"/>
            <w:tcBorders>
              <w:top w:val="single" w:sz="6" w:space="0" w:color="000000"/>
            </w:tcBorders>
            <w:noWrap w:val="0"/>
            <w:tcMar>
              <w:top w:w="0" w:type="dxa"/>
              <w:left w:w="0" w:type="dxa"/>
              <w:bottom w:w="0" w:type="dxa"/>
              <w:right w:w="0" w:type="dxa"/>
            </w:tcMar>
            <w:vAlign w:val="top"/>
          </w:tcPr>
          <w:p>
            <w:pPr>
              <w:shd w:val="clear" w:color="auto" w:fill="C0C0C0"/>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&lt;NOME DO FISCAL&gt;</w:t>
            </w:r>
          </w:p>
        </w:tc>
        <w:tc>
          <w:tcPr>
            <w:tcW w:w="566" w:type="dxa"/>
            <w:noWrap w:val="0"/>
            <w:tcMar>
              <w:top w:w="0" w:type="dxa"/>
              <w:left w:w="0" w:type="dxa"/>
              <w:bottom w:w="0" w:type="dxa"/>
              <w:right w:w="0" w:type="dxa"/>
            </w:tcMar>
            <w:vAlign w:val="top"/>
          </w:tcPr>
          <w:p>
            <w:pPr>
              <w:spacing w:line="1" w:lineRule="auto"/>
            </w:pPr>
          </w:p>
        </w:tc>
        <w:tc>
          <w:tcPr>
            <w:tcW w:w="4253" w:type="dxa"/>
            <w:tcBorders>
              <w:top w:val="single" w:sz="6" w:space="0" w:color="000000"/>
            </w:tcBorders>
            <w:noWrap w:val="0"/>
            <w:tcMar>
              <w:top w:w="0" w:type="dxa"/>
              <w:left w:w="0" w:type="dxa"/>
              <w:bottom w:w="0" w:type="dxa"/>
              <w:right w:w="0" w:type="dxa"/>
            </w:tcMar>
            <w:vAlign w:val="top"/>
          </w:tcPr>
          <w:p>
            <w:pPr>
              <w:shd w:val="clear" w:color="auto" w:fill="C0C0C0"/>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&lt;NOME DO FISCAL SUPLENTE&gt;</w:t>
            </w:r>
          </w:p>
        </w:tc>
      </w:tr>
      <w:tr>
        <w:tblPrEx>
          <w:tblW w:w="9032" w:type="dxa"/>
          <w:tblInd w:w="20" w:type="dxa"/>
          <w:tblLayout w:type="fixed"/>
          <w:tblLook w:val="01E0"/>
        </w:tblPrEx>
        <w:trPr>
          <w:trHeight w:hRule="exact" w:val="1133"/>
        </w:trPr>
        <w:tc>
          <w:tcPr>
            <w:tcW w:w="4253" w:type="dxa"/>
            <w:noWrap w:val="0"/>
            <w:tcMar>
              <w:top w:w="0" w:type="dxa"/>
              <w:left w:w="0" w:type="dxa"/>
              <w:bottom w:w="0" w:type="dxa"/>
              <w:right w:w="0" w:type="dxa"/>
            </w:tcMar>
            <w:vAlign w:val="top"/>
          </w:tcPr>
          <w:p>
            <w:pPr>
              <w:bidi w:val="0"/>
              <w:jc w:val="center"/>
              <w:rPr>
                <w:rFonts w:ascii="Times New Roman" w:eastAsia="Times New Roman" w:hAnsi="Times New Roman" w:cs="Times New Roman"/>
                <w:b/>
                <w:bCs/>
                <w:color w:val="000000"/>
                <w:spacing w:val="0"/>
                <w:sz w:val="20"/>
                <w:szCs w:val="20"/>
              </w:rPr>
            </w:pPr>
            <w:r>
              <w:rPr>
                <w:rFonts w:ascii="Times New Roman" w:eastAsia="Times New Roman" w:hAnsi="Times New Roman" w:cs="Times New Roman"/>
                <w:b/>
                <w:bCs/>
                <w:color w:val="000000"/>
                <w:spacing w:val="0"/>
                <w:sz w:val="20"/>
                <w:szCs w:val="20"/>
              </w:rPr>
              <w:t>Fiscal da Ata de Registro de Preços</w:t>
            </w:r>
          </w:p>
        </w:tc>
        <w:tc>
          <w:tcPr>
            <w:tcW w:w="566" w:type="dxa"/>
            <w:noWrap w:val="0"/>
            <w:tcMar>
              <w:top w:w="0" w:type="dxa"/>
              <w:left w:w="0" w:type="dxa"/>
              <w:bottom w:w="0" w:type="dxa"/>
              <w:right w:w="0" w:type="dxa"/>
            </w:tcMar>
            <w:vAlign w:val="top"/>
          </w:tcPr>
          <w:p>
            <w:pPr>
              <w:spacing w:line="1" w:lineRule="auto"/>
            </w:pPr>
          </w:p>
        </w:tc>
        <w:tc>
          <w:tcPr>
            <w:tcW w:w="4253" w:type="dxa"/>
            <w:noWrap w:val="0"/>
            <w:tcMar>
              <w:top w:w="0" w:type="dxa"/>
              <w:left w:w="0" w:type="dxa"/>
              <w:bottom w:w="0" w:type="dxa"/>
              <w:right w:w="0" w:type="dxa"/>
            </w:tcMar>
            <w:vAlign w:val="top"/>
          </w:tcPr>
          <w:p>
            <w:pPr>
              <w:bidi w:val="0"/>
              <w:jc w:val="center"/>
              <w:rPr>
                <w:rFonts w:ascii="Times New Roman" w:eastAsia="Times New Roman" w:hAnsi="Times New Roman" w:cs="Times New Roman"/>
                <w:b/>
                <w:bCs/>
                <w:color w:val="000000"/>
                <w:spacing w:val="0"/>
                <w:sz w:val="20"/>
                <w:szCs w:val="20"/>
              </w:rPr>
            </w:pPr>
            <w:r>
              <w:rPr>
                <w:rFonts w:ascii="Times New Roman" w:eastAsia="Times New Roman" w:hAnsi="Times New Roman" w:cs="Times New Roman"/>
                <w:b/>
                <w:bCs/>
                <w:color w:val="000000"/>
                <w:spacing w:val="0"/>
                <w:sz w:val="20"/>
                <w:szCs w:val="20"/>
              </w:rPr>
              <w:t>Fiscal Suplente da Ata de Registro de Preços</w:t>
            </w:r>
          </w:p>
        </w:tc>
      </w:tr>
      <w:tr>
        <w:tblPrEx>
          <w:tblW w:w="9032" w:type="dxa"/>
          <w:tblInd w:w="20" w:type="dxa"/>
          <w:tblLayout w:type="fixed"/>
          <w:tblLook w:val="01E0"/>
        </w:tblPrEx>
        <w:trPr>
          <w:trHeight w:hRule="exact" w:val="850"/>
        </w:trPr>
        <w:tc>
          <w:tcPr>
            <w:tcW w:w="4253" w:type="dxa"/>
            <w:noWrap w:val="0"/>
            <w:tcMar>
              <w:top w:w="0" w:type="dxa"/>
              <w:left w:w="0" w:type="dxa"/>
              <w:bottom w:w="0" w:type="dxa"/>
              <w:right w:w="0" w:type="dxa"/>
            </w:tcMar>
            <w:vAlign w:val="top"/>
          </w:tcPr>
          <w:p>
            <w:pPr>
              <w:bidi w:val="0"/>
              <w:rPr>
                <w:rFonts w:ascii="Times New Roman" w:eastAsia="Times New Roman" w:hAnsi="Times New Roman" w:cs="Times New Roman"/>
                <w:b/>
                <w:bCs/>
                <w:color w:val="000000"/>
                <w:spacing w:val="0"/>
                <w:sz w:val="20"/>
                <w:szCs w:val="20"/>
                <w:u w:val="single"/>
              </w:rPr>
            </w:pPr>
            <w:r>
              <w:rPr>
                <w:rFonts w:ascii="Times New Roman" w:eastAsia="Times New Roman" w:hAnsi="Times New Roman" w:cs="Times New Roman"/>
                <w:b/>
                <w:bCs/>
                <w:color w:val="000000"/>
                <w:spacing w:val="0"/>
                <w:sz w:val="20"/>
                <w:szCs w:val="20"/>
                <w:u w:val="single"/>
              </w:rPr>
              <w:t>TESTEMUNHAS:</w:t>
            </w:r>
          </w:p>
        </w:tc>
        <w:tc>
          <w:tcPr>
            <w:tcW w:w="566" w:type="dxa"/>
            <w:noWrap w:val="0"/>
            <w:tcMar>
              <w:top w:w="0" w:type="dxa"/>
              <w:left w:w="0" w:type="dxa"/>
              <w:bottom w:w="0" w:type="dxa"/>
              <w:right w:w="0" w:type="dxa"/>
            </w:tcMar>
            <w:vAlign w:val="top"/>
          </w:tcPr>
          <w:p>
            <w:pPr>
              <w:spacing w:line="1" w:lineRule="auto"/>
            </w:pPr>
          </w:p>
        </w:tc>
        <w:tc>
          <w:tcPr>
            <w:tcW w:w="4253" w:type="dxa"/>
            <w:noWrap w:val="0"/>
            <w:tcMar>
              <w:top w:w="0" w:type="dxa"/>
              <w:left w:w="0" w:type="dxa"/>
              <w:bottom w:w="0" w:type="dxa"/>
              <w:right w:w="0" w:type="dxa"/>
            </w:tcMar>
            <w:vAlign w:val="top"/>
          </w:tcPr>
          <w:p>
            <w:pPr>
              <w:spacing w:line="1" w:lineRule="auto"/>
            </w:pPr>
          </w:p>
        </w:tc>
      </w:tr>
      <w:tr>
        <w:tblPrEx>
          <w:tblW w:w="9032" w:type="dxa"/>
          <w:tblInd w:w="20" w:type="dxa"/>
          <w:tblLayout w:type="fixed"/>
          <w:tblLook w:val="01E0"/>
        </w:tblPrEx>
        <w:tc>
          <w:tcPr>
            <w:tcW w:w="4253" w:type="dxa"/>
            <w:tcBorders>
              <w:top w:val="single" w:sz="6" w:space="0" w:color="000000"/>
            </w:tcBorders>
            <w:noWrap w:val="0"/>
            <w:tcMar>
              <w:top w:w="0" w:type="dxa"/>
              <w:left w:w="0" w:type="dxa"/>
              <w:bottom w:w="0" w:type="dxa"/>
              <w:right w:w="0" w:type="dxa"/>
            </w:tcMar>
            <w:vAlign w:val="top"/>
          </w:tcPr>
          <w:p>
            <w:pPr>
              <w:shd w:val="clear" w:color="auto" w:fill="C0C0C0"/>
              <w:bidi w:val="0"/>
              <w:jc w:val="center"/>
              <w:rPr>
                <w:rFonts w:ascii="Times New Roman" w:eastAsia="Times New Roman" w:hAnsi="Times New Roman" w:cs="Times New Roman"/>
                <w:b/>
                <w:bCs/>
                <w:color w:val="000000"/>
                <w:spacing w:val="0"/>
                <w:sz w:val="20"/>
                <w:szCs w:val="20"/>
              </w:rPr>
            </w:pPr>
            <w:r>
              <w:rPr>
                <w:rFonts w:ascii="Times New Roman" w:eastAsia="Times New Roman" w:hAnsi="Times New Roman" w:cs="Times New Roman"/>
                <w:b/>
                <w:bCs/>
                <w:color w:val="000000"/>
                <w:spacing w:val="0"/>
                <w:sz w:val="20"/>
                <w:szCs w:val="20"/>
              </w:rPr>
              <w:t>&lt;GESTOR DA ATA DE REGISTRO DE PREÇOS&gt;</w:t>
              <w:br/>
              <w:t>&lt;CARGO DO (A) GESTOR (A)&gt;</w:t>
            </w:r>
          </w:p>
        </w:tc>
        <w:tc>
          <w:tcPr>
            <w:tcW w:w="566" w:type="dxa"/>
            <w:noWrap w:val="0"/>
            <w:tcMar>
              <w:top w:w="0" w:type="dxa"/>
              <w:left w:w="0" w:type="dxa"/>
              <w:bottom w:w="0" w:type="dxa"/>
              <w:right w:w="0" w:type="dxa"/>
            </w:tcMar>
            <w:vAlign w:val="top"/>
          </w:tcPr>
          <w:p>
            <w:pPr>
              <w:spacing w:line="1" w:lineRule="auto"/>
            </w:pPr>
          </w:p>
        </w:tc>
        <w:tc>
          <w:tcPr>
            <w:tcW w:w="4253" w:type="dxa"/>
            <w:tcBorders>
              <w:top w:val="single" w:sz="6" w:space="0" w:color="000000"/>
            </w:tcBorders>
            <w:noWrap w:val="0"/>
            <w:tcMar>
              <w:top w:w="0" w:type="dxa"/>
              <w:left w:w="0" w:type="dxa"/>
              <w:bottom w:w="0" w:type="dxa"/>
              <w:right w:w="0" w:type="dxa"/>
            </w:tcMar>
            <w:vAlign w:val="top"/>
          </w:tcPr>
          <w:bookmarkStart w:id="14" w:name="__bookmark_17"/>
          <w:bookmarkEnd w:id="14"/>
          <w:tbl>
            <w:tblPr>
              <w:tblStyle w:val="TableNormal"/>
              <w:tblOverlap w:val="never"/>
              <w:tblW w:w="4213" w:type="dxa"/>
              <w:tblInd w:w="20" w:type="dxa"/>
              <w:tblLayout w:type="fixed"/>
              <w:tblLook w:val="01E0"/>
            </w:tblPr>
            <w:tblGrid>
              <w:gridCol w:w="4213"/>
            </w:tblGrid>
            <w:tr>
              <w:tblPrEx>
                <w:tblW w:w="4213" w:type="dxa"/>
                <w:tblInd w:w="20" w:type="dxa"/>
                <w:tblLayout w:type="fixed"/>
                <w:tblLook w:val="01E0"/>
              </w:tblPrEx>
              <w:tc>
                <w:tcPr>
                  <w:tcW w:w="4253" w:type="dxa"/>
                  <w:noWrap w:val="0"/>
                  <w:tcMar>
                    <w:top w:w="0" w:type="dxa"/>
                    <w:left w:w="0" w:type="dxa"/>
                    <w:bottom w:w="0" w:type="dxa"/>
                    <w:right w:w="0" w:type="dxa"/>
                  </w:tcMar>
                  <w:vAlign w:val="top"/>
                </w:tcPr>
                <w:tbl>
                  <w:tblPr>
                    <w:tblStyle w:val="TableNormal"/>
                    <w:tblOverlap w:val="never"/>
                    <w:tblW w:w="4253" w:type="dxa"/>
                    <w:jc w:val="center"/>
                    <w:tblInd w:w="0" w:type="dxa"/>
                    <w:tblLayout w:type="fixed"/>
                    <w:tblCellMar>
                      <w:top w:w="0" w:type="dxa"/>
                      <w:left w:w="0" w:type="dxa"/>
                      <w:bottom w:w="0" w:type="dxa"/>
                      <w:right w:w="0" w:type="dxa"/>
                    </w:tblCellMar>
                    <w:tblLook w:val="01E0"/>
                  </w:tblPr>
                  <w:tblGrid>
                    <w:gridCol w:w="4253"/>
                  </w:tblGrid>
                  <w:tr>
                    <w:tblPrEx>
                      <w:tblW w:w="4253" w:type="dxa"/>
                      <w:jc w:val="center"/>
                      <w:tblInd w:w="0" w:type="dxa"/>
                      <w:tblLayout w:type="fixed"/>
                      <w:tblCellMar>
                        <w:top w:w="0" w:type="dxa"/>
                        <w:left w:w="0" w:type="dxa"/>
                        <w:bottom w:w="0" w:type="dxa"/>
                        <w:right w:w="0" w:type="dxa"/>
                      </w:tblCellMar>
                      <w:tblLook w:val="01E0"/>
                    </w:tblPrEx>
                    <w:trPr>
                      <w:jc w:val="center"/>
                    </w:trPr>
                    <w:tc>
                      <w:tcPr>
                        <w:tcW w:w="4253" w:type="dxa"/>
                        <w:noWrap w:val="0"/>
                        <w:tcMar>
                          <w:top w:w="0" w:type="dxa"/>
                          <w:left w:w="0" w:type="dxa"/>
                          <w:bottom w:w="0" w:type="dxa"/>
                          <w:right w:w="0" w:type="dxa"/>
                        </w:tcMar>
                        <w:vAlign w:val="top"/>
                      </w:tcPr>
                      <w:p>
                        <w:pPr>
                          <w:bidi w:val="0"/>
                          <w:spacing w:before="0" w:after="0"/>
                          <w:jc w:val="center"/>
                        </w:pPr>
                        <w:r>
                          <w:rPr>
                            <w:rFonts w:ascii="Times New Roman" w:eastAsia="Times New Roman" w:hAnsi="Times New Roman" w:cs="Times New Roman"/>
                            <w:b/>
                            <w:bCs/>
                            <w:color w:val="000000"/>
                            <w:spacing w:val="0"/>
                            <w:sz w:val="20"/>
                            <w:szCs w:val="20"/>
                          </w:rPr>
                          <w:t>THIAGO GUSTAVO PFEUFFER WORMS</w:t>
                        </w:r>
                      </w:p>
                      <w:p>
                        <w:pPr>
                          <w:bidi w:val="0"/>
                          <w:spacing w:before="0" w:after="0"/>
                          <w:jc w:val="center"/>
                        </w:pPr>
                        <w:r>
                          <w:rPr>
                            <w:rFonts w:ascii="Times New Roman" w:eastAsia="Times New Roman" w:hAnsi="Times New Roman" w:cs="Times New Roman"/>
                            <w:color w:val="000000"/>
                            <w:spacing w:val="0"/>
                            <w:sz w:val="20"/>
                            <w:szCs w:val="20"/>
                          </w:rPr>
                          <w:t>Secretário Municipal da Fazenda, Indústria e Comércio</w:t>
                        </w:r>
                      </w:p>
                    </w:tc>
                  </w:tr>
                </w:tbl>
                <w:p>
                  <w:pPr>
                    <w:spacing w:line="1" w:lineRule="auto"/>
                  </w:pPr>
                </w:p>
              </w:tc>
            </w:tr>
          </w:tbl>
          <w:p>
            <w:pPr>
              <w:spacing w:line="1" w:lineRule="auto"/>
            </w:pPr>
          </w:p>
        </w:tc>
      </w:tr>
    </w:tbl>
    <w:p>
      <w:pPr>
        <w:sectPr>
          <w:headerReference w:type="default" r:id="rId10"/>
          <w:footerReference w:type="default" r:id="rId11"/>
          <w:pgSz w:w="11905" w:h="16837" w:orient="portrait"/>
          <w:pgMar w:top="360" w:right="1133" w:bottom="360" w:left="1700" w:header="360" w:footer="360"/>
          <w:cols w:space="708"/>
        </w:sectPr>
      </w:pPr>
    </w:p>
    <w:p/>
    <w:tbl>
      <w:tblPr>
        <w:tblStyle w:val="TableNormal"/>
        <w:tblOverlap w:val="never"/>
        <w:tblW w:w="9072" w:type="dxa"/>
        <w:jc w:val="left"/>
        <w:tblInd w:w="0" w:type="dxa"/>
        <w:tblLayout w:type="fixed"/>
        <w:tblCellMar>
          <w:top w:w="0" w:type="dxa"/>
          <w:left w:w="0" w:type="dxa"/>
          <w:bottom w:w="0" w:type="dxa"/>
          <w:right w:w="0" w:type="dxa"/>
        </w:tblCellMar>
        <w:tblLook w:val="01E0"/>
      </w:tblPr>
      <w:tblGrid>
        <w:gridCol w:w="9072"/>
      </w:tblGrid>
      <w:tr>
        <w:tblPrEx>
          <w:tblW w:w="9072" w:type="dxa"/>
          <w:jc w:val="left"/>
          <w:tblInd w:w="0" w:type="dxa"/>
          <w:tblLayout w:type="fixed"/>
          <w:tblCellMar>
            <w:top w:w="0" w:type="dxa"/>
            <w:left w:w="0" w:type="dxa"/>
            <w:bottom w:w="0" w:type="dxa"/>
            <w:right w:w="0" w:type="dxa"/>
          </w:tblCellMar>
          <w:tblLook w:val="01E0"/>
        </w:tblPrEx>
        <w:trPr>
          <w:jc w:val="left"/>
        </w:trPr>
        <w:tc>
          <w:tcPr>
            <w:tcW w:w="9072" w:type="dxa"/>
            <w:noWrap w:val="0"/>
            <w:tcMar>
              <w:top w:w="20" w:type="dxa"/>
              <w:left w:w="20" w:type="dxa"/>
              <w:bottom w:w="20" w:type="dxa"/>
              <w:right w:w="20" w:type="dxa"/>
            </w:tcMar>
            <w:vAlign w:val="top"/>
          </w:tcPr>
          <w:bookmarkStart w:id="15" w:name="__bookmark_18"/>
          <w:bookmarkEnd w:id="15"/>
          <w:p>
            <w:pPr>
              <w:bidi w:val="0"/>
              <w:spacing w:before="0" w:after="283"/>
              <w:jc w:val="center"/>
            </w:pPr>
            <w:r>
              <w:rPr>
                <w:rFonts w:ascii="Times New Roman" w:eastAsia="Times New Roman" w:hAnsi="Times New Roman" w:cs="Times New Roman"/>
                <w:b/>
                <w:bCs/>
                <w:color w:val="000000"/>
                <w:spacing w:val="0"/>
                <w:sz w:val="20"/>
                <w:szCs w:val="20"/>
              </w:rPr>
              <w:t>ANEXO III</w:t>
            </w:r>
          </w:p>
          <w:p>
            <w:pPr>
              <w:bidi w:val="0"/>
              <w:spacing w:before="0" w:after="0"/>
              <w:jc w:val="both"/>
            </w:pPr>
            <w:r>
              <w:rPr>
                <w:rFonts w:ascii="Times New Roman" w:eastAsia="Times New Roman" w:hAnsi="Times New Roman" w:cs="Times New Roman"/>
                <w:b/>
                <w:bCs/>
                <w:color w:val="000000"/>
                <w:spacing w:val="0"/>
                <w:sz w:val="20"/>
                <w:szCs w:val="20"/>
              </w:rPr>
              <w:t>PROCESSO LICITATÓRIO Nº 102/2024</w:t>
            </w:r>
          </w:p>
          <w:p>
            <w:pPr>
              <w:bidi w:val="0"/>
              <w:spacing w:before="0" w:after="283"/>
              <w:jc w:val="both"/>
            </w:pPr>
            <w:r>
              <w:rPr>
                <w:rFonts w:ascii="Times New Roman" w:eastAsia="Times New Roman" w:hAnsi="Times New Roman" w:cs="Times New Roman"/>
                <w:b/>
                <w:bCs/>
                <w:color w:val="000000"/>
                <w:spacing w:val="0"/>
                <w:sz w:val="20"/>
                <w:szCs w:val="20"/>
              </w:rPr>
              <w:t>PREGÃO ELETRÔNICO 21/2024</w:t>
            </w:r>
          </w:p>
          <w:p>
            <w:pPr>
              <w:bidi w:val="0"/>
              <w:spacing w:before="0" w:after="141"/>
              <w:jc w:val="center"/>
            </w:pPr>
            <w:r>
              <w:rPr>
                <w:rFonts w:ascii="Times New Roman" w:eastAsia="Times New Roman" w:hAnsi="Times New Roman" w:cs="Times New Roman"/>
                <w:color w:val="000000"/>
                <w:spacing w:val="0"/>
                <w:sz w:val="20"/>
                <w:szCs w:val="20"/>
              </w:rPr>
              <w:t>JUSTIFICATIVA PELA NÃO EXCLUSIVIDADE DE ITENS PARA MICROEMPRESA OU EMPRESA DE PEQUENO PORTE</w:t>
            </w:r>
          </w:p>
          <w:p>
            <w:pPr>
              <w:bidi w:val="0"/>
              <w:spacing w:before="0" w:after="0"/>
              <w:ind w:firstLine="700"/>
              <w:jc w:val="both"/>
            </w:pPr>
            <w:r>
              <w:rPr>
                <w:rFonts w:ascii="Times New Roman" w:eastAsia="Times New Roman" w:hAnsi="Times New Roman" w:cs="Times New Roman"/>
                <w:color w:val="000000"/>
                <w:spacing w:val="0"/>
                <w:sz w:val="20"/>
                <w:szCs w:val="20"/>
              </w:rPr>
              <w:t>Em atendimento ao artigo 49 da Lei Complementar nº. 123/2006, justifica-se a não realização da exclusividade de participação de Microempresas e Empresas de Pequeno Porte pela não existência de no mínimo 3 (três) fornecedores competitivos enquadrados no porte estabelecido sediados dentro da Microrregião Geográfica Rio Negro ou também conhecida como Microrregião 39; a qual abrange as cidades de: Agudos do Sul, Campo do Tenente, Piên, Quitandinha, Rio Negro e Tijucas do sul. Tal região foi definida na Lei Municipal Complementar 027/2016 em seu artigo 28 § 3°, sendo sua classificação e delimitação dada pelo IBGE e IPARDES.</w:t>
            </w:r>
          </w:p>
          <w:p>
            <w:pPr>
              <w:bidi w:val="0"/>
              <w:spacing w:before="0" w:after="0"/>
              <w:ind w:firstLine="700"/>
              <w:jc w:val="both"/>
            </w:pPr>
            <w:r>
              <w:rPr>
                <w:rFonts w:ascii="Times New Roman" w:eastAsia="Times New Roman" w:hAnsi="Times New Roman" w:cs="Times New Roman"/>
                <w:color w:val="000000"/>
                <w:spacing w:val="0"/>
                <w:sz w:val="20"/>
                <w:szCs w:val="20"/>
              </w:rPr>
              <w:t>A constatação da quantidade de fornecedores competitivos foi possível por meio de consulta ao SICAF (Sistema de Cadastramento Unificado de Fornecedores), plataforma na qual fornecedores interessados em participar do processo deverão estar cadastrados. Na plataforma pesquisando pela linha de fornecimento igual/similar ao objeto do edital não foi encontrado o número mínimo de 3 (três) fornecedores cadastrados e enquadrados como Microempresas ou Empresas de Pequeno Porte dentro da região pré-estabelecida.</w:t>
            </w:r>
          </w:p>
          <w:p>
            <w:pPr>
              <w:bidi w:val="0"/>
              <w:spacing w:before="0" w:after="227"/>
              <w:ind w:firstLine="700"/>
              <w:jc w:val="both"/>
            </w:pPr>
            <w:r>
              <w:rPr>
                <w:rFonts w:ascii="Times New Roman" w:eastAsia="Times New Roman" w:hAnsi="Times New Roman" w:cs="Times New Roman"/>
                <w:color w:val="000000"/>
                <w:spacing w:val="0"/>
                <w:sz w:val="20"/>
                <w:szCs w:val="20"/>
              </w:rPr>
              <w:t>Sendo assim, de acordo com a alínea II do artigo 49 da Lei Complementar 123/2006, conclui-se pela não realização da exclusividade de participação de Microempresas e Empresas de Pequeno Porte para este Pregão Eletrônico.</w:t>
            </w:r>
          </w:p>
          <w:p>
            <w:pPr>
              <w:bidi w:val="0"/>
              <w:spacing w:before="0" w:after="85"/>
              <w:jc w:val="both"/>
            </w:pPr>
            <w:r>
              <w:rPr>
                <w:rFonts w:ascii="Times New Roman" w:eastAsia="Times New Roman" w:hAnsi="Times New Roman" w:cs="Times New Roman"/>
                <w:color w:val="000000"/>
                <w:spacing w:val="0"/>
                <w:sz w:val="20"/>
                <w:szCs w:val="20"/>
              </w:rPr>
              <w:t>REFERÊNCIAS:</w:t>
            </w:r>
          </w:p>
          <w:p>
            <w:pPr>
              <w:bidi w:val="0"/>
              <w:spacing w:before="0" w:after="85"/>
              <w:jc w:val="both"/>
            </w:pPr>
            <w:r>
              <w:rPr>
                <w:rFonts w:ascii="Times New Roman" w:eastAsia="Times New Roman" w:hAnsi="Times New Roman" w:cs="Times New Roman"/>
                <w:color w:val="000000"/>
                <w:spacing w:val="0"/>
                <w:sz w:val="20"/>
                <w:szCs w:val="20"/>
              </w:rPr>
              <w:t>Lei Municipal Complementar 027/2016</w:t>
            </w:r>
          </w:p>
          <w:p>
            <w:pPr>
              <w:bidi w:val="0"/>
              <w:spacing w:before="0" w:after="85"/>
              <w:jc w:val="both"/>
            </w:pPr>
            <w:r>
              <w:rPr>
                <w:rFonts w:ascii="Times New Roman" w:eastAsia="Times New Roman" w:hAnsi="Times New Roman" w:cs="Times New Roman"/>
                <w:color w:val="000000"/>
                <w:spacing w:val="0"/>
                <w:sz w:val="20"/>
                <w:szCs w:val="20"/>
              </w:rPr>
              <w:t>Lei Complementar 123/2006. Estatuto Nacional da Microempresa e da Empresa de Pequeno Porte.</w:t>
            </w:r>
          </w:p>
          <w:p>
            <w:pPr>
              <w:bidi w:val="0"/>
              <w:spacing w:before="0" w:after="85"/>
              <w:jc w:val="both"/>
            </w:pPr>
            <w:r>
              <w:rPr>
                <w:rFonts w:ascii="Times New Roman" w:eastAsia="Times New Roman" w:hAnsi="Times New Roman" w:cs="Times New Roman"/>
                <w:color w:val="000000"/>
                <w:spacing w:val="0"/>
                <w:sz w:val="20"/>
                <w:szCs w:val="20"/>
              </w:rPr>
              <w:t xml:space="preserve">Municípios abrangidos pela Microrregião 39: </w:t>
            </w:r>
            <w:hyperlink r:id="rId12" w:history="1">
              <w:r>
                <w:rPr>
                  <w:rStyle w:val="Hyperlink"/>
                  <w:rFonts w:ascii="Times New Roman" w:eastAsia="Times New Roman" w:hAnsi="Times New Roman" w:cs="Times New Roman"/>
                  <w:spacing w:val="0"/>
                  <w:sz w:val="20"/>
                  <w:szCs w:val="20"/>
                </w:rPr>
                <w:t>http://www.ipardes.gov.br</w:t>
              </w:r>
            </w:hyperlink>
          </w:p>
        </w:tc>
      </w:tr>
    </w:tbl>
    <w:bookmarkStart w:id="16" w:name="__bookmark_19"/>
    <w:bookmarkEnd w:id="16"/>
    <w:p/>
    <w:tbl>
      <w:tblPr>
        <w:tblStyle w:val="TableNormal"/>
        <w:tblOverlap w:val="never"/>
        <w:tblW w:w="9032" w:type="dxa"/>
        <w:tblInd w:w="20" w:type="dxa"/>
        <w:tblLayout w:type="fixed"/>
        <w:tblLook w:val="01E0"/>
      </w:tblPr>
      <w:tblGrid>
        <w:gridCol w:w="9032"/>
      </w:tblGrid>
      <w:tr>
        <w:tblPrEx>
          <w:tblW w:w="9032" w:type="dxa"/>
          <w:tblInd w:w="20" w:type="dxa"/>
          <w:tblLayout w:type="fixed"/>
          <w:tblLook w:val="01E0"/>
        </w:tblPrEx>
        <w:trPr>
          <w:trHeight w:hRule="exact" w:val="850"/>
          <w:tblHeader/>
        </w:trPr>
        <w:tc>
          <w:tcPr>
            <w:tcW w:w="9072" w:type="dxa"/>
            <w:noWrap w:val="0"/>
            <w:tcMar>
              <w:top w:w="0" w:type="dxa"/>
              <w:left w:w="0" w:type="dxa"/>
              <w:bottom w:w="0" w:type="dxa"/>
              <w:right w:w="0" w:type="dxa"/>
            </w:tcMar>
            <w:vAlign w:val="top"/>
          </w:tcPr>
          <w:p>
            <w:pPr>
              <w:spacing w:line="1" w:lineRule="auto"/>
            </w:pPr>
          </w:p>
        </w:tc>
      </w:tr>
      <w:tr>
        <w:tblPrEx>
          <w:tblW w:w="9032" w:type="dxa"/>
          <w:tblInd w:w="20" w:type="dxa"/>
          <w:tblLayout w:type="fixed"/>
          <w:tblLook w:val="01E0"/>
        </w:tblPrEx>
        <w:tc>
          <w:tcPr>
            <w:tcW w:w="9072" w:type="dxa"/>
            <w:noWrap w:val="0"/>
            <w:tcMar>
              <w:top w:w="0" w:type="dxa"/>
              <w:left w:w="0" w:type="dxa"/>
              <w:bottom w:w="0" w:type="dxa"/>
              <w:right w:w="0" w:type="dxa"/>
            </w:tcMar>
            <w:vAlign w:val="top"/>
          </w:tcPr>
          <w:tbl>
            <w:tblPr>
              <w:tblStyle w:val="TableNormal"/>
              <w:tblOverlap w:val="never"/>
              <w:tblW w:w="9072" w:type="dxa"/>
              <w:jc w:val="center"/>
              <w:tblInd w:w="0" w:type="dxa"/>
              <w:tblLayout w:type="fixed"/>
              <w:tblCellMar>
                <w:top w:w="0" w:type="dxa"/>
                <w:left w:w="0" w:type="dxa"/>
                <w:bottom w:w="0" w:type="dxa"/>
                <w:right w:w="0" w:type="dxa"/>
              </w:tblCellMar>
              <w:tblLook w:val="01E0"/>
            </w:tblPr>
            <w:tblGrid>
              <w:gridCol w:w="9072"/>
            </w:tblGrid>
            <w:tr>
              <w:tblPrEx>
                <w:tblW w:w="9072" w:type="dxa"/>
                <w:jc w:val="center"/>
                <w:tblInd w:w="0" w:type="dxa"/>
                <w:tblLayout w:type="fixed"/>
                <w:tblCellMar>
                  <w:top w:w="0" w:type="dxa"/>
                  <w:left w:w="0" w:type="dxa"/>
                  <w:bottom w:w="0" w:type="dxa"/>
                  <w:right w:w="0" w:type="dxa"/>
                </w:tblCellMar>
                <w:tblLook w:val="01E0"/>
              </w:tblPrEx>
              <w:trPr>
                <w:jc w:val="center"/>
              </w:trPr>
              <w:tc>
                <w:tcPr>
                  <w:tcW w:w="9072" w:type="dxa"/>
                  <w:noWrap w:val="0"/>
                  <w:tcMar>
                    <w:top w:w="0" w:type="dxa"/>
                    <w:left w:w="0" w:type="dxa"/>
                    <w:bottom w:w="0" w:type="dxa"/>
                    <w:right w:w="0" w:type="dxa"/>
                  </w:tcMar>
                  <w:vAlign w:val="top"/>
                </w:tcPr>
                <w:p>
                  <w:pPr>
                    <w:bidi w:val="0"/>
                    <w:spacing w:before="0" w:after="0"/>
                    <w:jc w:val="center"/>
                  </w:pPr>
                  <w:r>
                    <w:rPr>
                      <w:rFonts w:ascii="Times New Roman" w:eastAsia="Times New Roman" w:hAnsi="Times New Roman" w:cs="Times New Roman"/>
                      <w:b/>
                      <w:bCs/>
                      <w:color w:val="000000"/>
                      <w:spacing w:val="0"/>
                      <w:sz w:val="20"/>
                      <w:szCs w:val="20"/>
                    </w:rPr>
                    <w:t>JAMES KARSON VALERIO</w:t>
                  </w:r>
                </w:p>
                <w:p>
                  <w:pPr>
                    <w:bidi w:val="0"/>
                    <w:spacing w:before="0" w:after="0"/>
                    <w:jc w:val="center"/>
                  </w:pPr>
                  <w:r>
                    <w:rPr>
                      <w:rFonts w:ascii="Times New Roman" w:eastAsia="Times New Roman" w:hAnsi="Times New Roman" w:cs="Times New Roman"/>
                      <w:color w:val="000000"/>
                      <w:spacing w:val="0"/>
                      <w:sz w:val="20"/>
                      <w:szCs w:val="20"/>
                    </w:rPr>
                    <w:t>PREFEITO MUNICIPAL</w:t>
                  </w:r>
                </w:p>
              </w:tc>
            </w:tr>
          </w:tbl>
          <w:p>
            <w:pPr>
              <w:spacing w:line="1" w:lineRule="auto"/>
            </w:pPr>
          </w:p>
        </w:tc>
      </w:tr>
    </w:tbl>
    <w:p>
      <w:pPr>
        <w:sectPr>
          <w:headerReference w:type="default" r:id="rId13"/>
          <w:footerReference w:type="default" r:id="rId14"/>
          <w:pgSz w:w="11905" w:h="16837" w:orient="portrait"/>
          <w:pgMar w:top="360" w:right="1133" w:bottom="360" w:left="1700" w:header="360" w:footer="360"/>
          <w:cols w:space="708"/>
        </w:sectPr>
      </w:pPr>
    </w:p>
    <w:p/>
    <w:tbl>
      <w:tblPr>
        <w:tblStyle w:val="TableNormal"/>
        <w:tblOverlap w:val="never"/>
        <w:tblW w:w="9072" w:type="dxa"/>
        <w:jc w:val="left"/>
        <w:tblInd w:w="0" w:type="dxa"/>
        <w:tblLayout w:type="fixed"/>
        <w:tblCellMar>
          <w:top w:w="0" w:type="dxa"/>
          <w:left w:w="0" w:type="dxa"/>
          <w:bottom w:w="0" w:type="dxa"/>
          <w:right w:w="0" w:type="dxa"/>
        </w:tblCellMar>
        <w:tblLook w:val="01E0"/>
      </w:tblPr>
      <w:tblGrid>
        <w:gridCol w:w="9072"/>
      </w:tblGrid>
      <w:tr>
        <w:tblPrEx>
          <w:tblW w:w="9072" w:type="dxa"/>
          <w:jc w:val="left"/>
          <w:tblInd w:w="0" w:type="dxa"/>
          <w:tblLayout w:type="fixed"/>
          <w:tblCellMar>
            <w:top w:w="0" w:type="dxa"/>
            <w:left w:w="0" w:type="dxa"/>
            <w:bottom w:w="0" w:type="dxa"/>
            <w:right w:w="0" w:type="dxa"/>
          </w:tblCellMar>
          <w:tblLook w:val="01E0"/>
        </w:tblPrEx>
        <w:trPr>
          <w:jc w:val="left"/>
        </w:trPr>
        <w:tc>
          <w:tcPr>
            <w:tcW w:w="9072" w:type="dxa"/>
            <w:noWrap w:val="0"/>
            <w:tcMar>
              <w:top w:w="20" w:type="dxa"/>
              <w:left w:w="20" w:type="dxa"/>
              <w:bottom w:w="20" w:type="dxa"/>
              <w:right w:w="20" w:type="dxa"/>
            </w:tcMar>
            <w:vAlign w:val="top"/>
          </w:tcPr>
          <w:bookmarkStart w:id="17" w:name="__bookmark_20"/>
          <w:bookmarkEnd w:id="17"/>
          <w:p>
            <w:pPr>
              <w:bidi w:val="0"/>
              <w:spacing w:before="0" w:after="141"/>
              <w:jc w:val="center"/>
            </w:pPr>
            <w:r>
              <w:rPr>
                <w:rFonts w:ascii="Times New Roman" w:eastAsia="Times New Roman" w:hAnsi="Times New Roman" w:cs="Times New Roman"/>
                <w:b/>
                <w:bCs/>
                <w:color w:val="000000"/>
                <w:spacing w:val="0"/>
                <w:sz w:val="20"/>
                <w:szCs w:val="20"/>
              </w:rPr>
              <w:t>ANEXO IV</w:t>
            </w:r>
          </w:p>
          <w:p>
            <w:pPr>
              <w:bidi w:val="0"/>
              <w:spacing w:before="0" w:after="0"/>
              <w:jc w:val="center"/>
            </w:pPr>
            <w:r>
              <w:rPr>
                <w:rFonts w:ascii="Times New Roman" w:eastAsia="Times New Roman" w:hAnsi="Times New Roman" w:cs="Times New Roman"/>
                <w:color w:val="000000"/>
                <w:spacing w:val="0"/>
                <w:sz w:val="20"/>
                <w:szCs w:val="20"/>
              </w:rPr>
              <w:t>MODELO DE PROPOSTA COMERCIAL</w:t>
            </w:r>
          </w:p>
          <w:p>
            <w:pPr>
              <w:bidi w:val="0"/>
              <w:spacing w:before="0" w:after="141"/>
              <w:jc w:val="center"/>
            </w:pPr>
            <w:r>
              <w:rPr>
                <w:rFonts w:ascii="Times New Roman" w:eastAsia="Times New Roman" w:hAnsi="Times New Roman" w:cs="Times New Roman"/>
                <w:color w:val="FF0000"/>
                <w:spacing w:val="0"/>
                <w:sz w:val="20"/>
                <w:szCs w:val="20"/>
              </w:rPr>
              <w:t>(em papel personalizado da empresa)</w:t>
            </w:r>
          </w:p>
          <w:p>
            <w:pPr>
              <w:bidi w:val="0"/>
              <w:spacing w:before="0" w:after="0"/>
              <w:jc w:val="center"/>
            </w:pPr>
            <w:r>
              <w:rPr>
                <w:rFonts w:ascii="Times New Roman" w:eastAsia="Times New Roman" w:hAnsi="Times New Roman" w:cs="Times New Roman"/>
                <w:color w:val="000000"/>
                <w:spacing w:val="0"/>
                <w:sz w:val="20"/>
                <w:szCs w:val="20"/>
              </w:rPr>
              <w:t>AO MUNICÍPIO DE RIO NEGRO – PR</w:t>
            </w:r>
          </w:p>
          <w:p>
            <w:pPr>
              <w:bidi w:val="0"/>
              <w:spacing w:before="0" w:after="0"/>
              <w:jc w:val="center"/>
            </w:pPr>
            <w:r>
              <w:rPr>
                <w:rFonts w:ascii="Times New Roman" w:eastAsia="Times New Roman" w:hAnsi="Times New Roman" w:cs="Times New Roman"/>
                <w:color w:val="000000"/>
                <w:spacing w:val="0"/>
                <w:sz w:val="20"/>
                <w:szCs w:val="20"/>
              </w:rPr>
              <w:t>PREGÃO ELETRÔNICO Nº 21/2024.</w:t>
            </w:r>
          </w:p>
          <w:p>
            <w:pPr>
              <w:bidi w:val="0"/>
              <w:spacing w:before="0" w:after="227"/>
              <w:jc w:val="center"/>
            </w:pPr>
            <w:r>
              <w:rPr>
                <w:rFonts w:ascii="Times New Roman" w:eastAsia="Times New Roman" w:hAnsi="Times New Roman" w:cs="Times New Roman"/>
                <w:color w:val="000000"/>
                <w:spacing w:val="0"/>
                <w:sz w:val="20"/>
                <w:szCs w:val="20"/>
              </w:rPr>
              <w:t>PROCESSO Nº 102/2024.</w:t>
            </w:r>
          </w:p>
          <w:p>
            <w:pPr>
              <w:bidi w:val="0"/>
              <w:spacing w:before="0" w:after="0"/>
              <w:jc w:val="both"/>
            </w:pPr>
            <w:r>
              <w:rPr>
                <w:rFonts w:ascii="Times New Roman" w:eastAsia="Times New Roman" w:hAnsi="Times New Roman" w:cs="Times New Roman"/>
                <w:color w:val="000000"/>
                <w:spacing w:val="0"/>
                <w:sz w:val="20"/>
                <w:szCs w:val="20"/>
              </w:rPr>
              <w:t>PROPONENTE:</w:t>
            </w:r>
          </w:p>
          <w:p>
            <w:pPr>
              <w:bidi w:val="0"/>
              <w:spacing w:before="0" w:after="0"/>
              <w:jc w:val="both"/>
            </w:pPr>
            <w:r>
              <w:rPr>
                <w:rFonts w:ascii="Times New Roman" w:eastAsia="Times New Roman" w:hAnsi="Times New Roman" w:cs="Times New Roman"/>
                <w:color w:val="000000"/>
                <w:spacing w:val="0"/>
                <w:sz w:val="20"/>
                <w:szCs w:val="20"/>
              </w:rPr>
              <w:t>N.º CNPJ:</w:t>
            </w:r>
          </w:p>
          <w:p>
            <w:pPr>
              <w:bidi w:val="0"/>
              <w:spacing w:before="0" w:after="0"/>
              <w:jc w:val="both"/>
            </w:pPr>
            <w:r>
              <w:rPr>
                <w:rFonts w:ascii="Times New Roman" w:eastAsia="Times New Roman" w:hAnsi="Times New Roman" w:cs="Times New Roman"/>
                <w:color w:val="000000"/>
                <w:spacing w:val="0"/>
                <w:sz w:val="20"/>
                <w:szCs w:val="20"/>
              </w:rPr>
              <w:t>ENDEREÇO COMPLETO:</w:t>
            </w:r>
          </w:p>
          <w:p>
            <w:pPr>
              <w:bidi w:val="0"/>
              <w:spacing w:before="0" w:after="0"/>
              <w:jc w:val="both"/>
            </w:pPr>
            <w:r>
              <w:rPr>
                <w:rFonts w:ascii="Times New Roman" w:eastAsia="Times New Roman" w:hAnsi="Times New Roman" w:cs="Times New Roman"/>
                <w:color w:val="000000"/>
                <w:spacing w:val="0"/>
                <w:sz w:val="20"/>
                <w:szCs w:val="20"/>
              </w:rPr>
              <w:t>PESSOA PARA CONTATOS:</w:t>
            </w:r>
          </w:p>
          <w:p>
            <w:pPr>
              <w:bidi w:val="0"/>
              <w:spacing w:before="0" w:after="0"/>
              <w:jc w:val="both"/>
            </w:pPr>
            <w:r>
              <w:rPr>
                <w:rFonts w:ascii="Times New Roman" w:eastAsia="Times New Roman" w:hAnsi="Times New Roman" w:cs="Times New Roman"/>
                <w:color w:val="000000"/>
                <w:spacing w:val="0"/>
                <w:sz w:val="20"/>
                <w:szCs w:val="20"/>
              </w:rPr>
              <w:t>TELEFONES:</w:t>
            </w:r>
          </w:p>
          <w:p>
            <w:pPr>
              <w:bidi w:val="0"/>
              <w:spacing w:before="0" w:after="0"/>
              <w:jc w:val="both"/>
            </w:pPr>
            <w:r>
              <w:rPr>
                <w:rFonts w:ascii="Times New Roman" w:eastAsia="Times New Roman" w:hAnsi="Times New Roman" w:cs="Times New Roman"/>
                <w:color w:val="000000"/>
                <w:spacing w:val="0"/>
                <w:sz w:val="20"/>
                <w:szCs w:val="20"/>
              </w:rPr>
              <w:t>E-MAIL:</w:t>
            </w:r>
          </w:p>
          <w:p>
            <w:pPr>
              <w:bidi w:val="0"/>
              <w:spacing w:before="0" w:after="0"/>
              <w:jc w:val="both"/>
            </w:pPr>
            <w:r>
              <w:rPr>
                <w:rFonts w:ascii="Times New Roman" w:eastAsia="Times New Roman" w:hAnsi="Times New Roman" w:cs="Times New Roman"/>
                <w:color w:val="000000"/>
                <w:spacing w:val="0"/>
                <w:sz w:val="20"/>
                <w:szCs w:val="20"/>
              </w:rPr>
              <w:t>DADOS BANCÁRIOS:    Banco: ___________________ Agência: __________</w:t>
            </w:r>
          </w:p>
          <w:p>
            <w:pPr>
              <w:bidi w:val="0"/>
              <w:spacing w:before="0" w:after="283"/>
              <w:jc w:val="both"/>
            </w:pPr>
            <w:r>
              <w:rPr>
                <w:rFonts w:ascii="Times New Roman" w:eastAsia="Times New Roman" w:hAnsi="Times New Roman" w:cs="Times New Roman"/>
                <w:color w:val="000000"/>
                <w:spacing w:val="0"/>
                <w:sz w:val="20"/>
                <w:szCs w:val="20"/>
              </w:rPr>
              <w:t>Nº C/C:_______________________________</w:t>
            </w:r>
          </w:p>
          <w:p>
            <w:pPr>
              <w:bidi w:val="0"/>
              <w:spacing w:before="0" w:after="0"/>
              <w:jc w:val="both"/>
            </w:pPr>
            <w:r>
              <w:rPr>
                <w:rFonts w:ascii="Times New Roman" w:eastAsia="Times New Roman" w:hAnsi="Times New Roman" w:cs="Times New Roman"/>
                <w:color w:val="000000"/>
                <w:spacing w:val="0"/>
                <w:sz w:val="20"/>
                <w:szCs w:val="20"/>
              </w:rPr>
              <w:t>Senhor (a) Pregoeiro (a),</w:t>
            </w:r>
          </w:p>
          <w:p>
            <w:pPr>
              <w:bidi w:val="0"/>
              <w:spacing w:before="0" w:after="0"/>
              <w:jc w:val="both"/>
            </w:pPr>
            <w:r>
              <w:rPr>
                <w:rFonts w:ascii="Times New Roman" w:eastAsia="Times New Roman" w:hAnsi="Times New Roman" w:cs="Times New Roman"/>
                <w:color w:val="000000"/>
                <w:spacing w:val="0"/>
                <w:sz w:val="20"/>
                <w:szCs w:val="20"/>
              </w:rPr>
              <w:t>Apresentamos nossa proposta de preços para o presente processo licitatório:</w:t>
            </w:r>
          </w:p>
        </w:tc>
      </w:tr>
    </w:tbl>
    <w:p/>
    <w:tbl>
      <w:tblPr>
        <w:tblStyle w:val="TableNormal"/>
        <w:tblOverlap w:val="never"/>
        <w:tblW w:w="8941" w:type="dxa"/>
        <w:tblInd w:w="20" w:type="dxa"/>
        <w:tblLayout w:type="fixed"/>
        <w:tblLook w:val="01E0"/>
      </w:tblPr>
      <w:tblGrid>
        <w:gridCol w:w="621"/>
        <w:gridCol w:w="846"/>
        <w:gridCol w:w="846"/>
        <w:gridCol w:w="2116"/>
        <w:gridCol w:w="1128"/>
        <w:gridCol w:w="1128"/>
        <w:gridCol w:w="1128"/>
        <w:gridCol w:w="1128"/>
      </w:tblGrid>
      <w:tr>
        <w:tblPrEx>
          <w:tblW w:w="8941" w:type="dxa"/>
          <w:tblInd w:w="20" w:type="dxa"/>
          <w:tblLayout w:type="fixed"/>
          <w:tblLook w:val="01E0"/>
        </w:tblPrEx>
        <w:trPr>
          <w:trHeight w:hRule="exact" w:val="283"/>
        </w:trPr>
        <w:tc>
          <w:tcPr>
            <w:tcW w:w="623" w:type="dxa"/>
            <w:noWrap w:val="0"/>
            <w:tcMar>
              <w:top w:w="0" w:type="dxa"/>
              <w:left w:w="0" w:type="dxa"/>
              <w:bottom w:w="0" w:type="dxa"/>
              <w:right w:w="0" w:type="dxa"/>
            </w:tcMar>
            <w:vAlign w:val="top"/>
          </w:tcPr>
          <w:p>
            <w:pPr>
              <w:spacing w:line="1" w:lineRule="auto"/>
            </w:pPr>
          </w:p>
        </w:tc>
        <w:tc>
          <w:tcPr>
            <w:tcW w:w="850" w:type="dxa"/>
            <w:noWrap w:val="0"/>
            <w:tcMar>
              <w:top w:w="0" w:type="dxa"/>
              <w:left w:w="0" w:type="dxa"/>
              <w:bottom w:w="0" w:type="dxa"/>
              <w:right w:w="0" w:type="dxa"/>
            </w:tcMar>
            <w:vAlign w:val="top"/>
          </w:tcPr>
          <w:p>
            <w:pPr>
              <w:spacing w:line="1" w:lineRule="auto"/>
            </w:pPr>
          </w:p>
        </w:tc>
        <w:tc>
          <w:tcPr>
            <w:tcW w:w="850" w:type="dxa"/>
            <w:noWrap w:val="0"/>
            <w:tcMar>
              <w:top w:w="0" w:type="dxa"/>
              <w:left w:w="0" w:type="dxa"/>
              <w:bottom w:w="0" w:type="dxa"/>
              <w:right w:w="0" w:type="dxa"/>
            </w:tcMar>
            <w:vAlign w:val="top"/>
          </w:tcPr>
          <w:p>
            <w:pPr>
              <w:spacing w:line="1" w:lineRule="auto"/>
            </w:pPr>
          </w:p>
        </w:tc>
        <w:tc>
          <w:tcPr>
            <w:tcW w:w="2126" w:type="dxa"/>
            <w:noWrap w:val="0"/>
            <w:tcMar>
              <w:top w:w="0" w:type="dxa"/>
              <w:left w:w="0" w:type="dxa"/>
              <w:bottom w:w="0" w:type="dxa"/>
              <w:right w:w="0" w:type="dxa"/>
            </w:tcMar>
            <w:vAlign w:val="top"/>
          </w:tcPr>
          <w:p>
            <w:pPr>
              <w:spacing w:line="1" w:lineRule="auto"/>
            </w:pPr>
          </w:p>
        </w:tc>
        <w:tc>
          <w:tcPr>
            <w:tcW w:w="1133" w:type="dxa"/>
            <w:noWrap w:val="0"/>
            <w:tcMar>
              <w:top w:w="0" w:type="dxa"/>
              <w:left w:w="0" w:type="dxa"/>
              <w:bottom w:w="0" w:type="dxa"/>
              <w:right w:w="0" w:type="dxa"/>
            </w:tcMar>
            <w:vAlign w:val="top"/>
          </w:tcPr>
          <w:p>
            <w:pPr>
              <w:spacing w:line="1" w:lineRule="auto"/>
            </w:pPr>
          </w:p>
        </w:tc>
        <w:tc>
          <w:tcPr>
            <w:tcW w:w="1133" w:type="dxa"/>
            <w:noWrap w:val="0"/>
            <w:tcMar>
              <w:top w:w="0" w:type="dxa"/>
              <w:left w:w="0" w:type="dxa"/>
              <w:bottom w:w="0" w:type="dxa"/>
              <w:right w:w="0" w:type="dxa"/>
            </w:tcMar>
            <w:vAlign w:val="top"/>
          </w:tcPr>
          <w:p>
            <w:pPr>
              <w:spacing w:line="1" w:lineRule="auto"/>
            </w:pPr>
          </w:p>
        </w:tc>
        <w:tc>
          <w:tcPr>
            <w:tcW w:w="1133" w:type="dxa"/>
            <w:noWrap w:val="0"/>
            <w:tcMar>
              <w:top w:w="0" w:type="dxa"/>
              <w:left w:w="0" w:type="dxa"/>
              <w:bottom w:w="0" w:type="dxa"/>
              <w:right w:w="0" w:type="dxa"/>
            </w:tcMar>
            <w:vAlign w:val="top"/>
          </w:tcPr>
          <w:p>
            <w:pPr>
              <w:spacing w:line="1" w:lineRule="auto"/>
            </w:pPr>
          </w:p>
        </w:tc>
        <w:tc>
          <w:tcPr>
            <w:tcW w:w="1133" w:type="dxa"/>
            <w:noWrap w:val="0"/>
            <w:tcMar>
              <w:top w:w="0" w:type="dxa"/>
              <w:left w:w="0" w:type="dxa"/>
              <w:bottom w:w="0" w:type="dxa"/>
              <w:right w:w="0" w:type="dxa"/>
            </w:tcMar>
            <w:vAlign w:val="top"/>
          </w:tcPr>
          <w:p>
            <w:pPr>
              <w:spacing w:line="1" w:lineRule="auto"/>
            </w:pP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b/>
                <w:bCs/>
                <w:color w:val="000000"/>
                <w:spacing w:val="0"/>
                <w:sz w:val="20"/>
                <w:szCs w:val="20"/>
              </w:rPr>
            </w:pPr>
            <w:r>
              <w:rPr>
                <w:rFonts w:ascii="Times New Roman" w:eastAsia="Times New Roman" w:hAnsi="Times New Roman" w:cs="Times New Roman"/>
                <w:b/>
                <w:bCs/>
                <w:color w:val="000000"/>
                <w:spacing w:val="0"/>
                <w:sz w:val="20"/>
                <w:szCs w:val="20"/>
              </w:rPr>
              <w:t>Item</w:t>
            </w: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b/>
                <w:bCs/>
                <w:color w:val="000000"/>
                <w:spacing w:val="0"/>
                <w:sz w:val="20"/>
                <w:szCs w:val="20"/>
              </w:rPr>
            </w:pPr>
            <w:r>
              <w:rPr>
                <w:rFonts w:ascii="Times New Roman" w:eastAsia="Times New Roman" w:hAnsi="Times New Roman" w:cs="Times New Roman"/>
                <w:b/>
                <w:bCs/>
                <w:color w:val="000000"/>
                <w:spacing w:val="0"/>
                <w:sz w:val="20"/>
                <w:szCs w:val="20"/>
              </w:rPr>
              <w:t>Qtde</w:t>
            </w: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b/>
                <w:bCs/>
                <w:color w:val="000000"/>
                <w:spacing w:val="0"/>
                <w:sz w:val="20"/>
                <w:szCs w:val="20"/>
              </w:rPr>
            </w:pPr>
            <w:r>
              <w:rPr>
                <w:rFonts w:ascii="Times New Roman" w:eastAsia="Times New Roman" w:hAnsi="Times New Roman" w:cs="Times New Roman"/>
                <w:b/>
                <w:bCs/>
                <w:color w:val="000000"/>
                <w:spacing w:val="0"/>
                <w:sz w:val="20"/>
                <w:szCs w:val="20"/>
              </w:rPr>
              <w:t>Un.</w:t>
            </w:r>
          </w:p>
        </w:tc>
        <w:tc>
          <w:tcPr>
            <w:tcW w:w="21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b/>
                <w:bCs/>
                <w:color w:val="000000"/>
                <w:spacing w:val="0"/>
                <w:sz w:val="20"/>
                <w:szCs w:val="20"/>
              </w:rPr>
            </w:pPr>
            <w:r>
              <w:rPr>
                <w:rFonts w:ascii="Times New Roman" w:eastAsia="Times New Roman" w:hAnsi="Times New Roman" w:cs="Times New Roman"/>
                <w:b/>
                <w:bCs/>
                <w:color w:val="000000"/>
                <w:spacing w:val="0"/>
                <w:sz w:val="20"/>
                <w:szCs w:val="20"/>
              </w:rPr>
              <w:t>Especificação</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b/>
                <w:bCs/>
                <w:color w:val="000000"/>
                <w:spacing w:val="0"/>
                <w:sz w:val="20"/>
                <w:szCs w:val="20"/>
              </w:rPr>
            </w:pPr>
            <w:r>
              <w:rPr>
                <w:rFonts w:ascii="Times New Roman" w:eastAsia="Times New Roman" w:hAnsi="Times New Roman" w:cs="Times New Roman"/>
                <w:b/>
                <w:bCs/>
                <w:color w:val="000000"/>
                <w:spacing w:val="0"/>
                <w:sz w:val="20"/>
                <w:szCs w:val="20"/>
              </w:rPr>
              <w:t>Marca</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b/>
                <w:bCs/>
                <w:color w:val="000000"/>
                <w:spacing w:val="0"/>
                <w:sz w:val="20"/>
                <w:szCs w:val="20"/>
              </w:rPr>
            </w:pPr>
            <w:r>
              <w:rPr>
                <w:rFonts w:ascii="Times New Roman" w:eastAsia="Times New Roman" w:hAnsi="Times New Roman" w:cs="Times New Roman"/>
                <w:b/>
                <w:bCs/>
                <w:color w:val="000000"/>
                <w:spacing w:val="0"/>
                <w:sz w:val="20"/>
                <w:szCs w:val="20"/>
              </w:rPr>
              <w:t>Modelo</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b/>
                <w:bCs/>
                <w:color w:val="000000"/>
                <w:spacing w:val="0"/>
                <w:sz w:val="20"/>
                <w:szCs w:val="20"/>
              </w:rPr>
            </w:pPr>
            <w:r>
              <w:rPr>
                <w:rFonts w:ascii="Times New Roman" w:eastAsia="Times New Roman" w:hAnsi="Times New Roman" w:cs="Times New Roman"/>
                <w:b/>
                <w:bCs/>
                <w:color w:val="000000"/>
                <w:spacing w:val="0"/>
                <w:sz w:val="20"/>
                <w:szCs w:val="20"/>
              </w:rPr>
              <w:t>Preço Unitário</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b/>
                <w:bCs/>
                <w:color w:val="000000"/>
                <w:spacing w:val="0"/>
                <w:sz w:val="20"/>
                <w:szCs w:val="20"/>
              </w:rPr>
            </w:pPr>
            <w:r>
              <w:rPr>
                <w:rFonts w:ascii="Times New Roman" w:eastAsia="Times New Roman" w:hAnsi="Times New Roman" w:cs="Times New Roman"/>
                <w:b/>
                <w:bCs/>
                <w:color w:val="000000"/>
                <w:spacing w:val="0"/>
                <w:sz w:val="20"/>
                <w:szCs w:val="20"/>
              </w:rPr>
              <w:t>Preço Total</w:t>
            </w: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1</w:t>
            </w: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21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2</w:t>
            </w: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21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21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21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21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21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r>
      <w:tr>
        <w:tblPrEx>
          <w:tblW w:w="8941" w:type="dxa"/>
          <w:tblInd w:w="20" w:type="dxa"/>
          <w:tblLayout w:type="fixed"/>
          <w:tblLook w:val="01E0"/>
        </w:tblPrEx>
        <w:tc>
          <w:tcPr>
            <w:tcW w:w="62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Times New Roman" w:eastAsia="Times New Roman" w:hAnsi="Times New Roman" w:cs="Times New Roman"/>
                <w:color w:val="000000"/>
                <w:spacing w:val="0"/>
                <w:sz w:val="20"/>
                <w:szCs w:val="20"/>
              </w:rPr>
            </w:pP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212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r>
      <w:tr>
        <w:tblPrEx>
          <w:tblW w:w="8941" w:type="dxa"/>
          <w:tblInd w:w="20" w:type="dxa"/>
          <w:tblLayout w:type="fixed"/>
          <w:tblLook w:val="01E0"/>
        </w:tblPrEx>
        <w:trPr>
          <w:trHeight w:hRule="exact" w:val="453"/>
        </w:trPr>
        <w:tc>
          <w:tcPr>
            <w:tcW w:w="623" w:type="dxa"/>
            <w:noWrap w:val="0"/>
            <w:tcMar>
              <w:top w:w="0" w:type="dxa"/>
              <w:left w:w="0" w:type="dxa"/>
              <w:bottom w:w="0" w:type="dxa"/>
              <w:right w:w="0" w:type="dxa"/>
            </w:tcMar>
            <w:vAlign w:val="top"/>
          </w:tcPr>
          <w:p>
            <w:pPr>
              <w:spacing w:line="1" w:lineRule="auto"/>
            </w:pPr>
          </w:p>
        </w:tc>
        <w:tc>
          <w:tcPr>
            <w:tcW w:w="850" w:type="dxa"/>
            <w:noWrap w:val="0"/>
            <w:tcMar>
              <w:top w:w="0" w:type="dxa"/>
              <w:left w:w="0" w:type="dxa"/>
              <w:bottom w:w="0" w:type="dxa"/>
              <w:right w:w="0" w:type="dxa"/>
            </w:tcMar>
            <w:vAlign w:val="top"/>
          </w:tcPr>
          <w:p>
            <w:pPr>
              <w:spacing w:line="1" w:lineRule="auto"/>
            </w:pPr>
          </w:p>
        </w:tc>
        <w:tc>
          <w:tcPr>
            <w:tcW w:w="850" w:type="dxa"/>
            <w:noWrap w:val="0"/>
            <w:tcMar>
              <w:top w:w="0" w:type="dxa"/>
              <w:left w:w="0" w:type="dxa"/>
              <w:bottom w:w="0" w:type="dxa"/>
              <w:right w:w="0" w:type="dxa"/>
            </w:tcMar>
            <w:vAlign w:val="top"/>
          </w:tcPr>
          <w:p>
            <w:pPr>
              <w:spacing w:line="1" w:lineRule="auto"/>
            </w:pPr>
          </w:p>
        </w:tc>
        <w:tc>
          <w:tcPr>
            <w:tcW w:w="2126" w:type="dxa"/>
            <w:noWrap w:val="0"/>
            <w:tcMar>
              <w:top w:w="0" w:type="dxa"/>
              <w:left w:w="0" w:type="dxa"/>
              <w:bottom w:w="0" w:type="dxa"/>
              <w:right w:w="0" w:type="dxa"/>
            </w:tcMar>
            <w:vAlign w:val="top"/>
          </w:tcPr>
          <w:p>
            <w:pPr>
              <w:spacing w:line="1" w:lineRule="auto"/>
            </w:pPr>
          </w:p>
        </w:tc>
        <w:tc>
          <w:tcPr>
            <w:tcW w:w="1133" w:type="dxa"/>
            <w:noWrap w:val="0"/>
            <w:tcMar>
              <w:top w:w="0" w:type="dxa"/>
              <w:left w:w="0" w:type="dxa"/>
              <w:bottom w:w="0" w:type="dxa"/>
              <w:right w:w="0" w:type="dxa"/>
            </w:tcMar>
            <w:vAlign w:val="top"/>
          </w:tcPr>
          <w:p>
            <w:pPr>
              <w:spacing w:line="1" w:lineRule="auto"/>
            </w:pPr>
          </w:p>
        </w:tc>
        <w:tc>
          <w:tcPr>
            <w:tcW w:w="1133" w:type="dxa"/>
            <w:noWrap w:val="0"/>
            <w:tcMar>
              <w:top w:w="0" w:type="dxa"/>
              <w:left w:w="0" w:type="dxa"/>
              <w:bottom w:w="0" w:type="dxa"/>
              <w:right w:w="0" w:type="dxa"/>
            </w:tcMar>
            <w:vAlign w:val="top"/>
          </w:tcPr>
          <w:p>
            <w:pPr>
              <w:spacing w:line="1" w:lineRule="auto"/>
            </w:pPr>
          </w:p>
        </w:tc>
        <w:tc>
          <w:tcPr>
            <w:tcW w:w="1133" w:type="dxa"/>
            <w:noWrap w:val="0"/>
            <w:tcMar>
              <w:top w:w="0" w:type="dxa"/>
              <w:left w:w="0" w:type="dxa"/>
              <w:bottom w:w="0" w:type="dxa"/>
              <w:right w:w="0" w:type="dxa"/>
            </w:tcMar>
            <w:vAlign w:val="top"/>
          </w:tcPr>
          <w:p>
            <w:pPr>
              <w:spacing w:line="1" w:lineRule="auto"/>
            </w:pPr>
          </w:p>
        </w:tc>
        <w:tc>
          <w:tcPr>
            <w:tcW w:w="1133" w:type="dxa"/>
            <w:noWrap w:val="0"/>
            <w:tcMar>
              <w:top w:w="0" w:type="dxa"/>
              <w:left w:w="0" w:type="dxa"/>
              <w:bottom w:w="0" w:type="dxa"/>
              <w:right w:w="0" w:type="dxa"/>
            </w:tcMar>
            <w:vAlign w:val="top"/>
          </w:tcPr>
          <w:p>
            <w:pPr>
              <w:spacing w:line="1" w:lineRule="auto"/>
            </w:pPr>
          </w:p>
        </w:tc>
      </w:tr>
    </w:tbl>
    <w:p>
      <w:pPr>
        <w:sectPr>
          <w:headerReference w:type="default" r:id="rId15"/>
          <w:footerReference w:type="default" r:id="rId16"/>
          <w:pgSz w:w="11905" w:h="16837" w:orient="portrait"/>
          <w:pgMar w:top="360" w:right="1133" w:bottom="360" w:left="1700" w:header="360" w:footer="360"/>
          <w:cols w:space="708"/>
        </w:sectPr>
      </w:pPr>
    </w:p>
    <w:p/>
    <w:tbl>
      <w:tblPr>
        <w:tblStyle w:val="TableNormal"/>
        <w:tblOverlap w:val="never"/>
        <w:tblW w:w="9072" w:type="dxa"/>
        <w:jc w:val="left"/>
        <w:tblInd w:w="0" w:type="dxa"/>
        <w:tblLayout w:type="fixed"/>
        <w:tblCellMar>
          <w:top w:w="0" w:type="dxa"/>
          <w:left w:w="0" w:type="dxa"/>
          <w:bottom w:w="0" w:type="dxa"/>
          <w:right w:w="0" w:type="dxa"/>
        </w:tblCellMar>
        <w:tblLook w:val="01E0"/>
      </w:tblPr>
      <w:tblGrid>
        <w:gridCol w:w="9072"/>
      </w:tblGrid>
      <w:tr>
        <w:tblPrEx>
          <w:tblW w:w="9072" w:type="dxa"/>
          <w:jc w:val="left"/>
          <w:tblInd w:w="0" w:type="dxa"/>
          <w:tblLayout w:type="fixed"/>
          <w:tblCellMar>
            <w:top w:w="0" w:type="dxa"/>
            <w:left w:w="0" w:type="dxa"/>
            <w:bottom w:w="0" w:type="dxa"/>
            <w:right w:w="0" w:type="dxa"/>
          </w:tblCellMar>
          <w:tblLook w:val="01E0"/>
        </w:tblPrEx>
        <w:trPr>
          <w:jc w:val="left"/>
        </w:trPr>
        <w:tc>
          <w:tcPr>
            <w:tcW w:w="9072" w:type="dxa"/>
            <w:noWrap w:val="0"/>
            <w:tcMar>
              <w:top w:w="20" w:type="dxa"/>
              <w:left w:w="20" w:type="dxa"/>
              <w:bottom w:w="20" w:type="dxa"/>
              <w:right w:w="20" w:type="dxa"/>
            </w:tcMar>
            <w:vAlign w:val="top"/>
          </w:tcPr>
          <w:bookmarkStart w:id="18" w:name="__bookmark_21"/>
          <w:bookmarkEnd w:id="18"/>
          <w:p>
            <w:pPr>
              <w:bidi w:val="0"/>
              <w:spacing w:before="0" w:after="0"/>
              <w:jc w:val="both"/>
            </w:pPr>
            <w:r>
              <w:rPr>
                <w:rFonts w:ascii="Times New Roman" w:eastAsia="Times New Roman" w:hAnsi="Times New Roman" w:cs="Times New Roman"/>
                <w:b/>
                <w:bCs/>
                <w:color w:val="000000"/>
                <w:spacing w:val="0"/>
                <w:sz w:val="20"/>
                <w:szCs w:val="20"/>
              </w:rPr>
              <w:t xml:space="preserve">Valor total: </w:t>
            </w:r>
            <w:r>
              <w:rPr>
                <w:rFonts w:ascii="Times New Roman" w:eastAsia="Times New Roman" w:hAnsi="Times New Roman" w:cs="Times New Roman"/>
                <w:b/>
                <w:bCs/>
                <w:color w:val="FF0000"/>
                <w:spacing w:val="0"/>
                <w:sz w:val="20"/>
                <w:szCs w:val="20"/>
              </w:rPr>
              <w:t>XX.XXX,XX (valor por extenso)</w:t>
            </w:r>
            <w:r>
              <w:rPr>
                <w:rFonts w:ascii="Times New Roman" w:eastAsia="Times New Roman" w:hAnsi="Times New Roman" w:cs="Times New Roman"/>
                <w:b/>
                <w:bCs/>
                <w:color w:val="000000"/>
                <w:spacing w:val="0"/>
                <w:sz w:val="20"/>
                <w:szCs w:val="20"/>
              </w:rPr>
              <w:t>.</w:t>
            </w:r>
          </w:p>
          <w:p>
            <w:pPr>
              <w:bidi w:val="0"/>
              <w:spacing w:before="0" w:after="141"/>
              <w:ind w:firstLine="700"/>
              <w:jc w:val="both"/>
            </w:pPr>
            <w:r>
              <w:rPr>
                <w:rFonts w:ascii="Times New Roman" w:eastAsia="Times New Roman" w:hAnsi="Times New Roman" w:cs="Times New Roman"/>
                <w:color w:val="000000"/>
                <w:spacing w:val="0"/>
                <w:sz w:val="20"/>
                <w:szCs w:val="20"/>
              </w:rPr>
              <w:t>Declaramos que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bidi w:val="0"/>
              <w:spacing w:before="0" w:after="141"/>
              <w:ind w:firstLine="700"/>
              <w:jc w:val="both"/>
            </w:pPr>
            <w:r>
              <w:rPr>
                <w:rFonts w:ascii="Times New Roman" w:eastAsia="Times New Roman" w:hAnsi="Times New Roman" w:cs="Times New Roman"/>
                <w:color w:val="000000"/>
                <w:spacing w:val="0"/>
                <w:sz w:val="20"/>
                <w:szCs w:val="20"/>
              </w:rPr>
              <w:t xml:space="preserve">O prazo de validade de nossa proposta é de </w:t>
            </w:r>
            <w:r>
              <w:rPr>
                <w:rFonts w:ascii="Times New Roman" w:eastAsia="Times New Roman" w:hAnsi="Times New Roman" w:cs="Times New Roman"/>
                <w:color w:val="FF0000"/>
                <w:spacing w:val="0"/>
                <w:sz w:val="20"/>
                <w:szCs w:val="20"/>
              </w:rPr>
              <w:t>____ (_________)</w:t>
            </w:r>
            <w:r>
              <w:rPr>
                <w:rFonts w:ascii="Times New Roman" w:eastAsia="Times New Roman" w:hAnsi="Times New Roman" w:cs="Times New Roman"/>
                <w:color w:val="000000"/>
                <w:spacing w:val="0"/>
                <w:sz w:val="20"/>
                <w:szCs w:val="20"/>
              </w:rPr>
              <w:t xml:space="preserve"> dias, contados da data de sua apresentação. </w:t>
            </w:r>
            <w:r>
              <w:rPr>
                <w:rFonts w:ascii="Times New Roman" w:eastAsia="Times New Roman" w:hAnsi="Times New Roman" w:cs="Times New Roman"/>
                <w:color w:val="FF0000"/>
                <w:spacing w:val="0"/>
                <w:sz w:val="20"/>
                <w:szCs w:val="20"/>
              </w:rPr>
              <w:t>(Obs.: Não poderá ser inferior a 60 (sessenta) dias)</w:t>
            </w:r>
            <w:r>
              <w:rPr>
                <w:rFonts w:ascii="Times New Roman" w:eastAsia="Times New Roman" w:hAnsi="Times New Roman" w:cs="Times New Roman"/>
                <w:color w:val="000000"/>
                <w:spacing w:val="0"/>
                <w:sz w:val="20"/>
                <w:szCs w:val="20"/>
              </w:rPr>
              <w:t>.</w:t>
            </w:r>
          </w:p>
          <w:p>
            <w:pPr>
              <w:bidi w:val="0"/>
              <w:spacing w:before="0" w:after="141"/>
              <w:ind w:firstLine="700"/>
              <w:jc w:val="both"/>
            </w:pPr>
            <w:r>
              <w:rPr>
                <w:rFonts w:ascii="Times New Roman" w:eastAsia="Times New Roman" w:hAnsi="Times New Roman" w:cs="Times New Roman"/>
                <w:color w:val="000000"/>
                <w:spacing w:val="0"/>
                <w:sz w:val="20"/>
                <w:szCs w:val="20"/>
              </w:rPr>
              <w:t>Declaramos plena aceitação das condições estabelecidas no Edital e seus anexos.</w:t>
            </w:r>
          </w:p>
          <w:p>
            <w:pPr>
              <w:bidi w:val="0"/>
              <w:spacing w:before="0" w:after="141"/>
              <w:ind w:firstLine="700"/>
              <w:jc w:val="both"/>
            </w:pPr>
            <w:r>
              <w:rPr>
                <w:rFonts w:ascii="Times New Roman" w:eastAsia="Times New Roman" w:hAnsi="Times New Roman" w:cs="Times New Roman"/>
                <w:color w:val="000000"/>
                <w:spacing w:val="0"/>
                <w:sz w:val="20"/>
                <w:szCs w:val="20"/>
              </w:rPr>
              <w:t>Caso nos seja adjudicado o objeto da licitação, comprometemo-nos a assinar o Contrato no prazo determinado no Edital, e para esse fim fornecemos os seguintes dados:</w:t>
            </w:r>
          </w:p>
          <w:p>
            <w:pPr>
              <w:bidi w:val="0"/>
              <w:spacing w:before="0" w:after="0"/>
              <w:jc w:val="both"/>
            </w:pPr>
            <w:r>
              <w:rPr>
                <w:rFonts w:ascii="Times New Roman" w:eastAsia="Times New Roman" w:hAnsi="Times New Roman" w:cs="Times New Roman"/>
                <w:color w:val="000000"/>
                <w:spacing w:val="0"/>
                <w:sz w:val="20"/>
                <w:szCs w:val="20"/>
              </w:rPr>
              <w:t>DADOS DO REPRESENTANTE LEGAL DA EMPRESA PARA ASSINATURA DO CONTRATO:</w:t>
            </w:r>
          </w:p>
        </w:tc>
      </w:tr>
    </w:tbl>
    <w:p/>
    <w:tbl>
      <w:tblPr>
        <w:tblStyle w:val="TableNormal"/>
        <w:tblOverlap w:val="never"/>
        <w:tblW w:w="8941" w:type="dxa"/>
        <w:tblInd w:w="20" w:type="dxa"/>
        <w:tblLayout w:type="fixed"/>
        <w:tblLook w:val="01E0"/>
      </w:tblPr>
      <w:tblGrid>
        <w:gridCol w:w="1862"/>
        <w:gridCol w:w="7079"/>
      </w:tblGrid>
      <w:tr>
        <w:tblPrEx>
          <w:tblW w:w="8941" w:type="dxa"/>
          <w:tblInd w:w="20" w:type="dxa"/>
          <w:tblLayout w:type="fixed"/>
          <w:tblLook w:val="01E0"/>
        </w:tblPrEx>
        <w:trPr>
          <w:trHeight w:hRule="exact" w:val="283"/>
        </w:trPr>
        <w:tc>
          <w:tcPr>
            <w:tcW w:w="1870" w:type="dxa"/>
            <w:noWrap w:val="0"/>
            <w:tcMar>
              <w:top w:w="0" w:type="dxa"/>
              <w:left w:w="0" w:type="dxa"/>
              <w:bottom w:w="0" w:type="dxa"/>
              <w:right w:w="0" w:type="dxa"/>
            </w:tcMar>
            <w:vAlign w:val="top"/>
          </w:tcPr>
          <w:p>
            <w:pPr>
              <w:spacing w:line="1" w:lineRule="auto"/>
            </w:pPr>
          </w:p>
        </w:tc>
        <w:tc>
          <w:tcPr>
            <w:tcW w:w="7111" w:type="dxa"/>
            <w:noWrap w:val="0"/>
            <w:tcMar>
              <w:top w:w="0" w:type="dxa"/>
              <w:left w:w="0" w:type="dxa"/>
              <w:bottom w:w="0" w:type="dxa"/>
              <w:right w:w="0" w:type="dxa"/>
            </w:tcMar>
            <w:vAlign w:val="top"/>
          </w:tcPr>
          <w:p>
            <w:pPr>
              <w:spacing w:line="1" w:lineRule="auto"/>
            </w:pPr>
          </w:p>
        </w:tc>
      </w:tr>
      <w:tr>
        <w:tblPrEx>
          <w:tblW w:w="8941" w:type="dxa"/>
          <w:tblInd w:w="20" w:type="dxa"/>
          <w:tblLayout w:type="fixed"/>
          <w:tblLook w:val="01E0"/>
        </w:tblPrEx>
        <w:tc>
          <w:tcPr>
            <w:tcW w:w="187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Nome:</w:t>
            </w:r>
          </w:p>
        </w:tc>
        <w:tc>
          <w:tcPr>
            <w:tcW w:w="711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r>
      <w:tr>
        <w:tblPrEx>
          <w:tblW w:w="8941" w:type="dxa"/>
          <w:tblInd w:w="20" w:type="dxa"/>
          <w:tblLayout w:type="fixed"/>
          <w:tblLook w:val="01E0"/>
        </w:tblPrEx>
        <w:tc>
          <w:tcPr>
            <w:tcW w:w="187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Endereço completo:</w:t>
            </w:r>
          </w:p>
        </w:tc>
        <w:tc>
          <w:tcPr>
            <w:tcW w:w="711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r>
      <w:tr>
        <w:tblPrEx>
          <w:tblW w:w="8941" w:type="dxa"/>
          <w:tblInd w:w="20" w:type="dxa"/>
          <w:tblLayout w:type="fixed"/>
          <w:tblLook w:val="01E0"/>
        </w:tblPrEx>
        <w:tc>
          <w:tcPr>
            <w:tcW w:w="187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CPF:</w:t>
            </w:r>
          </w:p>
        </w:tc>
        <w:tc>
          <w:tcPr>
            <w:tcW w:w="711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r>
      <w:tr>
        <w:tblPrEx>
          <w:tblW w:w="8941" w:type="dxa"/>
          <w:tblInd w:w="20" w:type="dxa"/>
          <w:tblLayout w:type="fixed"/>
          <w:tblLook w:val="01E0"/>
        </w:tblPrEx>
        <w:tc>
          <w:tcPr>
            <w:tcW w:w="187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Cart. Ident. nº:</w:t>
            </w:r>
          </w:p>
        </w:tc>
        <w:tc>
          <w:tcPr>
            <w:tcW w:w="711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r>
      <w:tr>
        <w:tblPrEx>
          <w:tblW w:w="8941" w:type="dxa"/>
          <w:tblInd w:w="20" w:type="dxa"/>
          <w:tblLayout w:type="fixed"/>
          <w:tblLook w:val="01E0"/>
        </w:tblPrEx>
        <w:tc>
          <w:tcPr>
            <w:tcW w:w="187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Expedido por:</w:t>
            </w:r>
          </w:p>
        </w:tc>
        <w:tc>
          <w:tcPr>
            <w:tcW w:w="711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r>
      <w:tr>
        <w:tblPrEx>
          <w:tblW w:w="8941" w:type="dxa"/>
          <w:tblInd w:w="20" w:type="dxa"/>
          <w:tblLayout w:type="fixed"/>
          <w:tblLook w:val="01E0"/>
        </w:tblPrEx>
        <w:tc>
          <w:tcPr>
            <w:tcW w:w="187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Times New Roman" w:eastAsia="Times New Roman" w:hAnsi="Times New Roman" w:cs="Times New Roman"/>
                <w:color w:val="000000"/>
                <w:spacing w:val="0"/>
                <w:sz w:val="20"/>
                <w:szCs w:val="20"/>
              </w:rPr>
            </w:pPr>
            <w:r>
              <w:rPr>
                <w:rFonts w:ascii="Times New Roman" w:eastAsia="Times New Roman" w:hAnsi="Times New Roman" w:cs="Times New Roman"/>
                <w:color w:val="000000"/>
                <w:spacing w:val="0"/>
                <w:sz w:val="20"/>
                <w:szCs w:val="20"/>
              </w:rPr>
              <w:t>Cargo/Função:</w:t>
            </w:r>
          </w:p>
        </w:tc>
        <w:tc>
          <w:tcPr>
            <w:tcW w:w="711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pacing w:line="1" w:lineRule="auto"/>
            </w:pPr>
          </w:p>
        </w:tc>
      </w:tr>
      <w:tr>
        <w:tblPrEx>
          <w:tblW w:w="8941" w:type="dxa"/>
          <w:tblInd w:w="20" w:type="dxa"/>
          <w:tblLayout w:type="fixed"/>
          <w:tblLook w:val="01E0"/>
        </w:tblPrEx>
        <w:trPr>
          <w:trHeight w:hRule="exact" w:val="850"/>
        </w:trPr>
        <w:tc>
          <w:tcPr>
            <w:tcW w:w="1870" w:type="dxa"/>
            <w:noWrap w:val="0"/>
            <w:tcMar>
              <w:top w:w="0" w:type="dxa"/>
              <w:left w:w="0" w:type="dxa"/>
              <w:bottom w:w="0" w:type="dxa"/>
              <w:right w:w="0" w:type="dxa"/>
            </w:tcMar>
            <w:vAlign w:val="top"/>
          </w:tcPr>
          <w:p>
            <w:pPr>
              <w:spacing w:line="1" w:lineRule="auto"/>
            </w:pPr>
          </w:p>
        </w:tc>
        <w:tc>
          <w:tcPr>
            <w:tcW w:w="7111" w:type="dxa"/>
            <w:noWrap w:val="0"/>
            <w:tcMar>
              <w:top w:w="0" w:type="dxa"/>
              <w:left w:w="0" w:type="dxa"/>
              <w:bottom w:w="0" w:type="dxa"/>
              <w:right w:w="0" w:type="dxa"/>
            </w:tcMar>
            <w:vAlign w:val="top"/>
          </w:tcPr>
          <w:p>
            <w:pPr>
              <w:spacing w:line="1" w:lineRule="auto"/>
            </w:pPr>
          </w:p>
        </w:tc>
      </w:tr>
    </w:tbl>
    <w:p/>
    <w:tbl>
      <w:tblPr>
        <w:tblStyle w:val="TableNormal"/>
        <w:tblOverlap w:val="never"/>
        <w:tblW w:w="9072" w:type="dxa"/>
        <w:jc w:val="center"/>
        <w:tblInd w:w="0" w:type="dxa"/>
        <w:tblLayout w:type="fixed"/>
        <w:tblCellMar>
          <w:top w:w="0" w:type="dxa"/>
          <w:left w:w="0" w:type="dxa"/>
          <w:bottom w:w="0" w:type="dxa"/>
          <w:right w:w="0" w:type="dxa"/>
        </w:tblCellMar>
        <w:tblLook w:val="01E0"/>
      </w:tblPr>
      <w:tblGrid>
        <w:gridCol w:w="9072"/>
      </w:tblGrid>
      <w:tr>
        <w:tblPrEx>
          <w:tblW w:w="9072" w:type="dxa"/>
          <w:jc w:val="center"/>
          <w:tblInd w:w="0" w:type="dxa"/>
          <w:tblLayout w:type="fixed"/>
          <w:tblCellMar>
            <w:top w:w="0" w:type="dxa"/>
            <w:left w:w="0" w:type="dxa"/>
            <w:bottom w:w="0" w:type="dxa"/>
            <w:right w:w="0" w:type="dxa"/>
          </w:tblCellMar>
          <w:tblLook w:val="01E0"/>
        </w:tblPrEx>
        <w:trPr>
          <w:jc w:val="center"/>
        </w:trPr>
        <w:tc>
          <w:tcPr>
            <w:tcW w:w="9072" w:type="dxa"/>
            <w:noWrap w:val="0"/>
            <w:tcMar>
              <w:top w:w="20" w:type="dxa"/>
              <w:left w:w="20" w:type="dxa"/>
              <w:bottom w:w="20" w:type="dxa"/>
              <w:right w:w="20" w:type="dxa"/>
            </w:tcMar>
            <w:vAlign w:val="top"/>
          </w:tcPr>
          <w:bookmarkStart w:id="19" w:name="__bookmark_22"/>
          <w:bookmarkEnd w:id="19"/>
          <w:p>
            <w:pPr>
              <w:bidi w:val="0"/>
              <w:spacing w:before="0" w:after="0"/>
              <w:jc w:val="center"/>
            </w:pPr>
            <w:r>
              <w:rPr>
                <w:rFonts w:ascii="Times New Roman" w:eastAsia="Times New Roman" w:hAnsi="Times New Roman" w:cs="Times New Roman"/>
                <w:color w:val="FF0000"/>
                <w:spacing w:val="0"/>
                <w:sz w:val="20"/>
                <w:szCs w:val="20"/>
              </w:rPr>
              <w:t>__________________________________________________________</w:t>
            </w:r>
          </w:p>
          <w:p>
            <w:pPr>
              <w:bidi w:val="0"/>
              <w:spacing w:before="0" w:after="0"/>
              <w:jc w:val="center"/>
            </w:pPr>
            <w:r>
              <w:rPr>
                <w:rFonts w:ascii="Times New Roman" w:eastAsia="Times New Roman" w:hAnsi="Times New Roman" w:cs="Times New Roman"/>
                <w:color w:val="FF0000"/>
                <w:spacing w:val="0"/>
                <w:sz w:val="20"/>
                <w:szCs w:val="20"/>
              </w:rPr>
              <w:t>Local e data Nome e assinatura do responsável legal</w:t>
            </w:r>
          </w:p>
          <w:p>
            <w:pPr>
              <w:bidi w:val="0"/>
              <w:spacing w:before="0" w:after="0"/>
              <w:jc w:val="center"/>
            </w:pPr>
          </w:p>
          <w:p>
            <w:pPr>
              <w:bidi w:val="0"/>
              <w:spacing w:before="0" w:after="0"/>
              <w:jc w:val="center"/>
            </w:pPr>
          </w:p>
          <w:p>
            <w:pPr>
              <w:bidi w:val="0"/>
              <w:spacing w:before="0" w:after="0"/>
              <w:jc w:val="center"/>
            </w:pPr>
            <w:r>
              <w:rPr>
                <w:rFonts w:ascii="Times New Roman" w:eastAsia="Times New Roman" w:hAnsi="Times New Roman" w:cs="Times New Roman"/>
                <w:color w:val="FF0000"/>
                <w:spacing w:val="0"/>
                <w:sz w:val="20"/>
                <w:szCs w:val="20"/>
              </w:rPr>
              <w:t>Obs.: Rubrica as demais páginas e observar TODAS as exigências constantes do Edital e seus anexos.</w:t>
            </w:r>
          </w:p>
        </w:tc>
      </w:tr>
    </w:tbl>
    <w:p/>
    <w:sectPr>
      <w:headerReference w:type="default" r:id="rId17"/>
      <w:footerReference w:type="default" r:id="rId18"/>
      <w:pgSz w:w="11905" w:h="16837" w:orient="portrait"/>
      <w:pgMar w:top="360" w:right="1133" w:bottom="360" w:left="1700" w:header="360" w:footer="360"/>
      <w:cols w:space="708"/>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936"/>
      </w:trPr>
      <w:tc>
        <w:tcPr>
          <w:tcW w:w="9287" w:type="dxa"/>
        </w:tcPr>
        <w:p/>
        <w:tbl>
          <w:tblPr>
            <w:tblStyle w:val="TableNormal"/>
            <w:tblOverlap w:val="never"/>
            <w:tblW w:w="9032" w:type="dxa"/>
            <w:tblInd w:w="20" w:type="dxa"/>
            <w:tblLayout w:type="fixed"/>
            <w:tblLook w:val="01E0"/>
          </w:tblPr>
          <w:tblGrid>
            <w:gridCol w:w="4516"/>
            <w:gridCol w:w="4516"/>
          </w:tblGrid>
          <w:tr>
            <w:tblPrEx>
              <w:tblW w:w="9032" w:type="dxa"/>
              <w:tblInd w:w="20" w:type="dxa"/>
              <w:tblLayout w:type="fixed"/>
              <w:tblLook w:val="01E0"/>
            </w:tblPrEx>
            <w:trPr>
              <w:trHeight w:hRule="exact" w:val="170"/>
            </w:trPr>
            <w:tc>
              <w:tcPr>
                <w:tcW w:w="4536" w:type="dxa"/>
                <w:noWrap w:val="0"/>
                <w:tcMar>
                  <w:top w:w="0" w:type="dxa"/>
                  <w:left w:w="0" w:type="dxa"/>
                  <w:bottom w:w="0" w:type="dxa"/>
                  <w:right w:w="0" w:type="dxa"/>
                </w:tcMar>
                <w:vAlign w:val="top"/>
              </w:tcPr>
              <w:p>
                <w:pPr>
                  <w:spacing w:line="1" w:lineRule="auto"/>
                </w:pPr>
              </w:p>
            </w:tc>
            <w:tc>
              <w:tcPr>
                <w:tcW w:w="4536" w:type="dxa"/>
                <w:noWrap w:val="0"/>
                <w:tcMar>
                  <w:top w:w="0" w:type="dxa"/>
                  <w:left w:w="0" w:type="dxa"/>
                  <w:bottom w:w="0" w:type="dxa"/>
                  <w:right w:w="0" w:type="dxa"/>
                </w:tcMar>
                <w:vAlign w:val="top"/>
              </w:tcPr>
              <w:p>
                <w:pPr>
                  <w:spacing w:line="1" w:lineRule="auto"/>
                </w:pPr>
              </w:p>
            </w:tc>
          </w:tr>
          <w:tr>
            <w:tblPrEx>
              <w:tblW w:w="9032" w:type="dxa"/>
              <w:tblInd w:w="20" w:type="dxa"/>
              <w:tblLayout w:type="fixed"/>
              <w:tblLook w:val="01E0"/>
            </w:tblPrEx>
            <w:tc>
              <w:tcPr>
                <w:tcW w:w="4536" w:type="dxa"/>
                <w:noWrap w:val="0"/>
                <w:tcMar>
                  <w:top w:w="0" w:type="dxa"/>
                  <w:left w:w="0" w:type="dxa"/>
                  <w:bottom w:w="0" w:type="dxa"/>
                  <w:right w:w="0" w:type="dxa"/>
                </w:tcMar>
                <w:vAlign w:val="top"/>
              </w:tcPr>
              <w:tbl>
                <w:tblPr>
                  <w:tblStyle w:val="TableNormal"/>
                  <w:tblOverlap w:val="never"/>
                  <w:tblW w:w="4496" w:type="dxa"/>
                  <w:tblInd w:w="20" w:type="dxa"/>
                  <w:tblLayout w:type="fixed"/>
                  <w:tblLook w:val="01E0"/>
                </w:tblPr>
                <w:tblGrid>
                  <w:gridCol w:w="4496"/>
                </w:tblGrid>
                <w:tr>
                  <w:tblPrEx>
                    <w:tblW w:w="4496" w:type="dxa"/>
                    <w:tblInd w:w="20" w:type="dxa"/>
                    <w:tblLayout w:type="fixed"/>
                    <w:tblLook w:val="01E0"/>
                  </w:tblPrEx>
                  <w:tc>
                    <w:tcPr>
                      <w:tcW w:w="4536" w:type="dxa"/>
                      <w:noWrap w:val="0"/>
                      <w:tcMar>
                        <w:top w:w="10" w:type="dxa"/>
                        <w:left w:w="10" w:type="dxa"/>
                        <w:bottom w:w="10" w:type="dxa"/>
                        <w:right w:w="10" w:type="dxa"/>
                      </w:tcMar>
                      <w:vAlign w:val="top"/>
                    </w:tcPr>
                    <w:tbl>
                      <w:tblPr>
                        <w:tblStyle w:val="TableNormal"/>
                        <w:tblOverlap w:val="never"/>
                        <w:tblW w:w="4516" w:type="dxa"/>
                        <w:tblInd w:w="0" w:type="dxa"/>
                        <w:tblLayout w:type="fixed"/>
                        <w:tblCellMar>
                          <w:top w:w="0" w:type="dxa"/>
                          <w:left w:w="0" w:type="dxa"/>
                          <w:bottom w:w="0" w:type="dxa"/>
                          <w:right w:w="0" w:type="dxa"/>
                        </w:tblCellMar>
                        <w:tblLook w:val="01E0"/>
                      </w:tblPr>
                      <w:tblGrid>
                        <w:gridCol w:w="4516"/>
                      </w:tblGrid>
                      <w:tr>
                        <w:tblPrEx>
                          <w:tblW w:w="4516" w:type="dxa"/>
                          <w:tblInd w:w="0" w:type="dxa"/>
                          <w:tblLayout w:type="fixed"/>
                          <w:tblCellMar>
                            <w:top w:w="0" w:type="dxa"/>
                            <w:left w:w="0" w:type="dxa"/>
                            <w:bottom w:w="0" w:type="dxa"/>
                            <w:right w:w="0" w:type="dxa"/>
                          </w:tblCellMar>
                          <w:tblLook w:val="01E0"/>
                        </w:tblPrEx>
                        <w:tc>
                          <w:tcPr>
                            <w:tcW w:w="4516" w:type="dxa"/>
                            <w:noWrap w:val="0"/>
                            <w:tcMar>
                              <w:top w:w="0" w:type="dxa"/>
                              <w:left w:w="0" w:type="dxa"/>
                              <w:bottom w:w="0" w:type="dxa"/>
                              <w:right w:w="0" w:type="dxa"/>
                            </w:tcMar>
                            <w:vAlign w:val="top"/>
                          </w:tcPr>
                          <w:p>
                            <w:pPr>
                              <w:bidi w:val="0"/>
                              <w:spacing w:before="0" w:after="0"/>
                            </w:pPr>
                            <w:r>
                              <w:rPr>
                                <w:rFonts w:ascii="Times New Roman" w:eastAsia="Times New Roman" w:hAnsi="Times New Roman" w:cs="Times New Roman"/>
                                <w:color w:val="000000"/>
                                <w:spacing w:val="0"/>
                                <w:sz w:val="16"/>
                                <w:szCs w:val="16"/>
                              </w:rPr>
                              <w:t>NEY MANOEL SAMPAIO</w:t>
                            </w:r>
                          </w:p>
                          <w:p>
                            <w:pPr>
                              <w:bidi w:val="0"/>
                              <w:spacing w:before="0" w:after="0"/>
                            </w:pPr>
                            <w:r>
                              <w:rPr>
                                <w:rFonts w:ascii="Times New Roman" w:eastAsia="Times New Roman" w:hAnsi="Times New Roman" w:cs="Times New Roman"/>
                                <w:color w:val="000000"/>
                                <w:spacing w:val="0"/>
                                <w:sz w:val="16"/>
                                <w:szCs w:val="16"/>
                              </w:rPr>
                              <w:t>OAB/PR 63.298</w:t>
                            </w:r>
                          </w:p>
                        </w:tc>
                      </w:tr>
                    </w:tbl>
                    <w:p>
                      <w:pPr>
                        <w:spacing w:line="1" w:lineRule="auto"/>
                      </w:pPr>
                    </w:p>
                  </w:tc>
                </w:tr>
              </w:tbl>
              <w:p>
                <w:pPr>
                  <w:spacing w:line="1" w:lineRule="auto"/>
                </w:pPr>
              </w:p>
            </w:tc>
            <w:tc>
              <w:tcPr>
                <w:tcW w:w="4536" w:type="dxa"/>
                <w:noWrap w:val="0"/>
                <w:tcMar>
                  <w:top w:w="0" w:type="dxa"/>
                  <w:left w:w="0" w:type="dxa"/>
                  <w:bottom w:w="0" w:type="dxa"/>
                  <w:right w:w="0" w:type="dxa"/>
                </w:tcMar>
                <w:vAlign w:val="top"/>
              </w:tcPr>
              <w:p>
                <w:pPr>
                  <w:spacing w:line="1" w:lineRule="auto"/>
                </w:pPr>
              </w:p>
            </w:tc>
          </w:tr>
          <w:tr>
            <w:tblPrEx>
              <w:tblW w:w="9032" w:type="dxa"/>
              <w:tblInd w:w="20" w:type="dxa"/>
              <w:tblLayout w:type="fixed"/>
              <w:tblLook w:val="01E0"/>
            </w:tblPrEx>
            <w:tc>
              <w:tcPr>
                <w:tcW w:w="4536" w:type="dxa"/>
                <w:noWrap w:val="0"/>
                <w:tcMar>
                  <w:top w:w="0" w:type="dxa"/>
                  <w:left w:w="0" w:type="dxa"/>
                  <w:bottom w:w="0" w:type="dxa"/>
                  <w:right w:w="0" w:type="dxa"/>
                </w:tcMar>
                <w:vAlign w:val="top"/>
              </w:tcPr>
              <w:p>
                <w:pPr>
                  <w:spacing w:line="1" w:lineRule="auto"/>
                </w:pPr>
              </w:p>
            </w:tc>
            <w:tc>
              <w:tcPr>
                <w:tcW w:w="4536" w:type="dxa"/>
                <w:noWrap w:val="0"/>
                <w:tcMar>
                  <w:top w:w="0" w:type="dxa"/>
                  <w:left w:w="0" w:type="dxa"/>
                  <w:bottom w:w="0" w:type="dxa"/>
                  <w:right w:w="0" w:type="dxa"/>
                </w:tcMar>
                <w:vAlign w:val="top"/>
              </w:tcPr>
              <w:p/>
              <w:tbl>
                <w:tblPr>
                  <w:tblStyle w:val="TableNormal"/>
                  <w:tblOverlap w:val="never"/>
                  <w:tblW w:w="4496" w:type="dxa"/>
                  <w:tblInd w:w="20" w:type="dxa"/>
                  <w:tblLayout w:type="fixed"/>
                  <w:tblLook w:val="01E0"/>
                </w:tblPr>
                <w:tblGrid>
                  <w:gridCol w:w="4496"/>
                </w:tblGrid>
                <w:tr>
                  <w:tblPrEx>
                    <w:tblW w:w="4496" w:type="dxa"/>
                    <w:tblInd w:w="20" w:type="dxa"/>
                    <w:tblLayout w:type="fixed"/>
                    <w:tblLook w:val="01E0"/>
                  </w:tblPrEx>
                  <w:tc>
                    <w:tcPr>
                      <w:tcW w:w="4536" w:type="dxa"/>
                      <w:noWrap w:val="0"/>
                      <w:tcMar>
                        <w:top w:w="0" w:type="dxa"/>
                        <w:left w:w="0" w:type="dxa"/>
                        <w:bottom w:w="0" w:type="dxa"/>
                        <w:right w:w="0" w:type="dxa"/>
                      </w:tcMar>
                      <w:vAlign w:val="top"/>
                    </w:tcPr>
                    <w:tbl>
                      <w:tblPr>
                        <w:tblStyle w:val="TableNormal"/>
                        <w:tblOverlap w:val="never"/>
                        <w:tblW w:w="4536" w:type="dxa"/>
                        <w:jc w:val="right"/>
                        <w:tblInd w:w="0" w:type="dxa"/>
                        <w:tblLayout w:type="fixed"/>
                        <w:tblCellMar>
                          <w:top w:w="0" w:type="dxa"/>
                          <w:left w:w="0" w:type="dxa"/>
                          <w:bottom w:w="0" w:type="dxa"/>
                          <w:right w:w="0" w:type="dxa"/>
                        </w:tblCellMar>
                        <w:tblLook w:val="01E0"/>
                      </w:tblPr>
                      <w:tblGrid>
                        <w:gridCol w:w="4536"/>
                      </w:tblGrid>
                      <w:tr>
                        <w:tblPrEx>
                          <w:tblW w:w="4536" w:type="dxa"/>
                          <w:jc w:val="right"/>
                          <w:tblInd w:w="0" w:type="dxa"/>
                          <w:tblLayout w:type="fixed"/>
                          <w:tblCellMar>
                            <w:top w:w="0" w:type="dxa"/>
                            <w:left w:w="0" w:type="dxa"/>
                            <w:bottom w:w="0" w:type="dxa"/>
                            <w:right w:w="0" w:type="dxa"/>
                          </w:tblCellMar>
                          <w:tblLook w:val="01E0"/>
                        </w:tblPrEx>
                        <w:trPr>
                          <w:jc w:val="right"/>
                        </w:trPr>
                        <w:tc>
                          <w:tcPr>
                            <w:tcW w:w="4536" w:type="dxa"/>
                            <w:noWrap w:val="0"/>
                            <w:tcMar>
                              <w:top w:w="0" w:type="dxa"/>
                              <w:left w:w="0" w:type="dxa"/>
                              <w:bottom w:w="0" w:type="dxa"/>
                              <w:right w:w="0" w:type="dxa"/>
                            </w:tcMar>
                            <w:vAlign w:val="top"/>
                          </w:tcPr>
                          <w:p>
                            <w:pPr>
                              <w:bidi w:val="0"/>
                              <w:spacing w:before="0" w:after="0"/>
                              <w:jc w:val="right"/>
                            </w:pPr>
                            <w:r>
                              <w:rPr>
                                <w:rFonts w:ascii="Times New Roman" w:eastAsia="Times New Roman" w:hAnsi="Times New Roman" w:cs="Times New Roman"/>
                                <w:color w:val="000000"/>
                                <w:spacing w:val="0"/>
                                <w:sz w:val="16"/>
                                <w:szCs w:val="16"/>
                              </w:rPr>
                              <w:t>JAMES KARSON VALERIO</w:t>
                            </w:r>
                          </w:p>
                          <w:p>
                            <w:pPr>
                              <w:bidi w:val="0"/>
                              <w:spacing w:before="0" w:after="0"/>
                              <w:jc w:val="right"/>
                            </w:pPr>
                            <w:r>
                              <w:rPr>
                                <w:rFonts w:ascii="Times New Roman" w:eastAsia="Times New Roman" w:hAnsi="Times New Roman" w:cs="Times New Roman"/>
                                <w:color w:val="000000"/>
                                <w:spacing w:val="0"/>
                                <w:sz w:val="16"/>
                                <w:szCs w:val="16"/>
                              </w:rPr>
                              <w:t>Prefeito Municipal</w:t>
                            </w:r>
                          </w:p>
                        </w:tc>
                      </w:tr>
                    </w:tbl>
                    <w:p>
                      <w:pPr>
                        <w:spacing w:line="1" w:lineRule="auto"/>
                      </w:pPr>
                    </w:p>
                  </w:tc>
                </w:tr>
              </w:tbl>
              <w:p>
                <w:pPr>
                  <w:spacing w:line="1" w:lineRule="auto"/>
                </w:pPr>
              </w:p>
            </w:tc>
          </w:tr>
        </w:tbl>
        <w:p>
          <w:pPr>
            <w:spacing w:line="1" w:lineRule="auto"/>
          </w:pPr>
        </w:p>
      </w:tc>
    </w:tr>
  </w:tbl>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936"/>
      </w:trPr>
      <w:tc>
        <w:tcPr>
          <w:tcW w:w="9287" w:type="dxa"/>
        </w:tcPr>
        <w:p/>
        <w:tbl>
          <w:tblPr>
            <w:tblStyle w:val="TableNormal"/>
            <w:tblOverlap w:val="never"/>
            <w:tblW w:w="9032" w:type="dxa"/>
            <w:tblInd w:w="20" w:type="dxa"/>
            <w:tblLayout w:type="fixed"/>
            <w:tblLook w:val="01E0"/>
          </w:tblPr>
          <w:tblGrid>
            <w:gridCol w:w="4516"/>
            <w:gridCol w:w="4516"/>
          </w:tblGrid>
          <w:tr>
            <w:tblPrEx>
              <w:tblW w:w="9032" w:type="dxa"/>
              <w:tblInd w:w="20" w:type="dxa"/>
              <w:tblLayout w:type="fixed"/>
              <w:tblLook w:val="01E0"/>
            </w:tblPrEx>
            <w:trPr>
              <w:trHeight w:hRule="exact" w:val="170"/>
            </w:trPr>
            <w:tc>
              <w:tcPr>
                <w:tcW w:w="4536" w:type="dxa"/>
                <w:noWrap w:val="0"/>
                <w:tcMar>
                  <w:top w:w="0" w:type="dxa"/>
                  <w:left w:w="0" w:type="dxa"/>
                  <w:bottom w:w="0" w:type="dxa"/>
                  <w:right w:w="0" w:type="dxa"/>
                </w:tcMar>
                <w:vAlign w:val="top"/>
              </w:tcPr>
              <w:p>
                <w:pPr>
                  <w:spacing w:line="1" w:lineRule="auto"/>
                </w:pPr>
              </w:p>
            </w:tc>
            <w:tc>
              <w:tcPr>
                <w:tcW w:w="4536" w:type="dxa"/>
                <w:noWrap w:val="0"/>
                <w:tcMar>
                  <w:top w:w="0" w:type="dxa"/>
                  <w:left w:w="0" w:type="dxa"/>
                  <w:bottom w:w="0" w:type="dxa"/>
                  <w:right w:w="0" w:type="dxa"/>
                </w:tcMar>
                <w:vAlign w:val="top"/>
              </w:tcPr>
              <w:p>
                <w:pPr>
                  <w:spacing w:line="1" w:lineRule="auto"/>
                </w:pPr>
              </w:p>
            </w:tc>
          </w:tr>
          <w:tr>
            <w:tblPrEx>
              <w:tblW w:w="9032" w:type="dxa"/>
              <w:tblInd w:w="20" w:type="dxa"/>
              <w:tblLayout w:type="fixed"/>
              <w:tblLook w:val="01E0"/>
            </w:tblPrEx>
            <w:tc>
              <w:tcPr>
                <w:tcW w:w="4536" w:type="dxa"/>
                <w:noWrap w:val="0"/>
                <w:tcMar>
                  <w:top w:w="0" w:type="dxa"/>
                  <w:left w:w="0" w:type="dxa"/>
                  <w:bottom w:w="0" w:type="dxa"/>
                  <w:right w:w="0" w:type="dxa"/>
                </w:tcMar>
                <w:vAlign w:val="top"/>
              </w:tcPr>
              <w:tbl>
                <w:tblPr>
                  <w:tblStyle w:val="TableNormal"/>
                  <w:tblOverlap w:val="never"/>
                  <w:tblW w:w="4496" w:type="dxa"/>
                  <w:tblInd w:w="20" w:type="dxa"/>
                  <w:tblLayout w:type="fixed"/>
                  <w:tblLook w:val="01E0"/>
                </w:tblPr>
                <w:tblGrid>
                  <w:gridCol w:w="4496"/>
                </w:tblGrid>
                <w:tr>
                  <w:tblPrEx>
                    <w:tblW w:w="4496" w:type="dxa"/>
                    <w:tblInd w:w="20" w:type="dxa"/>
                    <w:tblLayout w:type="fixed"/>
                    <w:tblLook w:val="01E0"/>
                  </w:tblPrEx>
                  <w:tc>
                    <w:tcPr>
                      <w:tcW w:w="4536" w:type="dxa"/>
                      <w:noWrap w:val="0"/>
                      <w:tcMar>
                        <w:top w:w="10" w:type="dxa"/>
                        <w:left w:w="10" w:type="dxa"/>
                        <w:bottom w:w="10" w:type="dxa"/>
                        <w:right w:w="10" w:type="dxa"/>
                      </w:tcMar>
                      <w:vAlign w:val="top"/>
                    </w:tcPr>
                    <w:tbl>
                      <w:tblPr>
                        <w:tblStyle w:val="TableNormal"/>
                        <w:tblOverlap w:val="never"/>
                        <w:tblW w:w="4516" w:type="dxa"/>
                        <w:tblInd w:w="0" w:type="dxa"/>
                        <w:tblLayout w:type="fixed"/>
                        <w:tblCellMar>
                          <w:top w:w="0" w:type="dxa"/>
                          <w:left w:w="0" w:type="dxa"/>
                          <w:bottom w:w="0" w:type="dxa"/>
                          <w:right w:w="0" w:type="dxa"/>
                        </w:tblCellMar>
                        <w:tblLook w:val="01E0"/>
                      </w:tblPr>
                      <w:tblGrid>
                        <w:gridCol w:w="4516"/>
                      </w:tblGrid>
                      <w:tr>
                        <w:tblPrEx>
                          <w:tblW w:w="4516" w:type="dxa"/>
                          <w:tblInd w:w="0" w:type="dxa"/>
                          <w:tblLayout w:type="fixed"/>
                          <w:tblCellMar>
                            <w:top w:w="0" w:type="dxa"/>
                            <w:left w:w="0" w:type="dxa"/>
                            <w:bottom w:w="0" w:type="dxa"/>
                            <w:right w:w="0" w:type="dxa"/>
                          </w:tblCellMar>
                          <w:tblLook w:val="01E0"/>
                        </w:tblPrEx>
                        <w:tc>
                          <w:tcPr>
                            <w:tcW w:w="4516" w:type="dxa"/>
                            <w:noWrap w:val="0"/>
                            <w:tcMar>
                              <w:top w:w="0" w:type="dxa"/>
                              <w:left w:w="0" w:type="dxa"/>
                              <w:bottom w:w="0" w:type="dxa"/>
                              <w:right w:w="0" w:type="dxa"/>
                            </w:tcMar>
                            <w:vAlign w:val="top"/>
                          </w:tcPr>
                          <w:p>
                            <w:pPr>
                              <w:bidi w:val="0"/>
                              <w:spacing w:before="0" w:after="0"/>
                            </w:pPr>
                            <w:r>
                              <w:rPr>
                                <w:rFonts w:ascii="Times New Roman" w:eastAsia="Times New Roman" w:hAnsi="Times New Roman" w:cs="Times New Roman"/>
                                <w:color w:val="000000"/>
                                <w:spacing w:val="0"/>
                                <w:sz w:val="16"/>
                                <w:szCs w:val="16"/>
                              </w:rPr>
                              <w:t>NEY MANOEL SAMPAIO</w:t>
                            </w:r>
                          </w:p>
                          <w:p>
                            <w:pPr>
                              <w:bidi w:val="0"/>
                              <w:spacing w:before="0" w:after="0"/>
                            </w:pPr>
                            <w:r>
                              <w:rPr>
                                <w:rFonts w:ascii="Times New Roman" w:eastAsia="Times New Roman" w:hAnsi="Times New Roman" w:cs="Times New Roman"/>
                                <w:color w:val="000000"/>
                                <w:spacing w:val="0"/>
                                <w:sz w:val="16"/>
                                <w:szCs w:val="16"/>
                              </w:rPr>
                              <w:t>OAB/PR 63.298</w:t>
                            </w:r>
                          </w:p>
                        </w:tc>
                      </w:tr>
                    </w:tbl>
                    <w:p>
                      <w:pPr>
                        <w:spacing w:line="1" w:lineRule="auto"/>
                      </w:pPr>
                    </w:p>
                  </w:tc>
                </w:tr>
              </w:tbl>
              <w:p>
                <w:pPr>
                  <w:spacing w:line="1" w:lineRule="auto"/>
                </w:pPr>
              </w:p>
            </w:tc>
            <w:tc>
              <w:tcPr>
                <w:tcW w:w="4536" w:type="dxa"/>
                <w:noWrap w:val="0"/>
                <w:tcMar>
                  <w:top w:w="0" w:type="dxa"/>
                  <w:left w:w="0" w:type="dxa"/>
                  <w:bottom w:w="0" w:type="dxa"/>
                  <w:right w:w="0" w:type="dxa"/>
                </w:tcMar>
                <w:vAlign w:val="top"/>
              </w:tcPr>
              <w:p>
                <w:pPr>
                  <w:spacing w:line="1" w:lineRule="auto"/>
                </w:pPr>
              </w:p>
            </w:tc>
          </w:tr>
          <w:tr>
            <w:tblPrEx>
              <w:tblW w:w="9032" w:type="dxa"/>
              <w:tblInd w:w="20" w:type="dxa"/>
              <w:tblLayout w:type="fixed"/>
              <w:tblLook w:val="01E0"/>
            </w:tblPrEx>
            <w:tc>
              <w:tcPr>
                <w:tcW w:w="4536" w:type="dxa"/>
                <w:noWrap w:val="0"/>
                <w:tcMar>
                  <w:top w:w="0" w:type="dxa"/>
                  <w:left w:w="0" w:type="dxa"/>
                  <w:bottom w:w="0" w:type="dxa"/>
                  <w:right w:w="0" w:type="dxa"/>
                </w:tcMar>
                <w:vAlign w:val="top"/>
              </w:tcPr>
              <w:p>
                <w:pPr>
                  <w:spacing w:line="1" w:lineRule="auto"/>
                </w:pPr>
              </w:p>
            </w:tc>
            <w:tc>
              <w:tcPr>
                <w:tcW w:w="4536" w:type="dxa"/>
                <w:noWrap w:val="0"/>
                <w:tcMar>
                  <w:top w:w="0" w:type="dxa"/>
                  <w:left w:w="0" w:type="dxa"/>
                  <w:bottom w:w="0" w:type="dxa"/>
                  <w:right w:w="0" w:type="dxa"/>
                </w:tcMar>
                <w:vAlign w:val="top"/>
              </w:tcPr>
              <w:p/>
              <w:tbl>
                <w:tblPr>
                  <w:tblStyle w:val="TableNormal"/>
                  <w:tblOverlap w:val="never"/>
                  <w:tblW w:w="4496" w:type="dxa"/>
                  <w:tblInd w:w="20" w:type="dxa"/>
                  <w:tblLayout w:type="fixed"/>
                  <w:tblLook w:val="01E0"/>
                </w:tblPr>
                <w:tblGrid>
                  <w:gridCol w:w="4496"/>
                </w:tblGrid>
                <w:tr>
                  <w:tblPrEx>
                    <w:tblW w:w="4496" w:type="dxa"/>
                    <w:tblInd w:w="20" w:type="dxa"/>
                    <w:tblLayout w:type="fixed"/>
                    <w:tblLook w:val="01E0"/>
                  </w:tblPrEx>
                  <w:tc>
                    <w:tcPr>
                      <w:tcW w:w="4536" w:type="dxa"/>
                      <w:noWrap w:val="0"/>
                      <w:tcMar>
                        <w:top w:w="0" w:type="dxa"/>
                        <w:left w:w="0" w:type="dxa"/>
                        <w:bottom w:w="0" w:type="dxa"/>
                        <w:right w:w="0" w:type="dxa"/>
                      </w:tcMar>
                      <w:vAlign w:val="top"/>
                    </w:tcPr>
                    <w:tbl>
                      <w:tblPr>
                        <w:tblStyle w:val="TableNormal"/>
                        <w:tblOverlap w:val="never"/>
                        <w:tblW w:w="4536" w:type="dxa"/>
                        <w:jc w:val="right"/>
                        <w:tblInd w:w="0" w:type="dxa"/>
                        <w:tblLayout w:type="fixed"/>
                        <w:tblCellMar>
                          <w:top w:w="0" w:type="dxa"/>
                          <w:left w:w="0" w:type="dxa"/>
                          <w:bottom w:w="0" w:type="dxa"/>
                          <w:right w:w="0" w:type="dxa"/>
                        </w:tblCellMar>
                        <w:tblLook w:val="01E0"/>
                      </w:tblPr>
                      <w:tblGrid>
                        <w:gridCol w:w="4536"/>
                      </w:tblGrid>
                      <w:tr>
                        <w:tblPrEx>
                          <w:tblW w:w="4536" w:type="dxa"/>
                          <w:jc w:val="right"/>
                          <w:tblInd w:w="0" w:type="dxa"/>
                          <w:tblLayout w:type="fixed"/>
                          <w:tblCellMar>
                            <w:top w:w="0" w:type="dxa"/>
                            <w:left w:w="0" w:type="dxa"/>
                            <w:bottom w:w="0" w:type="dxa"/>
                            <w:right w:w="0" w:type="dxa"/>
                          </w:tblCellMar>
                          <w:tblLook w:val="01E0"/>
                        </w:tblPrEx>
                        <w:trPr>
                          <w:jc w:val="right"/>
                        </w:trPr>
                        <w:tc>
                          <w:tcPr>
                            <w:tcW w:w="4536" w:type="dxa"/>
                            <w:noWrap w:val="0"/>
                            <w:tcMar>
                              <w:top w:w="0" w:type="dxa"/>
                              <w:left w:w="0" w:type="dxa"/>
                              <w:bottom w:w="0" w:type="dxa"/>
                              <w:right w:w="0" w:type="dxa"/>
                            </w:tcMar>
                            <w:vAlign w:val="top"/>
                          </w:tcPr>
                          <w:p>
                            <w:pPr>
                              <w:bidi w:val="0"/>
                              <w:spacing w:before="0" w:after="0"/>
                              <w:jc w:val="right"/>
                            </w:pPr>
                            <w:r>
                              <w:rPr>
                                <w:rFonts w:ascii="Times New Roman" w:eastAsia="Times New Roman" w:hAnsi="Times New Roman" w:cs="Times New Roman"/>
                                <w:color w:val="000000"/>
                                <w:spacing w:val="0"/>
                                <w:sz w:val="16"/>
                                <w:szCs w:val="16"/>
                              </w:rPr>
                              <w:t>JAMES KARSON VALERIO</w:t>
                            </w:r>
                          </w:p>
                          <w:p>
                            <w:pPr>
                              <w:bidi w:val="0"/>
                              <w:spacing w:before="0" w:after="0"/>
                              <w:jc w:val="right"/>
                            </w:pPr>
                            <w:r>
                              <w:rPr>
                                <w:rFonts w:ascii="Times New Roman" w:eastAsia="Times New Roman" w:hAnsi="Times New Roman" w:cs="Times New Roman"/>
                                <w:color w:val="000000"/>
                                <w:spacing w:val="0"/>
                                <w:sz w:val="16"/>
                                <w:szCs w:val="16"/>
                              </w:rPr>
                              <w:t>Prefeito Municipal</w:t>
                            </w:r>
                          </w:p>
                        </w:tc>
                      </w:tr>
                    </w:tbl>
                    <w:p>
                      <w:pPr>
                        <w:spacing w:line="1" w:lineRule="auto"/>
                      </w:pPr>
                    </w:p>
                  </w:tc>
                </w:tr>
              </w:tbl>
              <w:p>
                <w:pPr>
                  <w:spacing w:line="1" w:lineRule="auto"/>
                </w:pPr>
              </w:p>
            </w:tc>
          </w:tr>
        </w:tbl>
        <w:p>
          <w:pPr>
            <w:spacing w:line="1" w:lineRule="auto"/>
          </w:pPr>
        </w:p>
      </w:tc>
    </w:tr>
  </w:tbl>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936"/>
      </w:trPr>
      <w:tc>
        <w:tcPr>
          <w:tcW w:w="9287" w:type="dxa"/>
        </w:tcPr>
        <w:p/>
        <w:tbl>
          <w:tblPr>
            <w:tblStyle w:val="TableNormal"/>
            <w:tblOverlap w:val="never"/>
            <w:tblW w:w="9032" w:type="dxa"/>
            <w:tblInd w:w="20" w:type="dxa"/>
            <w:tblLayout w:type="fixed"/>
            <w:tblLook w:val="01E0"/>
          </w:tblPr>
          <w:tblGrid>
            <w:gridCol w:w="4516"/>
            <w:gridCol w:w="4516"/>
          </w:tblGrid>
          <w:tr>
            <w:tblPrEx>
              <w:tblW w:w="9032" w:type="dxa"/>
              <w:tblInd w:w="20" w:type="dxa"/>
              <w:tblLayout w:type="fixed"/>
              <w:tblLook w:val="01E0"/>
            </w:tblPrEx>
            <w:trPr>
              <w:trHeight w:hRule="exact" w:val="170"/>
            </w:trPr>
            <w:tc>
              <w:tcPr>
                <w:tcW w:w="4536" w:type="dxa"/>
                <w:noWrap w:val="0"/>
                <w:tcMar>
                  <w:top w:w="0" w:type="dxa"/>
                  <w:left w:w="0" w:type="dxa"/>
                  <w:bottom w:w="0" w:type="dxa"/>
                  <w:right w:w="0" w:type="dxa"/>
                </w:tcMar>
                <w:vAlign w:val="top"/>
              </w:tcPr>
              <w:p>
                <w:pPr>
                  <w:spacing w:line="1" w:lineRule="auto"/>
                </w:pPr>
              </w:p>
            </w:tc>
            <w:tc>
              <w:tcPr>
                <w:tcW w:w="4536" w:type="dxa"/>
                <w:noWrap w:val="0"/>
                <w:tcMar>
                  <w:top w:w="0" w:type="dxa"/>
                  <w:left w:w="0" w:type="dxa"/>
                  <w:bottom w:w="0" w:type="dxa"/>
                  <w:right w:w="0" w:type="dxa"/>
                </w:tcMar>
                <w:vAlign w:val="top"/>
              </w:tcPr>
              <w:p>
                <w:pPr>
                  <w:spacing w:line="1" w:lineRule="auto"/>
                </w:pPr>
              </w:p>
            </w:tc>
          </w:tr>
          <w:tr>
            <w:tblPrEx>
              <w:tblW w:w="9032" w:type="dxa"/>
              <w:tblInd w:w="20" w:type="dxa"/>
              <w:tblLayout w:type="fixed"/>
              <w:tblLook w:val="01E0"/>
            </w:tblPrEx>
            <w:tc>
              <w:tcPr>
                <w:tcW w:w="4536" w:type="dxa"/>
                <w:noWrap w:val="0"/>
                <w:tcMar>
                  <w:top w:w="0" w:type="dxa"/>
                  <w:left w:w="0" w:type="dxa"/>
                  <w:bottom w:w="0" w:type="dxa"/>
                  <w:right w:w="0" w:type="dxa"/>
                </w:tcMar>
                <w:vAlign w:val="top"/>
              </w:tcPr>
              <w:tbl>
                <w:tblPr>
                  <w:tblStyle w:val="TableNormal"/>
                  <w:tblOverlap w:val="never"/>
                  <w:tblW w:w="4496" w:type="dxa"/>
                  <w:tblInd w:w="20" w:type="dxa"/>
                  <w:tblLayout w:type="fixed"/>
                  <w:tblLook w:val="01E0"/>
                </w:tblPr>
                <w:tblGrid>
                  <w:gridCol w:w="4496"/>
                </w:tblGrid>
                <w:tr>
                  <w:tblPrEx>
                    <w:tblW w:w="4496" w:type="dxa"/>
                    <w:tblInd w:w="20" w:type="dxa"/>
                    <w:tblLayout w:type="fixed"/>
                    <w:tblLook w:val="01E0"/>
                  </w:tblPrEx>
                  <w:tc>
                    <w:tcPr>
                      <w:tcW w:w="4536" w:type="dxa"/>
                      <w:noWrap w:val="0"/>
                      <w:tcMar>
                        <w:top w:w="10" w:type="dxa"/>
                        <w:left w:w="10" w:type="dxa"/>
                        <w:bottom w:w="10" w:type="dxa"/>
                        <w:right w:w="10" w:type="dxa"/>
                      </w:tcMar>
                      <w:vAlign w:val="top"/>
                    </w:tcPr>
                    <w:tbl>
                      <w:tblPr>
                        <w:tblStyle w:val="TableNormal"/>
                        <w:tblOverlap w:val="never"/>
                        <w:tblW w:w="4516" w:type="dxa"/>
                        <w:tblInd w:w="0" w:type="dxa"/>
                        <w:tblLayout w:type="fixed"/>
                        <w:tblCellMar>
                          <w:top w:w="0" w:type="dxa"/>
                          <w:left w:w="0" w:type="dxa"/>
                          <w:bottom w:w="0" w:type="dxa"/>
                          <w:right w:w="0" w:type="dxa"/>
                        </w:tblCellMar>
                        <w:tblLook w:val="01E0"/>
                      </w:tblPr>
                      <w:tblGrid>
                        <w:gridCol w:w="4516"/>
                      </w:tblGrid>
                      <w:tr>
                        <w:tblPrEx>
                          <w:tblW w:w="4516" w:type="dxa"/>
                          <w:tblInd w:w="0" w:type="dxa"/>
                          <w:tblLayout w:type="fixed"/>
                          <w:tblCellMar>
                            <w:top w:w="0" w:type="dxa"/>
                            <w:left w:w="0" w:type="dxa"/>
                            <w:bottom w:w="0" w:type="dxa"/>
                            <w:right w:w="0" w:type="dxa"/>
                          </w:tblCellMar>
                          <w:tblLook w:val="01E0"/>
                        </w:tblPrEx>
                        <w:tc>
                          <w:tcPr>
                            <w:tcW w:w="4516" w:type="dxa"/>
                            <w:noWrap w:val="0"/>
                            <w:tcMar>
                              <w:top w:w="0" w:type="dxa"/>
                              <w:left w:w="0" w:type="dxa"/>
                              <w:bottom w:w="0" w:type="dxa"/>
                              <w:right w:w="0" w:type="dxa"/>
                            </w:tcMar>
                            <w:vAlign w:val="top"/>
                          </w:tcPr>
                          <w:p>
                            <w:pPr>
                              <w:bidi w:val="0"/>
                              <w:spacing w:before="0" w:after="0"/>
                            </w:pPr>
                            <w:r>
                              <w:rPr>
                                <w:rFonts w:ascii="Times New Roman" w:eastAsia="Times New Roman" w:hAnsi="Times New Roman" w:cs="Times New Roman"/>
                                <w:color w:val="000000"/>
                                <w:spacing w:val="0"/>
                                <w:sz w:val="16"/>
                                <w:szCs w:val="16"/>
                              </w:rPr>
                              <w:t>NEY MANOEL SAMPAIO</w:t>
                            </w:r>
                          </w:p>
                          <w:p>
                            <w:pPr>
                              <w:bidi w:val="0"/>
                              <w:spacing w:before="0" w:after="0"/>
                            </w:pPr>
                            <w:r>
                              <w:rPr>
                                <w:rFonts w:ascii="Times New Roman" w:eastAsia="Times New Roman" w:hAnsi="Times New Roman" w:cs="Times New Roman"/>
                                <w:color w:val="000000"/>
                                <w:spacing w:val="0"/>
                                <w:sz w:val="16"/>
                                <w:szCs w:val="16"/>
                              </w:rPr>
                              <w:t>OAB/PR 63.298</w:t>
                            </w:r>
                          </w:p>
                        </w:tc>
                      </w:tr>
                    </w:tbl>
                    <w:p>
                      <w:pPr>
                        <w:spacing w:line="1" w:lineRule="auto"/>
                      </w:pPr>
                    </w:p>
                  </w:tc>
                </w:tr>
              </w:tbl>
              <w:p>
                <w:pPr>
                  <w:spacing w:line="1" w:lineRule="auto"/>
                </w:pPr>
              </w:p>
            </w:tc>
            <w:tc>
              <w:tcPr>
                <w:tcW w:w="4536" w:type="dxa"/>
                <w:noWrap w:val="0"/>
                <w:tcMar>
                  <w:top w:w="0" w:type="dxa"/>
                  <w:left w:w="0" w:type="dxa"/>
                  <w:bottom w:w="0" w:type="dxa"/>
                  <w:right w:w="0" w:type="dxa"/>
                </w:tcMar>
                <w:vAlign w:val="top"/>
              </w:tcPr>
              <w:p>
                <w:pPr>
                  <w:spacing w:line="1" w:lineRule="auto"/>
                </w:pPr>
              </w:p>
            </w:tc>
          </w:tr>
          <w:tr>
            <w:tblPrEx>
              <w:tblW w:w="9032" w:type="dxa"/>
              <w:tblInd w:w="20" w:type="dxa"/>
              <w:tblLayout w:type="fixed"/>
              <w:tblLook w:val="01E0"/>
            </w:tblPrEx>
            <w:tc>
              <w:tcPr>
                <w:tcW w:w="4536" w:type="dxa"/>
                <w:noWrap w:val="0"/>
                <w:tcMar>
                  <w:top w:w="0" w:type="dxa"/>
                  <w:left w:w="0" w:type="dxa"/>
                  <w:bottom w:w="0" w:type="dxa"/>
                  <w:right w:w="0" w:type="dxa"/>
                </w:tcMar>
                <w:vAlign w:val="top"/>
              </w:tcPr>
              <w:p>
                <w:pPr>
                  <w:spacing w:line="1" w:lineRule="auto"/>
                </w:pPr>
              </w:p>
            </w:tc>
            <w:tc>
              <w:tcPr>
                <w:tcW w:w="4536" w:type="dxa"/>
                <w:noWrap w:val="0"/>
                <w:tcMar>
                  <w:top w:w="0" w:type="dxa"/>
                  <w:left w:w="0" w:type="dxa"/>
                  <w:bottom w:w="0" w:type="dxa"/>
                  <w:right w:w="0" w:type="dxa"/>
                </w:tcMar>
                <w:vAlign w:val="top"/>
              </w:tcPr>
              <w:p/>
              <w:tbl>
                <w:tblPr>
                  <w:tblStyle w:val="TableNormal"/>
                  <w:tblOverlap w:val="never"/>
                  <w:tblW w:w="4496" w:type="dxa"/>
                  <w:tblInd w:w="20" w:type="dxa"/>
                  <w:tblLayout w:type="fixed"/>
                  <w:tblLook w:val="01E0"/>
                </w:tblPr>
                <w:tblGrid>
                  <w:gridCol w:w="4496"/>
                </w:tblGrid>
                <w:tr>
                  <w:tblPrEx>
                    <w:tblW w:w="4496" w:type="dxa"/>
                    <w:tblInd w:w="20" w:type="dxa"/>
                    <w:tblLayout w:type="fixed"/>
                    <w:tblLook w:val="01E0"/>
                  </w:tblPrEx>
                  <w:tc>
                    <w:tcPr>
                      <w:tcW w:w="4536" w:type="dxa"/>
                      <w:noWrap w:val="0"/>
                      <w:tcMar>
                        <w:top w:w="0" w:type="dxa"/>
                        <w:left w:w="0" w:type="dxa"/>
                        <w:bottom w:w="0" w:type="dxa"/>
                        <w:right w:w="0" w:type="dxa"/>
                      </w:tcMar>
                      <w:vAlign w:val="top"/>
                    </w:tcPr>
                    <w:tbl>
                      <w:tblPr>
                        <w:tblStyle w:val="TableNormal"/>
                        <w:tblOverlap w:val="never"/>
                        <w:tblW w:w="4536" w:type="dxa"/>
                        <w:jc w:val="right"/>
                        <w:tblInd w:w="0" w:type="dxa"/>
                        <w:tblLayout w:type="fixed"/>
                        <w:tblCellMar>
                          <w:top w:w="0" w:type="dxa"/>
                          <w:left w:w="0" w:type="dxa"/>
                          <w:bottom w:w="0" w:type="dxa"/>
                          <w:right w:w="0" w:type="dxa"/>
                        </w:tblCellMar>
                        <w:tblLook w:val="01E0"/>
                      </w:tblPr>
                      <w:tblGrid>
                        <w:gridCol w:w="4536"/>
                      </w:tblGrid>
                      <w:tr>
                        <w:tblPrEx>
                          <w:tblW w:w="4536" w:type="dxa"/>
                          <w:jc w:val="right"/>
                          <w:tblInd w:w="0" w:type="dxa"/>
                          <w:tblLayout w:type="fixed"/>
                          <w:tblCellMar>
                            <w:top w:w="0" w:type="dxa"/>
                            <w:left w:w="0" w:type="dxa"/>
                            <w:bottom w:w="0" w:type="dxa"/>
                            <w:right w:w="0" w:type="dxa"/>
                          </w:tblCellMar>
                          <w:tblLook w:val="01E0"/>
                        </w:tblPrEx>
                        <w:trPr>
                          <w:jc w:val="right"/>
                        </w:trPr>
                        <w:tc>
                          <w:tcPr>
                            <w:tcW w:w="4536" w:type="dxa"/>
                            <w:noWrap w:val="0"/>
                            <w:tcMar>
                              <w:top w:w="0" w:type="dxa"/>
                              <w:left w:w="0" w:type="dxa"/>
                              <w:bottom w:w="0" w:type="dxa"/>
                              <w:right w:w="0" w:type="dxa"/>
                            </w:tcMar>
                            <w:vAlign w:val="top"/>
                          </w:tcPr>
                          <w:p>
                            <w:pPr>
                              <w:bidi w:val="0"/>
                              <w:spacing w:before="0" w:after="0"/>
                              <w:jc w:val="right"/>
                            </w:pPr>
                            <w:r>
                              <w:rPr>
                                <w:rFonts w:ascii="Times New Roman" w:eastAsia="Times New Roman" w:hAnsi="Times New Roman" w:cs="Times New Roman"/>
                                <w:color w:val="000000"/>
                                <w:spacing w:val="0"/>
                                <w:sz w:val="16"/>
                                <w:szCs w:val="16"/>
                              </w:rPr>
                              <w:t>JAMES KARSON VALERIO</w:t>
                            </w:r>
                          </w:p>
                          <w:p>
                            <w:pPr>
                              <w:bidi w:val="0"/>
                              <w:spacing w:before="0" w:after="0"/>
                              <w:jc w:val="right"/>
                            </w:pPr>
                            <w:r>
                              <w:rPr>
                                <w:rFonts w:ascii="Times New Roman" w:eastAsia="Times New Roman" w:hAnsi="Times New Roman" w:cs="Times New Roman"/>
                                <w:color w:val="000000"/>
                                <w:spacing w:val="0"/>
                                <w:sz w:val="16"/>
                                <w:szCs w:val="16"/>
                              </w:rPr>
                              <w:t>Prefeito Municipal</w:t>
                            </w:r>
                          </w:p>
                        </w:tc>
                      </w:tr>
                    </w:tbl>
                    <w:p>
                      <w:pPr>
                        <w:spacing w:line="1" w:lineRule="auto"/>
                      </w:pPr>
                    </w:p>
                  </w:tc>
                </w:tr>
              </w:tbl>
              <w:p>
                <w:pPr>
                  <w:spacing w:line="1" w:lineRule="auto"/>
                </w:pPr>
              </w:p>
            </w:tc>
          </w:tr>
        </w:tbl>
        <w:p>
          <w:pPr>
            <w:spacing w:line="1" w:lineRule="auto"/>
          </w:pPr>
        </w:p>
      </w:tc>
    </w:tr>
  </w:tbl>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936"/>
      </w:trPr>
      <w:tc>
        <w:tcPr>
          <w:tcW w:w="9287" w:type="dxa"/>
        </w:tcPr>
        <w:p/>
        <w:tbl>
          <w:tblPr>
            <w:tblStyle w:val="TableNormal"/>
            <w:tblOverlap w:val="never"/>
            <w:tblW w:w="9032" w:type="dxa"/>
            <w:tblInd w:w="20" w:type="dxa"/>
            <w:tblLayout w:type="fixed"/>
            <w:tblLook w:val="01E0"/>
          </w:tblPr>
          <w:tblGrid>
            <w:gridCol w:w="4516"/>
            <w:gridCol w:w="4516"/>
          </w:tblGrid>
          <w:tr>
            <w:tblPrEx>
              <w:tblW w:w="9032" w:type="dxa"/>
              <w:tblInd w:w="20" w:type="dxa"/>
              <w:tblLayout w:type="fixed"/>
              <w:tblLook w:val="01E0"/>
            </w:tblPrEx>
            <w:trPr>
              <w:trHeight w:hRule="exact" w:val="170"/>
            </w:trPr>
            <w:tc>
              <w:tcPr>
                <w:tcW w:w="4536" w:type="dxa"/>
                <w:noWrap w:val="0"/>
                <w:tcMar>
                  <w:top w:w="0" w:type="dxa"/>
                  <w:left w:w="0" w:type="dxa"/>
                  <w:bottom w:w="0" w:type="dxa"/>
                  <w:right w:w="0" w:type="dxa"/>
                </w:tcMar>
                <w:vAlign w:val="top"/>
              </w:tcPr>
              <w:p>
                <w:pPr>
                  <w:spacing w:line="1" w:lineRule="auto"/>
                </w:pPr>
              </w:p>
            </w:tc>
            <w:tc>
              <w:tcPr>
                <w:tcW w:w="4536" w:type="dxa"/>
                <w:noWrap w:val="0"/>
                <w:tcMar>
                  <w:top w:w="0" w:type="dxa"/>
                  <w:left w:w="0" w:type="dxa"/>
                  <w:bottom w:w="0" w:type="dxa"/>
                  <w:right w:w="0" w:type="dxa"/>
                </w:tcMar>
                <w:vAlign w:val="top"/>
              </w:tcPr>
              <w:p>
                <w:pPr>
                  <w:spacing w:line="1" w:lineRule="auto"/>
                </w:pPr>
              </w:p>
            </w:tc>
          </w:tr>
          <w:tr>
            <w:tblPrEx>
              <w:tblW w:w="9032" w:type="dxa"/>
              <w:tblInd w:w="20" w:type="dxa"/>
              <w:tblLayout w:type="fixed"/>
              <w:tblLook w:val="01E0"/>
            </w:tblPrEx>
            <w:tc>
              <w:tcPr>
                <w:tcW w:w="4536" w:type="dxa"/>
                <w:noWrap w:val="0"/>
                <w:tcMar>
                  <w:top w:w="0" w:type="dxa"/>
                  <w:left w:w="0" w:type="dxa"/>
                  <w:bottom w:w="0" w:type="dxa"/>
                  <w:right w:w="0" w:type="dxa"/>
                </w:tcMar>
                <w:vAlign w:val="top"/>
              </w:tcPr>
              <w:tbl>
                <w:tblPr>
                  <w:tblStyle w:val="TableNormal"/>
                  <w:tblOverlap w:val="never"/>
                  <w:tblW w:w="4496" w:type="dxa"/>
                  <w:tblInd w:w="20" w:type="dxa"/>
                  <w:tblLayout w:type="fixed"/>
                  <w:tblLook w:val="01E0"/>
                </w:tblPr>
                <w:tblGrid>
                  <w:gridCol w:w="4496"/>
                </w:tblGrid>
                <w:tr>
                  <w:tblPrEx>
                    <w:tblW w:w="4496" w:type="dxa"/>
                    <w:tblInd w:w="20" w:type="dxa"/>
                    <w:tblLayout w:type="fixed"/>
                    <w:tblLook w:val="01E0"/>
                  </w:tblPrEx>
                  <w:tc>
                    <w:tcPr>
                      <w:tcW w:w="4536" w:type="dxa"/>
                      <w:noWrap w:val="0"/>
                      <w:tcMar>
                        <w:top w:w="10" w:type="dxa"/>
                        <w:left w:w="10" w:type="dxa"/>
                        <w:bottom w:w="10" w:type="dxa"/>
                        <w:right w:w="10" w:type="dxa"/>
                      </w:tcMar>
                      <w:vAlign w:val="top"/>
                    </w:tcPr>
                    <w:tbl>
                      <w:tblPr>
                        <w:tblStyle w:val="TableNormal"/>
                        <w:tblOverlap w:val="never"/>
                        <w:tblW w:w="4516" w:type="dxa"/>
                        <w:tblInd w:w="0" w:type="dxa"/>
                        <w:tblLayout w:type="fixed"/>
                        <w:tblCellMar>
                          <w:top w:w="0" w:type="dxa"/>
                          <w:left w:w="0" w:type="dxa"/>
                          <w:bottom w:w="0" w:type="dxa"/>
                          <w:right w:w="0" w:type="dxa"/>
                        </w:tblCellMar>
                        <w:tblLook w:val="01E0"/>
                      </w:tblPr>
                      <w:tblGrid>
                        <w:gridCol w:w="4516"/>
                      </w:tblGrid>
                      <w:tr>
                        <w:tblPrEx>
                          <w:tblW w:w="4516" w:type="dxa"/>
                          <w:tblInd w:w="0" w:type="dxa"/>
                          <w:tblLayout w:type="fixed"/>
                          <w:tblCellMar>
                            <w:top w:w="0" w:type="dxa"/>
                            <w:left w:w="0" w:type="dxa"/>
                            <w:bottom w:w="0" w:type="dxa"/>
                            <w:right w:w="0" w:type="dxa"/>
                          </w:tblCellMar>
                          <w:tblLook w:val="01E0"/>
                        </w:tblPrEx>
                        <w:tc>
                          <w:tcPr>
                            <w:tcW w:w="4516" w:type="dxa"/>
                            <w:noWrap w:val="0"/>
                            <w:tcMar>
                              <w:top w:w="0" w:type="dxa"/>
                              <w:left w:w="0" w:type="dxa"/>
                              <w:bottom w:w="0" w:type="dxa"/>
                              <w:right w:w="0" w:type="dxa"/>
                            </w:tcMar>
                            <w:vAlign w:val="top"/>
                          </w:tcPr>
                          <w:p>
                            <w:pPr>
                              <w:bidi w:val="0"/>
                              <w:spacing w:before="0" w:after="0"/>
                            </w:pPr>
                            <w:r>
                              <w:rPr>
                                <w:rFonts w:ascii="Times New Roman" w:eastAsia="Times New Roman" w:hAnsi="Times New Roman" w:cs="Times New Roman"/>
                                <w:color w:val="000000"/>
                                <w:spacing w:val="0"/>
                                <w:sz w:val="16"/>
                                <w:szCs w:val="16"/>
                              </w:rPr>
                              <w:t>NEY MANOEL SAMPAIO</w:t>
                            </w:r>
                          </w:p>
                          <w:p>
                            <w:pPr>
                              <w:bidi w:val="0"/>
                              <w:spacing w:before="0" w:after="0"/>
                            </w:pPr>
                            <w:r>
                              <w:rPr>
                                <w:rFonts w:ascii="Times New Roman" w:eastAsia="Times New Roman" w:hAnsi="Times New Roman" w:cs="Times New Roman"/>
                                <w:color w:val="000000"/>
                                <w:spacing w:val="0"/>
                                <w:sz w:val="16"/>
                                <w:szCs w:val="16"/>
                              </w:rPr>
                              <w:t>OAB/PR 63.298</w:t>
                            </w:r>
                          </w:p>
                        </w:tc>
                      </w:tr>
                    </w:tbl>
                    <w:p>
                      <w:pPr>
                        <w:spacing w:line="1" w:lineRule="auto"/>
                      </w:pPr>
                    </w:p>
                  </w:tc>
                </w:tr>
              </w:tbl>
              <w:p>
                <w:pPr>
                  <w:spacing w:line="1" w:lineRule="auto"/>
                </w:pPr>
              </w:p>
            </w:tc>
            <w:tc>
              <w:tcPr>
                <w:tcW w:w="4536" w:type="dxa"/>
                <w:noWrap w:val="0"/>
                <w:tcMar>
                  <w:top w:w="0" w:type="dxa"/>
                  <w:left w:w="0" w:type="dxa"/>
                  <w:bottom w:w="0" w:type="dxa"/>
                  <w:right w:w="0" w:type="dxa"/>
                </w:tcMar>
                <w:vAlign w:val="top"/>
              </w:tcPr>
              <w:p>
                <w:pPr>
                  <w:spacing w:line="1" w:lineRule="auto"/>
                </w:pPr>
              </w:p>
            </w:tc>
          </w:tr>
          <w:tr>
            <w:tblPrEx>
              <w:tblW w:w="9032" w:type="dxa"/>
              <w:tblInd w:w="20" w:type="dxa"/>
              <w:tblLayout w:type="fixed"/>
              <w:tblLook w:val="01E0"/>
            </w:tblPrEx>
            <w:tc>
              <w:tcPr>
                <w:tcW w:w="4536" w:type="dxa"/>
                <w:noWrap w:val="0"/>
                <w:tcMar>
                  <w:top w:w="0" w:type="dxa"/>
                  <w:left w:w="0" w:type="dxa"/>
                  <w:bottom w:w="0" w:type="dxa"/>
                  <w:right w:w="0" w:type="dxa"/>
                </w:tcMar>
                <w:vAlign w:val="top"/>
              </w:tcPr>
              <w:p>
                <w:pPr>
                  <w:spacing w:line="1" w:lineRule="auto"/>
                </w:pPr>
              </w:p>
            </w:tc>
            <w:tc>
              <w:tcPr>
                <w:tcW w:w="4536" w:type="dxa"/>
                <w:noWrap w:val="0"/>
                <w:tcMar>
                  <w:top w:w="0" w:type="dxa"/>
                  <w:left w:w="0" w:type="dxa"/>
                  <w:bottom w:w="0" w:type="dxa"/>
                  <w:right w:w="0" w:type="dxa"/>
                </w:tcMar>
                <w:vAlign w:val="top"/>
              </w:tcPr>
              <w:p/>
              <w:tbl>
                <w:tblPr>
                  <w:tblStyle w:val="TableNormal"/>
                  <w:tblOverlap w:val="never"/>
                  <w:tblW w:w="4496" w:type="dxa"/>
                  <w:tblInd w:w="20" w:type="dxa"/>
                  <w:tblLayout w:type="fixed"/>
                  <w:tblLook w:val="01E0"/>
                </w:tblPr>
                <w:tblGrid>
                  <w:gridCol w:w="4496"/>
                </w:tblGrid>
                <w:tr>
                  <w:tblPrEx>
                    <w:tblW w:w="4496" w:type="dxa"/>
                    <w:tblInd w:w="20" w:type="dxa"/>
                    <w:tblLayout w:type="fixed"/>
                    <w:tblLook w:val="01E0"/>
                  </w:tblPrEx>
                  <w:tc>
                    <w:tcPr>
                      <w:tcW w:w="4536" w:type="dxa"/>
                      <w:noWrap w:val="0"/>
                      <w:tcMar>
                        <w:top w:w="0" w:type="dxa"/>
                        <w:left w:w="0" w:type="dxa"/>
                        <w:bottom w:w="0" w:type="dxa"/>
                        <w:right w:w="0" w:type="dxa"/>
                      </w:tcMar>
                      <w:vAlign w:val="top"/>
                    </w:tcPr>
                    <w:tbl>
                      <w:tblPr>
                        <w:tblStyle w:val="TableNormal"/>
                        <w:tblOverlap w:val="never"/>
                        <w:tblW w:w="4536" w:type="dxa"/>
                        <w:jc w:val="right"/>
                        <w:tblInd w:w="0" w:type="dxa"/>
                        <w:tblLayout w:type="fixed"/>
                        <w:tblCellMar>
                          <w:top w:w="0" w:type="dxa"/>
                          <w:left w:w="0" w:type="dxa"/>
                          <w:bottom w:w="0" w:type="dxa"/>
                          <w:right w:w="0" w:type="dxa"/>
                        </w:tblCellMar>
                        <w:tblLook w:val="01E0"/>
                      </w:tblPr>
                      <w:tblGrid>
                        <w:gridCol w:w="4536"/>
                      </w:tblGrid>
                      <w:tr>
                        <w:tblPrEx>
                          <w:tblW w:w="4536" w:type="dxa"/>
                          <w:jc w:val="right"/>
                          <w:tblInd w:w="0" w:type="dxa"/>
                          <w:tblLayout w:type="fixed"/>
                          <w:tblCellMar>
                            <w:top w:w="0" w:type="dxa"/>
                            <w:left w:w="0" w:type="dxa"/>
                            <w:bottom w:w="0" w:type="dxa"/>
                            <w:right w:w="0" w:type="dxa"/>
                          </w:tblCellMar>
                          <w:tblLook w:val="01E0"/>
                        </w:tblPrEx>
                        <w:trPr>
                          <w:jc w:val="right"/>
                        </w:trPr>
                        <w:tc>
                          <w:tcPr>
                            <w:tcW w:w="4536" w:type="dxa"/>
                            <w:noWrap w:val="0"/>
                            <w:tcMar>
                              <w:top w:w="0" w:type="dxa"/>
                              <w:left w:w="0" w:type="dxa"/>
                              <w:bottom w:w="0" w:type="dxa"/>
                              <w:right w:w="0" w:type="dxa"/>
                            </w:tcMar>
                            <w:vAlign w:val="top"/>
                          </w:tcPr>
                          <w:p>
                            <w:pPr>
                              <w:bidi w:val="0"/>
                              <w:spacing w:before="0" w:after="0"/>
                              <w:jc w:val="right"/>
                            </w:pPr>
                            <w:r>
                              <w:rPr>
                                <w:rFonts w:ascii="Times New Roman" w:eastAsia="Times New Roman" w:hAnsi="Times New Roman" w:cs="Times New Roman"/>
                                <w:color w:val="000000"/>
                                <w:spacing w:val="0"/>
                                <w:sz w:val="16"/>
                                <w:szCs w:val="16"/>
                              </w:rPr>
                              <w:t>JAMES KARSON VALERIO</w:t>
                            </w:r>
                          </w:p>
                          <w:p>
                            <w:pPr>
                              <w:bidi w:val="0"/>
                              <w:spacing w:before="0" w:after="0"/>
                              <w:jc w:val="right"/>
                            </w:pPr>
                            <w:r>
                              <w:rPr>
                                <w:rFonts w:ascii="Times New Roman" w:eastAsia="Times New Roman" w:hAnsi="Times New Roman" w:cs="Times New Roman"/>
                                <w:color w:val="000000"/>
                                <w:spacing w:val="0"/>
                                <w:sz w:val="16"/>
                                <w:szCs w:val="16"/>
                              </w:rPr>
                              <w:t>Prefeito Municipal</w:t>
                            </w:r>
                          </w:p>
                        </w:tc>
                      </w:tr>
                    </w:tbl>
                    <w:p>
                      <w:pPr>
                        <w:spacing w:line="1" w:lineRule="auto"/>
                      </w:pPr>
                    </w:p>
                  </w:tc>
                </w:tr>
              </w:tbl>
              <w:p>
                <w:pPr>
                  <w:spacing w:line="1" w:lineRule="auto"/>
                </w:pPr>
              </w:p>
            </w:tc>
          </w:tr>
        </w:tbl>
        <w:p>
          <w:pPr>
            <w:spacing w:line="1" w:lineRule="auto"/>
          </w:pPr>
        </w:p>
      </w:tc>
    </w:tr>
  </w:tbl>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936"/>
      </w:trPr>
      <w:tc>
        <w:tcPr>
          <w:tcW w:w="9287" w:type="dxa"/>
        </w:tcPr>
        <w:p/>
        <w:tbl>
          <w:tblPr>
            <w:tblStyle w:val="TableNormal"/>
            <w:tblOverlap w:val="never"/>
            <w:tblW w:w="9032" w:type="dxa"/>
            <w:tblInd w:w="20" w:type="dxa"/>
            <w:tblLayout w:type="fixed"/>
            <w:tblLook w:val="01E0"/>
          </w:tblPr>
          <w:tblGrid>
            <w:gridCol w:w="4516"/>
            <w:gridCol w:w="4516"/>
          </w:tblGrid>
          <w:tr>
            <w:tblPrEx>
              <w:tblW w:w="9032" w:type="dxa"/>
              <w:tblInd w:w="20" w:type="dxa"/>
              <w:tblLayout w:type="fixed"/>
              <w:tblLook w:val="01E0"/>
            </w:tblPrEx>
            <w:trPr>
              <w:trHeight w:hRule="exact" w:val="170"/>
            </w:trPr>
            <w:tc>
              <w:tcPr>
                <w:tcW w:w="4536" w:type="dxa"/>
                <w:noWrap w:val="0"/>
                <w:tcMar>
                  <w:top w:w="0" w:type="dxa"/>
                  <w:left w:w="0" w:type="dxa"/>
                  <w:bottom w:w="0" w:type="dxa"/>
                  <w:right w:w="0" w:type="dxa"/>
                </w:tcMar>
                <w:vAlign w:val="top"/>
              </w:tcPr>
              <w:p>
                <w:pPr>
                  <w:spacing w:line="1" w:lineRule="auto"/>
                </w:pPr>
              </w:p>
            </w:tc>
            <w:tc>
              <w:tcPr>
                <w:tcW w:w="4536" w:type="dxa"/>
                <w:noWrap w:val="0"/>
                <w:tcMar>
                  <w:top w:w="0" w:type="dxa"/>
                  <w:left w:w="0" w:type="dxa"/>
                  <w:bottom w:w="0" w:type="dxa"/>
                  <w:right w:w="0" w:type="dxa"/>
                </w:tcMar>
                <w:vAlign w:val="top"/>
              </w:tcPr>
              <w:p>
                <w:pPr>
                  <w:spacing w:line="1" w:lineRule="auto"/>
                </w:pPr>
              </w:p>
            </w:tc>
          </w:tr>
          <w:tr>
            <w:tblPrEx>
              <w:tblW w:w="9032" w:type="dxa"/>
              <w:tblInd w:w="20" w:type="dxa"/>
              <w:tblLayout w:type="fixed"/>
              <w:tblLook w:val="01E0"/>
            </w:tblPrEx>
            <w:tc>
              <w:tcPr>
                <w:tcW w:w="4536" w:type="dxa"/>
                <w:noWrap w:val="0"/>
                <w:tcMar>
                  <w:top w:w="0" w:type="dxa"/>
                  <w:left w:w="0" w:type="dxa"/>
                  <w:bottom w:w="0" w:type="dxa"/>
                  <w:right w:w="0" w:type="dxa"/>
                </w:tcMar>
                <w:vAlign w:val="top"/>
              </w:tcPr>
              <w:tbl>
                <w:tblPr>
                  <w:tblStyle w:val="TableNormal"/>
                  <w:tblOverlap w:val="never"/>
                  <w:tblW w:w="4496" w:type="dxa"/>
                  <w:tblInd w:w="20" w:type="dxa"/>
                  <w:tblLayout w:type="fixed"/>
                  <w:tblLook w:val="01E0"/>
                </w:tblPr>
                <w:tblGrid>
                  <w:gridCol w:w="4496"/>
                </w:tblGrid>
                <w:tr>
                  <w:tblPrEx>
                    <w:tblW w:w="4496" w:type="dxa"/>
                    <w:tblInd w:w="20" w:type="dxa"/>
                    <w:tblLayout w:type="fixed"/>
                    <w:tblLook w:val="01E0"/>
                  </w:tblPrEx>
                  <w:tc>
                    <w:tcPr>
                      <w:tcW w:w="4536" w:type="dxa"/>
                      <w:noWrap w:val="0"/>
                      <w:tcMar>
                        <w:top w:w="10" w:type="dxa"/>
                        <w:left w:w="10" w:type="dxa"/>
                        <w:bottom w:w="10" w:type="dxa"/>
                        <w:right w:w="10" w:type="dxa"/>
                      </w:tcMar>
                      <w:vAlign w:val="top"/>
                    </w:tcPr>
                    <w:tbl>
                      <w:tblPr>
                        <w:tblStyle w:val="TableNormal"/>
                        <w:tblOverlap w:val="never"/>
                        <w:tblW w:w="4516" w:type="dxa"/>
                        <w:tblInd w:w="0" w:type="dxa"/>
                        <w:tblLayout w:type="fixed"/>
                        <w:tblCellMar>
                          <w:top w:w="0" w:type="dxa"/>
                          <w:left w:w="0" w:type="dxa"/>
                          <w:bottom w:w="0" w:type="dxa"/>
                          <w:right w:w="0" w:type="dxa"/>
                        </w:tblCellMar>
                        <w:tblLook w:val="01E0"/>
                      </w:tblPr>
                      <w:tblGrid>
                        <w:gridCol w:w="4516"/>
                      </w:tblGrid>
                      <w:tr>
                        <w:tblPrEx>
                          <w:tblW w:w="4516" w:type="dxa"/>
                          <w:tblInd w:w="0" w:type="dxa"/>
                          <w:tblLayout w:type="fixed"/>
                          <w:tblCellMar>
                            <w:top w:w="0" w:type="dxa"/>
                            <w:left w:w="0" w:type="dxa"/>
                            <w:bottom w:w="0" w:type="dxa"/>
                            <w:right w:w="0" w:type="dxa"/>
                          </w:tblCellMar>
                          <w:tblLook w:val="01E0"/>
                        </w:tblPrEx>
                        <w:tc>
                          <w:tcPr>
                            <w:tcW w:w="4516" w:type="dxa"/>
                            <w:noWrap w:val="0"/>
                            <w:tcMar>
                              <w:top w:w="0" w:type="dxa"/>
                              <w:left w:w="0" w:type="dxa"/>
                              <w:bottom w:w="0" w:type="dxa"/>
                              <w:right w:w="0" w:type="dxa"/>
                            </w:tcMar>
                            <w:vAlign w:val="top"/>
                          </w:tcPr>
                          <w:p>
                            <w:pPr>
                              <w:bidi w:val="0"/>
                              <w:spacing w:before="0" w:after="0"/>
                            </w:pPr>
                            <w:r>
                              <w:rPr>
                                <w:rFonts w:ascii="Times New Roman" w:eastAsia="Times New Roman" w:hAnsi="Times New Roman" w:cs="Times New Roman"/>
                                <w:color w:val="000000"/>
                                <w:spacing w:val="0"/>
                                <w:sz w:val="16"/>
                                <w:szCs w:val="16"/>
                              </w:rPr>
                              <w:t>NEY MANOEL SAMPAIO</w:t>
                            </w:r>
                          </w:p>
                          <w:p>
                            <w:pPr>
                              <w:bidi w:val="0"/>
                              <w:spacing w:before="0" w:after="0"/>
                            </w:pPr>
                            <w:r>
                              <w:rPr>
                                <w:rFonts w:ascii="Times New Roman" w:eastAsia="Times New Roman" w:hAnsi="Times New Roman" w:cs="Times New Roman"/>
                                <w:color w:val="000000"/>
                                <w:spacing w:val="0"/>
                                <w:sz w:val="16"/>
                                <w:szCs w:val="16"/>
                              </w:rPr>
                              <w:t>OAB/PR 63.298</w:t>
                            </w:r>
                          </w:p>
                        </w:tc>
                      </w:tr>
                    </w:tbl>
                    <w:p>
                      <w:pPr>
                        <w:spacing w:line="1" w:lineRule="auto"/>
                      </w:pPr>
                    </w:p>
                  </w:tc>
                </w:tr>
              </w:tbl>
              <w:p>
                <w:pPr>
                  <w:spacing w:line="1" w:lineRule="auto"/>
                </w:pPr>
              </w:p>
            </w:tc>
            <w:tc>
              <w:tcPr>
                <w:tcW w:w="4536" w:type="dxa"/>
                <w:noWrap w:val="0"/>
                <w:tcMar>
                  <w:top w:w="0" w:type="dxa"/>
                  <w:left w:w="0" w:type="dxa"/>
                  <w:bottom w:w="0" w:type="dxa"/>
                  <w:right w:w="0" w:type="dxa"/>
                </w:tcMar>
                <w:vAlign w:val="top"/>
              </w:tcPr>
              <w:p>
                <w:pPr>
                  <w:spacing w:line="1" w:lineRule="auto"/>
                </w:pPr>
              </w:p>
            </w:tc>
          </w:tr>
          <w:tr>
            <w:tblPrEx>
              <w:tblW w:w="9032" w:type="dxa"/>
              <w:tblInd w:w="20" w:type="dxa"/>
              <w:tblLayout w:type="fixed"/>
              <w:tblLook w:val="01E0"/>
            </w:tblPrEx>
            <w:tc>
              <w:tcPr>
                <w:tcW w:w="4536" w:type="dxa"/>
                <w:noWrap w:val="0"/>
                <w:tcMar>
                  <w:top w:w="0" w:type="dxa"/>
                  <w:left w:w="0" w:type="dxa"/>
                  <w:bottom w:w="0" w:type="dxa"/>
                  <w:right w:w="0" w:type="dxa"/>
                </w:tcMar>
                <w:vAlign w:val="top"/>
              </w:tcPr>
              <w:p>
                <w:pPr>
                  <w:spacing w:line="1" w:lineRule="auto"/>
                </w:pPr>
              </w:p>
            </w:tc>
            <w:tc>
              <w:tcPr>
                <w:tcW w:w="4536" w:type="dxa"/>
                <w:noWrap w:val="0"/>
                <w:tcMar>
                  <w:top w:w="0" w:type="dxa"/>
                  <w:left w:w="0" w:type="dxa"/>
                  <w:bottom w:w="0" w:type="dxa"/>
                  <w:right w:w="0" w:type="dxa"/>
                </w:tcMar>
                <w:vAlign w:val="top"/>
              </w:tcPr>
              <w:p/>
              <w:tbl>
                <w:tblPr>
                  <w:tblStyle w:val="TableNormal"/>
                  <w:tblOverlap w:val="never"/>
                  <w:tblW w:w="4496" w:type="dxa"/>
                  <w:tblInd w:w="20" w:type="dxa"/>
                  <w:tblLayout w:type="fixed"/>
                  <w:tblLook w:val="01E0"/>
                </w:tblPr>
                <w:tblGrid>
                  <w:gridCol w:w="4496"/>
                </w:tblGrid>
                <w:tr>
                  <w:tblPrEx>
                    <w:tblW w:w="4496" w:type="dxa"/>
                    <w:tblInd w:w="20" w:type="dxa"/>
                    <w:tblLayout w:type="fixed"/>
                    <w:tblLook w:val="01E0"/>
                  </w:tblPrEx>
                  <w:tc>
                    <w:tcPr>
                      <w:tcW w:w="4536" w:type="dxa"/>
                      <w:noWrap w:val="0"/>
                      <w:tcMar>
                        <w:top w:w="0" w:type="dxa"/>
                        <w:left w:w="0" w:type="dxa"/>
                        <w:bottom w:w="0" w:type="dxa"/>
                        <w:right w:w="0" w:type="dxa"/>
                      </w:tcMar>
                      <w:vAlign w:val="top"/>
                    </w:tcPr>
                    <w:tbl>
                      <w:tblPr>
                        <w:tblStyle w:val="TableNormal"/>
                        <w:tblOverlap w:val="never"/>
                        <w:tblW w:w="4536" w:type="dxa"/>
                        <w:jc w:val="right"/>
                        <w:tblInd w:w="0" w:type="dxa"/>
                        <w:tblLayout w:type="fixed"/>
                        <w:tblCellMar>
                          <w:top w:w="0" w:type="dxa"/>
                          <w:left w:w="0" w:type="dxa"/>
                          <w:bottom w:w="0" w:type="dxa"/>
                          <w:right w:w="0" w:type="dxa"/>
                        </w:tblCellMar>
                        <w:tblLook w:val="01E0"/>
                      </w:tblPr>
                      <w:tblGrid>
                        <w:gridCol w:w="4536"/>
                      </w:tblGrid>
                      <w:tr>
                        <w:tblPrEx>
                          <w:tblW w:w="4536" w:type="dxa"/>
                          <w:jc w:val="right"/>
                          <w:tblInd w:w="0" w:type="dxa"/>
                          <w:tblLayout w:type="fixed"/>
                          <w:tblCellMar>
                            <w:top w:w="0" w:type="dxa"/>
                            <w:left w:w="0" w:type="dxa"/>
                            <w:bottom w:w="0" w:type="dxa"/>
                            <w:right w:w="0" w:type="dxa"/>
                          </w:tblCellMar>
                          <w:tblLook w:val="01E0"/>
                        </w:tblPrEx>
                        <w:trPr>
                          <w:jc w:val="right"/>
                        </w:trPr>
                        <w:tc>
                          <w:tcPr>
                            <w:tcW w:w="4536" w:type="dxa"/>
                            <w:noWrap w:val="0"/>
                            <w:tcMar>
                              <w:top w:w="0" w:type="dxa"/>
                              <w:left w:w="0" w:type="dxa"/>
                              <w:bottom w:w="0" w:type="dxa"/>
                              <w:right w:w="0" w:type="dxa"/>
                            </w:tcMar>
                            <w:vAlign w:val="top"/>
                          </w:tcPr>
                          <w:p>
                            <w:pPr>
                              <w:bidi w:val="0"/>
                              <w:spacing w:before="0" w:after="0"/>
                              <w:jc w:val="right"/>
                            </w:pPr>
                            <w:r>
                              <w:rPr>
                                <w:rFonts w:ascii="Times New Roman" w:eastAsia="Times New Roman" w:hAnsi="Times New Roman" w:cs="Times New Roman"/>
                                <w:color w:val="000000"/>
                                <w:spacing w:val="0"/>
                                <w:sz w:val="16"/>
                                <w:szCs w:val="16"/>
                              </w:rPr>
                              <w:t>JAMES KARSON VALERIO</w:t>
                            </w:r>
                          </w:p>
                          <w:p>
                            <w:pPr>
                              <w:bidi w:val="0"/>
                              <w:spacing w:before="0" w:after="0"/>
                              <w:jc w:val="right"/>
                            </w:pPr>
                            <w:r>
                              <w:rPr>
                                <w:rFonts w:ascii="Times New Roman" w:eastAsia="Times New Roman" w:hAnsi="Times New Roman" w:cs="Times New Roman"/>
                                <w:color w:val="000000"/>
                                <w:spacing w:val="0"/>
                                <w:sz w:val="16"/>
                                <w:szCs w:val="16"/>
                              </w:rPr>
                              <w:t>Prefeito Municipal</w:t>
                            </w:r>
                          </w:p>
                        </w:tc>
                      </w:tr>
                    </w:tbl>
                    <w:p>
                      <w:pPr>
                        <w:spacing w:line="1" w:lineRule="auto"/>
                      </w:pPr>
                    </w:p>
                  </w:tc>
                </w:tr>
              </w:tbl>
              <w:p>
                <w:pPr>
                  <w:spacing w:line="1" w:lineRule="auto"/>
                </w:pPr>
              </w:p>
            </w:tc>
          </w:tr>
        </w:tbl>
        <w:p>
          <w:pPr>
            <w:spacing w:line="1" w:lineRule="auto"/>
          </w:pPr>
        </w:p>
      </w:tc>
    </w:tr>
  </w:tbl>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936"/>
      </w:trPr>
      <w:tc>
        <w:tcPr>
          <w:tcW w:w="9287" w:type="dxa"/>
        </w:tcPr>
        <w:p/>
        <w:tbl>
          <w:tblPr>
            <w:tblStyle w:val="TableNormal"/>
            <w:tblOverlap w:val="never"/>
            <w:tblW w:w="9032" w:type="dxa"/>
            <w:tblInd w:w="20" w:type="dxa"/>
            <w:tblLayout w:type="fixed"/>
            <w:tblLook w:val="01E0"/>
          </w:tblPr>
          <w:tblGrid>
            <w:gridCol w:w="4516"/>
            <w:gridCol w:w="4516"/>
          </w:tblGrid>
          <w:tr>
            <w:tblPrEx>
              <w:tblW w:w="9032" w:type="dxa"/>
              <w:tblInd w:w="20" w:type="dxa"/>
              <w:tblLayout w:type="fixed"/>
              <w:tblLook w:val="01E0"/>
            </w:tblPrEx>
            <w:trPr>
              <w:trHeight w:hRule="exact" w:val="170"/>
            </w:trPr>
            <w:tc>
              <w:tcPr>
                <w:tcW w:w="4536" w:type="dxa"/>
                <w:noWrap w:val="0"/>
                <w:tcMar>
                  <w:top w:w="0" w:type="dxa"/>
                  <w:left w:w="0" w:type="dxa"/>
                  <w:bottom w:w="0" w:type="dxa"/>
                  <w:right w:w="0" w:type="dxa"/>
                </w:tcMar>
                <w:vAlign w:val="top"/>
              </w:tcPr>
              <w:p>
                <w:pPr>
                  <w:spacing w:line="1" w:lineRule="auto"/>
                </w:pPr>
              </w:p>
            </w:tc>
            <w:tc>
              <w:tcPr>
                <w:tcW w:w="4536" w:type="dxa"/>
                <w:noWrap w:val="0"/>
                <w:tcMar>
                  <w:top w:w="0" w:type="dxa"/>
                  <w:left w:w="0" w:type="dxa"/>
                  <w:bottom w:w="0" w:type="dxa"/>
                  <w:right w:w="0" w:type="dxa"/>
                </w:tcMar>
                <w:vAlign w:val="top"/>
              </w:tcPr>
              <w:p>
                <w:pPr>
                  <w:spacing w:line="1" w:lineRule="auto"/>
                </w:pPr>
              </w:p>
            </w:tc>
          </w:tr>
          <w:tr>
            <w:tblPrEx>
              <w:tblW w:w="9032" w:type="dxa"/>
              <w:tblInd w:w="20" w:type="dxa"/>
              <w:tblLayout w:type="fixed"/>
              <w:tblLook w:val="01E0"/>
            </w:tblPrEx>
            <w:tc>
              <w:tcPr>
                <w:tcW w:w="4536" w:type="dxa"/>
                <w:noWrap w:val="0"/>
                <w:tcMar>
                  <w:top w:w="0" w:type="dxa"/>
                  <w:left w:w="0" w:type="dxa"/>
                  <w:bottom w:w="0" w:type="dxa"/>
                  <w:right w:w="0" w:type="dxa"/>
                </w:tcMar>
                <w:vAlign w:val="top"/>
              </w:tcPr>
              <w:tbl>
                <w:tblPr>
                  <w:tblStyle w:val="TableNormal"/>
                  <w:tblOverlap w:val="never"/>
                  <w:tblW w:w="4496" w:type="dxa"/>
                  <w:tblInd w:w="20" w:type="dxa"/>
                  <w:tblLayout w:type="fixed"/>
                  <w:tblLook w:val="01E0"/>
                </w:tblPr>
                <w:tblGrid>
                  <w:gridCol w:w="4496"/>
                </w:tblGrid>
                <w:tr>
                  <w:tblPrEx>
                    <w:tblW w:w="4496" w:type="dxa"/>
                    <w:tblInd w:w="20" w:type="dxa"/>
                    <w:tblLayout w:type="fixed"/>
                    <w:tblLook w:val="01E0"/>
                  </w:tblPrEx>
                  <w:tc>
                    <w:tcPr>
                      <w:tcW w:w="4536" w:type="dxa"/>
                      <w:noWrap w:val="0"/>
                      <w:tcMar>
                        <w:top w:w="10" w:type="dxa"/>
                        <w:left w:w="10" w:type="dxa"/>
                        <w:bottom w:w="10" w:type="dxa"/>
                        <w:right w:w="10" w:type="dxa"/>
                      </w:tcMar>
                      <w:vAlign w:val="top"/>
                    </w:tcPr>
                    <w:tbl>
                      <w:tblPr>
                        <w:tblStyle w:val="TableNormal"/>
                        <w:tblOverlap w:val="never"/>
                        <w:tblW w:w="4516" w:type="dxa"/>
                        <w:tblInd w:w="0" w:type="dxa"/>
                        <w:tblLayout w:type="fixed"/>
                        <w:tblCellMar>
                          <w:top w:w="0" w:type="dxa"/>
                          <w:left w:w="0" w:type="dxa"/>
                          <w:bottom w:w="0" w:type="dxa"/>
                          <w:right w:w="0" w:type="dxa"/>
                        </w:tblCellMar>
                        <w:tblLook w:val="01E0"/>
                      </w:tblPr>
                      <w:tblGrid>
                        <w:gridCol w:w="4516"/>
                      </w:tblGrid>
                      <w:tr>
                        <w:tblPrEx>
                          <w:tblW w:w="4516" w:type="dxa"/>
                          <w:tblInd w:w="0" w:type="dxa"/>
                          <w:tblLayout w:type="fixed"/>
                          <w:tblCellMar>
                            <w:top w:w="0" w:type="dxa"/>
                            <w:left w:w="0" w:type="dxa"/>
                            <w:bottom w:w="0" w:type="dxa"/>
                            <w:right w:w="0" w:type="dxa"/>
                          </w:tblCellMar>
                          <w:tblLook w:val="01E0"/>
                        </w:tblPrEx>
                        <w:tc>
                          <w:tcPr>
                            <w:tcW w:w="4516" w:type="dxa"/>
                            <w:noWrap w:val="0"/>
                            <w:tcMar>
                              <w:top w:w="0" w:type="dxa"/>
                              <w:left w:w="0" w:type="dxa"/>
                              <w:bottom w:w="0" w:type="dxa"/>
                              <w:right w:w="0" w:type="dxa"/>
                            </w:tcMar>
                            <w:vAlign w:val="top"/>
                          </w:tcPr>
                          <w:p>
                            <w:pPr>
                              <w:bidi w:val="0"/>
                              <w:spacing w:before="0" w:after="0"/>
                            </w:pPr>
                            <w:r>
                              <w:rPr>
                                <w:rFonts w:ascii="Times New Roman" w:eastAsia="Times New Roman" w:hAnsi="Times New Roman" w:cs="Times New Roman"/>
                                <w:color w:val="000000"/>
                                <w:spacing w:val="0"/>
                                <w:sz w:val="16"/>
                                <w:szCs w:val="16"/>
                              </w:rPr>
                              <w:t>NEY MANOEL SAMPAIO</w:t>
                            </w:r>
                          </w:p>
                          <w:p>
                            <w:pPr>
                              <w:bidi w:val="0"/>
                              <w:spacing w:before="0" w:after="0"/>
                            </w:pPr>
                            <w:r>
                              <w:rPr>
                                <w:rFonts w:ascii="Times New Roman" w:eastAsia="Times New Roman" w:hAnsi="Times New Roman" w:cs="Times New Roman"/>
                                <w:color w:val="000000"/>
                                <w:spacing w:val="0"/>
                                <w:sz w:val="16"/>
                                <w:szCs w:val="16"/>
                              </w:rPr>
                              <w:t>OAB/PR 63.298</w:t>
                            </w:r>
                          </w:p>
                        </w:tc>
                      </w:tr>
                    </w:tbl>
                    <w:p>
                      <w:pPr>
                        <w:spacing w:line="1" w:lineRule="auto"/>
                      </w:pPr>
                    </w:p>
                  </w:tc>
                </w:tr>
              </w:tbl>
              <w:p>
                <w:pPr>
                  <w:spacing w:line="1" w:lineRule="auto"/>
                </w:pPr>
              </w:p>
            </w:tc>
            <w:tc>
              <w:tcPr>
                <w:tcW w:w="4536" w:type="dxa"/>
                <w:noWrap w:val="0"/>
                <w:tcMar>
                  <w:top w:w="0" w:type="dxa"/>
                  <w:left w:w="0" w:type="dxa"/>
                  <w:bottom w:w="0" w:type="dxa"/>
                  <w:right w:w="0" w:type="dxa"/>
                </w:tcMar>
                <w:vAlign w:val="top"/>
              </w:tcPr>
              <w:p>
                <w:pPr>
                  <w:spacing w:line="1" w:lineRule="auto"/>
                </w:pPr>
              </w:p>
            </w:tc>
          </w:tr>
          <w:tr>
            <w:tblPrEx>
              <w:tblW w:w="9032" w:type="dxa"/>
              <w:tblInd w:w="20" w:type="dxa"/>
              <w:tblLayout w:type="fixed"/>
              <w:tblLook w:val="01E0"/>
            </w:tblPrEx>
            <w:tc>
              <w:tcPr>
                <w:tcW w:w="4536" w:type="dxa"/>
                <w:noWrap w:val="0"/>
                <w:tcMar>
                  <w:top w:w="0" w:type="dxa"/>
                  <w:left w:w="0" w:type="dxa"/>
                  <w:bottom w:w="0" w:type="dxa"/>
                  <w:right w:w="0" w:type="dxa"/>
                </w:tcMar>
                <w:vAlign w:val="top"/>
              </w:tcPr>
              <w:p>
                <w:pPr>
                  <w:spacing w:line="1" w:lineRule="auto"/>
                </w:pPr>
              </w:p>
            </w:tc>
            <w:tc>
              <w:tcPr>
                <w:tcW w:w="4536" w:type="dxa"/>
                <w:noWrap w:val="0"/>
                <w:tcMar>
                  <w:top w:w="0" w:type="dxa"/>
                  <w:left w:w="0" w:type="dxa"/>
                  <w:bottom w:w="0" w:type="dxa"/>
                  <w:right w:w="0" w:type="dxa"/>
                </w:tcMar>
                <w:vAlign w:val="top"/>
              </w:tcPr>
              <w:p/>
              <w:tbl>
                <w:tblPr>
                  <w:tblStyle w:val="TableNormal"/>
                  <w:tblOverlap w:val="never"/>
                  <w:tblW w:w="4496" w:type="dxa"/>
                  <w:tblInd w:w="20" w:type="dxa"/>
                  <w:tblLayout w:type="fixed"/>
                  <w:tblLook w:val="01E0"/>
                </w:tblPr>
                <w:tblGrid>
                  <w:gridCol w:w="4496"/>
                </w:tblGrid>
                <w:tr>
                  <w:tblPrEx>
                    <w:tblW w:w="4496" w:type="dxa"/>
                    <w:tblInd w:w="20" w:type="dxa"/>
                    <w:tblLayout w:type="fixed"/>
                    <w:tblLook w:val="01E0"/>
                  </w:tblPrEx>
                  <w:tc>
                    <w:tcPr>
                      <w:tcW w:w="4536" w:type="dxa"/>
                      <w:noWrap w:val="0"/>
                      <w:tcMar>
                        <w:top w:w="0" w:type="dxa"/>
                        <w:left w:w="0" w:type="dxa"/>
                        <w:bottom w:w="0" w:type="dxa"/>
                        <w:right w:w="0" w:type="dxa"/>
                      </w:tcMar>
                      <w:vAlign w:val="top"/>
                    </w:tcPr>
                    <w:tbl>
                      <w:tblPr>
                        <w:tblStyle w:val="TableNormal"/>
                        <w:tblOverlap w:val="never"/>
                        <w:tblW w:w="4536" w:type="dxa"/>
                        <w:jc w:val="right"/>
                        <w:tblInd w:w="0" w:type="dxa"/>
                        <w:tblLayout w:type="fixed"/>
                        <w:tblCellMar>
                          <w:top w:w="0" w:type="dxa"/>
                          <w:left w:w="0" w:type="dxa"/>
                          <w:bottom w:w="0" w:type="dxa"/>
                          <w:right w:w="0" w:type="dxa"/>
                        </w:tblCellMar>
                        <w:tblLook w:val="01E0"/>
                      </w:tblPr>
                      <w:tblGrid>
                        <w:gridCol w:w="4536"/>
                      </w:tblGrid>
                      <w:tr>
                        <w:tblPrEx>
                          <w:tblW w:w="4536" w:type="dxa"/>
                          <w:jc w:val="right"/>
                          <w:tblInd w:w="0" w:type="dxa"/>
                          <w:tblLayout w:type="fixed"/>
                          <w:tblCellMar>
                            <w:top w:w="0" w:type="dxa"/>
                            <w:left w:w="0" w:type="dxa"/>
                            <w:bottom w:w="0" w:type="dxa"/>
                            <w:right w:w="0" w:type="dxa"/>
                          </w:tblCellMar>
                          <w:tblLook w:val="01E0"/>
                        </w:tblPrEx>
                        <w:trPr>
                          <w:jc w:val="right"/>
                        </w:trPr>
                        <w:tc>
                          <w:tcPr>
                            <w:tcW w:w="4536" w:type="dxa"/>
                            <w:noWrap w:val="0"/>
                            <w:tcMar>
                              <w:top w:w="0" w:type="dxa"/>
                              <w:left w:w="0" w:type="dxa"/>
                              <w:bottom w:w="0" w:type="dxa"/>
                              <w:right w:w="0" w:type="dxa"/>
                            </w:tcMar>
                            <w:vAlign w:val="top"/>
                          </w:tcPr>
                          <w:p>
                            <w:pPr>
                              <w:bidi w:val="0"/>
                              <w:spacing w:before="0" w:after="0"/>
                              <w:jc w:val="right"/>
                            </w:pPr>
                            <w:r>
                              <w:rPr>
                                <w:rFonts w:ascii="Times New Roman" w:eastAsia="Times New Roman" w:hAnsi="Times New Roman" w:cs="Times New Roman"/>
                                <w:color w:val="000000"/>
                                <w:spacing w:val="0"/>
                                <w:sz w:val="16"/>
                                <w:szCs w:val="16"/>
                              </w:rPr>
                              <w:t>JAMES KARSON VALERIO</w:t>
                            </w:r>
                          </w:p>
                          <w:p>
                            <w:pPr>
                              <w:bidi w:val="0"/>
                              <w:spacing w:before="0" w:after="0"/>
                              <w:jc w:val="right"/>
                            </w:pPr>
                            <w:r>
                              <w:rPr>
                                <w:rFonts w:ascii="Times New Roman" w:eastAsia="Times New Roman" w:hAnsi="Times New Roman" w:cs="Times New Roman"/>
                                <w:color w:val="000000"/>
                                <w:spacing w:val="0"/>
                                <w:sz w:val="16"/>
                                <w:szCs w:val="16"/>
                              </w:rPr>
                              <w:t>Prefeito Municipal</w:t>
                            </w:r>
                          </w:p>
                        </w:tc>
                      </w:tr>
                    </w:tbl>
                    <w:p>
                      <w:pPr>
                        <w:spacing w:line="1" w:lineRule="auto"/>
                      </w:pPr>
                    </w:p>
                  </w:tc>
                </w:tr>
              </w:tbl>
              <w:p>
                <w:pPr>
                  <w:spacing w:line="1" w:lineRule="auto"/>
                </w:pPr>
              </w:p>
            </w:tc>
          </w:tr>
        </w:tbl>
        <w:p>
          <w:pPr>
            <w:spacing w:line="1" w:lineRule="auto"/>
          </w:pPr>
        </w:p>
      </w:tc>
    </w:tr>
  </w:tbl>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2015"/>
      </w:trPr>
      <w:tc>
        <w:tcPr>
          <w:tcW w:w="9287" w:type="dxa"/>
        </w:tcPr>
        <w:p/>
        <w:tbl>
          <w:tblPr>
            <w:tblStyle w:val="TableNormal"/>
            <w:tblOverlap w:val="never"/>
            <w:tblW w:w="9032" w:type="dxa"/>
            <w:tblInd w:w="20" w:type="dxa"/>
            <w:tblLayout w:type="fixed"/>
            <w:tblLook w:val="01E0"/>
          </w:tblPr>
          <w:tblGrid>
            <w:gridCol w:w="9032"/>
          </w:tblGrid>
          <w:tr>
            <w:tblPrEx>
              <w:tblW w:w="9032" w:type="dxa"/>
              <w:tblInd w:w="20" w:type="dxa"/>
              <w:tblLayout w:type="fixed"/>
              <w:tblLook w:val="01E0"/>
            </w:tblPrEx>
            <w:tc>
              <w:tcPr>
                <w:tcW w:w="9072"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49" type="#_x0000_t75" style="width:437.95pt;height:92.35pt">
                      <v:imagedata r:id="rId1" o:title=""/>
                    </v:shape>
                  </w:pict>
                </w:r>
              </w:p>
            </w:tc>
          </w:tr>
        </w:tbl>
        <w:p>
          <w:pPr>
            <w:spacing w:line="1" w:lineRule="auto"/>
          </w:pPr>
        </w:p>
      </w:tc>
    </w:tr>
  </w:tbl>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2015"/>
      </w:trPr>
      <w:tc>
        <w:tcPr>
          <w:tcW w:w="9287" w:type="dxa"/>
        </w:tcPr>
        <w:p/>
        <w:tbl>
          <w:tblPr>
            <w:tblStyle w:val="TableNormal"/>
            <w:tblOverlap w:val="never"/>
            <w:tblW w:w="9032" w:type="dxa"/>
            <w:tblInd w:w="20" w:type="dxa"/>
            <w:tblLayout w:type="fixed"/>
            <w:tblLook w:val="01E0"/>
          </w:tblPr>
          <w:tblGrid>
            <w:gridCol w:w="9032"/>
          </w:tblGrid>
          <w:tr>
            <w:tblPrEx>
              <w:tblW w:w="9032" w:type="dxa"/>
              <w:tblInd w:w="20" w:type="dxa"/>
              <w:tblLayout w:type="fixed"/>
              <w:tblLook w:val="01E0"/>
            </w:tblPrEx>
            <w:tc>
              <w:tcPr>
                <w:tcW w:w="9072"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0" type="#_x0000_t75" style="width:437.95pt;height:92.35pt">
                      <v:imagedata r:id="rId1" o:title=""/>
                    </v:shape>
                  </w:pict>
                </w:r>
              </w:p>
            </w:tc>
          </w:tr>
        </w:tbl>
        <w:p>
          <w:pPr>
            <w:spacing w:line="1" w:lineRule="auto"/>
          </w:pPr>
        </w:p>
      </w:tc>
    </w:tr>
  </w:tbl>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2015"/>
      </w:trPr>
      <w:tc>
        <w:tcPr>
          <w:tcW w:w="9287" w:type="dxa"/>
        </w:tcPr>
        <w:p/>
        <w:tbl>
          <w:tblPr>
            <w:tblStyle w:val="TableNormal"/>
            <w:tblOverlap w:val="never"/>
            <w:tblW w:w="9032" w:type="dxa"/>
            <w:tblInd w:w="20" w:type="dxa"/>
            <w:tblLayout w:type="fixed"/>
            <w:tblLook w:val="01E0"/>
          </w:tblPr>
          <w:tblGrid>
            <w:gridCol w:w="9032"/>
          </w:tblGrid>
          <w:tr>
            <w:tblPrEx>
              <w:tblW w:w="9032" w:type="dxa"/>
              <w:tblInd w:w="20" w:type="dxa"/>
              <w:tblLayout w:type="fixed"/>
              <w:tblLook w:val="01E0"/>
            </w:tblPrEx>
            <w:tc>
              <w:tcPr>
                <w:tcW w:w="9072"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1" type="#_x0000_t75" style="width:437.95pt;height:92.35pt">
                      <v:imagedata r:id="rId1" o:title=""/>
                    </v:shape>
                  </w:pict>
                </w:r>
              </w:p>
            </w:tc>
          </w:tr>
        </w:tbl>
        <w:p>
          <w:pPr>
            <w:spacing w:line="1" w:lineRule="auto"/>
          </w:pPr>
        </w:p>
      </w:tc>
    </w:tr>
  </w:tbl>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2015"/>
      </w:trPr>
      <w:tc>
        <w:tcPr>
          <w:tcW w:w="9287" w:type="dxa"/>
        </w:tcPr>
        <w:p/>
        <w:tbl>
          <w:tblPr>
            <w:tblStyle w:val="TableNormal"/>
            <w:tblOverlap w:val="never"/>
            <w:tblW w:w="9032" w:type="dxa"/>
            <w:tblInd w:w="20" w:type="dxa"/>
            <w:tblLayout w:type="fixed"/>
            <w:tblLook w:val="01E0"/>
          </w:tblPr>
          <w:tblGrid>
            <w:gridCol w:w="9032"/>
          </w:tblGrid>
          <w:tr>
            <w:tblPrEx>
              <w:tblW w:w="9032" w:type="dxa"/>
              <w:tblInd w:w="20" w:type="dxa"/>
              <w:tblLayout w:type="fixed"/>
              <w:tblLook w:val="01E0"/>
            </w:tblPrEx>
            <w:tc>
              <w:tcPr>
                <w:tcW w:w="9072"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2" type="#_x0000_t75" style="width:437.95pt;height:92.35pt">
                      <v:imagedata r:id="rId1" o:title=""/>
                    </v:shape>
                  </w:pict>
                </w:r>
              </w:p>
            </w:tc>
          </w:tr>
        </w:tbl>
        <w:p>
          <w:pPr>
            <w:spacing w:line="1" w:lineRule="auto"/>
          </w:pPr>
        </w:p>
      </w:tc>
    </w:tr>
  </w:tbl>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2015"/>
      </w:trPr>
      <w:tc>
        <w:tcPr>
          <w:tcW w:w="9287" w:type="dxa"/>
        </w:tcPr>
        <w:p/>
        <w:tbl>
          <w:tblPr>
            <w:tblStyle w:val="TableNormal"/>
            <w:tblOverlap w:val="never"/>
            <w:tblW w:w="9032" w:type="dxa"/>
            <w:tblInd w:w="20" w:type="dxa"/>
            <w:tblLayout w:type="fixed"/>
            <w:tblLook w:val="01E0"/>
          </w:tblPr>
          <w:tblGrid>
            <w:gridCol w:w="9032"/>
          </w:tblGrid>
          <w:tr>
            <w:tblPrEx>
              <w:tblW w:w="9032" w:type="dxa"/>
              <w:tblInd w:w="20" w:type="dxa"/>
              <w:tblLayout w:type="fixed"/>
              <w:tblLook w:val="01E0"/>
            </w:tblPrEx>
            <w:tc>
              <w:tcPr>
                <w:tcW w:w="9072"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3" type="#_x0000_t75" style="width:437.95pt;height:92.35pt">
                      <v:imagedata r:id="rId1" o:title=""/>
                    </v:shape>
                  </w:pict>
                </w:r>
              </w:p>
            </w:tc>
          </w:tr>
        </w:tbl>
        <w:p>
          <w:pPr>
            <w:spacing w:line="1" w:lineRule="auto"/>
          </w:pPr>
        </w:p>
      </w:tc>
    </w:tr>
  </w:tbl>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87" w:type="dxa"/>
      <w:tblLayout w:type="fixed"/>
      <w:tblLook w:val="01E0"/>
    </w:tblPr>
    <w:tblGrid>
      <w:gridCol w:w="9287"/>
    </w:tblGrid>
    <w:tr>
      <w:tblPrEx>
        <w:tblW w:w="9287" w:type="dxa"/>
        <w:tblLayout w:type="fixed"/>
        <w:tblLook w:val="01E0"/>
      </w:tblPrEx>
      <w:trPr>
        <w:trHeight w:val="2015"/>
      </w:trPr>
      <w:tc>
        <w:tcPr>
          <w:tcW w:w="9287" w:type="dxa"/>
        </w:tcPr>
        <w:p/>
        <w:tbl>
          <w:tblPr>
            <w:tblStyle w:val="TableNormal"/>
            <w:tblOverlap w:val="never"/>
            <w:tblW w:w="9032" w:type="dxa"/>
            <w:tblInd w:w="20" w:type="dxa"/>
            <w:tblLayout w:type="fixed"/>
            <w:tblLook w:val="01E0"/>
          </w:tblPr>
          <w:tblGrid>
            <w:gridCol w:w="9032"/>
          </w:tblGrid>
          <w:tr>
            <w:tblPrEx>
              <w:tblW w:w="9032" w:type="dxa"/>
              <w:tblInd w:w="20" w:type="dxa"/>
              <w:tblLayout w:type="fixed"/>
              <w:tblLook w:val="01E0"/>
            </w:tblPrEx>
            <w:tc>
              <w:tcPr>
                <w:tcW w:w="9072"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4" type="#_x0000_t75" style="width:437.95pt;height:92.35pt">
                      <v:imagedata r:id="rId1" o:title=""/>
                    </v:shape>
                  </w:pict>
                </w:r>
              </w:p>
            </w:tc>
          </w:tr>
        </w:tbl>
        <w:p>
          <w:pPr>
            <w:spacing w:line="1" w:lineRule="auto"/>
          </w:pPr>
        </w:p>
      </w:tc>
    </w:tr>
  </w:tbl>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noPunctuationKerning/>
  <w:characterSpacingControl w:val="doNotCompress"/>
  <w:compat>
    <w:doNotBreakWrappedTables/>
    <w:doNotSnapToGridInCell/>
    <w:doNotWrapTextWithPunct/>
    <w:doNotUseEastAsianBreakRules/>
    <w:growAutofit/>
    <w:doNotUseIndentAsNumberingTabStop/>
    <w:autofitToFirstFixedWidthCell/>
    <w:splitPgBreakAndParaMark/>
    <w:doNotVertAlignCellWithSp/>
    <w:doNotVertAlignInTxbx/>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paragraph" w:styleId="TOC4">
    <w:name w:val="toc 4"/>
    <w:autoRedefine/>
    <w:semiHidden/>
    <w:rsid w:val="009B3C8F"/>
    <w:pPr>
      <w:bidi w:val="0"/>
    </w:pPr>
  </w:style>
  <w:style w:type="character" w:styleId="Hyperlink">
    <w:name w:val="Hyperlink"/>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yperlink" Target="http://www.ipardes.gov.br" TargetMode="External" /><Relationship Id="rId13" Type="http://schemas.openxmlformats.org/officeDocument/2006/relationships/header" Target="header4.xml" /><Relationship Id="rId14" Type="http://schemas.openxmlformats.org/officeDocument/2006/relationships/footer" Target="footer4.xml" /><Relationship Id="rId15" Type="http://schemas.openxmlformats.org/officeDocument/2006/relationships/header" Target="header5.xml" /><Relationship Id="rId16" Type="http://schemas.openxmlformats.org/officeDocument/2006/relationships/footer" Target="footer5.xml" /><Relationship Id="rId17" Type="http://schemas.openxmlformats.org/officeDocument/2006/relationships/header" Target="header6.xml" /><Relationship Id="rId18" Type="http://schemas.openxmlformats.org/officeDocument/2006/relationships/footer" Target="footer6.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yperlink" Target="www.comprasgovernamentais.gov.br" TargetMode="External" /><Relationship Id="rId5" Type="http://schemas.openxmlformats.org/officeDocument/2006/relationships/hyperlink" Target="https://certidoes-apf.apps.tcu.gov.br/" TargetMode="Externa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_rels/header4.xml.rels><?xml version="1.0" encoding="utf-8" standalone="yes"?><Relationships xmlns="http://schemas.openxmlformats.org/package/2006/relationships"><Relationship Id="rId1" Type="http://schemas.openxmlformats.org/officeDocument/2006/relationships/image" Target="media/image1.png" /></Relationships>
</file>

<file path=word/_rels/header5.xml.rels><?xml version="1.0" encoding="utf-8" standalone="yes"?><Relationships xmlns="http://schemas.openxmlformats.org/package/2006/relationships"><Relationship Id="rId1" Type="http://schemas.openxmlformats.org/officeDocument/2006/relationships/image" Target="media/image1.png" /></Relationships>
</file>

<file path=word/_rels/header6.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