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F9CEB1">
      <w:pPr>
        <w:pStyle w:val="5"/>
        <w:spacing w:before="0" w:beforeAutospacing="0" w:after="0" w:afterAutospacing="0" w:line="360" w:lineRule="auto"/>
        <w:jc w:val="center"/>
        <w:rPr>
          <w:rFonts w:ascii="Arial" w:hAnsi="Arial" w:cs="Arial"/>
          <w:b/>
          <w:sz w:val="22"/>
          <w:szCs w:val="22"/>
        </w:rPr>
      </w:pPr>
    </w:p>
    <w:p w14:paraId="64A7C5CB">
      <w:pPr>
        <w:pStyle w:val="37"/>
        <w:spacing w:line="360" w:lineRule="auto"/>
        <w:jc w:val="center"/>
        <w:rPr>
          <w:rFonts w:ascii="Arial" w:hAnsi="Arial"/>
          <w:b/>
          <w:bCs/>
          <w:color w:val="000000"/>
        </w:rPr>
      </w:pPr>
      <w:r>
        <w:rPr>
          <w:rFonts w:ascii="Arial" w:hAnsi="Arial"/>
          <w:b/>
          <w:bCs/>
          <w:color w:val="000000"/>
        </w:rPr>
        <w:t>TERMO DE REFERÊNCIA</w:t>
      </w:r>
      <w:bookmarkStart w:id="0" w:name="_GoBack"/>
      <w:bookmarkEnd w:id="0"/>
    </w:p>
    <w:p w14:paraId="135BD6D0">
      <w:pPr>
        <w:pStyle w:val="37"/>
        <w:spacing w:line="360" w:lineRule="auto"/>
        <w:jc w:val="both"/>
        <w:rPr>
          <w:rFonts w:ascii="Arial" w:hAnsi="Arial"/>
          <w:b/>
          <w:bCs/>
          <w:color w:val="000000"/>
        </w:rPr>
      </w:pPr>
    </w:p>
    <w:p w14:paraId="454CA9C7">
      <w:pPr>
        <w:pStyle w:val="37"/>
        <w:spacing w:line="360" w:lineRule="auto"/>
        <w:jc w:val="both"/>
        <w:rPr>
          <w:rFonts w:ascii="Arial" w:hAnsi="Arial"/>
          <w:b/>
          <w:bCs/>
          <w:color w:val="000000"/>
        </w:rPr>
      </w:pPr>
      <w:r>
        <w:rPr>
          <w:rFonts w:ascii="Arial" w:hAnsi="Arial"/>
          <w:b/>
          <w:bCs/>
          <w:color w:val="000000"/>
        </w:rPr>
        <w:t>1. OBJETO</w:t>
      </w:r>
    </w:p>
    <w:p w14:paraId="0264C7F9">
      <w:pPr>
        <w:pStyle w:val="37"/>
        <w:spacing w:line="360" w:lineRule="auto"/>
        <w:jc w:val="both"/>
        <w:rPr>
          <w:rFonts w:ascii="Arial" w:hAnsi="Arial"/>
          <w:color w:val="000000"/>
        </w:rPr>
      </w:pPr>
      <w:r>
        <w:rPr>
          <w:rFonts w:ascii="Arial" w:hAnsi="Arial"/>
          <w:b/>
          <w:color w:val="000000"/>
        </w:rPr>
        <w:t>1.1.</w:t>
      </w:r>
      <w:r>
        <w:rPr>
          <w:rFonts w:ascii="Arial" w:hAnsi="Arial"/>
        </w:rPr>
        <w:t xml:space="preserve"> </w:t>
      </w:r>
      <w:r>
        <w:rPr>
          <w:rFonts w:hint="default" w:ascii="Arial" w:hAnsi="Arial"/>
          <w:lang w:val="pt-BR"/>
        </w:rPr>
        <w:t>Contratação de empresa especializada para realizar manutenção corretiva no equipamento Autoclave Phoenix, visando a não interrupção dos serviços da Atenção Especializada e Ambulatorial da Secretaria Municipal de Saúde</w:t>
      </w:r>
      <w:r>
        <w:rPr>
          <w:rFonts w:ascii="Arial" w:hAnsi="Arial"/>
          <w:color w:val="000000"/>
        </w:rPr>
        <w:t>, conforme especificações abaixo:</w:t>
      </w:r>
    </w:p>
    <w:tbl>
      <w:tblPr>
        <w:tblStyle w:val="19"/>
        <w:tblW w:w="9186" w:type="dxa"/>
        <w:tblInd w:w="-147"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711"/>
        <w:gridCol w:w="3273"/>
        <w:gridCol w:w="2114"/>
        <w:gridCol w:w="1570"/>
        <w:gridCol w:w="1518"/>
      </w:tblGrid>
      <w:tr w14:paraId="58FC5BA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11" w:type="dxa"/>
          </w:tcPr>
          <w:p w14:paraId="2FACB825">
            <w:pPr>
              <w:spacing w:after="0" w:line="240" w:lineRule="auto"/>
              <w:jc w:val="both"/>
              <w:rPr>
                <w:rFonts w:ascii="Arial" w:hAnsi="Arial" w:cs="Arial"/>
                <w:b/>
                <w:bCs/>
                <w:color w:val="auto"/>
                <w:sz w:val="24"/>
                <w:szCs w:val="24"/>
                <w:highlight w:val="none"/>
                <w:shd w:val="clear" w:color="auto" w:fill="auto"/>
              </w:rPr>
            </w:pPr>
            <w:r>
              <w:rPr>
                <w:rFonts w:ascii="Arial" w:hAnsi="Arial" w:cs="Arial"/>
                <w:b/>
                <w:bCs/>
                <w:color w:val="auto"/>
                <w:sz w:val="24"/>
                <w:szCs w:val="24"/>
                <w:highlight w:val="none"/>
                <w:shd w:val="clear" w:color="auto" w:fill="auto"/>
              </w:rPr>
              <w:t>Item</w:t>
            </w:r>
          </w:p>
        </w:tc>
        <w:tc>
          <w:tcPr>
            <w:tcW w:w="3273" w:type="dxa"/>
          </w:tcPr>
          <w:p w14:paraId="586C9E38">
            <w:pPr>
              <w:spacing w:after="0" w:line="240" w:lineRule="auto"/>
              <w:jc w:val="both"/>
              <w:rPr>
                <w:rFonts w:ascii="Arial" w:hAnsi="Arial" w:cs="Arial"/>
                <w:b/>
                <w:bCs/>
                <w:color w:val="auto"/>
                <w:sz w:val="24"/>
                <w:szCs w:val="24"/>
                <w:highlight w:val="none"/>
                <w:shd w:val="clear" w:color="auto" w:fill="auto"/>
              </w:rPr>
            </w:pPr>
            <w:r>
              <w:rPr>
                <w:rFonts w:ascii="Arial" w:hAnsi="Arial" w:cs="Arial"/>
                <w:b/>
                <w:bCs/>
                <w:color w:val="auto"/>
                <w:sz w:val="24"/>
                <w:szCs w:val="24"/>
                <w:highlight w:val="none"/>
                <w:shd w:val="clear" w:color="auto" w:fill="auto"/>
              </w:rPr>
              <w:t>Descrição</w:t>
            </w:r>
          </w:p>
        </w:tc>
        <w:tc>
          <w:tcPr>
            <w:tcW w:w="2114" w:type="dxa"/>
          </w:tcPr>
          <w:p w14:paraId="3F3435F7">
            <w:pPr>
              <w:spacing w:after="0" w:line="240" w:lineRule="auto"/>
              <w:jc w:val="center"/>
              <w:rPr>
                <w:rFonts w:ascii="Arial" w:hAnsi="Arial" w:cs="Arial"/>
                <w:b/>
                <w:bCs/>
                <w:color w:val="auto"/>
                <w:sz w:val="24"/>
                <w:szCs w:val="24"/>
                <w:highlight w:val="none"/>
                <w:shd w:val="clear" w:color="auto" w:fill="auto"/>
              </w:rPr>
            </w:pPr>
            <w:r>
              <w:rPr>
                <w:rFonts w:ascii="Arial" w:hAnsi="Arial" w:cs="Arial"/>
                <w:b/>
                <w:bCs/>
                <w:color w:val="auto"/>
                <w:sz w:val="21"/>
                <w:szCs w:val="21"/>
                <w:highlight w:val="none"/>
                <w:shd w:val="clear" w:color="auto" w:fill="auto"/>
              </w:rPr>
              <w:t>Quant</w:t>
            </w:r>
            <w:r>
              <w:rPr>
                <w:rFonts w:hint="default" w:ascii="Arial" w:hAnsi="Arial" w:cs="Arial"/>
                <w:b/>
                <w:bCs/>
                <w:color w:val="auto"/>
                <w:sz w:val="21"/>
                <w:szCs w:val="21"/>
                <w:highlight w:val="none"/>
                <w:shd w:val="clear" w:color="auto" w:fill="auto"/>
                <w:lang w:val="pt-BR"/>
              </w:rPr>
              <w:t>idade/</w:t>
            </w:r>
            <w:r>
              <w:rPr>
                <w:rFonts w:ascii="Arial" w:hAnsi="Arial" w:cs="Arial"/>
                <w:b/>
                <w:bCs/>
                <w:color w:val="auto"/>
                <w:sz w:val="21"/>
                <w:szCs w:val="21"/>
                <w:highlight w:val="none"/>
                <w:shd w:val="clear" w:color="auto" w:fill="auto"/>
              </w:rPr>
              <w:t xml:space="preserve">unidade </w:t>
            </w:r>
            <w:r>
              <w:rPr>
                <w:rFonts w:hint="default" w:ascii="Arial" w:hAnsi="Arial" w:cs="Arial"/>
                <w:b/>
                <w:bCs/>
                <w:color w:val="auto"/>
                <w:sz w:val="21"/>
                <w:szCs w:val="21"/>
                <w:highlight w:val="none"/>
                <w:shd w:val="clear" w:color="auto" w:fill="auto"/>
                <w:lang w:val="pt-BR"/>
              </w:rPr>
              <w:t xml:space="preserve">ou </w:t>
            </w:r>
            <w:r>
              <w:rPr>
                <w:rFonts w:ascii="Arial" w:hAnsi="Arial" w:cs="Arial"/>
                <w:b/>
                <w:bCs/>
                <w:color w:val="auto"/>
                <w:sz w:val="21"/>
                <w:szCs w:val="21"/>
                <w:highlight w:val="none"/>
                <w:shd w:val="clear" w:color="auto" w:fill="auto"/>
              </w:rPr>
              <w:t>medida</w:t>
            </w:r>
          </w:p>
        </w:tc>
        <w:tc>
          <w:tcPr>
            <w:tcW w:w="1570" w:type="dxa"/>
          </w:tcPr>
          <w:p w14:paraId="428ED138">
            <w:pPr>
              <w:spacing w:after="0" w:line="240" w:lineRule="auto"/>
              <w:jc w:val="center"/>
              <w:rPr>
                <w:rFonts w:ascii="Arial" w:hAnsi="Arial" w:cs="Arial"/>
                <w:b/>
                <w:bCs/>
                <w:color w:val="auto"/>
                <w:sz w:val="24"/>
                <w:szCs w:val="24"/>
                <w:highlight w:val="none"/>
                <w:shd w:val="clear" w:color="auto" w:fill="auto"/>
              </w:rPr>
            </w:pPr>
            <w:r>
              <w:rPr>
                <w:rFonts w:ascii="Arial" w:hAnsi="Arial" w:cs="Arial"/>
                <w:b/>
                <w:bCs/>
                <w:color w:val="auto"/>
                <w:sz w:val="24"/>
                <w:szCs w:val="24"/>
                <w:highlight w:val="none"/>
                <w:shd w:val="clear" w:color="auto" w:fill="auto"/>
              </w:rPr>
              <w:t>Valor Unit</w:t>
            </w:r>
            <w:r>
              <w:rPr>
                <w:rFonts w:ascii="Arial" w:hAnsi="Arial" w:cs="Arial"/>
                <w:b/>
                <w:bCs/>
                <w:color w:val="auto"/>
                <w:sz w:val="22"/>
                <w:szCs w:val="22"/>
                <w:highlight w:val="none"/>
                <w:shd w:val="clear" w:color="auto" w:fill="auto"/>
              </w:rPr>
              <w:t>. (estimado)</w:t>
            </w:r>
          </w:p>
        </w:tc>
        <w:tc>
          <w:tcPr>
            <w:tcW w:w="1518" w:type="dxa"/>
          </w:tcPr>
          <w:p w14:paraId="21B95CB4">
            <w:pPr>
              <w:spacing w:after="0" w:line="240" w:lineRule="auto"/>
              <w:jc w:val="both"/>
              <w:rPr>
                <w:rFonts w:ascii="Arial" w:hAnsi="Arial" w:cs="Arial"/>
                <w:b/>
                <w:bCs/>
                <w:color w:val="auto"/>
                <w:sz w:val="24"/>
                <w:szCs w:val="24"/>
                <w:highlight w:val="none"/>
                <w:shd w:val="clear" w:color="auto" w:fill="auto"/>
              </w:rPr>
            </w:pPr>
            <w:r>
              <w:rPr>
                <w:rFonts w:ascii="Arial" w:hAnsi="Arial" w:cs="Arial"/>
                <w:b/>
                <w:bCs/>
                <w:color w:val="auto"/>
                <w:sz w:val="24"/>
                <w:szCs w:val="24"/>
                <w:highlight w:val="none"/>
                <w:shd w:val="clear" w:color="auto" w:fill="auto"/>
              </w:rPr>
              <w:t>Valor Total</w:t>
            </w:r>
          </w:p>
        </w:tc>
      </w:tr>
      <w:tr w14:paraId="0820DA3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11" w:type="dxa"/>
          </w:tcPr>
          <w:p w14:paraId="455AA119">
            <w:pPr>
              <w:spacing w:after="0" w:line="240" w:lineRule="auto"/>
              <w:jc w:val="both"/>
              <w:rPr>
                <w:rFonts w:ascii="Arial" w:hAnsi="Arial" w:cs="Arial"/>
                <w:color w:val="auto"/>
                <w:sz w:val="24"/>
                <w:szCs w:val="24"/>
                <w:highlight w:val="none"/>
                <w:shd w:val="clear" w:color="auto" w:fill="auto"/>
              </w:rPr>
            </w:pPr>
          </w:p>
          <w:p w14:paraId="141FA3C0">
            <w:pPr>
              <w:spacing w:after="0" w:line="240" w:lineRule="auto"/>
              <w:jc w:val="both"/>
              <w:rPr>
                <w:rFonts w:ascii="Arial" w:hAnsi="Arial" w:cs="Arial"/>
                <w:color w:val="auto"/>
                <w:sz w:val="24"/>
                <w:szCs w:val="24"/>
                <w:highlight w:val="none"/>
                <w:shd w:val="clear" w:color="auto" w:fill="auto"/>
              </w:rPr>
            </w:pPr>
          </w:p>
          <w:p w14:paraId="40E1749E">
            <w:pPr>
              <w:spacing w:after="0" w:line="240" w:lineRule="auto"/>
              <w:jc w:val="both"/>
              <w:rPr>
                <w:rFonts w:ascii="Arial" w:hAnsi="Arial" w:cs="Arial"/>
                <w:color w:val="auto"/>
                <w:sz w:val="24"/>
                <w:szCs w:val="24"/>
                <w:highlight w:val="none"/>
                <w:shd w:val="clear" w:color="auto" w:fill="auto"/>
              </w:rPr>
            </w:pPr>
          </w:p>
          <w:p w14:paraId="3FBAD3DB">
            <w:pPr>
              <w:spacing w:after="0" w:line="240" w:lineRule="auto"/>
              <w:jc w:val="both"/>
              <w:rPr>
                <w:rFonts w:ascii="Arial" w:hAnsi="Arial" w:cs="Arial"/>
                <w:color w:val="auto"/>
                <w:sz w:val="24"/>
                <w:szCs w:val="24"/>
                <w:highlight w:val="none"/>
                <w:shd w:val="clear" w:color="auto" w:fill="auto"/>
              </w:rPr>
            </w:pPr>
          </w:p>
          <w:p w14:paraId="08EF7CBF">
            <w:pPr>
              <w:spacing w:after="0" w:line="240" w:lineRule="auto"/>
              <w:jc w:val="both"/>
              <w:rPr>
                <w:rFonts w:ascii="Arial" w:hAnsi="Arial" w:cs="Arial"/>
                <w:color w:val="auto"/>
                <w:sz w:val="24"/>
                <w:szCs w:val="24"/>
                <w:highlight w:val="none"/>
                <w:shd w:val="clear" w:color="auto" w:fill="auto"/>
              </w:rPr>
            </w:pPr>
          </w:p>
          <w:p w14:paraId="6EA0EE79">
            <w:pPr>
              <w:spacing w:after="0" w:line="240" w:lineRule="auto"/>
              <w:jc w:val="both"/>
              <w:rPr>
                <w:rFonts w:ascii="Arial" w:hAnsi="Arial" w:cs="Arial"/>
                <w:color w:val="auto"/>
                <w:sz w:val="24"/>
                <w:szCs w:val="24"/>
                <w:highlight w:val="none"/>
                <w:shd w:val="clear" w:color="auto" w:fill="auto"/>
              </w:rPr>
            </w:pPr>
          </w:p>
          <w:p w14:paraId="5FE962BE">
            <w:pPr>
              <w:spacing w:after="0" w:line="240" w:lineRule="auto"/>
              <w:jc w:val="both"/>
              <w:rPr>
                <w:rFonts w:ascii="Arial" w:hAnsi="Arial" w:cs="Arial"/>
                <w:color w:val="auto"/>
                <w:sz w:val="24"/>
                <w:szCs w:val="24"/>
                <w:highlight w:val="none"/>
                <w:shd w:val="clear" w:color="auto" w:fill="auto"/>
              </w:rPr>
            </w:pPr>
            <w:r>
              <w:rPr>
                <w:rFonts w:ascii="Arial" w:hAnsi="Arial" w:cs="Arial"/>
                <w:color w:val="auto"/>
                <w:sz w:val="24"/>
                <w:szCs w:val="24"/>
                <w:highlight w:val="none"/>
                <w:shd w:val="clear" w:color="auto" w:fill="auto"/>
              </w:rPr>
              <w:t>1</w:t>
            </w:r>
          </w:p>
        </w:tc>
        <w:tc>
          <w:tcPr>
            <w:tcW w:w="3273" w:type="dxa"/>
          </w:tcPr>
          <w:p w14:paraId="122A01F2">
            <w:pPr>
              <w:spacing w:after="0" w:line="240" w:lineRule="auto"/>
              <w:jc w:val="both"/>
              <w:rPr>
                <w:rFonts w:hint="default" w:ascii="Arial" w:hAnsi="Arial" w:cs="Arial"/>
                <w:i w:val="0"/>
                <w:iCs w:val="0"/>
                <w:color w:val="auto"/>
                <w:sz w:val="24"/>
                <w:szCs w:val="24"/>
                <w:highlight w:val="none"/>
                <w:shd w:val="clear" w:color="auto" w:fill="auto"/>
                <w:lang w:val="pt-BR"/>
              </w:rPr>
            </w:pPr>
            <w:r>
              <w:rPr>
                <w:rFonts w:hint="default" w:ascii="Arial" w:hAnsi="Arial" w:cs="Arial"/>
                <w:i w:val="0"/>
                <w:iCs w:val="0"/>
                <w:color w:val="auto"/>
                <w:sz w:val="24"/>
                <w:szCs w:val="24"/>
                <w:highlight w:val="none"/>
                <w:shd w:val="clear" w:color="auto" w:fill="auto"/>
                <w:lang w:val="pt-BR"/>
              </w:rPr>
              <w:t>Serviço de Manutenção do equipamento com fornecimento de peças:</w:t>
            </w:r>
          </w:p>
          <w:p w14:paraId="474315CB">
            <w:pPr>
              <w:spacing w:after="0" w:line="240" w:lineRule="auto"/>
              <w:jc w:val="both"/>
              <w:rPr>
                <w:rFonts w:hint="default" w:ascii="Arial" w:hAnsi="Arial" w:cs="Arial"/>
                <w:i w:val="0"/>
                <w:iCs w:val="0"/>
                <w:color w:val="auto"/>
                <w:sz w:val="24"/>
                <w:szCs w:val="24"/>
                <w:highlight w:val="none"/>
                <w:shd w:val="clear" w:color="auto" w:fill="auto"/>
                <w:lang w:val="pt-BR"/>
              </w:rPr>
            </w:pPr>
          </w:p>
          <w:p w14:paraId="18EACBEA">
            <w:pPr>
              <w:spacing w:after="0" w:line="240" w:lineRule="auto"/>
              <w:jc w:val="both"/>
              <w:rPr>
                <w:rFonts w:ascii="Arial" w:hAnsi="Arial" w:cs="Arial"/>
                <w:i/>
                <w:iCs/>
                <w:color w:val="auto"/>
                <w:sz w:val="24"/>
                <w:szCs w:val="24"/>
                <w:highlight w:val="none"/>
                <w:shd w:val="clear" w:color="auto" w:fill="auto"/>
              </w:rPr>
            </w:pPr>
            <w:r>
              <w:rPr>
                <w:rFonts w:ascii="Arial" w:hAnsi="Arial" w:cs="Arial"/>
                <w:i w:val="0"/>
                <w:iCs w:val="0"/>
                <w:color w:val="auto"/>
                <w:sz w:val="24"/>
                <w:szCs w:val="24"/>
                <w:highlight w:val="none"/>
                <w:shd w:val="clear" w:color="auto" w:fill="auto"/>
              </w:rPr>
              <w:t>Guarnição Branca, Elemento Filtrante de Água, Rolo de Papel Impressora Térmica, Kit Atualização Impressora Térmica, 1000 Testes Químicos, Teste Bowie Dick, Válvula de Transferência 1/2, Lubrificante em Silicone, Diafragma de Porta.</w:t>
            </w:r>
          </w:p>
        </w:tc>
        <w:tc>
          <w:tcPr>
            <w:tcW w:w="2114" w:type="dxa"/>
          </w:tcPr>
          <w:p w14:paraId="2F42A15F">
            <w:pPr>
              <w:spacing w:after="0" w:line="240" w:lineRule="auto"/>
              <w:jc w:val="both"/>
              <w:rPr>
                <w:rFonts w:hint="default" w:ascii="Arial" w:hAnsi="Arial" w:cs="Arial"/>
                <w:color w:val="auto"/>
                <w:sz w:val="24"/>
                <w:szCs w:val="24"/>
                <w:highlight w:val="none"/>
                <w:shd w:val="clear" w:color="auto" w:fill="auto"/>
                <w:lang w:val="pt-BR"/>
              </w:rPr>
            </w:pPr>
          </w:p>
          <w:p w14:paraId="07F7DF9B">
            <w:pPr>
              <w:spacing w:after="0" w:line="240" w:lineRule="auto"/>
              <w:jc w:val="both"/>
              <w:rPr>
                <w:rFonts w:hint="default" w:ascii="Arial" w:hAnsi="Arial" w:cs="Arial"/>
                <w:color w:val="auto"/>
                <w:sz w:val="24"/>
                <w:szCs w:val="24"/>
                <w:highlight w:val="none"/>
                <w:shd w:val="clear" w:color="auto" w:fill="auto"/>
                <w:lang w:val="pt-BR"/>
              </w:rPr>
            </w:pPr>
          </w:p>
          <w:p w14:paraId="7DF2FF8C">
            <w:pPr>
              <w:spacing w:after="0" w:line="240" w:lineRule="auto"/>
              <w:jc w:val="both"/>
              <w:rPr>
                <w:rFonts w:hint="default" w:ascii="Arial" w:hAnsi="Arial" w:cs="Arial"/>
                <w:color w:val="auto"/>
                <w:sz w:val="24"/>
                <w:szCs w:val="24"/>
                <w:highlight w:val="none"/>
                <w:shd w:val="clear" w:color="auto" w:fill="auto"/>
                <w:lang w:val="pt-BR"/>
              </w:rPr>
            </w:pPr>
          </w:p>
          <w:p w14:paraId="6782D927">
            <w:pPr>
              <w:spacing w:after="0" w:line="240" w:lineRule="auto"/>
              <w:jc w:val="both"/>
              <w:rPr>
                <w:rFonts w:hint="default" w:ascii="Arial" w:hAnsi="Arial" w:cs="Arial"/>
                <w:color w:val="auto"/>
                <w:sz w:val="24"/>
                <w:szCs w:val="24"/>
                <w:highlight w:val="none"/>
                <w:shd w:val="clear" w:color="auto" w:fill="auto"/>
                <w:lang w:val="pt-BR"/>
              </w:rPr>
            </w:pPr>
          </w:p>
          <w:p w14:paraId="4AB82E6F">
            <w:pPr>
              <w:spacing w:after="0" w:line="240" w:lineRule="auto"/>
              <w:jc w:val="both"/>
              <w:rPr>
                <w:rFonts w:hint="default" w:ascii="Arial" w:hAnsi="Arial" w:cs="Arial"/>
                <w:color w:val="auto"/>
                <w:sz w:val="24"/>
                <w:szCs w:val="24"/>
                <w:highlight w:val="none"/>
                <w:shd w:val="clear" w:color="auto" w:fill="auto"/>
                <w:lang w:val="pt-BR"/>
              </w:rPr>
            </w:pPr>
          </w:p>
          <w:p w14:paraId="1A13CCB1">
            <w:pPr>
              <w:spacing w:after="0" w:line="240" w:lineRule="auto"/>
              <w:jc w:val="both"/>
              <w:rPr>
                <w:rFonts w:hint="default" w:ascii="Arial" w:hAnsi="Arial" w:cs="Arial"/>
                <w:color w:val="auto"/>
                <w:sz w:val="24"/>
                <w:szCs w:val="24"/>
                <w:highlight w:val="none"/>
                <w:shd w:val="clear" w:color="auto" w:fill="auto"/>
                <w:lang w:val="pt-BR"/>
              </w:rPr>
            </w:pPr>
            <w:r>
              <w:rPr>
                <w:rFonts w:hint="default" w:ascii="Arial" w:hAnsi="Arial" w:cs="Arial"/>
                <w:color w:val="auto"/>
                <w:sz w:val="24"/>
                <w:szCs w:val="24"/>
                <w:highlight w:val="none"/>
                <w:shd w:val="clear" w:color="auto" w:fill="auto"/>
                <w:lang w:val="pt-BR"/>
              </w:rPr>
              <w:t>01 serviço</w:t>
            </w:r>
          </w:p>
        </w:tc>
        <w:tc>
          <w:tcPr>
            <w:tcW w:w="1570" w:type="dxa"/>
          </w:tcPr>
          <w:p w14:paraId="5CE838C3">
            <w:pPr>
              <w:spacing w:after="0" w:line="240" w:lineRule="auto"/>
              <w:jc w:val="both"/>
              <w:rPr>
                <w:rFonts w:ascii="Arial" w:hAnsi="Arial" w:cs="Arial"/>
                <w:color w:val="auto"/>
                <w:sz w:val="22"/>
                <w:szCs w:val="22"/>
                <w:highlight w:val="none"/>
                <w:shd w:val="clear" w:color="auto" w:fill="auto"/>
              </w:rPr>
            </w:pPr>
          </w:p>
          <w:p w14:paraId="5F7F893B">
            <w:pPr>
              <w:spacing w:after="0" w:line="240" w:lineRule="auto"/>
              <w:jc w:val="both"/>
              <w:rPr>
                <w:rFonts w:ascii="Arial" w:hAnsi="Arial" w:cs="Arial"/>
                <w:color w:val="auto"/>
                <w:sz w:val="22"/>
                <w:szCs w:val="22"/>
                <w:highlight w:val="none"/>
                <w:shd w:val="clear" w:color="auto" w:fill="auto"/>
              </w:rPr>
            </w:pPr>
          </w:p>
          <w:p w14:paraId="59406EAD">
            <w:pPr>
              <w:spacing w:after="0" w:line="240" w:lineRule="auto"/>
              <w:jc w:val="both"/>
              <w:rPr>
                <w:rFonts w:ascii="Arial" w:hAnsi="Arial" w:cs="Arial"/>
                <w:color w:val="auto"/>
                <w:sz w:val="22"/>
                <w:szCs w:val="22"/>
                <w:highlight w:val="none"/>
                <w:shd w:val="clear" w:color="auto" w:fill="auto"/>
              </w:rPr>
            </w:pPr>
          </w:p>
          <w:p w14:paraId="01209FC3">
            <w:pPr>
              <w:spacing w:after="0" w:line="240" w:lineRule="auto"/>
              <w:jc w:val="both"/>
              <w:rPr>
                <w:rFonts w:ascii="Arial" w:hAnsi="Arial" w:cs="Arial"/>
                <w:color w:val="auto"/>
                <w:sz w:val="22"/>
                <w:szCs w:val="22"/>
                <w:highlight w:val="none"/>
                <w:shd w:val="clear" w:color="auto" w:fill="auto"/>
              </w:rPr>
            </w:pPr>
          </w:p>
          <w:p w14:paraId="7CBBBAE3">
            <w:pPr>
              <w:spacing w:after="0" w:line="240" w:lineRule="auto"/>
              <w:jc w:val="both"/>
              <w:rPr>
                <w:rFonts w:ascii="Arial" w:hAnsi="Arial" w:cs="Arial"/>
                <w:color w:val="auto"/>
                <w:sz w:val="22"/>
                <w:szCs w:val="22"/>
                <w:highlight w:val="none"/>
                <w:shd w:val="clear" w:color="auto" w:fill="auto"/>
              </w:rPr>
            </w:pPr>
          </w:p>
          <w:p w14:paraId="06822892">
            <w:pPr>
              <w:spacing w:after="0" w:line="240" w:lineRule="auto"/>
              <w:jc w:val="both"/>
              <w:rPr>
                <w:rFonts w:ascii="Arial" w:hAnsi="Arial" w:cs="Arial"/>
                <w:color w:val="auto"/>
                <w:sz w:val="22"/>
                <w:szCs w:val="22"/>
                <w:highlight w:val="none"/>
                <w:shd w:val="clear" w:color="auto" w:fill="auto"/>
              </w:rPr>
            </w:pPr>
          </w:p>
          <w:p w14:paraId="32D66D01">
            <w:pPr>
              <w:spacing w:after="0" w:line="240" w:lineRule="auto"/>
              <w:jc w:val="both"/>
              <w:rPr>
                <w:rFonts w:hint="default" w:ascii="Arial" w:hAnsi="Arial" w:cs="Arial"/>
                <w:color w:val="auto"/>
                <w:sz w:val="22"/>
                <w:szCs w:val="22"/>
                <w:highlight w:val="none"/>
                <w:shd w:val="clear" w:color="auto" w:fill="auto"/>
                <w:lang w:val="pt-BR"/>
              </w:rPr>
            </w:pPr>
            <w:r>
              <w:rPr>
                <w:rFonts w:ascii="Arial" w:hAnsi="Arial" w:cs="Arial"/>
                <w:color w:val="auto"/>
                <w:sz w:val="22"/>
                <w:szCs w:val="22"/>
                <w:highlight w:val="none"/>
                <w:shd w:val="clear" w:color="auto" w:fill="auto"/>
              </w:rPr>
              <w:t xml:space="preserve">R$ </w:t>
            </w:r>
            <w:r>
              <w:rPr>
                <w:rFonts w:hint="default" w:ascii="Arial" w:hAnsi="Arial" w:cs="Arial"/>
                <w:color w:val="auto"/>
                <w:sz w:val="22"/>
                <w:szCs w:val="22"/>
                <w:highlight w:val="none"/>
                <w:shd w:val="clear" w:color="auto" w:fill="auto"/>
                <w:lang w:val="pt-BR"/>
              </w:rPr>
              <w:t>12.327,00</w:t>
            </w:r>
          </w:p>
        </w:tc>
        <w:tc>
          <w:tcPr>
            <w:tcW w:w="1518" w:type="dxa"/>
          </w:tcPr>
          <w:p w14:paraId="21DAB245">
            <w:pPr>
              <w:spacing w:after="0" w:line="240" w:lineRule="auto"/>
              <w:jc w:val="both"/>
              <w:rPr>
                <w:rFonts w:ascii="Arial" w:hAnsi="Arial" w:cs="Arial"/>
                <w:color w:val="auto"/>
                <w:sz w:val="22"/>
                <w:szCs w:val="22"/>
                <w:highlight w:val="none"/>
                <w:shd w:val="clear" w:color="auto" w:fill="auto"/>
              </w:rPr>
            </w:pPr>
          </w:p>
          <w:p w14:paraId="38B43232">
            <w:pPr>
              <w:spacing w:after="0" w:line="240" w:lineRule="auto"/>
              <w:jc w:val="both"/>
              <w:rPr>
                <w:rFonts w:ascii="Arial" w:hAnsi="Arial" w:cs="Arial"/>
                <w:color w:val="auto"/>
                <w:sz w:val="22"/>
                <w:szCs w:val="22"/>
                <w:highlight w:val="none"/>
                <w:shd w:val="clear" w:color="auto" w:fill="auto"/>
              </w:rPr>
            </w:pPr>
          </w:p>
          <w:p w14:paraId="55E0B9F8">
            <w:pPr>
              <w:spacing w:after="0" w:line="240" w:lineRule="auto"/>
              <w:jc w:val="both"/>
              <w:rPr>
                <w:rFonts w:ascii="Arial" w:hAnsi="Arial" w:cs="Arial"/>
                <w:color w:val="auto"/>
                <w:sz w:val="22"/>
                <w:szCs w:val="22"/>
                <w:highlight w:val="none"/>
                <w:shd w:val="clear" w:color="auto" w:fill="auto"/>
              </w:rPr>
            </w:pPr>
          </w:p>
          <w:p w14:paraId="7C6927C1">
            <w:pPr>
              <w:spacing w:after="0" w:line="240" w:lineRule="auto"/>
              <w:jc w:val="both"/>
              <w:rPr>
                <w:rFonts w:ascii="Arial" w:hAnsi="Arial" w:cs="Arial"/>
                <w:color w:val="auto"/>
                <w:sz w:val="22"/>
                <w:szCs w:val="22"/>
                <w:highlight w:val="none"/>
                <w:shd w:val="clear" w:color="auto" w:fill="auto"/>
              </w:rPr>
            </w:pPr>
          </w:p>
          <w:p w14:paraId="38C3421C">
            <w:pPr>
              <w:spacing w:after="0" w:line="240" w:lineRule="auto"/>
              <w:jc w:val="both"/>
              <w:rPr>
                <w:rFonts w:ascii="Arial" w:hAnsi="Arial" w:cs="Arial"/>
                <w:color w:val="auto"/>
                <w:sz w:val="22"/>
                <w:szCs w:val="22"/>
                <w:highlight w:val="none"/>
                <w:shd w:val="clear" w:color="auto" w:fill="auto"/>
              </w:rPr>
            </w:pPr>
          </w:p>
          <w:p w14:paraId="18122E0E">
            <w:pPr>
              <w:spacing w:after="0" w:line="240" w:lineRule="auto"/>
              <w:jc w:val="both"/>
              <w:rPr>
                <w:rFonts w:ascii="Arial" w:hAnsi="Arial" w:cs="Arial"/>
                <w:color w:val="auto"/>
                <w:sz w:val="22"/>
                <w:szCs w:val="22"/>
                <w:highlight w:val="none"/>
                <w:shd w:val="clear" w:color="auto" w:fill="auto"/>
              </w:rPr>
            </w:pPr>
          </w:p>
          <w:p w14:paraId="46681E18">
            <w:pPr>
              <w:spacing w:after="0" w:line="240" w:lineRule="auto"/>
              <w:jc w:val="both"/>
              <w:rPr>
                <w:rFonts w:hint="default" w:ascii="Arial" w:hAnsi="Arial" w:cs="Arial"/>
                <w:color w:val="auto"/>
                <w:sz w:val="22"/>
                <w:szCs w:val="22"/>
                <w:highlight w:val="none"/>
                <w:shd w:val="clear" w:color="auto" w:fill="auto"/>
                <w:lang w:val="pt-BR"/>
              </w:rPr>
            </w:pPr>
            <w:r>
              <w:rPr>
                <w:rFonts w:ascii="Arial" w:hAnsi="Arial" w:cs="Arial"/>
                <w:color w:val="auto"/>
                <w:sz w:val="22"/>
                <w:szCs w:val="22"/>
                <w:highlight w:val="none"/>
                <w:shd w:val="clear" w:color="auto" w:fill="auto"/>
              </w:rPr>
              <w:t>R$</w:t>
            </w:r>
            <w:r>
              <w:rPr>
                <w:rFonts w:hint="default" w:ascii="Arial" w:hAnsi="Arial" w:cs="Arial"/>
                <w:color w:val="auto"/>
                <w:sz w:val="22"/>
                <w:szCs w:val="22"/>
                <w:highlight w:val="none"/>
                <w:shd w:val="clear" w:color="auto" w:fill="auto"/>
                <w:lang w:val="pt-BR"/>
              </w:rPr>
              <w:t>12.327,00</w:t>
            </w:r>
          </w:p>
        </w:tc>
      </w:tr>
    </w:tbl>
    <w:p w14:paraId="00FDD7E3">
      <w:pPr>
        <w:pStyle w:val="37"/>
        <w:spacing w:line="360" w:lineRule="auto"/>
        <w:jc w:val="both"/>
        <w:rPr>
          <w:rFonts w:ascii="Arial" w:hAnsi="Arial"/>
          <w:b/>
        </w:rPr>
      </w:pPr>
    </w:p>
    <w:p w14:paraId="1A2FD3F2">
      <w:pPr>
        <w:pStyle w:val="37"/>
        <w:spacing w:line="360" w:lineRule="auto"/>
        <w:jc w:val="both"/>
        <w:rPr>
          <w:rFonts w:ascii="Arial" w:hAnsi="Arial"/>
          <w:b/>
        </w:rPr>
      </w:pPr>
      <w:r>
        <w:rPr>
          <w:rFonts w:hint="default" w:ascii="Arial" w:hAnsi="Arial"/>
          <w:b/>
        </w:rPr>
        <w:t>No âmbito municipal, não há disponibilidade de catálogo de produtos/serviços. Contudo, o catálogo</w:t>
      </w:r>
      <w:r>
        <w:rPr>
          <w:rFonts w:hint="default" w:ascii="Arial" w:hAnsi="Arial"/>
          <w:b/>
          <w:lang w:val="pt-BR"/>
        </w:rPr>
        <w:t xml:space="preserve"> federal </w:t>
      </w:r>
      <w:r>
        <w:rPr>
          <w:rFonts w:hint="default" w:ascii="Arial" w:hAnsi="Arial"/>
          <w:b/>
        </w:rPr>
        <w:t>não fo</w:t>
      </w:r>
      <w:r>
        <w:rPr>
          <w:rFonts w:hint="default" w:ascii="Arial" w:hAnsi="Arial"/>
          <w:b/>
          <w:lang w:val="pt-BR"/>
        </w:rPr>
        <w:t>i</w:t>
      </w:r>
      <w:r>
        <w:rPr>
          <w:rFonts w:hint="default" w:ascii="Arial" w:hAnsi="Arial"/>
          <w:b/>
        </w:rPr>
        <w:t xml:space="preserve"> utilizado devido à impossibilidade de localizar descrições compatíveis com o objeto pretendido, </w:t>
      </w:r>
      <w:r>
        <w:rPr>
          <w:rFonts w:hint="default" w:ascii="Arial" w:hAnsi="Arial"/>
          <w:b/>
          <w:lang w:val="pt-BR"/>
        </w:rPr>
        <w:t>devido a sua singularidade</w:t>
      </w:r>
      <w:r>
        <w:rPr>
          <w:rFonts w:hint="default" w:ascii="Arial" w:hAnsi="Arial"/>
          <w:b/>
        </w:rPr>
        <w:t>.</w:t>
      </w:r>
    </w:p>
    <w:p w14:paraId="6DE03F0C">
      <w:pPr>
        <w:pStyle w:val="37"/>
        <w:spacing w:line="360" w:lineRule="auto"/>
        <w:jc w:val="both"/>
        <w:rPr>
          <w:rFonts w:ascii="Arial" w:hAnsi="Arial"/>
          <w:b/>
        </w:rPr>
      </w:pPr>
      <w:r>
        <w:rPr>
          <w:rFonts w:hint="default" w:ascii="Arial" w:hAnsi="Arial"/>
          <w:b/>
          <w:lang w:val="pt-BR"/>
        </w:rPr>
        <w:t xml:space="preserve">Deste modo, </w:t>
      </w:r>
      <w:r>
        <w:rPr>
          <w:rFonts w:ascii="Arial" w:hAnsi="Arial"/>
          <w:b/>
        </w:rPr>
        <w:t xml:space="preserve">as descrições a serem consideradas pelos </w:t>
      </w:r>
      <w:r>
        <w:rPr>
          <w:rFonts w:hint="default" w:ascii="Arial" w:hAnsi="Arial"/>
          <w:b/>
          <w:lang w:val="pt-BR"/>
        </w:rPr>
        <w:t>proponentes</w:t>
      </w:r>
      <w:r>
        <w:rPr>
          <w:rFonts w:ascii="Arial" w:hAnsi="Arial"/>
          <w:b/>
        </w:rPr>
        <w:t xml:space="preserve"> devem obedecer às tratativas no presente Termo de Referência.</w:t>
      </w:r>
    </w:p>
    <w:p w14:paraId="33F35AE5">
      <w:pPr>
        <w:pStyle w:val="37"/>
        <w:spacing w:line="360" w:lineRule="auto"/>
        <w:jc w:val="both"/>
        <w:rPr>
          <w:rFonts w:ascii="Arial" w:hAnsi="Arial"/>
          <w:b/>
        </w:rPr>
      </w:pPr>
    </w:p>
    <w:p w14:paraId="3C61FD24">
      <w:pPr>
        <w:pStyle w:val="37"/>
        <w:spacing w:line="360" w:lineRule="auto"/>
        <w:jc w:val="both"/>
        <w:rPr>
          <w:rFonts w:ascii="Arial" w:hAnsi="Arial"/>
          <w:b/>
          <w:bCs/>
          <w:color w:val="000000"/>
        </w:rPr>
      </w:pPr>
      <w:r>
        <w:rPr>
          <w:rFonts w:ascii="Arial" w:hAnsi="Arial"/>
          <w:b/>
          <w:bCs/>
          <w:color w:val="000000"/>
        </w:rPr>
        <w:t>1.2. CLASSIFICAÇÃO DOS BENS E SERVIÇOS COMUNS</w:t>
      </w:r>
    </w:p>
    <w:p w14:paraId="655C7D15">
      <w:pPr>
        <w:pStyle w:val="37"/>
        <w:spacing w:line="360" w:lineRule="auto"/>
        <w:jc w:val="both"/>
        <w:rPr>
          <w:rFonts w:ascii="Arial" w:hAnsi="Arial"/>
          <w:color w:val="000000"/>
        </w:rPr>
      </w:pPr>
      <w:r>
        <w:rPr>
          <w:rFonts w:ascii="Arial" w:hAnsi="Arial"/>
          <w:b/>
          <w:i/>
          <w:color w:val="000000"/>
        </w:rPr>
        <w:t>1.2.1</w:t>
      </w:r>
      <w:r>
        <w:rPr>
          <w:rFonts w:ascii="Arial" w:hAnsi="Arial"/>
          <w:color w:val="000000"/>
        </w:rPr>
        <w:t xml:space="preserve">. O objeto dessa contratação é classificado como bem comum, </w:t>
      </w:r>
      <w:r>
        <w:rPr>
          <w:rFonts w:hint="eastAsia" w:ascii="Arial" w:hAnsi="Arial"/>
          <w:color w:val="000000"/>
        </w:rPr>
        <w:t>pois possui padrões de desempenho e qualidade que podem ser objetivamente definidos, por meio de especificações usuais de mercado, conforme o inciso XIII do art. 6º da Lei Federal nº 14.133, de 2021.</w:t>
      </w:r>
    </w:p>
    <w:p w14:paraId="7698B20D">
      <w:pPr>
        <w:pStyle w:val="37"/>
        <w:spacing w:line="360" w:lineRule="auto"/>
        <w:jc w:val="both"/>
        <w:rPr>
          <w:rFonts w:ascii="Arial" w:hAnsi="Arial"/>
          <w:color w:val="000000"/>
        </w:rPr>
      </w:pPr>
    </w:p>
    <w:p w14:paraId="0CC65C54">
      <w:pPr>
        <w:pStyle w:val="37"/>
        <w:spacing w:line="360" w:lineRule="auto"/>
        <w:jc w:val="both"/>
        <w:rPr>
          <w:rFonts w:ascii="Arial" w:hAnsi="Arial" w:eastAsia="ArialMT"/>
          <w:b/>
          <w:color w:val="000000" w:themeColor="text1"/>
          <w14:textFill>
            <w14:solidFill>
              <w14:schemeClr w14:val="tx1"/>
            </w14:solidFill>
          </w14:textFill>
        </w:rPr>
      </w:pPr>
      <w:r>
        <w:rPr>
          <w:rFonts w:ascii="Arial" w:hAnsi="Arial" w:eastAsia="ArialMT"/>
          <w:b/>
          <w:color w:val="000000"/>
        </w:rPr>
        <w:t xml:space="preserve">1.4. </w:t>
      </w:r>
      <w:r>
        <w:rPr>
          <w:rFonts w:ascii="Arial" w:hAnsi="Arial" w:eastAsia="ArialMT"/>
          <w:b/>
          <w:color w:val="000000" w:themeColor="text1"/>
          <w14:textFill>
            <w14:solidFill>
              <w14:schemeClr w14:val="tx1"/>
            </w14:solidFill>
          </w14:textFill>
        </w:rPr>
        <w:t xml:space="preserve">DA VIGÊNCIA </w:t>
      </w:r>
      <w:r>
        <w:rPr>
          <w:rFonts w:hint="default" w:ascii="Arial" w:hAnsi="Arial" w:eastAsia="ArialMT"/>
          <w:b/>
          <w:color w:val="000000" w:themeColor="text1"/>
          <w:lang w:val="pt-BR"/>
          <w14:textFill>
            <w14:solidFill>
              <w14:schemeClr w14:val="tx1"/>
            </w14:solidFill>
          </w14:textFill>
        </w:rPr>
        <w:t xml:space="preserve">E EXECUÇÃO </w:t>
      </w:r>
      <w:r>
        <w:rPr>
          <w:rFonts w:ascii="Arial" w:hAnsi="Arial" w:eastAsia="ArialMT"/>
          <w:b/>
          <w:color w:val="000000" w:themeColor="text1"/>
          <w14:textFill>
            <w14:solidFill>
              <w14:schemeClr w14:val="tx1"/>
            </w14:solidFill>
          </w14:textFill>
        </w:rPr>
        <w:t>DO CONTRATO</w:t>
      </w:r>
    </w:p>
    <w:p w14:paraId="1E2221D5">
      <w:pPr>
        <w:pStyle w:val="37"/>
        <w:spacing w:line="360" w:lineRule="auto"/>
        <w:jc w:val="both"/>
        <w:rPr>
          <w:rFonts w:hint="default" w:ascii="Arial" w:hAnsi="Arial"/>
          <w:b w:val="0"/>
          <w:bCs w:val="0"/>
          <w:color w:val="000000"/>
          <w:shd w:val="clear" w:color="auto" w:fill="FFFFFF"/>
          <w:lang w:val="pt-BR"/>
        </w:rPr>
      </w:pPr>
      <w:r>
        <w:rPr>
          <w:rFonts w:hint="default" w:ascii="Arial" w:hAnsi="Arial"/>
          <w:b/>
          <w:bCs/>
          <w:color w:val="000000"/>
          <w:shd w:val="clear" w:color="auto" w:fill="FFFFFF"/>
          <w:lang w:val="pt-BR"/>
        </w:rPr>
        <w:t xml:space="preserve">1.4.1 </w:t>
      </w:r>
      <w:r>
        <w:rPr>
          <w:rFonts w:ascii="Arial" w:hAnsi="Arial"/>
          <w:b w:val="0"/>
          <w:bCs w:val="0"/>
          <w:color w:val="000000"/>
          <w:shd w:val="clear" w:color="auto" w:fill="FFFFFF"/>
        </w:rPr>
        <w:t>O prazo de vigência do contrato será de 90 (noventa) dias após a sua assinatura, sem prorrogação contratual, visto a natureza específica do objeto</w:t>
      </w:r>
      <w:r>
        <w:rPr>
          <w:rFonts w:hint="default" w:ascii="Arial" w:hAnsi="Arial"/>
          <w:b w:val="0"/>
          <w:bCs w:val="0"/>
          <w:color w:val="000000"/>
          <w:shd w:val="clear" w:color="auto" w:fill="FFFFFF"/>
          <w:lang w:val="pt-BR"/>
        </w:rPr>
        <w:t>;</w:t>
      </w:r>
    </w:p>
    <w:p w14:paraId="242A3251">
      <w:pPr>
        <w:pStyle w:val="37"/>
        <w:spacing w:line="360" w:lineRule="auto"/>
        <w:jc w:val="both"/>
        <w:rPr>
          <w:rFonts w:hint="default" w:ascii="Arial" w:hAnsi="Arial"/>
          <w:b w:val="0"/>
          <w:bCs w:val="0"/>
          <w:color w:val="000000"/>
          <w:shd w:val="clear" w:color="auto" w:fill="FFFFFF"/>
          <w:lang w:val="pt-BR"/>
        </w:rPr>
      </w:pPr>
      <w:r>
        <w:rPr>
          <w:rFonts w:hint="default" w:ascii="Arial" w:hAnsi="Arial"/>
          <w:b/>
          <w:bCs/>
          <w:color w:val="000000"/>
          <w:shd w:val="clear" w:color="auto" w:fill="FFFFFF"/>
          <w:lang w:val="pt-BR"/>
        </w:rPr>
        <w:t>1.4.2</w:t>
      </w:r>
      <w:r>
        <w:rPr>
          <w:rFonts w:hint="default" w:ascii="Arial" w:hAnsi="Arial"/>
          <w:b w:val="0"/>
          <w:bCs w:val="0"/>
          <w:color w:val="000000"/>
          <w:shd w:val="clear" w:color="auto" w:fill="FFFFFF"/>
          <w:lang w:val="pt-BR"/>
        </w:rPr>
        <w:t>. O objeto contratual deverá ser executado em até 10 (dez) dias, após o envio do empenho.</w:t>
      </w:r>
    </w:p>
    <w:p w14:paraId="0DD8B567">
      <w:pPr>
        <w:pStyle w:val="37"/>
        <w:spacing w:line="360" w:lineRule="auto"/>
        <w:jc w:val="both"/>
        <w:rPr>
          <w:rFonts w:ascii="Arial" w:hAnsi="Arial"/>
          <w:b/>
          <w:bCs/>
          <w:color w:val="000000"/>
          <w:shd w:val="clear" w:color="auto" w:fill="FFFFFF"/>
        </w:rPr>
      </w:pPr>
    </w:p>
    <w:p w14:paraId="70FF1215">
      <w:pPr>
        <w:pStyle w:val="37"/>
        <w:spacing w:line="360" w:lineRule="auto"/>
        <w:jc w:val="both"/>
        <w:rPr>
          <w:rFonts w:ascii="Arial" w:hAnsi="Arial"/>
          <w:b/>
          <w:bCs/>
          <w:color w:val="000000"/>
        </w:rPr>
      </w:pPr>
      <w:r>
        <w:rPr>
          <w:rFonts w:ascii="Arial" w:hAnsi="Arial"/>
          <w:b/>
          <w:bCs/>
          <w:color w:val="000000"/>
        </w:rPr>
        <w:t>2. DA JUSTIFICATIVA, FUNDAMENTAÇÃO E DO OBJETIVO DA CONTRATAÇÃO</w:t>
      </w:r>
    </w:p>
    <w:p w14:paraId="0B0418B8">
      <w:pPr>
        <w:pStyle w:val="37"/>
        <w:spacing w:line="360" w:lineRule="auto"/>
        <w:ind w:left="0" w:leftChars="0" w:firstLine="480" w:firstLineChars="200"/>
        <w:jc w:val="both"/>
        <w:rPr>
          <w:rFonts w:ascii="Arial" w:hAnsi="Arial"/>
          <w:b w:val="0"/>
          <w:bCs w:val="0"/>
          <w:color w:val="000000"/>
          <w:shd w:val="clear" w:color="auto" w:fill="FFFFFF"/>
        </w:rPr>
      </w:pPr>
      <w:r>
        <w:rPr>
          <w:rFonts w:ascii="Arial" w:hAnsi="Arial"/>
          <w:b w:val="0"/>
          <w:bCs w:val="0"/>
          <w:color w:val="000000"/>
          <w:shd w:val="clear" w:color="auto" w:fill="FFFFFF"/>
        </w:rPr>
        <w:t>A contratação de empresa para a realização da manutenção corretiva no equipamento Autoclave Phoenix é essencial para assegurar a continuidade dos serviços prestados pela Secretaria Municipal de Saúde, especialmente no âmbito da Atenção Especializada e Ambulatorial. Este equipamento é fundamental para a esterilização de materiais, sendo indispensável para o atendimento seguro e eficiente aos usuários do Sistema Único de Saúde (SUS).</w:t>
      </w:r>
    </w:p>
    <w:p w14:paraId="1681CF49">
      <w:pPr>
        <w:pStyle w:val="37"/>
        <w:spacing w:line="360" w:lineRule="auto"/>
        <w:ind w:left="0" w:leftChars="0" w:firstLine="480" w:firstLineChars="200"/>
        <w:jc w:val="both"/>
        <w:rPr>
          <w:rFonts w:ascii="Arial" w:hAnsi="Arial"/>
          <w:b w:val="0"/>
          <w:bCs w:val="0"/>
          <w:color w:val="000000"/>
          <w:shd w:val="clear" w:color="auto" w:fill="FFFFFF"/>
        </w:rPr>
      </w:pPr>
      <w:r>
        <w:rPr>
          <w:rFonts w:ascii="Arial" w:hAnsi="Arial"/>
          <w:b w:val="0"/>
          <w:bCs w:val="0"/>
          <w:color w:val="000000"/>
          <w:shd w:val="clear" w:color="auto" w:fill="FFFFFF"/>
        </w:rPr>
        <w:t>Conforme o Estudo Técnico Preliminar , a necessidade decorre da urgência em evitar a interrupção dos serviços, o que impactaria diretamente na qualidade do atendimento e na saúde dos cidadãos que dependem diariamente da rede pública de saúde. Além disso, a contratação será realizada com base na escolha de uma empresa autorizada pelo fabricante, garantindo segurança e conformidade com as normas vigentes, bem como a utilização de peças originais e serviços qualificados.</w:t>
      </w:r>
    </w:p>
    <w:p w14:paraId="4A330FFB">
      <w:pPr>
        <w:pStyle w:val="37"/>
        <w:spacing w:line="360" w:lineRule="auto"/>
        <w:ind w:left="0" w:leftChars="0" w:firstLine="480" w:firstLineChars="200"/>
        <w:jc w:val="both"/>
        <w:rPr>
          <w:rFonts w:ascii="Arial" w:hAnsi="Arial"/>
          <w:b w:val="0"/>
          <w:bCs w:val="0"/>
          <w:color w:val="000000"/>
          <w:shd w:val="clear" w:color="auto" w:fill="FFFFFF"/>
        </w:rPr>
      </w:pPr>
      <w:r>
        <w:rPr>
          <w:rFonts w:ascii="Arial" w:hAnsi="Arial"/>
          <w:b w:val="0"/>
          <w:bCs w:val="0"/>
          <w:color w:val="000000"/>
          <w:shd w:val="clear" w:color="auto" w:fill="FFFFFF"/>
        </w:rPr>
        <w:t>O processo está respaldado pelo Decreto Municipal 022/2024, Decreto Estadual nº 4794 e Portaria Ministerial nº 777, que reconhecem a situação de emergência em saúde pública no município de Antonina-PR, reforçando a necessidade de agilidade e viabilidade na execução dos serviços.</w:t>
      </w:r>
    </w:p>
    <w:p w14:paraId="7B14171D">
      <w:pPr>
        <w:pStyle w:val="37"/>
        <w:spacing w:line="360" w:lineRule="auto"/>
        <w:ind w:left="0" w:leftChars="0" w:firstLine="480" w:firstLineChars="200"/>
        <w:jc w:val="both"/>
        <w:rPr>
          <w:rFonts w:ascii="Arial" w:hAnsi="Arial"/>
          <w:b w:val="0"/>
          <w:bCs w:val="0"/>
          <w:color w:val="000000"/>
          <w:shd w:val="clear" w:color="auto" w:fill="FFFFFF"/>
        </w:rPr>
      </w:pPr>
      <w:r>
        <w:rPr>
          <w:rFonts w:ascii="Arial" w:hAnsi="Arial"/>
          <w:b w:val="0"/>
          <w:bCs w:val="0"/>
          <w:color w:val="000000"/>
          <w:shd w:val="clear" w:color="auto" w:fill="FFFFFF"/>
        </w:rPr>
        <w:t>Dessa forma, a presente contratação visa assegurar o pleno funcionamento do equipamento, evitando prejuízos aos serviços de saúde pública e garantindo a continuidade no atendimento à população.</w:t>
      </w:r>
    </w:p>
    <w:p w14:paraId="77C9CFDA">
      <w:pPr>
        <w:pStyle w:val="37"/>
        <w:spacing w:line="360" w:lineRule="auto"/>
        <w:jc w:val="both"/>
        <w:rPr>
          <w:rFonts w:ascii="Arial" w:hAnsi="Arial"/>
          <w:bCs/>
          <w:color w:val="000000"/>
        </w:rPr>
      </w:pPr>
    </w:p>
    <w:p w14:paraId="1437E405">
      <w:pPr>
        <w:pStyle w:val="38"/>
        <w:spacing w:after="0" w:line="360" w:lineRule="auto"/>
        <w:outlineLvl w:val="9"/>
        <w:rPr>
          <w:sz w:val="24"/>
          <w:szCs w:val="24"/>
        </w:rPr>
      </w:pPr>
      <w:r>
        <w:rPr>
          <w:sz w:val="24"/>
          <w:szCs w:val="24"/>
        </w:rPr>
        <w:t>3. DESCRIÇÃO DA SOLUÇÃO</w:t>
      </w:r>
    </w:p>
    <w:p w14:paraId="5D855941">
      <w:pPr>
        <w:pStyle w:val="37"/>
        <w:spacing w:line="360" w:lineRule="auto"/>
        <w:jc w:val="both"/>
        <w:rPr>
          <w:rFonts w:ascii="Arial" w:hAnsi="Arial"/>
          <w:bCs/>
          <w:i/>
        </w:rPr>
      </w:pPr>
      <w:r>
        <w:rPr>
          <w:rFonts w:ascii="Arial" w:hAnsi="Arial"/>
          <w:b/>
          <w:bCs/>
        </w:rPr>
        <w:t>3.1.1</w:t>
      </w:r>
      <w:r>
        <w:rPr>
          <w:rFonts w:ascii="Arial" w:hAnsi="Arial"/>
          <w:bCs/>
        </w:rPr>
        <w:t xml:space="preserve"> A descrição da solução como um todo encontra-se pormenorizada em tópico específico do Estudo Técnico Preliminar, apêndice deste Termo de Referência</w:t>
      </w:r>
      <w:r>
        <w:rPr>
          <w:rFonts w:ascii="Arial" w:hAnsi="Arial"/>
          <w:bCs/>
          <w:i/>
        </w:rPr>
        <w:t>.</w:t>
      </w:r>
    </w:p>
    <w:p w14:paraId="76314E0E">
      <w:pPr>
        <w:pStyle w:val="37"/>
        <w:spacing w:line="360" w:lineRule="auto"/>
        <w:jc w:val="both"/>
        <w:rPr>
          <w:rFonts w:ascii="Arial" w:hAnsi="Arial"/>
          <w:bCs/>
        </w:rPr>
      </w:pPr>
    </w:p>
    <w:p w14:paraId="039E9E3E">
      <w:pPr>
        <w:pStyle w:val="37"/>
        <w:spacing w:line="360" w:lineRule="auto"/>
        <w:jc w:val="both"/>
        <w:rPr>
          <w:rFonts w:ascii="Arial" w:hAnsi="Arial"/>
          <w:b/>
          <w:bCs/>
        </w:rPr>
      </w:pPr>
      <w:r>
        <w:rPr>
          <w:rFonts w:ascii="Arial" w:hAnsi="Arial"/>
          <w:b/>
          <w:bCs/>
        </w:rPr>
        <w:t>4. REQUISITOS DA CONTRATAÇÃO</w:t>
      </w:r>
    </w:p>
    <w:p w14:paraId="060B3B3E">
      <w:pPr>
        <w:pStyle w:val="37"/>
        <w:spacing w:line="360" w:lineRule="auto"/>
        <w:jc w:val="both"/>
        <w:rPr>
          <w:rFonts w:ascii="Arial" w:hAnsi="Arial"/>
          <w:b/>
          <w:bCs/>
          <w:color w:val="000000" w:themeColor="text1"/>
          <w14:textFill>
            <w14:solidFill>
              <w14:schemeClr w14:val="tx1"/>
            </w14:solidFill>
          </w14:textFill>
        </w:rPr>
      </w:pPr>
      <w:r>
        <w:rPr>
          <w:rFonts w:ascii="Arial" w:hAnsi="Arial"/>
          <w:b/>
          <w:bCs/>
          <w:color w:val="000000"/>
        </w:rPr>
        <w:t xml:space="preserve">4.1. </w:t>
      </w:r>
      <w:r>
        <w:rPr>
          <w:rFonts w:ascii="Arial" w:hAnsi="Arial"/>
          <w:b/>
          <w:bCs/>
          <w:color w:val="000000" w:themeColor="text1"/>
          <w14:textFill>
            <w14:solidFill>
              <w14:schemeClr w14:val="tx1"/>
            </w14:solidFill>
          </w14:textFill>
        </w:rPr>
        <w:t>SUSTENTABILIDADE</w:t>
      </w:r>
    </w:p>
    <w:p w14:paraId="6E0BFC45">
      <w:pPr>
        <w:pStyle w:val="37"/>
        <w:spacing w:line="360" w:lineRule="auto"/>
        <w:jc w:val="both"/>
        <w:rPr>
          <w:rFonts w:ascii="Arial" w:hAnsi="Arial"/>
          <w:b w:val="0"/>
          <w:bCs w:val="0"/>
        </w:rPr>
      </w:pPr>
      <w:r>
        <w:rPr>
          <w:rFonts w:ascii="Arial" w:hAnsi="Arial"/>
          <w:b w:val="0"/>
          <w:bCs w:val="0"/>
        </w:rPr>
        <w:t>Dada a natureza do objeto que se pretende contratar, não se verificam impactos ambientais relevantes, conforme ETP.</w:t>
      </w:r>
    </w:p>
    <w:p w14:paraId="0D0BD816">
      <w:pPr>
        <w:pStyle w:val="37"/>
        <w:spacing w:line="360" w:lineRule="auto"/>
        <w:jc w:val="both"/>
        <w:rPr>
          <w:rFonts w:ascii="Arial" w:hAnsi="Arial"/>
          <w:b/>
          <w:bCs/>
        </w:rPr>
      </w:pPr>
    </w:p>
    <w:p w14:paraId="7AD55EBF">
      <w:pPr>
        <w:pStyle w:val="37"/>
        <w:spacing w:line="360" w:lineRule="auto"/>
        <w:jc w:val="both"/>
        <w:rPr>
          <w:rFonts w:ascii="Arial" w:hAnsi="Arial"/>
          <w:b/>
          <w:bCs/>
          <w:color w:val="000000"/>
        </w:rPr>
      </w:pPr>
      <w:r>
        <w:rPr>
          <w:rFonts w:ascii="Arial" w:hAnsi="Arial"/>
          <w:b/>
          <w:bCs/>
          <w:color w:val="000000"/>
        </w:rPr>
        <w:t xml:space="preserve">4.2. AMOSTRAS </w:t>
      </w:r>
    </w:p>
    <w:p w14:paraId="7D517B15">
      <w:pPr>
        <w:pStyle w:val="37"/>
        <w:spacing w:line="360" w:lineRule="auto"/>
        <w:jc w:val="both"/>
        <w:rPr>
          <w:rFonts w:ascii="Arial" w:hAnsi="Arial"/>
          <w:bCs/>
          <w:color w:val="000000"/>
        </w:rPr>
      </w:pPr>
      <w:r>
        <w:rPr>
          <w:rFonts w:ascii="Arial" w:hAnsi="Arial"/>
          <w:b/>
          <w:bCs/>
          <w:color w:val="000000"/>
        </w:rPr>
        <w:t xml:space="preserve">4.2.1. </w:t>
      </w:r>
      <w:r>
        <w:rPr>
          <w:rFonts w:ascii="Arial" w:hAnsi="Arial"/>
          <w:bCs/>
          <w:color w:val="000000"/>
        </w:rPr>
        <w:t>Não será solicitada amostra para análise técnica das proponentes.</w:t>
      </w:r>
    </w:p>
    <w:p w14:paraId="614BCF0D">
      <w:pPr>
        <w:pStyle w:val="37"/>
        <w:spacing w:line="360" w:lineRule="auto"/>
        <w:jc w:val="both"/>
        <w:rPr>
          <w:rFonts w:ascii="Arial" w:hAnsi="Arial"/>
          <w:bCs/>
          <w:color w:val="000000"/>
        </w:rPr>
      </w:pPr>
    </w:p>
    <w:p w14:paraId="0E7826E0">
      <w:pPr>
        <w:pStyle w:val="3"/>
        <w:spacing w:before="0" w:after="0" w:line="360" w:lineRule="auto"/>
        <w:jc w:val="both"/>
        <w:rPr>
          <w:rFonts w:ascii="Arial" w:hAnsi="Arial"/>
        </w:rPr>
      </w:pPr>
      <w:r>
        <w:rPr>
          <w:rFonts w:ascii="Arial" w:hAnsi="Arial"/>
        </w:rPr>
        <w:t xml:space="preserve">4.3. SUBCONTRATAÇÃO </w:t>
      </w:r>
    </w:p>
    <w:p w14:paraId="50B9877A">
      <w:pPr>
        <w:pStyle w:val="37"/>
        <w:spacing w:line="360" w:lineRule="auto"/>
        <w:jc w:val="both"/>
        <w:rPr>
          <w:rFonts w:ascii="Arial" w:hAnsi="Arial"/>
          <w:bCs/>
          <w:color w:val="000000"/>
        </w:rPr>
      </w:pPr>
      <w:r>
        <w:rPr>
          <w:rFonts w:ascii="Arial" w:hAnsi="Arial"/>
          <w:b/>
          <w:bCs/>
          <w:color w:val="000000"/>
        </w:rPr>
        <w:t>4.3.1.</w:t>
      </w:r>
      <w:r>
        <w:rPr>
          <w:rFonts w:ascii="Arial" w:hAnsi="Arial"/>
          <w:bCs/>
          <w:color w:val="000000"/>
        </w:rPr>
        <w:t xml:space="preserve"> Não é admitida a subcontratação do objeto contratual.</w:t>
      </w:r>
    </w:p>
    <w:p w14:paraId="79714556">
      <w:pPr>
        <w:pStyle w:val="37"/>
        <w:spacing w:line="360" w:lineRule="auto"/>
        <w:jc w:val="both"/>
        <w:rPr>
          <w:rFonts w:ascii="Arial" w:hAnsi="Arial"/>
          <w:bCs/>
          <w:color w:val="FF0000"/>
        </w:rPr>
      </w:pPr>
    </w:p>
    <w:p w14:paraId="7E6E840B">
      <w:pPr>
        <w:pStyle w:val="38"/>
        <w:spacing w:after="0" w:line="360" w:lineRule="auto"/>
        <w:outlineLvl w:val="9"/>
        <w:rPr>
          <w:sz w:val="24"/>
          <w:szCs w:val="24"/>
        </w:rPr>
      </w:pPr>
      <w:r>
        <w:rPr>
          <w:sz w:val="24"/>
          <w:szCs w:val="24"/>
        </w:rPr>
        <w:t>4.4. DA GARANTIA DA CONTRATAÇÃO</w:t>
      </w:r>
    </w:p>
    <w:p w14:paraId="782DC573">
      <w:pPr>
        <w:pStyle w:val="37"/>
        <w:spacing w:line="360" w:lineRule="auto"/>
        <w:jc w:val="both"/>
        <w:rPr>
          <w:rFonts w:ascii="Arial" w:hAnsi="Arial"/>
        </w:rPr>
      </w:pPr>
      <w:r>
        <w:rPr>
          <w:rFonts w:ascii="Arial" w:hAnsi="Arial"/>
          <w:b/>
        </w:rPr>
        <w:t>4.4.1.</w:t>
      </w:r>
      <w:r>
        <w:rPr>
          <w:rFonts w:ascii="Arial" w:hAnsi="Arial"/>
        </w:rPr>
        <w:t xml:space="preserve"> Não haverá exigência da garantia da contratação dos artigos 96 e seguintes da Lei nº 14.133, de 2021, pelas razões constantes do Estudo Técnico Preliminar.</w:t>
      </w:r>
    </w:p>
    <w:p w14:paraId="2145D598">
      <w:pPr>
        <w:pStyle w:val="37"/>
        <w:spacing w:line="360" w:lineRule="auto"/>
        <w:jc w:val="both"/>
        <w:rPr>
          <w:rFonts w:ascii="Arial" w:hAnsi="Arial"/>
        </w:rPr>
      </w:pPr>
    </w:p>
    <w:p w14:paraId="42444F88">
      <w:pPr>
        <w:pStyle w:val="38"/>
        <w:spacing w:after="0" w:line="360" w:lineRule="auto"/>
        <w:outlineLvl w:val="9"/>
        <w:rPr>
          <w:sz w:val="24"/>
          <w:szCs w:val="24"/>
        </w:rPr>
      </w:pPr>
      <w:r>
        <w:rPr>
          <w:sz w:val="24"/>
          <w:szCs w:val="24"/>
        </w:rPr>
        <w:t>5. MODELO DE EXECUÇÃO</w:t>
      </w:r>
    </w:p>
    <w:p w14:paraId="26432BE9">
      <w:pPr>
        <w:pStyle w:val="37"/>
        <w:spacing w:line="360" w:lineRule="auto"/>
        <w:jc w:val="both"/>
        <w:rPr>
          <w:rFonts w:ascii="Arial" w:hAnsi="Arial"/>
          <w:b/>
        </w:rPr>
      </w:pPr>
      <w:r>
        <w:rPr>
          <w:rFonts w:ascii="Arial" w:hAnsi="Arial"/>
          <w:b/>
        </w:rPr>
        <w:t>5.1. CONDIÇÕES DE ENTREGA</w:t>
      </w:r>
    </w:p>
    <w:p w14:paraId="6D3CB708">
      <w:pPr>
        <w:pStyle w:val="37"/>
        <w:spacing w:line="360" w:lineRule="auto"/>
        <w:jc w:val="both"/>
        <w:rPr>
          <w:rFonts w:ascii="Arial" w:hAnsi="Arial"/>
          <w:b w:val="0"/>
          <w:bCs/>
          <w:color w:val="000000"/>
        </w:rPr>
      </w:pPr>
      <w:r>
        <w:rPr>
          <w:rFonts w:ascii="Arial" w:hAnsi="Arial"/>
          <w:b w:val="0"/>
          <w:bCs/>
          <w:color w:val="000000"/>
        </w:rPr>
        <w:t xml:space="preserve">a) </w:t>
      </w:r>
      <w:r>
        <w:rPr>
          <w:rFonts w:hint="default" w:ascii="Arial" w:hAnsi="Arial"/>
          <w:b w:val="0"/>
          <w:bCs/>
          <w:color w:val="000000"/>
          <w:lang w:val="pt-BR"/>
        </w:rPr>
        <w:t>Os serviços deverão ser iniciados em até 03 (três) dias</w:t>
      </w:r>
      <w:r>
        <w:rPr>
          <w:rFonts w:ascii="Arial" w:hAnsi="Arial"/>
          <w:b w:val="0"/>
          <w:bCs/>
          <w:color w:val="000000"/>
        </w:rPr>
        <w:t xml:space="preserve"> após o recebimento da nota de empenho.</w:t>
      </w:r>
    </w:p>
    <w:p w14:paraId="6569AD04">
      <w:pPr>
        <w:pStyle w:val="37"/>
        <w:spacing w:line="360" w:lineRule="auto"/>
        <w:jc w:val="both"/>
        <w:rPr>
          <w:rFonts w:ascii="Arial" w:hAnsi="Arial"/>
          <w:b w:val="0"/>
          <w:bCs/>
          <w:color w:val="000000"/>
        </w:rPr>
      </w:pPr>
      <w:r>
        <w:rPr>
          <w:rFonts w:hint="default" w:ascii="Arial" w:hAnsi="Arial"/>
          <w:b w:val="0"/>
          <w:bCs/>
          <w:color w:val="000000"/>
        </w:rPr>
        <w:t>b) Caso não seja possível a prestação dos serviços no prazo indicado, o contratado deverá comunicar as razões respectivas com pelo menos (02) dois dias de antecedência para que qualquer pleito de prorrogação de prazo seja analisado, ressalvadas situações de caso fortuito e força maior.</w:t>
      </w:r>
    </w:p>
    <w:p w14:paraId="163C5A89">
      <w:pPr>
        <w:pStyle w:val="37"/>
        <w:spacing w:line="360" w:lineRule="auto"/>
        <w:jc w:val="both"/>
        <w:rPr>
          <w:rFonts w:ascii="Arial" w:hAnsi="Arial"/>
          <w:b w:val="0"/>
          <w:bCs/>
          <w:color w:val="000000"/>
        </w:rPr>
      </w:pPr>
      <w:r>
        <w:rPr>
          <w:rFonts w:hint="default" w:ascii="Arial" w:hAnsi="Arial"/>
          <w:b w:val="0"/>
          <w:bCs/>
          <w:color w:val="000000"/>
        </w:rPr>
        <w:t>c) O Contratada deverá ter disponibilidade de realizar os serviços do objeto contratado no(s) endereço(s) indicado no empenho.</w:t>
      </w:r>
    </w:p>
    <w:p w14:paraId="6C17750F">
      <w:pPr>
        <w:pStyle w:val="37"/>
        <w:spacing w:line="360" w:lineRule="auto"/>
        <w:jc w:val="both"/>
        <w:rPr>
          <w:rFonts w:ascii="Arial" w:hAnsi="Arial"/>
          <w:b w:val="0"/>
          <w:bCs/>
          <w:color w:val="000000"/>
        </w:rPr>
      </w:pPr>
      <w:r>
        <w:rPr>
          <w:rFonts w:hint="default" w:ascii="Arial" w:hAnsi="Arial"/>
          <w:b w:val="0"/>
          <w:bCs/>
          <w:color w:val="000000"/>
        </w:rPr>
        <w:t>d) Serão recusados os serviços se identificadas irregularidades em sua prestação, ou seja, que estiverem em desacordo com as condições deste termo de referência.</w:t>
      </w:r>
    </w:p>
    <w:p w14:paraId="45B3AC68">
      <w:pPr>
        <w:pStyle w:val="37"/>
        <w:spacing w:line="360" w:lineRule="auto"/>
        <w:jc w:val="both"/>
        <w:rPr>
          <w:rFonts w:ascii="Arial" w:hAnsi="Arial"/>
          <w:b w:val="0"/>
          <w:bCs/>
          <w:color w:val="000000"/>
        </w:rPr>
      </w:pPr>
      <w:r>
        <w:rPr>
          <w:rFonts w:hint="default" w:ascii="Arial" w:hAnsi="Arial"/>
          <w:b w:val="0"/>
          <w:bCs/>
          <w:color w:val="000000"/>
        </w:rPr>
        <w:t xml:space="preserve">e) Se identificadas irregularidades, a contratada terá até 24 (vinte e quatro) horas para refazer, contados a partir da comunicação formal do responsável técnico da Secretaria Municipal de </w:t>
      </w:r>
      <w:r>
        <w:rPr>
          <w:rFonts w:hint="default" w:ascii="Arial" w:hAnsi="Arial"/>
          <w:b w:val="0"/>
          <w:bCs/>
          <w:color w:val="000000"/>
          <w:lang w:val="pt-BR"/>
        </w:rPr>
        <w:t>Saúde</w:t>
      </w:r>
      <w:r>
        <w:rPr>
          <w:rFonts w:hint="default" w:ascii="Arial" w:hAnsi="Arial"/>
          <w:b w:val="0"/>
          <w:bCs/>
          <w:color w:val="000000"/>
        </w:rPr>
        <w:t>, a qual, ocorrerá por escrito e será encaminhada por meio eletrônico (e-mail).</w:t>
      </w:r>
    </w:p>
    <w:p w14:paraId="189E6472">
      <w:pPr>
        <w:pStyle w:val="37"/>
        <w:spacing w:line="360" w:lineRule="auto"/>
        <w:jc w:val="both"/>
        <w:rPr>
          <w:rFonts w:ascii="Arial" w:hAnsi="Arial"/>
          <w:b w:val="0"/>
          <w:bCs/>
          <w:color w:val="000000"/>
        </w:rPr>
      </w:pPr>
      <w:r>
        <w:rPr>
          <w:rFonts w:hint="default" w:ascii="Arial" w:hAnsi="Arial"/>
          <w:b w:val="0"/>
          <w:bCs/>
          <w:color w:val="000000"/>
        </w:rPr>
        <w:t>f)  A contratada arcará com todas as despesas para realização dos serviços, nos termos descritos neste documento. </w:t>
      </w:r>
    </w:p>
    <w:p w14:paraId="64978241">
      <w:pPr>
        <w:pStyle w:val="37"/>
        <w:spacing w:line="360" w:lineRule="auto"/>
        <w:jc w:val="both"/>
        <w:rPr>
          <w:rFonts w:ascii="Arial" w:hAnsi="Arial"/>
          <w:b/>
          <w:color w:val="000000"/>
        </w:rPr>
      </w:pPr>
    </w:p>
    <w:p w14:paraId="2C22094C">
      <w:pPr>
        <w:pStyle w:val="37"/>
        <w:spacing w:line="360" w:lineRule="auto"/>
        <w:jc w:val="both"/>
        <w:rPr>
          <w:rFonts w:ascii="Arial" w:hAnsi="Arial"/>
          <w:b/>
          <w:color w:val="000000"/>
        </w:rPr>
      </w:pPr>
      <w:r>
        <w:rPr>
          <w:rFonts w:ascii="Arial" w:hAnsi="Arial"/>
          <w:b/>
        </w:rPr>
        <w:t>5.2. O</w:t>
      </w:r>
      <w:r>
        <w:rPr>
          <w:rFonts w:ascii="Arial" w:hAnsi="Arial"/>
          <w:b/>
          <w:color w:val="000000"/>
        </w:rPr>
        <w:t>BRIGAÇÕES DA CONTRATADA</w:t>
      </w:r>
    </w:p>
    <w:p w14:paraId="4C8B0E9A">
      <w:pPr>
        <w:pStyle w:val="37"/>
        <w:spacing w:line="360" w:lineRule="auto"/>
        <w:jc w:val="both"/>
        <w:rPr>
          <w:rFonts w:ascii="Arial" w:hAnsi="Arial"/>
          <w:color w:val="000000"/>
        </w:rPr>
      </w:pPr>
      <w:r>
        <w:rPr>
          <w:rFonts w:ascii="Arial" w:hAnsi="Arial"/>
          <w:b/>
          <w:color w:val="000000"/>
        </w:rPr>
        <w:t>5.2.1.</w:t>
      </w:r>
      <w:r>
        <w:rPr>
          <w:rFonts w:ascii="Arial" w:hAnsi="Arial"/>
          <w:color w:val="000000"/>
        </w:rPr>
        <w:t xml:space="preserve"> São obrigações da Contratada:</w:t>
      </w:r>
    </w:p>
    <w:p w14:paraId="09FA55C6">
      <w:pPr>
        <w:pStyle w:val="37"/>
        <w:spacing w:line="360" w:lineRule="auto"/>
        <w:jc w:val="both"/>
        <w:rPr>
          <w:rFonts w:ascii="Arial" w:hAnsi="Arial"/>
          <w:color w:val="000000"/>
        </w:rPr>
      </w:pPr>
      <w:r>
        <w:rPr>
          <w:rFonts w:ascii="Arial" w:hAnsi="Arial"/>
          <w:b/>
          <w:color w:val="000000"/>
        </w:rPr>
        <w:t>I.</w:t>
      </w:r>
      <w:r>
        <w:rPr>
          <w:rFonts w:ascii="Arial" w:hAnsi="Arial"/>
          <w:color w:val="000000"/>
        </w:rPr>
        <w:t xml:space="preserve"> Efetuar a prestação dos serviços em perfeitas condições, conforme especificações, prazo e local constantes neste termo, acompanhado da respectiva nota fiscal;</w:t>
      </w:r>
    </w:p>
    <w:p w14:paraId="7CA66B5F">
      <w:pPr>
        <w:pStyle w:val="37"/>
        <w:spacing w:line="360" w:lineRule="auto"/>
        <w:jc w:val="both"/>
        <w:rPr>
          <w:rFonts w:ascii="Arial" w:hAnsi="Arial"/>
          <w:color w:val="000000"/>
        </w:rPr>
      </w:pPr>
      <w:r>
        <w:rPr>
          <w:rFonts w:hint="default" w:ascii="Arial" w:hAnsi="Arial"/>
          <w:b/>
          <w:bCs/>
          <w:color w:val="000000"/>
        </w:rPr>
        <w:t xml:space="preserve">II. </w:t>
      </w:r>
      <w:r>
        <w:rPr>
          <w:rFonts w:hint="default" w:ascii="Arial" w:hAnsi="Arial"/>
          <w:color w:val="000000"/>
        </w:rPr>
        <w:t>Pagar todos os tributos que, direta ou indiretamente, incidam sobre a prestação dos serviços, inclusive as contribuições previdenciárias, fiscais e para fiscais, FGTS, PIS, emolumentos, seguros de acidentes de trabalho, etc., ficando excluída qualquer solidariedade da contratante por eventuais autuações administrativas e/ou judiciais uma vez que a inadimplência da contratada, com referência às suas obrigações, não se transfere à contratante.</w:t>
      </w:r>
    </w:p>
    <w:p w14:paraId="1E6E52BB">
      <w:pPr>
        <w:pStyle w:val="37"/>
        <w:spacing w:line="360" w:lineRule="auto"/>
        <w:jc w:val="both"/>
        <w:rPr>
          <w:rFonts w:ascii="Arial" w:hAnsi="Arial"/>
          <w:color w:val="000000"/>
        </w:rPr>
      </w:pPr>
      <w:r>
        <w:rPr>
          <w:rFonts w:hint="default" w:ascii="Arial" w:hAnsi="Arial"/>
          <w:b/>
          <w:bCs/>
          <w:color w:val="000000"/>
        </w:rPr>
        <w:t>III.</w:t>
      </w:r>
      <w:r>
        <w:rPr>
          <w:rFonts w:hint="default" w:ascii="Arial" w:hAnsi="Arial"/>
          <w:color w:val="000000"/>
        </w:rPr>
        <w:t xml:space="preserve"> Arcar com eventuais prejuízos causados à contratante e/ou terceiros, provocados por ineficiência ou irregularidade cometida por seus empregados ou prepostos envolvidos na execução do contrato que não terão nenhum vínculo empregatício com a administração;</w:t>
      </w:r>
    </w:p>
    <w:p w14:paraId="352F043B">
      <w:pPr>
        <w:pStyle w:val="37"/>
        <w:spacing w:line="360" w:lineRule="auto"/>
        <w:jc w:val="both"/>
        <w:rPr>
          <w:rFonts w:ascii="Arial" w:hAnsi="Arial"/>
          <w:color w:val="000000"/>
        </w:rPr>
      </w:pPr>
      <w:r>
        <w:rPr>
          <w:rFonts w:hint="default" w:ascii="Arial" w:hAnsi="Arial"/>
          <w:b/>
          <w:bCs/>
          <w:color w:val="000000"/>
        </w:rPr>
        <w:t>IV.</w:t>
      </w:r>
      <w:r>
        <w:rPr>
          <w:rFonts w:hint="default" w:ascii="Arial" w:hAnsi="Arial"/>
          <w:color w:val="000000"/>
        </w:rPr>
        <w:t xml:space="preserve"> Manter durante toda a execução do contrato, em compatibilidade com as obrigações por ele assumidas, todas as condições de habilitação e qualificação exigidas na presente contratação;</w:t>
      </w:r>
    </w:p>
    <w:p w14:paraId="2805AC8D">
      <w:pPr>
        <w:pStyle w:val="37"/>
        <w:spacing w:line="360" w:lineRule="auto"/>
        <w:jc w:val="both"/>
        <w:rPr>
          <w:rFonts w:ascii="Arial" w:hAnsi="Arial"/>
          <w:color w:val="000000"/>
        </w:rPr>
      </w:pPr>
      <w:r>
        <w:rPr>
          <w:rFonts w:hint="default" w:ascii="Arial" w:hAnsi="Arial"/>
          <w:b/>
          <w:bCs/>
          <w:color w:val="000000"/>
        </w:rPr>
        <w:t>V.</w:t>
      </w:r>
      <w:r>
        <w:rPr>
          <w:rFonts w:hint="default" w:ascii="Arial" w:hAnsi="Arial"/>
          <w:color w:val="000000"/>
        </w:rPr>
        <w:t xml:space="preserve"> Executar os serviços obedecendo às quantidades de reparos requisitados, qualidade, horários, prazos e locais estabelecidos.</w:t>
      </w:r>
    </w:p>
    <w:p w14:paraId="5C877675">
      <w:pPr>
        <w:pStyle w:val="37"/>
        <w:spacing w:line="360" w:lineRule="auto"/>
        <w:jc w:val="both"/>
        <w:rPr>
          <w:rFonts w:ascii="Arial" w:hAnsi="Arial"/>
          <w:color w:val="000000"/>
        </w:rPr>
      </w:pPr>
      <w:r>
        <w:rPr>
          <w:rFonts w:hint="default" w:ascii="Arial" w:hAnsi="Arial"/>
          <w:b/>
          <w:bCs/>
          <w:color w:val="000000"/>
        </w:rPr>
        <w:t>VI</w:t>
      </w:r>
      <w:r>
        <w:rPr>
          <w:rFonts w:hint="default" w:ascii="Arial" w:hAnsi="Arial"/>
          <w:color w:val="000000"/>
        </w:rPr>
        <w:t>. Comunicar ao Contratante, no prazo máximo de 24 (vinte e quatro) horas que antecede a data da execução dos serviços, os motivos que impossibilitem o cumprimento do prazo previsto, com a devida comprovação;</w:t>
      </w:r>
    </w:p>
    <w:p w14:paraId="60B3C538">
      <w:pPr>
        <w:pStyle w:val="37"/>
        <w:spacing w:line="360" w:lineRule="auto"/>
        <w:jc w:val="both"/>
        <w:rPr>
          <w:rFonts w:ascii="Arial" w:hAnsi="Arial"/>
          <w:color w:val="000000"/>
        </w:rPr>
      </w:pPr>
      <w:r>
        <w:rPr>
          <w:rFonts w:hint="default" w:ascii="Arial" w:hAnsi="Arial"/>
          <w:b/>
          <w:bCs/>
          <w:color w:val="000000"/>
        </w:rPr>
        <w:t>VII.</w:t>
      </w:r>
      <w:r>
        <w:rPr>
          <w:rFonts w:hint="default" w:ascii="Arial" w:hAnsi="Arial"/>
          <w:color w:val="000000"/>
        </w:rPr>
        <w:t xml:space="preserve"> Indicar preposto para representa-lo durante a execução do contrato, e também manter comunicação com a Administração para gestão do contrato;</w:t>
      </w:r>
    </w:p>
    <w:p w14:paraId="4D5661C2">
      <w:pPr>
        <w:pStyle w:val="37"/>
        <w:spacing w:line="360" w:lineRule="auto"/>
        <w:jc w:val="both"/>
        <w:rPr>
          <w:rFonts w:ascii="Arial" w:hAnsi="Arial"/>
          <w:color w:val="000000"/>
        </w:rPr>
      </w:pPr>
      <w:r>
        <w:rPr>
          <w:rFonts w:hint="default" w:ascii="Arial" w:hAnsi="Arial"/>
          <w:b/>
          <w:bCs/>
          <w:color w:val="000000"/>
        </w:rPr>
        <w:t>VIII.</w:t>
      </w:r>
      <w:r>
        <w:rPr>
          <w:rFonts w:hint="default" w:ascii="Arial" w:hAnsi="Arial"/>
          <w:color w:val="000000"/>
        </w:rPr>
        <w:t xml:space="preserve"> Manter durante toda a vigência do contrato, em compatibilidade com as obrigações assumidas, todas as condições de habilitação e qualificação exigidas na licitação;</w:t>
      </w:r>
    </w:p>
    <w:p w14:paraId="0E201963">
      <w:pPr>
        <w:pStyle w:val="37"/>
        <w:spacing w:line="360" w:lineRule="auto"/>
        <w:jc w:val="both"/>
        <w:rPr>
          <w:rFonts w:ascii="Arial" w:hAnsi="Arial"/>
          <w:color w:val="000000"/>
        </w:rPr>
      </w:pPr>
      <w:r>
        <w:rPr>
          <w:rFonts w:hint="default" w:ascii="Arial" w:hAnsi="Arial"/>
          <w:b/>
          <w:bCs/>
          <w:color w:val="000000"/>
        </w:rPr>
        <w:t>IX.</w:t>
      </w:r>
      <w:r>
        <w:rPr>
          <w:rFonts w:hint="default" w:ascii="Arial" w:hAnsi="Arial"/>
          <w:color w:val="000000"/>
        </w:rPr>
        <w:t xml:space="preserve"> Guardar sigilo sobre todas as informações obtidas em decorrência do cumprimento do contrato;</w:t>
      </w:r>
    </w:p>
    <w:p w14:paraId="390B077E">
      <w:pPr>
        <w:pStyle w:val="37"/>
        <w:spacing w:line="360" w:lineRule="auto"/>
        <w:jc w:val="both"/>
        <w:rPr>
          <w:rFonts w:ascii="Arial" w:hAnsi="Arial"/>
          <w:color w:val="000000"/>
        </w:rPr>
      </w:pPr>
      <w:r>
        <w:rPr>
          <w:rFonts w:hint="default" w:ascii="Arial" w:hAnsi="Arial"/>
          <w:b/>
          <w:bCs/>
          <w:color w:val="000000"/>
        </w:rPr>
        <w:t>X.</w:t>
      </w:r>
      <w:r>
        <w:rPr>
          <w:rFonts w:hint="default" w:ascii="Arial" w:hAnsi="Arial"/>
          <w:color w:val="000000"/>
        </w:rPr>
        <w:t xml:space="preserve"> Arcar com o ônus decorrente de eventual erro no dimensionamento dos quantitativos de sua proposta, devendo complementá-los, caso o previsto inicialmente em sua proposta não seja satisfatório para o atendimento ao objeto desta aquisição,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Administração ou ainda aumento das quantidades inicialmente previstas do contrato, nos limites permitidos pela Lei Federal 14.133, de 2021.</w:t>
      </w:r>
    </w:p>
    <w:p w14:paraId="73E2B2BA">
      <w:pPr>
        <w:pStyle w:val="37"/>
        <w:spacing w:line="360" w:lineRule="auto"/>
        <w:jc w:val="both"/>
        <w:rPr>
          <w:rFonts w:ascii="Arial" w:hAnsi="Arial"/>
        </w:rPr>
      </w:pPr>
    </w:p>
    <w:p w14:paraId="47D72461">
      <w:pPr>
        <w:pStyle w:val="37"/>
        <w:spacing w:line="360" w:lineRule="auto"/>
        <w:jc w:val="both"/>
        <w:rPr>
          <w:rFonts w:ascii="Arial" w:hAnsi="Arial"/>
        </w:rPr>
      </w:pPr>
      <w:r>
        <w:rPr>
          <w:rFonts w:ascii="Arial" w:hAnsi="Arial"/>
          <w:b/>
        </w:rPr>
        <w:t>5.3.</w:t>
      </w:r>
      <w:r>
        <w:rPr>
          <w:rFonts w:ascii="Arial" w:hAnsi="Arial"/>
          <w:b/>
          <w:bCs/>
          <w:color w:val="000000"/>
        </w:rPr>
        <w:t xml:space="preserve"> SANÇÕES ADMINISTRATIVAS</w:t>
      </w:r>
    </w:p>
    <w:p w14:paraId="239B816B">
      <w:pPr>
        <w:pStyle w:val="37"/>
        <w:spacing w:line="360" w:lineRule="auto"/>
        <w:jc w:val="both"/>
        <w:rPr>
          <w:rFonts w:ascii="Arial" w:hAnsi="Arial"/>
        </w:rPr>
      </w:pPr>
      <w:r>
        <w:rPr>
          <w:rFonts w:ascii="Arial" w:hAnsi="Arial" w:eastAsia="Arial"/>
          <w:b/>
          <w:color w:val="000000"/>
          <w:shd w:val="clear" w:color="auto" w:fill="FFFFFF"/>
        </w:rPr>
        <w:t xml:space="preserve">5.3.1. </w:t>
      </w:r>
      <w:r>
        <w:rPr>
          <w:rFonts w:ascii="Arial" w:hAnsi="Arial" w:eastAsia="Arial"/>
          <w:color w:val="000000"/>
          <w:shd w:val="clear" w:color="auto" w:fill="FFFFFF"/>
        </w:rPr>
        <w:t>O proponente e o Contratado que incorram em infrações sujeitam-se às sanções administrativas previstas no art. 156 da Lei Federal n. º 14.133, de 2021</w:t>
      </w:r>
      <w:r>
        <w:rPr>
          <w:rFonts w:hint="default" w:ascii="Arial" w:hAnsi="Arial" w:eastAsia="Arial"/>
          <w:color w:val="000000"/>
          <w:shd w:val="clear" w:color="auto" w:fill="FFFFFF"/>
          <w:lang w:val="pt-BR"/>
        </w:rPr>
        <w:t xml:space="preserve">, </w:t>
      </w:r>
      <w:r>
        <w:rPr>
          <w:rFonts w:ascii="Arial" w:hAnsi="Arial" w:eastAsia="Arial"/>
          <w:color w:val="000000"/>
          <w:shd w:val="clear" w:color="auto" w:fill="FFFFFF"/>
        </w:rPr>
        <w:t>sem prejuízo de eventuais implicações penais nos termos do que prevê o Capítulo II-B do Título XI do Código Penal.</w:t>
      </w:r>
    </w:p>
    <w:p w14:paraId="39EC753B">
      <w:pPr>
        <w:pStyle w:val="37"/>
        <w:spacing w:line="360" w:lineRule="auto"/>
        <w:jc w:val="both"/>
        <w:rPr>
          <w:rFonts w:ascii="Arial" w:hAnsi="Arial"/>
          <w:b/>
        </w:rPr>
      </w:pPr>
    </w:p>
    <w:p w14:paraId="277089FA">
      <w:pPr>
        <w:pStyle w:val="37"/>
        <w:spacing w:line="360" w:lineRule="auto"/>
        <w:jc w:val="both"/>
        <w:rPr>
          <w:rFonts w:ascii="Arial" w:hAnsi="Arial"/>
          <w:b/>
        </w:rPr>
      </w:pPr>
      <w:r>
        <w:rPr>
          <w:rFonts w:ascii="Arial" w:hAnsi="Arial"/>
          <w:b/>
        </w:rPr>
        <w:t>6. MODELO DE GESTÃO DO CONTRATO</w:t>
      </w:r>
    </w:p>
    <w:p w14:paraId="22130E1B">
      <w:pPr>
        <w:pStyle w:val="37"/>
        <w:spacing w:line="360" w:lineRule="auto"/>
        <w:jc w:val="both"/>
        <w:rPr>
          <w:rFonts w:ascii="Arial" w:hAnsi="Arial"/>
        </w:rPr>
      </w:pPr>
      <w:r>
        <w:rPr>
          <w:rFonts w:ascii="Arial" w:hAnsi="Arial"/>
          <w:b/>
        </w:rPr>
        <w:t xml:space="preserve">6.1. </w:t>
      </w:r>
      <w:r>
        <w:rPr>
          <w:rFonts w:ascii="Arial" w:hAnsi="Arial"/>
        </w:rPr>
        <w:t>O contrato deverá ser executado fielmente pelas partes, de acordo com as cláusulas avençadas e as normas da Lei nº 14.133/2021, e cada parte responderá pelas consequências de sua inexecução total ou parcial.</w:t>
      </w:r>
    </w:p>
    <w:p w14:paraId="3088668E">
      <w:pPr>
        <w:pStyle w:val="37"/>
        <w:spacing w:line="360" w:lineRule="auto"/>
        <w:jc w:val="both"/>
        <w:rPr>
          <w:rFonts w:ascii="Arial" w:hAnsi="Arial"/>
        </w:rPr>
      </w:pPr>
      <w:r>
        <w:rPr>
          <w:rFonts w:ascii="Arial" w:hAnsi="Arial"/>
          <w:b/>
        </w:rPr>
        <w:t xml:space="preserve">6.2. </w:t>
      </w:r>
      <w:r>
        <w:rPr>
          <w:rFonts w:ascii="Arial" w:hAnsi="Arial"/>
        </w:rPr>
        <w:t>Em caso de impedimento, ordem de paralisação ou suspensão do contrato, o cronograma de execução será prorrogado automaticamente pelo tempo correspondente, anotadas tais circunstâncias mediante simples apostila.</w:t>
      </w:r>
    </w:p>
    <w:p w14:paraId="6E8D48C0">
      <w:pPr>
        <w:pStyle w:val="37"/>
        <w:spacing w:line="360" w:lineRule="auto"/>
        <w:jc w:val="both"/>
        <w:rPr>
          <w:rFonts w:ascii="Arial" w:hAnsi="Arial"/>
        </w:rPr>
      </w:pPr>
      <w:r>
        <w:rPr>
          <w:rFonts w:ascii="Arial" w:hAnsi="Arial"/>
          <w:b/>
        </w:rPr>
        <w:t xml:space="preserve">6.3. </w:t>
      </w:r>
      <w:r>
        <w:rPr>
          <w:rFonts w:ascii="Arial" w:hAnsi="Arial"/>
        </w:rPr>
        <w:t>As comunicações entre o órgão ou entidade e a contratada devem ser realizadas por escrito sempre que o ato exigir tal formalidade, admitindo-se o uso de mensagem eletrônica para esse fim.</w:t>
      </w:r>
    </w:p>
    <w:p w14:paraId="7FD3F9D5">
      <w:pPr>
        <w:pStyle w:val="37"/>
        <w:spacing w:line="360" w:lineRule="auto"/>
        <w:jc w:val="both"/>
        <w:rPr>
          <w:rFonts w:ascii="Arial" w:hAnsi="Arial"/>
        </w:rPr>
      </w:pPr>
      <w:r>
        <w:rPr>
          <w:rFonts w:ascii="Arial" w:hAnsi="Arial"/>
          <w:b/>
        </w:rPr>
        <w:t xml:space="preserve">6.4. </w:t>
      </w:r>
      <w:r>
        <w:rPr>
          <w:rFonts w:ascii="Arial" w:hAnsi="Arial"/>
        </w:rPr>
        <w:t>O órgão ou entidade poderá convocar representante da empresa para adoção de providências que devam ser cumpridas de imediato.</w:t>
      </w:r>
    </w:p>
    <w:p w14:paraId="10595A56">
      <w:pPr>
        <w:pStyle w:val="37"/>
        <w:spacing w:line="360" w:lineRule="auto"/>
        <w:jc w:val="both"/>
        <w:rPr>
          <w:rFonts w:ascii="Arial" w:hAnsi="Arial"/>
        </w:rPr>
      </w:pPr>
      <w:r>
        <w:rPr>
          <w:rFonts w:ascii="Arial" w:hAnsi="Arial"/>
          <w:b/>
        </w:rPr>
        <w:t xml:space="preserve">6.5. </w:t>
      </w:r>
      <w:r>
        <w:rPr>
          <w:rFonts w:ascii="Arial" w:hAnsi="Arial"/>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EEB492B">
      <w:pPr>
        <w:pStyle w:val="37"/>
        <w:spacing w:line="360" w:lineRule="auto"/>
        <w:jc w:val="both"/>
        <w:rPr>
          <w:rFonts w:ascii="Arial" w:hAnsi="Arial"/>
        </w:rPr>
      </w:pPr>
    </w:p>
    <w:p w14:paraId="53E43821">
      <w:pPr>
        <w:pStyle w:val="37"/>
        <w:spacing w:line="360" w:lineRule="auto"/>
        <w:jc w:val="both"/>
        <w:rPr>
          <w:rFonts w:ascii="Arial" w:hAnsi="Arial"/>
          <w:b/>
        </w:rPr>
      </w:pPr>
      <w:r>
        <w:rPr>
          <w:rFonts w:ascii="Arial" w:hAnsi="Arial"/>
          <w:b/>
        </w:rPr>
        <w:t>6.6. DA FISCALIZAÇÃO</w:t>
      </w:r>
    </w:p>
    <w:p w14:paraId="2B24C07A">
      <w:pPr>
        <w:pStyle w:val="37"/>
        <w:spacing w:line="360" w:lineRule="auto"/>
        <w:jc w:val="both"/>
        <w:rPr>
          <w:rFonts w:ascii="Arial" w:hAnsi="Arial"/>
        </w:rPr>
      </w:pPr>
      <w:r>
        <w:rPr>
          <w:rFonts w:ascii="Arial" w:hAnsi="Arial"/>
          <w:b/>
        </w:rPr>
        <w:t xml:space="preserve">6.6.1. </w:t>
      </w:r>
      <w:r>
        <w:rPr>
          <w:rFonts w:ascii="Arial" w:hAnsi="Arial"/>
        </w:rPr>
        <w:t xml:space="preserve">O fiscal do contrato será </w:t>
      </w:r>
      <w:r>
        <w:rPr>
          <w:rFonts w:hint="default" w:ascii="Arial" w:hAnsi="Arial"/>
          <w:lang w:val="pt-BR"/>
        </w:rPr>
        <w:t>designado pelo gestor da pasta</w:t>
      </w:r>
      <w:r>
        <w:rPr>
          <w:rFonts w:ascii="Arial" w:hAnsi="Arial"/>
        </w:rPr>
        <w:t>, conforme portaria de nomeação.</w:t>
      </w:r>
    </w:p>
    <w:p w14:paraId="067CC706">
      <w:pPr>
        <w:pStyle w:val="37"/>
        <w:spacing w:line="360" w:lineRule="auto"/>
        <w:jc w:val="both"/>
        <w:rPr>
          <w:rFonts w:ascii="Arial" w:hAnsi="Arial"/>
        </w:rPr>
      </w:pPr>
      <w:r>
        <w:rPr>
          <w:rFonts w:ascii="Arial" w:hAnsi="Arial"/>
          <w:b/>
        </w:rPr>
        <w:t xml:space="preserve">6.6.2. </w:t>
      </w:r>
      <w:r>
        <w:rPr>
          <w:rFonts w:ascii="Arial" w:hAnsi="Arial"/>
        </w:rPr>
        <w:t>O fiscal terá as seguintes atribuições:</w:t>
      </w:r>
    </w:p>
    <w:p w14:paraId="0107C3F4">
      <w:pPr>
        <w:pStyle w:val="37"/>
        <w:spacing w:line="360" w:lineRule="auto"/>
        <w:jc w:val="both"/>
        <w:rPr>
          <w:rFonts w:ascii="Arial" w:hAnsi="Arial"/>
        </w:rPr>
      </w:pPr>
      <w:r>
        <w:rPr>
          <w:rFonts w:ascii="Arial" w:hAnsi="Arial"/>
          <w:b/>
        </w:rPr>
        <w:t>I -</w:t>
      </w:r>
      <w:r>
        <w:rPr>
          <w:rFonts w:ascii="Arial" w:hAnsi="Arial"/>
        </w:rPr>
        <w:t xml:space="preserve">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748A8D87">
      <w:pPr>
        <w:pStyle w:val="37"/>
        <w:spacing w:line="360" w:lineRule="auto"/>
        <w:jc w:val="both"/>
        <w:rPr>
          <w:rFonts w:ascii="Arial" w:hAnsi="Arial"/>
        </w:rPr>
      </w:pPr>
      <w:r>
        <w:rPr>
          <w:rFonts w:ascii="Arial" w:hAnsi="Arial"/>
          <w:b/>
        </w:rPr>
        <w:t>II -</w:t>
      </w:r>
      <w:r>
        <w:rPr>
          <w:rFonts w:ascii="Arial" w:hAnsi="Arial"/>
        </w:rPr>
        <w:t xml:space="preserve"> anotar no histórico de gerenciamento do contrato todas as ocorrências relacionadas à execução do contrato, com a descrição do que for necessário para a regularização das faltas ou dos defeitos observados;</w:t>
      </w:r>
    </w:p>
    <w:p w14:paraId="7D7FFD07">
      <w:pPr>
        <w:pStyle w:val="37"/>
        <w:spacing w:line="360" w:lineRule="auto"/>
        <w:jc w:val="both"/>
        <w:rPr>
          <w:rFonts w:ascii="Arial" w:hAnsi="Arial"/>
          <w:b/>
        </w:rPr>
      </w:pPr>
      <w:r>
        <w:rPr>
          <w:rFonts w:ascii="Arial" w:hAnsi="Arial"/>
          <w:b/>
        </w:rPr>
        <w:t>III -</w:t>
      </w:r>
      <w:r>
        <w:rPr>
          <w:rFonts w:ascii="Arial" w:hAnsi="Arial"/>
        </w:rPr>
        <w:t xml:space="preserve"> emitir notificações para a correção de rotinas ou de qualquer inexatidão ou irregularidade constatada, com a definição de prazo para a correção;</w:t>
      </w:r>
      <w:r>
        <w:rPr>
          <w:rFonts w:ascii="Arial" w:hAnsi="Arial"/>
          <w:b/>
        </w:rPr>
        <w:tab/>
      </w:r>
    </w:p>
    <w:p w14:paraId="43FD68D5">
      <w:pPr>
        <w:pStyle w:val="37"/>
        <w:spacing w:line="360" w:lineRule="auto"/>
        <w:jc w:val="both"/>
        <w:rPr>
          <w:rFonts w:ascii="Arial" w:hAnsi="Arial"/>
        </w:rPr>
      </w:pPr>
      <w:r>
        <w:rPr>
          <w:rFonts w:ascii="Arial" w:hAnsi="Arial"/>
          <w:b/>
        </w:rPr>
        <w:t xml:space="preserve">IV - </w:t>
      </w:r>
      <w:r>
        <w:rPr>
          <w:rFonts w:ascii="Arial" w:hAnsi="Arial"/>
        </w:rPr>
        <w:t>demais funções previstas na regulamentação municipal.</w:t>
      </w:r>
    </w:p>
    <w:p w14:paraId="7754AF28">
      <w:pPr>
        <w:pStyle w:val="37"/>
        <w:spacing w:line="360" w:lineRule="auto"/>
        <w:jc w:val="both"/>
        <w:rPr>
          <w:rFonts w:ascii="Arial" w:hAnsi="Arial"/>
        </w:rPr>
      </w:pPr>
    </w:p>
    <w:p w14:paraId="757A8BE8">
      <w:pPr>
        <w:pStyle w:val="37"/>
        <w:spacing w:line="360" w:lineRule="auto"/>
        <w:jc w:val="both"/>
        <w:rPr>
          <w:rFonts w:ascii="Arial" w:hAnsi="Arial"/>
          <w:b/>
        </w:rPr>
      </w:pPr>
      <w:r>
        <w:rPr>
          <w:rFonts w:ascii="Arial" w:hAnsi="Arial"/>
          <w:b/>
        </w:rPr>
        <w:t>6.7. GESTOR DO CONTRATO</w:t>
      </w:r>
    </w:p>
    <w:p w14:paraId="6E06B977">
      <w:pPr>
        <w:pStyle w:val="37"/>
        <w:spacing w:line="360" w:lineRule="auto"/>
        <w:jc w:val="both"/>
        <w:rPr>
          <w:rFonts w:ascii="Arial" w:hAnsi="Arial"/>
        </w:rPr>
      </w:pPr>
      <w:r>
        <w:rPr>
          <w:rFonts w:ascii="Arial" w:hAnsi="Arial"/>
          <w:b/>
        </w:rPr>
        <w:t xml:space="preserve">6.7.1. </w:t>
      </w:r>
      <w:r>
        <w:rPr>
          <w:rFonts w:ascii="Arial" w:hAnsi="Arial"/>
        </w:rPr>
        <w:t xml:space="preserve">O gestor do contrato será </w:t>
      </w:r>
      <w:r>
        <w:rPr>
          <w:rFonts w:hint="default" w:ascii="Arial" w:hAnsi="Arial"/>
          <w:lang w:val="pt-BR"/>
        </w:rPr>
        <w:t>o Secretário Municipal da pasta</w:t>
      </w:r>
      <w:r>
        <w:rPr>
          <w:rFonts w:ascii="Arial" w:hAnsi="Arial"/>
        </w:rPr>
        <w:t>, conforme portaria de nomeação.</w:t>
      </w:r>
    </w:p>
    <w:p w14:paraId="1305FF59">
      <w:pPr>
        <w:pStyle w:val="37"/>
        <w:spacing w:line="360" w:lineRule="auto"/>
        <w:jc w:val="both"/>
        <w:rPr>
          <w:rFonts w:ascii="Arial" w:hAnsi="Arial"/>
        </w:rPr>
      </w:pPr>
      <w:r>
        <w:rPr>
          <w:rFonts w:ascii="Arial" w:hAnsi="Arial"/>
          <w:b/>
        </w:rPr>
        <w:t xml:space="preserve">6.6.2. </w:t>
      </w:r>
      <w:r>
        <w:rPr>
          <w:rFonts w:ascii="Arial" w:hAnsi="Arial"/>
        </w:rPr>
        <w:t>O gestor terá as seguintes atribuições:</w:t>
      </w:r>
    </w:p>
    <w:p w14:paraId="0F36745F">
      <w:pPr>
        <w:pStyle w:val="37"/>
        <w:spacing w:line="360" w:lineRule="auto"/>
        <w:jc w:val="both"/>
        <w:rPr>
          <w:rFonts w:ascii="Arial" w:hAnsi="Arial"/>
        </w:rPr>
      </w:pPr>
      <w:r>
        <w:rPr>
          <w:rFonts w:ascii="Arial" w:hAnsi="Arial"/>
          <w:b/>
        </w:rPr>
        <w:t xml:space="preserve">I - </w:t>
      </w:r>
      <w:r>
        <w:rPr>
          <w:rFonts w:ascii="Arial" w:hAnsi="Arial"/>
        </w:rPr>
        <w:t>coordenar as atividades relacionadas à fiscalização;</w:t>
      </w:r>
    </w:p>
    <w:p w14:paraId="03F458EC">
      <w:pPr>
        <w:pStyle w:val="37"/>
        <w:spacing w:line="360" w:lineRule="auto"/>
        <w:jc w:val="both"/>
        <w:rPr>
          <w:rFonts w:ascii="Arial" w:hAnsi="Arial"/>
        </w:rPr>
      </w:pPr>
      <w:r>
        <w:rPr>
          <w:rFonts w:ascii="Arial" w:hAnsi="Arial"/>
          <w:b/>
        </w:rPr>
        <w:t>II -</w:t>
      </w:r>
      <w:r>
        <w:rPr>
          <w:rFonts w:ascii="Arial" w:hAnsi="Arial"/>
        </w:rPr>
        <w:t xml:space="preserve"> acompanhar os registros realizados pelos fiscais do contrato das ocorrências relacionadas à execução do contrato e as medidas adotadas, e informar à autoridade superior aquelas que ultrapassarem a sua competência;</w:t>
      </w:r>
    </w:p>
    <w:p w14:paraId="41B0FCB6">
      <w:pPr>
        <w:pStyle w:val="37"/>
        <w:spacing w:line="360" w:lineRule="auto"/>
        <w:jc w:val="both"/>
        <w:rPr>
          <w:rFonts w:ascii="Arial" w:hAnsi="Arial"/>
        </w:rPr>
      </w:pPr>
      <w:r>
        <w:rPr>
          <w:rFonts w:ascii="Arial" w:hAnsi="Arial"/>
          <w:b/>
        </w:rPr>
        <w:t xml:space="preserve">III - </w:t>
      </w:r>
      <w:r>
        <w:rPr>
          <w:rFonts w:ascii="Arial" w:hAnsi="Arial"/>
        </w:rPr>
        <w:t>demais funções previstas na regulamentação municipal.</w:t>
      </w:r>
    </w:p>
    <w:p w14:paraId="5EF96B6C">
      <w:pPr>
        <w:pStyle w:val="37"/>
        <w:spacing w:line="360" w:lineRule="auto"/>
        <w:jc w:val="both"/>
        <w:rPr>
          <w:rFonts w:ascii="Arial" w:hAnsi="Arial"/>
        </w:rPr>
      </w:pPr>
    </w:p>
    <w:p w14:paraId="62CF1A64">
      <w:pPr>
        <w:pStyle w:val="37"/>
        <w:spacing w:line="360" w:lineRule="auto"/>
        <w:jc w:val="both"/>
        <w:rPr>
          <w:rFonts w:ascii="Arial" w:hAnsi="Arial"/>
          <w:b/>
        </w:rPr>
      </w:pPr>
      <w:r>
        <w:rPr>
          <w:rFonts w:ascii="Arial" w:hAnsi="Arial"/>
          <w:b/>
        </w:rPr>
        <w:t>7. CRITÉRIO DE MEDIÇÃO E PAGAMENTO</w:t>
      </w:r>
    </w:p>
    <w:p w14:paraId="21781752">
      <w:pPr>
        <w:pStyle w:val="37"/>
        <w:spacing w:line="360" w:lineRule="auto"/>
        <w:jc w:val="both"/>
        <w:rPr>
          <w:rFonts w:ascii="Arial" w:hAnsi="Arial"/>
          <w:b/>
        </w:rPr>
      </w:pPr>
      <w:r>
        <w:rPr>
          <w:rFonts w:ascii="Arial" w:hAnsi="Arial"/>
          <w:b/>
        </w:rPr>
        <w:t>7.1. DO RECEBIMENTO</w:t>
      </w:r>
    </w:p>
    <w:p w14:paraId="7394C2F1">
      <w:pPr>
        <w:pStyle w:val="37"/>
        <w:spacing w:line="360" w:lineRule="auto"/>
        <w:jc w:val="both"/>
        <w:rPr>
          <w:rFonts w:ascii="Arial" w:hAnsi="Arial"/>
        </w:rPr>
      </w:pPr>
      <w:r>
        <w:rPr>
          <w:rFonts w:ascii="Arial" w:hAnsi="Arial"/>
          <w:b/>
          <w:bCs/>
          <w:color w:val="000000"/>
        </w:rPr>
        <w:t xml:space="preserve">7.1.1. </w:t>
      </w:r>
      <w:r>
        <w:rPr>
          <w:rFonts w:ascii="Arial" w:hAnsi="Arial"/>
          <w:color w:val="000000"/>
        </w:rPr>
        <w:t xml:space="preserve">Os </w:t>
      </w:r>
      <w:r>
        <w:rPr>
          <w:rFonts w:hint="default" w:ascii="Arial" w:hAnsi="Arial"/>
          <w:color w:val="000000"/>
          <w:lang w:val="pt-BR"/>
        </w:rPr>
        <w:t>fornecimentos</w:t>
      </w:r>
      <w:r>
        <w:rPr>
          <w:rFonts w:ascii="Arial" w:hAnsi="Arial"/>
          <w:color w:val="000000"/>
        </w:rPr>
        <w:t xml:space="preserve"> poderão ser rejeitados, no todo ou em parte, quando em desacordo com as especificações constantes neste Termo de Referência e na proposta, às suas custas, sem prejuízo da aplicação das penalidades.</w:t>
      </w:r>
    </w:p>
    <w:p w14:paraId="14AF3762">
      <w:pPr>
        <w:pStyle w:val="37"/>
        <w:spacing w:line="360" w:lineRule="auto"/>
        <w:jc w:val="both"/>
        <w:rPr>
          <w:rFonts w:ascii="Arial" w:hAnsi="Arial"/>
        </w:rPr>
      </w:pPr>
      <w:r>
        <w:rPr>
          <w:rFonts w:ascii="Arial" w:hAnsi="Arial"/>
          <w:b/>
          <w:bCs/>
          <w:color w:val="000000"/>
        </w:rPr>
        <w:t>7.1.</w:t>
      </w:r>
      <w:r>
        <w:rPr>
          <w:rFonts w:hint="default" w:ascii="Arial" w:hAnsi="Arial"/>
          <w:b/>
          <w:bCs/>
          <w:color w:val="000000"/>
          <w:lang w:val="pt-BR"/>
        </w:rPr>
        <w:t xml:space="preserve">2. </w:t>
      </w:r>
      <w:r>
        <w:rPr>
          <w:rFonts w:hint="default" w:ascii="Arial" w:hAnsi="Arial"/>
          <w:b w:val="0"/>
          <w:bCs w:val="0"/>
          <w:color w:val="000000"/>
          <w:lang w:val="pt-BR"/>
        </w:rPr>
        <w:t>O</w:t>
      </w:r>
      <w:r>
        <w:rPr>
          <w:rFonts w:ascii="Arial" w:hAnsi="Arial"/>
          <w:color w:val="000000"/>
          <w:lang w:eastAsia="en-US"/>
        </w:rPr>
        <w:t xml:space="preserve"> recebimento provisório ou definitivo do objeto não exclui a responsabilidade do Contratado pelos prejuízos resultantes da incorreta execução do contrato.</w:t>
      </w:r>
    </w:p>
    <w:p w14:paraId="553F492C">
      <w:pPr>
        <w:pStyle w:val="37"/>
        <w:spacing w:line="360" w:lineRule="auto"/>
        <w:jc w:val="both"/>
        <w:rPr>
          <w:rFonts w:ascii="Arial" w:hAnsi="Arial"/>
          <w:b/>
        </w:rPr>
      </w:pPr>
    </w:p>
    <w:p w14:paraId="431A8D92">
      <w:pPr>
        <w:pStyle w:val="37"/>
        <w:spacing w:line="360" w:lineRule="auto"/>
        <w:jc w:val="both"/>
        <w:rPr>
          <w:rFonts w:ascii="Arial" w:hAnsi="Arial"/>
          <w:b/>
        </w:rPr>
      </w:pPr>
      <w:r>
        <w:rPr>
          <w:rFonts w:ascii="Arial" w:hAnsi="Arial"/>
          <w:b/>
        </w:rPr>
        <w:t>7.2. LIQUIDAÇÃO</w:t>
      </w:r>
    </w:p>
    <w:p w14:paraId="0D43A493">
      <w:pPr>
        <w:pStyle w:val="37"/>
        <w:spacing w:line="360" w:lineRule="auto"/>
        <w:jc w:val="both"/>
        <w:rPr>
          <w:rFonts w:ascii="Arial" w:hAnsi="Arial"/>
        </w:rPr>
      </w:pPr>
      <w:r>
        <w:rPr>
          <w:rFonts w:ascii="Arial" w:hAnsi="Arial"/>
          <w:b/>
          <w:bCs/>
        </w:rPr>
        <w:t>7.2.1.</w:t>
      </w:r>
      <w:r>
        <w:rPr>
          <w:rFonts w:ascii="Arial" w:hAnsi="Arial"/>
        </w:rPr>
        <w:t xml:space="preserve"> As notas fiscais devem ser emitidas em nome do Município de </w:t>
      </w:r>
      <w:r>
        <w:rPr>
          <w:rFonts w:hint="default" w:ascii="Arial" w:hAnsi="Arial"/>
          <w:lang w:val="pt-BR"/>
        </w:rPr>
        <w:t>Antonina/PR</w:t>
      </w:r>
      <w:r>
        <w:rPr>
          <w:rFonts w:ascii="Arial" w:hAnsi="Arial"/>
        </w:rPr>
        <w:t>, CNPJ nº 76.022.516/0001-07, Endereço R. Quinze de Novembro, 150 - Centro, Antonina - PR, 83370-000, constando número do processo de licitação ou contratação direta, lote/item, nº empenho e validado a entrega dos produtos, para fins de rastreabilidade em estoque.</w:t>
      </w:r>
    </w:p>
    <w:p w14:paraId="5FCC25B1">
      <w:pPr>
        <w:pStyle w:val="37"/>
        <w:spacing w:line="360" w:lineRule="auto"/>
        <w:jc w:val="both"/>
        <w:rPr>
          <w:rFonts w:hint="default" w:ascii="Arial" w:hAnsi="Arial"/>
          <w:lang w:val="pt-BR"/>
        </w:rPr>
      </w:pPr>
      <w:r>
        <w:rPr>
          <w:rFonts w:ascii="Arial" w:hAnsi="Arial"/>
          <w:b/>
        </w:rPr>
        <w:t xml:space="preserve">7.2.2. </w:t>
      </w:r>
      <w:r>
        <w:rPr>
          <w:rFonts w:ascii="Arial" w:hAnsi="Arial"/>
        </w:rPr>
        <w:t xml:space="preserve">Recebida a Nota Fiscal ou documento de cobrança equivalente, correrá o prazo de até </w:t>
      </w:r>
      <w:r>
        <w:rPr>
          <w:rFonts w:ascii="Arial" w:hAnsi="Arial"/>
          <w:lang w:val="pt-BR"/>
        </w:rPr>
        <w:t>2</w:t>
      </w:r>
      <w:r>
        <w:rPr>
          <w:rFonts w:ascii="Arial" w:hAnsi="Arial"/>
          <w:color w:val="000000" w:themeColor="text1"/>
          <w14:textFill>
            <w14:solidFill>
              <w14:schemeClr w14:val="tx1"/>
            </w14:solidFill>
          </w14:textFill>
        </w:rPr>
        <w:t>0 (</w:t>
      </w:r>
      <w:r>
        <w:rPr>
          <w:rFonts w:ascii="Arial" w:hAnsi="Arial"/>
          <w:color w:val="000000" w:themeColor="text1"/>
          <w:lang w:val="pt-BR"/>
          <w14:textFill>
            <w14:solidFill>
              <w14:schemeClr w14:val="tx1"/>
            </w14:solidFill>
          </w14:textFill>
        </w:rPr>
        <w:t>vinte</w:t>
      </w:r>
      <w:r>
        <w:rPr>
          <w:rFonts w:ascii="Arial" w:hAnsi="Arial"/>
          <w:color w:val="000000" w:themeColor="text1"/>
          <w14:textFill>
            <w14:solidFill>
              <w14:schemeClr w14:val="tx1"/>
            </w14:solidFill>
          </w14:textFill>
        </w:rPr>
        <w:t xml:space="preserve">) </w:t>
      </w:r>
      <w:r>
        <w:rPr>
          <w:rFonts w:ascii="Arial" w:hAnsi="Arial"/>
        </w:rPr>
        <w:t xml:space="preserve">dias para fins de liquidação, </w:t>
      </w:r>
      <w:r>
        <w:rPr>
          <w:rFonts w:ascii="Arial" w:hAnsi="Arial" w:eastAsia="Calibri"/>
          <w:color w:val="000000"/>
          <w:lang w:bidi="ar-SA"/>
        </w:rPr>
        <w:t>após comprovado o adimplemento do Contratado em todas as suas obrigações, já deduzidas as glosas e notas de débitos,</w:t>
      </w:r>
      <w:r>
        <w:rPr>
          <w:rFonts w:ascii="Arial" w:hAnsi="Arial"/>
          <w:color w:val="000000"/>
        </w:rPr>
        <w:t xml:space="preserve"> observadas as disposições do Termo de Referência, </w:t>
      </w:r>
      <w:r>
        <w:rPr>
          <w:rFonts w:ascii="Arial" w:hAnsi="Arial"/>
        </w:rPr>
        <w:t>na forma desta seção, prorrogáveis por igual período</w:t>
      </w:r>
      <w:r>
        <w:rPr>
          <w:rFonts w:hint="default" w:ascii="Arial" w:hAnsi="Arial"/>
          <w:lang w:val="pt-BR"/>
        </w:rPr>
        <w:t>.</w:t>
      </w:r>
    </w:p>
    <w:p w14:paraId="28C38D41">
      <w:pPr>
        <w:pStyle w:val="37"/>
        <w:spacing w:line="360" w:lineRule="auto"/>
        <w:jc w:val="both"/>
        <w:rPr>
          <w:rFonts w:ascii="Arial" w:hAnsi="Arial"/>
        </w:rPr>
      </w:pPr>
      <w:r>
        <w:rPr>
          <w:rFonts w:ascii="Arial" w:hAnsi="Arial"/>
          <w:b/>
          <w:bCs/>
          <w:color w:val="000000"/>
        </w:rPr>
        <w:t>7.2.3.</w:t>
      </w:r>
      <w:r>
        <w:rPr>
          <w:rFonts w:ascii="Arial" w:hAnsi="Arial"/>
          <w:color w:val="000000"/>
        </w:rPr>
        <w:t xml:space="preserve"> Nenhuma liquidação será efetuada sem a apresentação dos documentos exigidos, bem como enquanto não forem sanadas irregularidades eventualmente constatadas na nota fiscal, no fornecimento dos bens ou no cumprimento de obrigações contratuais.</w:t>
      </w:r>
    </w:p>
    <w:p w14:paraId="6D5AAF16">
      <w:pPr>
        <w:pStyle w:val="37"/>
        <w:spacing w:line="360" w:lineRule="auto"/>
        <w:jc w:val="both"/>
        <w:rPr>
          <w:rFonts w:ascii="Arial" w:hAnsi="Arial"/>
        </w:rPr>
      </w:pPr>
      <w:r>
        <w:rPr>
          <w:rFonts w:ascii="Arial" w:hAnsi="Arial"/>
          <w:b/>
          <w:bCs/>
          <w:color w:val="000000"/>
          <w:shd w:val="clear" w:color="auto" w:fill="FFFFFF"/>
        </w:rPr>
        <w:t>7.2.4.</w:t>
      </w:r>
      <w:r>
        <w:rPr>
          <w:rFonts w:ascii="Arial" w:hAnsi="Arial"/>
          <w:color w:val="000000"/>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4AFBD441">
      <w:pPr>
        <w:pStyle w:val="37"/>
        <w:spacing w:line="360" w:lineRule="auto"/>
        <w:jc w:val="both"/>
        <w:rPr>
          <w:rFonts w:ascii="Arial" w:hAnsi="Arial"/>
        </w:rPr>
      </w:pPr>
      <w:r>
        <w:rPr>
          <w:rFonts w:ascii="Arial" w:hAnsi="Arial"/>
          <w:b/>
          <w:bCs/>
          <w:color w:val="000000"/>
        </w:rPr>
        <w:t>7.2.5.</w:t>
      </w:r>
      <w:r>
        <w:rPr>
          <w:rFonts w:ascii="Arial" w:hAnsi="Arial"/>
          <w:color w:val="000000"/>
        </w:rPr>
        <w:t xml:space="preserve"> Decorrido o prazo de adimplemento da multa, caso esta não tenha sido paga, os valores serão descontados da nota apresentada.</w:t>
      </w:r>
    </w:p>
    <w:p w14:paraId="3649A1EF">
      <w:pPr>
        <w:pStyle w:val="37"/>
        <w:spacing w:line="360" w:lineRule="auto"/>
        <w:jc w:val="both"/>
        <w:rPr>
          <w:rFonts w:ascii="Arial" w:hAnsi="Arial"/>
        </w:rPr>
      </w:pPr>
    </w:p>
    <w:p w14:paraId="389EA012">
      <w:pPr>
        <w:pStyle w:val="37"/>
        <w:spacing w:line="360" w:lineRule="auto"/>
        <w:jc w:val="both"/>
        <w:rPr>
          <w:rFonts w:ascii="Arial" w:hAnsi="Arial"/>
          <w:b/>
        </w:rPr>
      </w:pPr>
      <w:r>
        <w:rPr>
          <w:rFonts w:ascii="Arial" w:hAnsi="Arial"/>
          <w:b/>
        </w:rPr>
        <w:t>7.3. FORMA DE PAGAMENTO</w:t>
      </w:r>
    </w:p>
    <w:p w14:paraId="65FE9A7B">
      <w:pPr>
        <w:pStyle w:val="37"/>
        <w:spacing w:line="360" w:lineRule="auto"/>
        <w:jc w:val="both"/>
        <w:rPr>
          <w:rFonts w:hint="default" w:ascii="Arial" w:hAnsi="Arial" w:eastAsia="Calibri"/>
          <w:color w:val="000000"/>
          <w:lang w:val="pt-BR" w:bidi="ar-SA"/>
        </w:rPr>
      </w:pPr>
      <w:r>
        <w:rPr>
          <w:rFonts w:ascii="Arial" w:hAnsi="Arial"/>
          <w:b/>
          <w:bCs/>
          <w:color w:val="000000"/>
        </w:rPr>
        <w:t>7.3.1.</w:t>
      </w:r>
      <w:r>
        <w:rPr>
          <w:rFonts w:ascii="Arial" w:hAnsi="Arial"/>
          <w:color w:val="000000"/>
        </w:rPr>
        <w:t xml:space="preserve"> O </w:t>
      </w:r>
      <w:r>
        <w:rPr>
          <w:rFonts w:ascii="Arial" w:hAnsi="Arial" w:eastAsia="Calibri"/>
          <w:color w:val="000000"/>
          <w:lang w:bidi="ar-SA"/>
        </w:rPr>
        <w:t xml:space="preserve">pagamento de cada fatura deverá ser realizado em um prazo não superior a </w:t>
      </w:r>
      <w:r>
        <w:rPr>
          <w:rFonts w:ascii="Arial" w:hAnsi="Arial" w:eastAsia="Calibri"/>
          <w:color w:val="000000"/>
          <w:lang w:val="pt-BR" w:bidi="ar-SA"/>
        </w:rPr>
        <w:t>1</w:t>
      </w:r>
      <w:r>
        <w:rPr>
          <w:rFonts w:ascii="Arial" w:hAnsi="Arial" w:eastAsia="Calibri"/>
          <w:color w:val="000000"/>
          <w:lang w:bidi="ar-SA"/>
        </w:rPr>
        <w:t>0 (</w:t>
      </w:r>
      <w:r>
        <w:rPr>
          <w:rFonts w:ascii="Arial" w:hAnsi="Arial" w:eastAsia="Calibri"/>
          <w:color w:val="000000"/>
          <w:lang w:val="pt-BR" w:bidi="ar-SA"/>
        </w:rPr>
        <w:t>dez</w:t>
      </w:r>
      <w:r>
        <w:rPr>
          <w:rFonts w:ascii="Arial" w:hAnsi="Arial" w:eastAsia="Calibri"/>
          <w:color w:val="000000"/>
          <w:lang w:bidi="ar-SA"/>
        </w:rPr>
        <w:t>) dias contados da liquidação</w:t>
      </w:r>
      <w:r>
        <w:rPr>
          <w:rFonts w:hint="default" w:ascii="Arial" w:hAnsi="Arial" w:eastAsia="Calibri"/>
          <w:color w:val="000000"/>
          <w:lang w:val="pt-BR" w:bidi="ar-SA"/>
        </w:rPr>
        <w:t>.</w:t>
      </w:r>
    </w:p>
    <w:p w14:paraId="14CF40EC">
      <w:pPr>
        <w:pStyle w:val="37"/>
        <w:spacing w:line="360" w:lineRule="auto"/>
        <w:jc w:val="both"/>
        <w:rPr>
          <w:rFonts w:hint="default" w:ascii="Arial" w:hAnsi="Arial" w:cs="Arial"/>
          <w:color w:val="000000"/>
          <w:kern w:val="3"/>
          <w:lang w:val="pt-BR" w:eastAsia="zh-CN" w:bidi="hi-IN"/>
        </w:rPr>
      </w:pPr>
      <w:r>
        <w:rPr>
          <w:rFonts w:ascii="Arial" w:hAnsi="Arial" w:cs="Arial"/>
          <w:b/>
          <w:bCs/>
          <w:color w:val="000000"/>
        </w:rPr>
        <w:t>7.3.2.</w:t>
      </w:r>
      <w:r>
        <w:rPr>
          <w:rFonts w:ascii="Arial" w:hAnsi="Arial" w:cs="Arial"/>
          <w:color w:val="000000"/>
        </w:rPr>
        <w:t xml:space="preserve"> </w:t>
      </w:r>
      <w:r>
        <w:rPr>
          <w:rFonts w:ascii="Arial" w:hAnsi="Arial" w:cs="Arial"/>
          <w:color w:val="000000"/>
          <w:shd w:val="clear" w:color="auto" w:fill="FFFFFF"/>
        </w:rPr>
        <w:t xml:space="preserve">Nos casos de eventuais atrasos de pagamento, </w:t>
      </w:r>
      <w:r>
        <w:rPr>
          <w:rFonts w:ascii="Arial" w:hAnsi="Arial" w:cs="Arial"/>
          <w:color w:val="000000"/>
          <w:shd w:val="clear" w:color="auto" w:fill="FFFFFF"/>
          <w:lang w:val="pt-BR"/>
        </w:rPr>
        <w:t xml:space="preserve">desde que a Contratada não tenha concorrido para tanto, fica convencionado que a taxa de compensação financeira devida pela Contratante, entre a data </w:t>
      </w:r>
      <w:r>
        <w:rPr>
          <w:rFonts w:ascii="Arial" w:hAnsi="Arial" w:eastAsia="NSimSun" w:cs="Arial"/>
          <w:color w:val="000000"/>
          <w:kern w:val="3"/>
          <w:lang w:val="pt-BR" w:eastAsia="zh-CN" w:bidi="hi-IN"/>
        </w:rPr>
        <w:t>do vencimento e o efetivo adimplemento da parcela, será calculada mediante a aplicação do índice de correção monetária IGP-M (Índice Geral de Preços – Mercado), ou outro que vier a substitui-lo</w:t>
      </w:r>
      <w:r>
        <w:rPr>
          <w:rFonts w:hint="default" w:ascii="Arial" w:hAnsi="Arial" w:cs="Arial"/>
          <w:color w:val="000000"/>
          <w:kern w:val="3"/>
          <w:lang w:val="pt-BR" w:eastAsia="zh-CN" w:bidi="hi-IN"/>
        </w:rPr>
        <w:t>.</w:t>
      </w:r>
    </w:p>
    <w:p w14:paraId="197A91E6">
      <w:pPr>
        <w:pStyle w:val="37"/>
        <w:spacing w:line="360" w:lineRule="auto"/>
        <w:jc w:val="both"/>
        <w:rPr>
          <w:rFonts w:ascii="Arial" w:hAnsi="Arial" w:cs="Arial"/>
        </w:rPr>
      </w:pPr>
      <w:r>
        <w:rPr>
          <w:rFonts w:ascii="Arial" w:hAnsi="Arial" w:cs="Arial"/>
          <w:b/>
          <w:color w:val="000000"/>
          <w:shd w:val="clear" w:color="auto" w:fill="FFFFFF"/>
          <w:lang w:val="pt-BR"/>
        </w:rPr>
        <w:t xml:space="preserve">7.3.3. </w:t>
      </w:r>
      <w:r>
        <w:rPr>
          <w:rFonts w:ascii="Arial" w:hAnsi="Arial" w:cs="Arial"/>
        </w:rPr>
        <w:t xml:space="preserve">A </w:t>
      </w:r>
      <w:r>
        <w:rPr>
          <w:rFonts w:ascii="Arial" w:hAnsi="Arial" w:cs="Arial"/>
          <w:bCs/>
        </w:rPr>
        <w:t>Contratante</w:t>
      </w:r>
      <w:r>
        <w:rPr>
          <w:rFonts w:ascii="Arial" w:hAnsi="Arial" w:cs="Arial"/>
        </w:rPr>
        <w:t xml:space="preserv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0E3BDF3A">
      <w:pPr>
        <w:spacing w:line="360" w:lineRule="auto"/>
        <w:jc w:val="both"/>
        <w:rPr>
          <w:rFonts w:ascii="Arial" w:hAnsi="Arial"/>
        </w:rPr>
      </w:pPr>
      <w:r>
        <w:rPr>
          <w:rFonts w:ascii="Arial" w:hAnsi="Arial"/>
          <w:b/>
          <w:bCs/>
        </w:rPr>
        <w:t xml:space="preserve">7.3.4. </w:t>
      </w:r>
      <w:r>
        <w:rPr>
          <w:rFonts w:ascii="Arial" w:hAnsi="Arial"/>
        </w:rPr>
        <w:t xml:space="preserve">Será aplicado a alíquota para retenção, conforme prevista na IN RFB nº. 1234/2012, e atualizações posteriores, editada nos termos do artigo 64 da Lei Federal nº. 9.430/96, aplicado por extensão aos pagamentos realizados por esta Municipalidade. </w:t>
      </w:r>
    </w:p>
    <w:p w14:paraId="29EF702A">
      <w:pPr>
        <w:spacing w:line="360" w:lineRule="auto"/>
        <w:jc w:val="both"/>
        <w:rPr>
          <w:rFonts w:ascii="Arial" w:hAnsi="Arial"/>
        </w:rPr>
      </w:pPr>
      <w:r>
        <w:rPr>
          <w:rFonts w:ascii="Arial" w:hAnsi="Arial"/>
          <w:b/>
          <w:bCs/>
        </w:rPr>
        <w:t xml:space="preserve">7.3.5. </w:t>
      </w:r>
      <w:r>
        <w:rPr>
          <w:rFonts w:ascii="Arial" w:hAnsi="Arial"/>
        </w:rPr>
        <w:t xml:space="preserve">As hipóteses de retenção do IR na fonte e deduções na base de cálculo deverão ser informados nos documentos fiscais, bem como as hipóteses de dispensa de retenção, nos termos da IN RFB nº. 1234/2012. </w:t>
      </w:r>
    </w:p>
    <w:p w14:paraId="61AEC8A8">
      <w:pPr>
        <w:spacing w:line="360" w:lineRule="auto"/>
        <w:jc w:val="both"/>
        <w:rPr>
          <w:rFonts w:ascii="Arial" w:hAnsi="Arial"/>
        </w:rPr>
      </w:pPr>
      <w:r>
        <w:rPr>
          <w:rFonts w:ascii="Arial" w:hAnsi="Arial"/>
          <w:b/>
          <w:bCs/>
        </w:rPr>
        <w:t xml:space="preserve">7.3.6. </w:t>
      </w:r>
      <w:r>
        <w:rPr>
          <w:rFonts w:ascii="Arial" w:hAnsi="Arial"/>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2C370139">
      <w:pPr>
        <w:pStyle w:val="12"/>
        <w:spacing w:line="360" w:lineRule="auto"/>
        <w:jc w:val="both"/>
        <w:rPr>
          <w:rFonts w:ascii="Arial" w:hAnsi="Arial" w:cs="Arial"/>
          <w:color w:val="000000"/>
          <w:shd w:val="clear" w:color="auto" w:fill="FFFFFF"/>
        </w:rPr>
      </w:pPr>
    </w:p>
    <w:p w14:paraId="2859BAC9">
      <w:pPr>
        <w:pStyle w:val="37"/>
        <w:spacing w:line="360" w:lineRule="auto"/>
        <w:jc w:val="both"/>
        <w:rPr>
          <w:rFonts w:ascii="Arial" w:hAnsi="Arial"/>
          <w:b/>
        </w:rPr>
      </w:pPr>
      <w:r>
        <w:rPr>
          <w:rFonts w:ascii="Arial" w:hAnsi="Arial"/>
          <w:b/>
        </w:rPr>
        <w:t>8. CRITÉRIOS DE SELEÇÃO DO FORNECEDOR</w:t>
      </w:r>
    </w:p>
    <w:p w14:paraId="573F0E78">
      <w:pPr>
        <w:pStyle w:val="37"/>
        <w:spacing w:line="360" w:lineRule="auto"/>
        <w:jc w:val="both"/>
        <w:rPr>
          <w:rFonts w:ascii="Arial" w:hAnsi="Arial"/>
          <w:b/>
        </w:rPr>
      </w:pPr>
      <w:r>
        <w:rPr>
          <w:rFonts w:ascii="Arial" w:hAnsi="Arial"/>
          <w:b/>
        </w:rPr>
        <w:t>8.1. FORMA DE SELEÇÃO E CRITÉRIO DE JULGAMENTO DA PROPOSTA</w:t>
      </w:r>
    </w:p>
    <w:p w14:paraId="44CB361E">
      <w:pPr>
        <w:pStyle w:val="37"/>
        <w:spacing w:line="360" w:lineRule="auto"/>
        <w:jc w:val="both"/>
        <w:rPr>
          <w:rFonts w:hint="default" w:ascii="Arial" w:hAnsi="Arial"/>
          <w:lang w:val="pt-BR"/>
        </w:rPr>
      </w:pPr>
      <w:r>
        <w:rPr>
          <w:rFonts w:ascii="Arial" w:hAnsi="Arial"/>
          <w:b/>
        </w:rPr>
        <w:t xml:space="preserve">8.1.1. </w:t>
      </w:r>
      <w:r>
        <w:rPr>
          <w:rFonts w:hint="eastAsia" w:ascii="Arial" w:hAnsi="Arial"/>
        </w:rPr>
        <w:t>O fornecedor será selecionado por meio de</w:t>
      </w:r>
      <w:r>
        <w:rPr>
          <w:rFonts w:hint="default" w:ascii="Arial" w:hAnsi="Arial"/>
          <w:lang w:val="pt-BR"/>
        </w:rPr>
        <w:t xml:space="preserve"> contratação direta através de INEXIGIBILIDADE</w:t>
      </w:r>
      <w:r>
        <w:rPr>
          <w:rFonts w:hint="eastAsia" w:ascii="Arial" w:hAnsi="Arial"/>
        </w:rPr>
        <w:t xml:space="preserve"> DE LICITAÇÃO</w:t>
      </w:r>
      <w:r>
        <w:rPr>
          <w:rFonts w:hint="default" w:ascii="Arial" w:hAnsi="Arial"/>
          <w:lang w:val="pt-BR"/>
        </w:rPr>
        <w:t>, visto a singularidade do objeto a ser contratado.</w:t>
      </w:r>
    </w:p>
    <w:p w14:paraId="165DC045">
      <w:pPr>
        <w:pStyle w:val="37"/>
        <w:spacing w:line="360" w:lineRule="auto"/>
        <w:jc w:val="both"/>
        <w:rPr>
          <w:rFonts w:hint="default" w:ascii="Arial" w:hAnsi="Arial"/>
          <w:lang w:val="pt-BR"/>
        </w:rPr>
      </w:pPr>
    </w:p>
    <w:p w14:paraId="44A0E375">
      <w:pPr>
        <w:pStyle w:val="37"/>
        <w:spacing w:line="360" w:lineRule="auto"/>
        <w:jc w:val="both"/>
        <w:rPr>
          <w:rFonts w:ascii="Arial" w:hAnsi="Arial"/>
          <w:b/>
          <w:bCs/>
          <w:color w:val="000000"/>
        </w:rPr>
      </w:pPr>
      <w:r>
        <w:rPr>
          <w:rFonts w:ascii="Arial" w:hAnsi="Arial"/>
          <w:b/>
          <w:bCs/>
          <w:color w:val="000000"/>
        </w:rPr>
        <w:t xml:space="preserve">8.2. FORMA DE FORNECIMENTO </w:t>
      </w:r>
    </w:p>
    <w:p w14:paraId="13949B59">
      <w:pPr>
        <w:pStyle w:val="31"/>
        <w:spacing w:line="360" w:lineRule="auto"/>
        <w:jc w:val="both"/>
        <w:rPr>
          <w:rFonts w:hint="default" w:ascii="Arial" w:hAnsi="Arial" w:cs="Arial"/>
          <w:color w:val="auto"/>
          <w:lang w:val="pt-BR"/>
        </w:rPr>
      </w:pPr>
      <w:r>
        <w:rPr>
          <w:rFonts w:ascii="Arial" w:hAnsi="Arial" w:cs="Arial"/>
          <w:color w:val="auto"/>
        </w:rPr>
        <w:t xml:space="preserve">Constitui objeto deste procedimento </w:t>
      </w:r>
      <w:r>
        <w:rPr>
          <w:rFonts w:hint="eastAsia" w:ascii="Arial" w:hAnsi="Arial" w:cs="Arial"/>
          <w:color w:val="auto"/>
        </w:rPr>
        <w:t xml:space="preserve">a </w:t>
      </w:r>
      <w:r>
        <w:rPr>
          <w:rFonts w:hint="default" w:ascii="Arial" w:hAnsi="Arial" w:cs="Arial"/>
          <w:color w:val="auto"/>
          <w:lang w:val="pt-BR"/>
        </w:rPr>
        <w:t>contratação de empresa para prestação de serviços de</w:t>
      </w:r>
      <w:r>
        <w:rPr>
          <w:rFonts w:hint="default" w:ascii="Arial" w:hAnsi="Arial"/>
          <w:lang w:val="pt-BR"/>
        </w:rPr>
        <w:t xml:space="preserve"> manutenção corretiva no equipamento Autoclave Phoenix, visando a não interrupção dos serviços da Atenção Especializada e Ambulatorial da Secretaria Municipal de Saúde, </w:t>
      </w:r>
      <w:r>
        <w:rPr>
          <w:rFonts w:hint="default" w:ascii="Arial" w:hAnsi="Arial" w:cs="Arial"/>
          <w:color w:val="auto"/>
          <w:lang w:val="pt-BR"/>
        </w:rPr>
        <w:t>com o fornecimento de mão de obra especializada, peças, ferramentas e materiais necessários à execução dos serviços.</w:t>
      </w:r>
    </w:p>
    <w:p w14:paraId="0C266C3C">
      <w:pPr>
        <w:pStyle w:val="31"/>
        <w:spacing w:line="360" w:lineRule="auto"/>
        <w:jc w:val="both"/>
        <w:rPr>
          <w:rFonts w:hint="default" w:ascii="Arial" w:hAnsi="Arial" w:cs="Arial"/>
          <w:color w:val="auto"/>
          <w:lang w:val="pt-BR"/>
        </w:rPr>
      </w:pPr>
    </w:p>
    <w:p w14:paraId="6AF86533">
      <w:pPr>
        <w:pStyle w:val="37"/>
        <w:spacing w:line="360" w:lineRule="auto"/>
        <w:jc w:val="both"/>
        <w:rPr>
          <w:rFonts w:ascii="Arial" w:hAnsi="Arial"/>
          <w:b/>
        </w:rPr>
      </w:pPr>
      <w:r>
        <w:rPr>
          <w:rFonts w:ascii="Arial" w:hAnsi="Arial"/>
          <w:b/>
        </w:rPr>
        <w:t xml:space="preserve">8.3. EXIGÊNCIA DE HABILITAÇÃO </w:t>
      </w:r>
    </w:p>
    <w:p w14:paraId="10A213DB">
      <w:pPr>
        <w:pStyle w:val="37"/>
        <w:spacing w:line="360" w:lineRule="auto"/>
        <w:jc w:val="both"/>
        <w:rPr>
          <w:rFonts w:hint="default" w:ascii="Arial" w:hAnsi="Arial"/>
          <w:b/>
          <w:bCs/>
          <w:color w:val="000000"/>
          <w:lang w:val="pt-BR"/>
        </w:rPr>
      </w:pPr>
      <w:r>
        <w:rPr>
          <w:rFonts w:hint="default" w:ascii="Arial" w:hAnsi="Arial"/>
          <w:b/>
          <w:bCs/>
          <w:color w:val="000000"/>
          <w:lang w:val="pt-BR"/>
        </w:rPr>
        <w:t>8.3.1. HABILITAÇÃO</w:t>
      </w:r>
    </w:p>
    <w:p w14:paraId="0C1A95F4">
      <w:pPr>
        <w:pStyle w:val="37"/>
        <w:spacing w:line="360" w:lineRule="auto"/>
        <w:jc w:val="both"/>
        <w:rPr>
          <w:rFonts w:hint="default" w:ascii="Arial" w:hAnsi="Arial"/>
          <w:b/>
          <w:bCs/>
          <w:color w:val="000000"/>
          <w:lang w:val="pt-BR"/>
        </w:rPr>
      </w:pPr>
      <w:r>
        <w:rPr>
          <w:rFonts w:hint="default" w:ascii="Arial" w:hAnsi="Arial"/>
          <w:b/>
          <w:bCs/>
          <w:color w:val="000000"/>
          <w:lang w:val="pt-BR"/>
        </w:rPr>
        <w:t>8.3.1.1 Documentação Jurídica:</w:t>
      </w:r>
    </w:p>
    <w:p w14:paraId="135F7859">
      <w:pPr>
        <w:pStyle w:val="37"/>
        <w:spacing w:line="360" w:lineRule="auto"/>
        <w:jc w:val="both"/>
        <w:rPr>
          <w:rFonts w:hint="default" w:ascii="Arial" w:hAnsi="Arial"/>
          <w:color w:val="000000"/>
          <w:lang w:val="pt-BR"/>
        </w:rPr>
      </w:pPr>
      <w:r>
        <w:rPr>
          <w:rFonts w:hint="default" w:ascii="Arial" w:hAnsi="Arial"/>
          <w:color w:val="000000"/>
          <w:lang w:val="pt-BR"/>
        </w:rPr>
        <w:t>- Ato constitutivo, estatuto ou contrato social em vigor, devidamente registrados, em se tratando de sociedades comerciais e, no caso de sociedades por ações, acompanhado de documentos de eleição de seus administradores, que comprovem que o ramo de atividade da empresa é compatível com o objeto da Licitação.</w:t>
      </w:r>
    </w:p>
    <w:p w14:paraId="7CDE8E49">
      <w:pPr>
        <w:pStyle w:val="37"/>
        <w:spacing w:line="360" w:lineRule="auto"/>
        <w:jc w:val="both"/>
        <w:rPr>
          <w:rFonts w:hint="default" w:ascii="Arial" w:hAnsi="Arial"/>
          <w:color w:val="000000"/>
          <w:lang w:val="pt-BR"/>
        </w:rPr>
      </w:pPr>
      <w:r>
        <w:rPr>
          <w:rFonts w:hint="default" w:ascii="Arial" w:hAnsi="Arial"/>
          <w:color w:val="000000"/>
          <w:lang w:val="pt-BR"/>
        </w:rPr>
        <w:t>- Documentos pessoais dos sócios;</w:t>
      </w:r>
    </w:p>
    <w:p w14:paraId="03D7A33A">
      <w:pPr>
        <w:pStyle w:val="37"/>
        <w:spacing w:line="360" w:lineRule="auto"/>
        <w:jc w:val="both"/>
        <w:rPr>
          <w:rFonts w:hint="default" w:ascii="Arial" w:hAnsi="Arial"/>
          <w:color w:val="000000"/>
          <w:lang w:val="pt-BR"/>
        </w:rPr>
      </w:pPr>
      <w:r>
        <w:rPr>
          <w:rFonts w:hint="default" w:ascii="Arial" w:hAnsi="Arial"/>
          <w:color w:val="000000"/>
          <w:lang w:val="pt-BR"/>
        </w:rPr>
        <w:t>- Comprovante de Inscrição do CNPJ- comprovando empresa especializada no item descrito neste termo de referência.</w:t>
      </w:r>
    </w:p>
    <w:p w14:paraId="6BCC7FE7">
      <w:pPr>
        <w:pStyle w:val="37"/>
        <w:spacing w:line="360" w:lineRule="auto"/>
        <w:jc w:val="both"/>
        <w:rPr>
          <w:rFonts w:hint="default" w:ascii="Arial" w:hAnsi="Arial"/>
          <w:b/>
          <w:bCs/>
          <w:color w:val="000000"/>
          <w:lang w:val="pt-BR"/>
        </w:rPr>
      </w:pPr>
      <w:r>
        <w:rPr>
          <w:rFonts w:hint="default" w:ascii="Arial" w:hAnsi="Arial"/>
          <w:b/>
          <w:bCs/>
          <w:color w:val="000000"/>
          <w:lang w:val="pt-BR"/>
        </w:rPr>
        <w:t>8.3.1.2. Documentação Fiscal</w:t>
      </w:r>
    </w:p>
    <w:p w14:paraId="175678A6">
      <w:pPr>
        <w:pStyle w:val="37"/>
        <w:spacing w:line="360" w:lineRule="auto"/>
        <w:jc w:val="both"/>
        <w:rPr>
          <w:rFonts w:hint="default" w:ascii="Arial" w:hAnsi="Arial"/>
          <w:color w:val="000000"/>
          <w:lang w:val="pt-BR"/>
        </w:rPr>
      </w:pPr>
      <w:r>
        <w:rPr>
          <w:rFonts w:hint="default" w:ascii="Arial" w:hAnsi="Arial"/>
          <w:color w:val="000000"/>
          <w:lang w:val="pt-BR"/>
        </w:rPr>
        <w:t>- Certidão Conjunta de Débitos Relativos a Tributos Federais e a Dívida Ativa da União, incluindo os Débitos Previdenciários;</w:t>
      </w:r>
    </w:p>
    <w:p w14:paraId="04C98520">
      <w:pPr>
        <w:pStyle w:val="37"/>
        <w:spacing w:line="360" w:lineRule="auto"/>
        <w:jc w:val="both"/>
        <w:rPr>
          <w:rFonts w:hint="default" w:ascii="Arial" w:hAnsi="Arial"/>
          <w:color w:val="000000"/>
          <w:lang w:val="pt-BR"/>
        </w:rPr>
      </w:pPr>
      <w:r>
        <w:rPr>
          <w:rFonts w:hint="default" w:ascii="Arial" w:hAnsi="Arial"/>
          <w:color w:val="000000"/>
          <w:lang w:val="pt-BR"/>
        </w:rPr>
        <w:t>- Certidão Negativa de Débitos junto à Secretaria de Estado da Fazenda Pública Estadual;</w:t>
      </w:r>
    </w:p>
    <w:p w14:paraId="5880B0FC">
      <w:pPr>
        <w:pStyle w:val="37"/>
        <w:spacing w:line="360" w:lineRule="auto"/>
        <w:jc w:val="both"/>
        <w:rPr>
          <w:rFonts w:hint="default" w:ascii="Arial" w:hAnsi="Arial"/>
          <w:color w:val="000000"/>
          <w:lang w:val="pt-BR"/>
        </w:rPr>
      </w:pPr>
      <w:r>
        <w:rPr>
          <w:rFonts w:hint="default" w:ascii="Arial" w:hAnsi="Arial"/>
          <w:color w:val="000000"/>
          <w:lang w:val="pt-BR"/>
        </w:rPr>
        <w:t>- Certidão Negativa de Débito do Município Sede da Empresa (CND Municipal);</w:t>
      </w:r>
    </w:p>
    <w:p w14:paraId="59900BFE">
      <w:pPr>
        <w:pStyle w:val="37"/>
        <w:spacing w:line="360" w:lineRule="auto"/>
        <w:jc w:val="both"/>
        <w:rPr>
          <w:rFonts w:hint="default" w:ascii="Arial" w:hAnsi="Arial"/>
          <w:color w:val="000000"/>
          <w:lang w:val="pt-BR"/>
        </w:rPr>
      </w:pPr>
      <w:r>
        <w:rPr>
          <w:rFonts w:hint="default" w:ascii="Arial" w:hAnsi="Arial"/>
          <w:color w:val="000000"/>
          <w:lang w:val="pt-BR"/>
        </w:rPr>
        <w:t>- Certidão Negativa de Débitos junto ao FGTS;</w:t>
      </w:r>
    </w:p>
    <w:p w14:paraId="0F03CADD">
      <w:pPr>
        <w:pStyle w:val="37"/>
        <w:spacing w:line="360" w:lineRule="auto"/>
        <w:jc w:val="both"/>
        <w:rPr>
          <w:rFonts w:hint="default" w:ascii="Arial" w:hAnsi="Arial"/>
          <w:color w:val="000000"/>
          <w:lang w:val="pt-BR"/>
        </w:rPr>
      </w:pPr>
      <w:r>
        <w:rPr>
          <w:rFonts w:hint="default" w:ascii="Arial" w:hAnsi="Arial"/>
          <w:color w:val="000000"/>
          <w:lang w:val="pt-BR"/>
        </w:rPr>
        <w:t>- Certidão Negativa de Débitos Trabalhistas (CNDT);</w:t>
      </w:r>
    </w:p>
    <w:p w14:paraId="545537BB">
      <w:pPr>
        <w:pStyle w:val="37"/>
        <w:spacing w:line="360" w:lineRule="auto"/>
        <w:jc w:val="both"/>
        <w:rPr>
          <w:rFonts w:hint="default" w:ascii="Arial" w:hAnsi="Arial"/>
          <w:color w:val="000000"/>
          <w:lang w:val="pt-BR"/>
        </w:rPr>
      </w:pPr>
    </w:p>
    <w:p w14:paraId="2FE138AE">
      <w:pPr>
        <w:pStyle w:val="37"/>
        <w:spacing w:line="360" w:lineRule="auto"/>
        <w:jc w:val="both"/>
        <w:rPr>
          <w:rFonts w:hint="default" w:ascii="Arial" w:hAnsi="Arial"/>
          <w:b/>
          <w:bCs/>
          <w:color w:val="000000"/>
          <w:lang w:val="pt-BR"/>
        </w:rPr>
      </w:pPr>
      <w:r>
        <w:rPr>
          <w:rFonts w:hint="default" w:ascii="Arial" w:hAnsi="Arial"/>
          <w:b/>
          <w:bCs/>
          <w:color w:val="000000"/>
          <w:lang w:val="pt-BR"/>
        </w:rPr>
        <w:t xml:space="preserve">8.4 Outras Documentações: </w:t>
      </w:r>
    </w:p>
    <w:p w14:paraId="425A5E3D">
      <w:pPr>
        <w:pStyle w:val="37"/>
        <w:spacing w:line="360" w:lineRule="auto"/>
        <w:jc w:val="both"/>
        <w:rPr>
          <w:rFonts w:hint="default" w:ascii="Arial" w:hAnsi="Arial"/>
          <w:color w:val="000000"/>
          <w:lang w:val="pt-BR"/>
        </w:rPr>
      </w:pPr>
      <w:r>
        <w:rPr>
          <w:rFonts w:hint="default" w:ascii="Arial" w:hAnsi="Arial"/>
          <w:color w:val="000000"/>
          <w:lang w:val="pt-BR"/>
        </w:rPr>
        <w:t xml:space="preserve"> – Declaração Unificada</w:t>
      </w:r>
    </w:p>
    <w:p w14:paraId="2C20B295">
      <w:pPr>
        <w:pStyle w:val="37"/>
        <w:spacing w:line="360" w:lineRule="auto"/>
        <w:jc w:val="both"/>
        <w:rPr>
          <w:rFonts w:hint="default" w:ascii="Arial" w:hAnsi="Arial"/>
          <w:color w:val="000000"/>
          <w:lang w:val="pt-BR"/>
        </w:rPr>
      </w:pPr>
      <w:r>
        <w:rPr>
          <w:rFonts w:hint="default" w:ascii="Arial" w:hAnsi="Arial"/>
          <w:color w:val="000000"/>
          <w:lang w:val="pt-BR"/>
        </w:rPr>
        <w:t>8.4.1. Declaração de que não emprega menor de 18 anos em trabalho noturno, perigoso ou insalubre e não emprega menor de 16 anos, salvo menor, a partir de 14 anos, na condição de aprendiz, nos termos do artigo 7°, XXXIII, da Constituição;</w:t>
      </w:r>
    </w:p>
    <w:p w14:paraId="78709B12">
      <w:pPr>
        <w:pStyle w:val="37"/>
        <w:spacing w:line="360" w:lineRule="auto"/>
        <w:jc w:val="both"/>
        <w:rPr>
          <w:rFonts w:hint="default" w:ascii="Arial" w:hAnsi="Arial"/>
          <w:color w:val="000000"/>
          <w:lang w:val="pt-BR"/>
        </w:rPr>
      </w:pPr>
      <w:r>
        <w:rPr>
          <w:rFonts w:hint="default" w:ascii="Arial" w:hAnsi="Arial"/>
          <w:color w:val="000000"/>
          <w:lang w:val="pt-BR"/>
        </w:rPr>
        <w:t>8.4.2. Declaração de inidoneidade para licitar ou contratar com a Administração Pública</w:t>
      </w:r>
    </w:p>
    <w:p w14:paraId="440F19D0">
      <w:pPr>
        <w:pStyle w:val="37"/>
        <w:spacing w:line="360" w:lineRule="auto"/>
        <w:jc w:val="both"/>
        <w:rPr>
          <w:rFonts w:hint="default" w:ascii="Arial" w:hAnsi="Arial"/>
          <w:color w:val="000000"/>
          <w:lang w:val="pt-BR"/>
        </w:rPr>
      </w:pPr>
      <w:r>
        <w:rPr>
          <w:rFonts w:hint="default" w:ascii="Arial" w:hAnsi="Arial"/>
          <w:color w:val="000000"/>
          <w:lang w:val="pt-BR"/>
        </w:rPr>
        <w:t>8.4.3. Lista de Inidôneos mantida pelo Tribunal de Contas da União - TCU por meio da Consulta Consolidada de Pessoa Jurídica do TCU (</w:t>
      </w:r>
      <w:r>
        <w:rPr>
          <w:rFonts w:hint="default" w:ascii="Arial" w:hAnsi="Arial"/>
          <w:color w:val="000000"/>
          <w:lang w:val="pt-BR"/>
        </w:rPr>
        <w:fldChar w:fldCharType="begin"/>
      </w:r>
      <w:r>
        <w:rPr>
          <w:rFonts w:hint="default" w:ascii="Arial" w:hAnsi="Arial"/>
          <w:color w:val="000000"/>
          <w:lang w:val="pt-BR"/>
        </w:rPr>
        <w:instrText xml:space="preserve"> HYPERLINK "https://contas.tcu.gov.br/ords/f?p=1660:2:::NO" </w:instrText>
      </w:r>
      <w:r>
        <w:rPr>
          <w:rFonts w:hint="default" w:ascii="Arial" w:hAnsi="Arial"/>
          <w:color w:val="000000"/>
          <w:lang w:val="pt-BR"/>
        </w:rPr>
        <w:fldChar w:fldCharType="separate"/>
      </w:r>
      <w:r>
        <w:rPr>
          <w:rFonts w:hint="default" w:ascii="Arial" w:hAnsi="Arial"/>
          <w:color w:val="000000"/>
          <w:lang w:val="pt-BR"/>
        </w:rPr>
        <w:t>https://contas.tcu.gov.br/ords/f?p=1660:2:::NO</w:t>
      </w:r>
      <w:r>
        <w:rPr>
          <w:rFonts w:hint="default" w:ascii="Arial" w:hAnsi="Arial"/>
          <w:color w:val="000000"/>
          <w:lang w:val="pt-BR"/>
        </w:rPr>
        <w:fldChar w:fldCharType="end"/>
      </w:r>
      <w:r>
        <w:rPr>
          <w:rFonts w:hint="default" w:ascii="Arial" w:hAnsi="Arial"/>
          <w:color w:val="000000"/>
          <w:lang w:val="pt-BR"/>
        </w:rPr>
        <w:t>)</w:t>
      </w:r>
    </w:p>
    <w:p w14:paraId="0250A196">
      <w:pPr>
        <w:pStyle w:val="37"/>
        <w:spacing w:line="360" w:lineRule="auto"/>
        <w:jc w:val="both"/>
        <w:rPr>
          <w:rFonts w:hint="default" w:ascii="Arial" w:hAnsi="Arial"/>
          <w:color w:val="000000"/>
          <w:lang w:val="pt-BR"/>
        </w:rPr>
      </w:pPr>
      <w:r>
        <w:rPr>
          <w:rFonts w:hint="default" w:ascii="Arial" w:hAnsi="Arial"/>
          <w:color w:val="000000"/>
          <w:lang w:val="pt-BR"/>
        </w:rPr>
        <w:t>a. A consulta aos cadastros será realizada em nome da empresa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5BEA15F">
      <w:pPr>
        <w:pStyle w:val="37"/>
        <w:spacing w:line="360" w:lineRule="auto"/>
        <w:jc w:val="both"/>
        <w:rPr>
          <w:rFonts w:hint="default" w:ascii="Arial" w:hAnsi="Arial"/>
          <w:color w:val="000000"/>
          <w:lang w:val="pt-BR"/>
        </w:rPr>
      </w:pPr>
      <w:r>
        <w:rPr>
          <w:rFonts w:hint="default" w:ascii="Arial" w:hAnsi="Arial"/>
          <w:color w:val="000000"/>
          <w:lang w:val="pt-BR"/>
        </w:rPr>
        <w:t>8.4.4. Declaração Microempresa ou Empresa de Pequeno Porte.</w:t>
      </w:r>
    </w:p>
    <w:p w14:paraId="031C7D0D">
      <w:pPr>
        <w:pStyle w:val="37"/>
        <w:spacing w:line="360" w:lineRule="auto"/>
        <w:jc w:val="both"/>
        <w:rPr>
          <w:rFonts w:ascii="Arial" w:hAnsi="Arial"/>
        </w:rPr>
      </w:pPr>
    </w:p>
    <w:p w14:paraId="7B216ED9">
      <w:pPr>
        <w:pStyle w:val="37"/>
        <w:spacing w:line="360" w:lineRule="auto"/>
        <w:jc w:val="both"/>
        <w:rPr>
          <w:rFonts w:hint="default" w:ascii="Arial" w:hAnsi="Arial"/>
          <w:b/>
          <w:bCs/>
          <w:color w:val="000000"/>
          <w:lang w:val="pt-BR"/>
        </w:rPr>
      </w:pPr>
      <w:r>
        <w:rPr>
          <w:rFonts w:ascii="Arial" w:hAnsi="Arial"/>
          <w:b/>
          <w:bCs/>
          <w:color w:val="000000"/>
        </w:rPr>
        <w:t xml:space="preserve">9. </w:t>
      </w:r>
      <w:r>
        <w:rPr>
          <w:rFonts w:hint="default" w:ascii="Arial" w:hAnsi="Arial"/>
          <w:b/>
          <w:bCs/>
          <w:color w:val="000000"/>
          <w:lang w:val="pt-BR"/>
        </w:rPr>
        <w:t>DO VALOR</w:t>
      </w:r>
    </w:p>
    <w:p w14:paraId="4D43C353">
      <w:pPr>
        <w:pStyle w:val="37"/>
        <w:spacing w:line="360" w:lineRule="auto"/>
        <w:jc w:val="both"/>
        <w:rPr>
          <w:rFonts w:ascii="Arial" w:hAnsi="Arial"/>
          <w:bCs/>
          <w:color w:val="000000" w:themeColor="text1"/>
          <w14:textFill>
            <w14:solidFill>
              <w14:schemeClr w14:val="tx1"/>
            </w14:solidFill>
          </w14:textFill>
        </w:rPr>
      </w:pPr>
      <w:r>
        <w:rPr>
          <w:rFonts w:ascii="Arial" w:hAnsi="Arial"/>
          <w:b/>
          <w:bCs/>
          <w:color w:val="000000"/>
        </w:rPr>
        <w:t>9.1.</w:t>
      </w:r>
      <w:r>
        <w:rPr>
          <w:rFonts w:ascii="Arial" w:hAnsi="Arial"/>
          <w:bCs/>
          <w:color w:val="000000"/>
        </w:rPr>
        <w:t xml:space="preserve"> O custo total da contratação é de </w:t>
      </w:r>
      <w:r>
        <w:rPr>
          <w:rFonts w:hint="eastAsia" w:ascii="Arial" w:hAnsi="Arial"/>
          <w:bCs/>
          <w:color w:val="000000" w:themeColor="text1"/>
          <w14:textFill>
            <w14:solidFill>
              <w14:schemeClr w14:val="tx1"/>
            </w14:solidFill>
          </w14:textFill>
        </w:rPr>
        <w:t xml:space="preserve">R$ </w:t>
      </w:r>
      <w:r>
        <w:rPr>
          <w:rFonts w:hint="default" w:ascii="Arial" w:hAnsi="Arial"/>
          <w:bCs/>
          <w:color w:val="000000" w:themeColor="text1"/>
          <w:lang w:val="pt-BR"/>
          <w14:textFill>
            <w14:solidFill>
              <w14:schemeClr w14:val="tx1"/>
            </w14:solidFill>
          </w14:textFill>
        </w:rPr>
        <w:t>12.327,00</w:t>
      </w:r>
      <w:r>
        <w:rPr>
          <w:rFonts w:ascii="Arial" w:hAnsi="Arial"/>
          <w:bCs/>
          <w:color w:val="000000" w:themeColor="text1"/>
          <w14:textFill>
            <w14:solidFill>
              <w14:schemeClr w14:val="tx1"/>
            </w14:solidFill>
          </w14:textFill>
        </w:rPr>
        <w:t xml:space="preserve"> (</w:t>
      </w:r>
      <w:r>
        <w:rPr>
          <w:rFonts w:hint="default" w:ascii="Arial" w:hAnsi="Arial"/>
          <w:bCs/>
          <w:color w:val="000000" w:themeColor="text1"/>
          <w:lang w:val="pt-BR"/>
          <w14:textFill>
            <w14:solidFill>
              <w14:schemeClr w14:val="tx1"/>
            </w14:solidFill>
          </w14:textFill>
        </w:rPr>
        <w:t>doze mil, trezentos e vinte e sete reais</w:t>
      </w:r>
      <w:r>
        <w:rPr>
          <w:rFonts w:ascii="Arial" w:hAnsi="Arial"/>
          <w:bCs/>
          <w:color w:val="000000" w:themeColor="text1"/>
          <w14:textFill>
            <w14:solidFill>
              <w14:schemeClr w14:val="tx1"/>
            </w14:solidFill>
          </w14:textFill>
        </w:rPr>
        <w:t>), conforme ETP.</w:t>
      </w:r>
    </w:p>
    <w:p w14:paraId="2382B5AB">
      <w:pPr>
        <w:pStyle w:val="37"/>
        <w:spacing w:line="360" w:lineRule="auto"/>
        <w:jc w:val="both"/>
        <w:rPr>
          <w:rFonts w:ascii="Arial" w:hAnsi="Arial"/>
          <w:bCs/>
          <w:color w:val="000000" w:themeColor="text1"/>
          <w14:textFill>
            <w14:solidFill>
              <w14:schemeClr w14:val="tx1"/>
            </w14:solidFill>
          </w14:textFill>
        </w:rPr>
      </w:pPr>
    </w:p>
    <w:p w14:paraId="144D424F">
      <w:pPr>
        <w:pStyle w:val="37"/>
        <w:tabs>
          <w:tab w:val="left" w:pos="302"/>
        </w:tabs>
        <w:spacing w:line="360" w:lineRule="auto"/>
        <w:jc w:val="both"/>
        <w:rPr>
          <w:rFonts w:ascii="Arial" w:hAnsi="Arial"/>
          <w:b/>
          <w:bCs/>
          <w:color w:val="000000"/>
        </w:rPr>
      </w:pPr>
      <w:r>
        <w:rPr>
          <w:rFonts w:ascii="Arial" w:hAnsi="Arial"/>
          <w:b/>
          <w:bCs/>
          <w:color w:val="000000"/>
        </w:rPr>
        <w:t>9.2. DA REVISÃO</w:t>
      </w:r>
    </w:p>
    <w:p w14:paraId="277A94ED">
      <w:pPr>
        <w:autoSpaceDN/>
        <w:spacing w:line="360" w:lineRule="auto"/>
        <w:contextualSpacing/>
        <w:jc w:val="both"/>
        <w:rPr>
          <w:rFonts w:ascii="Arial" w:hAnsi="Arial"/>
          <w:bCs/>
          <w:color w:val="000000"/>
        </w:rPr>
      </w:pPr>
      <w:r>
        <w:rPr>
          <w:rFonts w:ascii="Arial" w:hAnsi="Arial"/>
          <w:b/>
          <w:bCs/>
          <w:color w:val="000000"/>
        </w:rPr>
        <w:t>9.2.1</w:t>
      </w:r>
      <w:r>
        <w:rPr>
          <w:rFonts w:ascii="Arial" w:hAnsi="Arial"/>
          <w:bCs/>
          <w:color w:val="000000"/>
        </w:rPr>
        <w:t xml:space="preserve"> Devido ao curto prazo de vigência contratual necessário a conclusão do objeto demandado, não haverá reajustamento de preços.</w:t>
      </w:r>
    </w:p>
    <w:p w14:paraId="6BFBCCF1">
      <w:pPr>
        <w:autoSpaceDN/>
        <w:spacing w:line="360" w:lineRule="auto"/>
        <w:contextualSpacing/>
        <w:jc w:val="both"/>
        <w:rPr>
          <w:rFonts w:ascii="Arial" w:hAnsi="Arial"/>
          <w:bCs/>
          <w:color w:val="000000"/>
        </w:rPr>
      </w:pPr>
    </w:p>
    <w:p w14:paraId="3D22B027">
      <w:pPr>
        <w:autoSpaceDN/>
        <w:spacing w:line="360" w:lineRule="auto"/>
        <w:contextualSpacing/>
        <w:jc w:val="both"/>
        <w:rPr>
          <w:rFonts w:ascii="Arial" w:hAnsi="Arial"/>
          <w:bCs/>
          <w:color w:val="000000"/>
        </w:rPr>
      </w:pPr>
    </w:p>
    <w:p w14:paraId="735DC8F3">
      <w:pPr>
        <w:autoSpaceDN/>
        <w:spacing w:line="360" w:lineRule="auto"/>
        <w:contextualSpacing/>
        <w:jc w:val="both"/>
        <w:rPr>
          <w:rFonts w:ascii="Arial" w:hAnsi="Arial"/>
          <w:bCs/>
          <w:color w:val="000000"/>
        </w:rPr>
      </w:pPr>
    </w:p>
    <w:p w14:paraId="1617CC32">
      <w:pPr>
        <w:autoSpaceDN/>
        <w:spacing w:line="360" w:lineRule="auto"/>
        <w:contextualSpacing/>
        <w:jc w:val="both"/>
        <w:rPr>
          <w:rFonts w:ascii="Arial" w:hAnsi="Arial"/>
          <w:bCs/>
          <w:color w:val="000000"/>
        </w:rPr>
      </w:pPr>
    </w:p>
    <w:p w14:paraId="400C0887">
      <w:pPr>
        <w:pStyle w:val="37"/>
        <w:spacing w:line="360" w:lineRule="auto"/>
        <w:jc w:val="both"/>
        <w:rPr>
          <w:rFonts w:ascii="Arial" w:hAnsi="Arial"/>
          <w:b/>
          <w:bCs/>
          <w:color w:val="000000"/>
        </w:rPr>
      </w:pPr>
      <w:r>
        <w:rPr>
          <w:rFonts w:ascii="Arial" w:hAnsi="Arial"/>
          <w:b/>
          <w:bCs/>
          <w:color w:val="000000"/>
        </w:rPr>
        <w:t>10. DOTAÇÃO ORÇAMENTÁRIA</w:t>
      </w:r>
    </w:p>
    <w:p w14:paraId="5E543AD5">
      <w:pPr>
        <w:pStyle w:val="38"/>
        <w:spacing w:after="0" w:line="360" w:lineRule="auto"/>
        <w:rPr>
          <w:rFonts w:hint="eastAsia"/>
          <w:b w:val="0"/>
          <w:bCs w:val="0"/>
          <w:sz w:val="24"/>
          <w:szCs w:val="24"/>
        </w:rPr>
      </w:pPr>
      <w:r>
        <w:rPr>
          <w:rFonts w:eastAsia="MS Gothic"/>
          <w:sz w:val="24"/>
          <w:szCs w:val="24"/>
        </w:rPr>
        <w:t xml:space="preserve">10.1. </w:t>
      </w:r>
      <w:r>
        <w:rPr>
          <w:rFonts w:hint="eastAsia"/>
          <w:b w:val="0"/>
          <w:bCs w:val="0"/>
          <w:sz w:val="24"/>
          <w:szCs w:val="24"/>
        </w:rPr>
        <w:t>As despesas decorrentes da presente contratação correrão à conta de recursos consignados no Orçamento Geral do Município deste exercício, na dotação abaixo discriminada:</w:t>
      </w:r>
    </w:p>
    <w:p w14:paraId="2A719EDF">
      <w:pPr>
        <w:pStyle w:val="38"/>
        <w:spacing w:after="0" w:line="360" w:lineRule="auto"/>
        <w:rPr>
          <w:rFonts w:hint="default"/>
          <w:b w:val="0"/>
          <w:bCs w:val="0"/>
          <w:sz w:val="22"/>
          <w:szCs w:val="22"/>
          <w:lang w:val="pt-BR"/>
        </w:rPr>
      </w:pPr>
      <w:r>
        <w:rPr>
          <w:rFonts w:hint="default"/>
          <w:b w:val="0"/>
          <w:bCs w:val="0"/>
          <w:sz w:val="22"/>
          <w:szCs w:val="22"/>
          <w:lang w:val="pt-BR"/>
        </w:rPr>
        <w:t>07.001.10.301.0030.2015 - Assistência Médica, Odontológica e Sanitária</w:t>
      </w:r>
    </w:p>
    <w:p w14:paraId="0591EB70">
      <w:pPr>
        <w:pStyle w:val="38"/>
        <w:spacing w:after="0" w:line="360" w:lineRule="auto"/>
        <w:rPr>
          <w:rFonts w:hint="default"/>
          <w:b w:val="0"/>
          <w:bCs w:val="0"/>
          <w:sz w:val="22"/>
          <w:szCs w:val="22"/>
          <w:lang w:val="pt-BR"/>
        </w:rPr>
      </w:pPr>
      <w:r>
        <w:rPr>
          <w:rFonts w:hint="default"/>
          <w:b w:val="0"/>
          <w:bCs w:val="0"/>
          <w:sz w:val="22"/>
          <w:szCs w:val="22"/>
          <w:lang w:val="pt-BR"/>
        </w:rPr>
        <w:t>326 3.3.90.39.020.00 - OUTROS SERVIÇOS DE TERCEIROS PESSOA JURÍDICA - 1303</w:t>
      </w:r>
    </w:p>
    <w:p w14:paraId="52911BCD">
      <w:pPr>
        <w:pStyle w:val="38"/>
        <w:spacing w:after="0" w:line="360" w:lineRule="auto"/>
        <w:rPr>
          <w:rFonts w:hint="default"/>
          <w:b w:val="0"/>
          <w:bCs w:val="0"/>
          <w:sz w:val="22"/>
          <w:szCs w:val="22"/>
          <w:lang w:val="pt-BR"/>
        </w:rPr>
      </w:pPr>
      <w:r>
        <w:rPr>
          <w:rFonts w:hint="default"/>
          <w:b w:val="0"/>
          <w:bCs w:val="0"/>
          <w:sz w:val="22"/>
          <w:szCs w:val="22"/>
          <w:lang w:val="pt-BR"/>
        </w:rPr>
        <w:t>327 3.3.90.39.020.00 - OUTROS SERVIÇOS DE TERCEIROS PESSOA JURÍDICA - 1369</w:t>
      </w:r>
    </w:p>
    <w:p w14:paraId="15387BA6">
      <w:pPr>
        <w:pStyle w:val="37"/>
        <w:rPr>
          <w:rFonts w:hint="eastAsia"/>
        </w:rPr>
      </w:pPr>
    </w:p>
    <w:p w14:paraId="1B9F86BC">
      <w:pPr>
        <w:pStyle w:val="37"/>
        <w:spacing w:line="360" w:lineRule="auto"/>
        <w:jc w:val="both"/>
        <w:rPr>
          <w:rFonts w:ascii="Arial" w:hAnsi="Arial"/>
          <w:color w:val="000000"/>
        </w:rPr>
      </w:pPr>
      <w:r>
        <w:rPr>
          <w:rFonts w:ascii="Arial" w:hAnsi="Arial"/>
          <w:b/>
          <w:color w:val="000000"/>
        </w:rPr>
        <w:t xml:space="preserve">11. APÊNDICE DO ANEXO I - </w:t>
      </w:r>
      <w:r>
        <w:rPr>
          <w:rFonts w:ascii="Arial" w:hAnsi="Arial"/>
          <w:color w:val="000000"/>
        </w:rPr>
        <w:t>ESTUDO TÉCNICO PRELIMINAR</w:t>
      </w:r>
    </w:p>
    <w:p w14:paraId="3F8B4766">
      <w:pPr>
        <w:pStyle w:val="37"/>
        <w:spacing w:line="360" w:lineRule="auto"/>
        <w:jc w:val="both"/>
        <w:rPr>
          <w:rFonts w:ascii="Arial" w:hAnsi="Arial"/>
          <w:color w:val="000000"/>
        </w:rPr>
      </w:pPr>
    </w:p>
    <w:p w14:paraId="21C9A3B5">
      <w:pPr>
        <w:pStyle w:val="37"/>
        <w:spacing w:line="360" w:lineRule="auto"/>
        <w:jc w:val="both"/>
        <w:rPr>
          <w:rFonts w:hint="default" w:ascii="Arial" w:hAnsi="Arial"/>
          <w:color w:val="000000"/>
          <w:szCs w:val="22"/>
          <w:lang w:val="pt-BR"/>
        </w:rPr>
      </w:pPr>
      <w:r>
        <w:rPr>
          <w:rFonts w:ascii="Arial" w:hAnsi="Arial"/>
          <w:color w:val="000000"/>
          <w:szCs w:val="22"/>
        </w:rPr>
        <w:t>O servidor que subscreve este Termo de Referência atesta que observou integralmente a regulamentação estabelecida</w:t>
      </w:r>
      <w:r>
        <w:rPr>
          <w:rFonts w:hint="default" w:ascii="Arial" w:hAnsi="Arial"/>
          <w:color w:val="000000"/>
          <w:szCs w:val="22"/>
          <w:lang w:val="pt-BR"/>
        </w:rPr>
        <w:t>.</w:t>
      </w:r>
    </w:p>
    <w:p w14:paraId="04574625">
      <w:pPr>
        <w:pStyle w:val="37"/>
        <w:spacing w:line="360" w:lineRule="auto"/>
        <w:jc w:val="both"/>
        <w:rPr>
          <w:rFonts w:hint="default" w:ascii="Arial" w:hAnsi="Arial"/>
          <w:color w:val="000000"/>
          <w:szCs w:val="22"/>
          <w:lang w:val="pt-BR"/>
        </w:rPr>
      </w:pPr>
    </w:p>
    <w:p w14:paraId="6C698AD2">
      <w:pPr>
        <w:pStyle w:val="37"/>
        <w:spacing w:line="360" w:lineRule="auto"/>
        <w:jc w:val="both"/>
        <w:rPr>
          <w:rFonts w:hint="default" w:ascii="Arial" w:hAnsi="Arial"/>
          <w:color w:val="000000"/>
          <w:szCs w:val="22"/>
          <w:lang w:val="pt-BR"/>
        </w:rPr>
      </w:pPr>
    </w:p>
    <w:p w14:paraId="2E07ED2B">
      <w:pPr>
        <w:pStyle w:val="37"/>
        <w:spacing w:line="360" w:lineRule="auto"/>
        <w:jc w:val="both"/>
        <w:rPr>
          <w:rFonts w:ascii="Arial" w:hAnsi="Arial"/>
          <w:color w:val="000000"/>
          <w:sz w:val="24"/>
          <w:szCs w:val="24"/>
        </w:rPr>
      </w:pPr>
    </w:p>
    <w:p w14:paraId="30B5D091">
      <w:pPr>
        <w:widowControl w:val="0"/>
        <w:spacing w:after="0" w:line="240" w:lineRule="auto"/>
        <w:ind w:left="993"/>
        <w:jc w:val="center"/>
        <w:rPr>
          <w:rFonts w:hint="default" w:ascii="Arial" w:hAnsi="Arial" w:eastAsia="Calibri" w:cs="Arial"/>
          <w:sz w:val="24"/>
          <w:szCs w:val="24"/>
          <w:lang w:val="pt-BR"/>
        </w:rPr>
      </w:pPr>
      <w:r>
        <w:rPr>
          <w:rFonts w:hint="default" w:ascii="Arial" w:hAnsi="Arial" w:eastAsia="Calibri" w:cs="Arial"/>
          <w:sz w:val="24"/>
          <w:szCs w:val="24"/>
          <w:lang w:val="pt-BR"/>
        </w:rPr>
        <w:t xml:space="preserve">         Antonina, 22 de janeiro de 2025.</w:t>
      </w:r>
    </w:p>
    <w:p w14:paraId="37ED4D6B">
      <w:pPr>
        <w:widowControl w:val="0"/>
        <w:spacing w:after="0" w:line="240" w:lineRule="auto"/>
        <w:ind w:left="993"/>
        <w:jc w:val="center"/>
        <w:rPr>
          <w:rFonts w:hint="default" w:ascii="Arial" w:hAnsi="Arial" w:eastAsia="Calibri" w:cs="Arial"/>
          <w:sz w:val="22"/>
          <w:szCs w:val="22"/>
          <w:lang w:val="pt-BR"/>
        </w:rPr>
      </w:pPr>
    </w:p>
    <w:p w14:paraId="5E991351">
      <w:pPr>
        <w:widowControl w:val="0"/>
        <w:spacing w:after="0" w:line="240" w:lineRule="auto"/>
        <w:ind w:left="993"/>
        <w:jc w:val="center"/>
        <w:rPr>
          <w:rFonts w:hint="default" w:ascii="Arial" w:hAnsi="Arial" w:eastAsia="Calibri" w:cs="Arial"/>
          <w:sz w:val="22"/>
          <w:szCs w:val="22"/>
          <w:lang w:val="pt-BR"/>
        </w:rPr>
      </w:pPr>
    </w:p>
    <w:p w14:paraId="682E1F59">
      <w:pPr>
        <w:widowControl w:val="0"/>
        <w:spacing w:after="0" w:line="240" w:lineRule="auto"/>
        <w:ind w:left="993"/>
        <w:jc w:val="center"/>
        <w:rPr>
          <w:rFonts w:hint="default" w:ascii="Arial" w:hAnsi="Arial" w:eastAsia="Calibri" w:cs="Arial"/>
          <w:sz w:val="22"/>
          <w:szCs w:val="22"/>
          <w:lang w:val="pt-BR"/>
        </w:rPr>
      </w:pPr>
    </w:p>
    <w:p w14:paraId="5D29E8FE">
      <w:pPr>
        <w:widowControl w:val="0"/>
        <w:spacing w:after="0" w:line="240" w:lineRule="auto"/>
        <w:ind w:left="993"/>
        <w:jc w:val="center"/>
        <w:rPr>
          <w:rFonts w:hint="default" w:ascii="Arial" w:hAnsi="Arial" w:eastAsia="Calibri" w:cs="Arial"/>
          <w:sz w:val="22"/>
          <w:szCs w:val="22"/>
          <w:lang w:val="pt-BR"/>
        </w:rPr>
      </w:pPr>
    </w:p>
    <w:p w14:paraId="5BE4DA76">
      <w:pPr>
        <w:widowControl w:val="0"/>
        <w:spacing w:after="0" w:line="240" w:lineRule="auto"/>
        <w:ind w:left="993"/>
        <w:jc w:val="center"/>
        <w:rPr>
          <w:rFonts w:hint="default" w:ascii="Arial" w:hAnsi="Arial" w:eastAsia="Calibri" w:cs="Arial"/>
          <w:sz w:val="22"/>
          <w:szCs w:val="22"/>
          <w:lang w:val="pt-BR"/>
        </w:rPr>
      </w:pPr>
    </w:p>
    <w:p w14:paraId="79AEC1D4">
      <w:pPr>
        <w:pStyle w:val="24"/>
        <w:numPr>
          <w:ilvl w:val="0"/>
          <w:numId w:val="0"/>
        </w:numPr>
        <w:pBdr>
          <w:top w:val="none" w:color="auto" w:sz="0" w:space="0"/>
          <w:left w:val="none" w:color="auto" w:sz="0" w:space="0"/>
          <w:bottom w:val="none" w:color="auto" w:sz="0" w:space="0"/>
          <w:right w:val="none" w:color="auto" w:sz="0" w:space="0"/>
          <w:between w:val="none" w:color="auto" w:sz="0" w:space="0"/>
        </w:pBdr>
        <w:spacing w:after="0" w:line="240" w:lineRule="auto"/>
        <w:ind w:left="1418" w:leftChars="0"/>
        <w:jc w:val="center"/>
        <w:rPr>
          <w:rFonts w:ascii="Arial" w:hAnsi="Arial" w:eastAsia="Calibri" w:cs="Arial"/>
          <w:b/>
          <w:bCs/>
          <w:color w:val="auto"/>
          <w:sz w:val="22"/>
          <w:szCs w:val="22"/>
          <w:rtl w:val="0"/>
        </w:rPr>
      </w:pPr>
      <w:r>
        <w:rPr>
          <w:rFonts w:ascii="Arial" w:hAnsi="Arial" w:eastAsia="Calibri" w:cs="Arial"/>
          <w:b/>
          <w:bCs/>
          <w:color w:val="auto"/>
          <w:sz w:val="22"/>
          <w:szCs w:val="22"/>
          <w:rtl w:val="0"/>
        </w:rPr>
        <w:t>André Lu</w:t>
      </w:r>
      <w:r>
        <w:rPr>
          <w:rFonts w:hint="default" w:ascii="Arial" w:hAnsi="Arial" w:eastAsia="Calibri" w:cs="Arial"/>
          <w:b/>
          <w:bCs/>
          <w:color w:val="auto"/>
          <w:sz w:val="22"/>
          <w:szCs w:val="22"/>
          <w:rtl w:val="0"/>
          <w:lang w:val="pt-BR"/>
        </w:rPr>
        <w:t>í</w:t>
      </w:r>
      <w:r>
        <w:rPr>
          <w:rFonts w:ascii="Arial" w:hAnsi="Arial" w:eastAsia="Calibri" w:cs="Arial"/>
          <w:b/>
          <w:bCs/>
          <w:color w:val="auto"/>
          <w:sz w:val="22"/>
          <w:szCs w:val="22"/>
          <w:rtl w:val="0"/>
        </w:rPr>
        <w:t>s da Costa Pereira</w:t>
      </w:r>
    </w:p>
    <w:p w14:paraId="46C58004">
      <w:pPr>
        <w:pStyle w:val="24"/>
        <w:numPr>
          <w:ilvl w:val="0"/>
          <w:numId w:val="0"/>
        </w:numPr>
        <w:pBdr>
          <w:top w:val="none" w:color="auto" w:sz="0" w:space="0"/>
          <w:left w:val="none" w:color="auto" w:sz="0" w:space="0"/>
          <w:bottom w:val="none" w:color="auto" w:sz="0" w:space="0"/>
          <w:right w:val="none" w:color="auto" w:sz="0" w:space="0"/>
          <w:between w:val="none" w:color="auto" w:sz="0" w:space="0"/>
        </w:pBdr>
        <w:spacing w:after="0" w:line="240" w:lineRule="auto"/>
        <w:ind w:left="1418" w:leftChars="0"/>
        <w:jc w:val="center"/>
        <w:rPr>
          <w:rFonts w:ascii="Arial" w:hAnsi="Arial" w:cs="Arial"/>
          <w:sz w:val="22"/>
          <w:szCs w:val="22"/>
        </w:rPr>
      </w:pPr>
      <w:r>
        <w:rPr>
          <w:rFonts w:hint="default" w:ascii="Arial" w:hAnsi="Arial" w:eastAsia="Calibri" w:cs="Arial"/>
          <w:b/>
          <w:bCs/>
          <w:color w:val="auto"/>
          <w:sz w:val="22"/>
          <w:szCs w:val="22"/>
          <w:rtl w:val="0"/>
          <w:lang w:val="pt-BR"/>
        </w:rPr>
        <w:t>SECRETÁRIO DE SAÚDE</w:t>
      </w:r>
    </w:p>
    <w:sectPr>
      <w:headerReference r:id="rId5" w:type="default"/>
      <w:footerReference r:id="rId6" w:type="default"/>
      <w:pgSz w:w="11906" w:h="16838"/>
      <w:pgMar w:top="17" w:right="1701" w:bottom="0" w:left="1638" w:header="0" w:footer="737" w:gutter="0"/>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Mangal">
    <w:altName w:val="Courier New"/>
    <w:panose1 w:val="00000400000000000000"/>
    <w:charset w:val="01"/>
    <w:family w:val="roman"/>
    <w:pitch w:val="default"/>
    <w:sig w:usb0="00000000" w:usb1="00000000" w:usb2="00000000" w:usb3="00000000" w:csb0="00000000" w:csb1="00000000"/>
  </w:font>
  <w:font w:name="Garamond">
    <w:panose1 w:val="02020404030301010803"/>
    <w:charset w:val="00"/>
    <w:family w:val="roman"/>
    <w:pitch w:val="default"/>
    <w:sig w:usb0="00000287" w:usb1="00000000" w:usb2="00000000" w:usb3="00000000" w:csb0="0000009F" w:csb1="DFD70000"/>
  </w:font>
  <w:font w:name="Segoe UI">
    <w:panose1 w:val="020B0502040204020203"/>
    <w:charset w:val="00"/>
    <w:family w:val="swiss"/>
    <w:pitch w:val="default"/>
    <w:sig w:usb0="E4002EFF" w:usb1="C000E47F" w:usb2="00000009" w:usb3="00000000" w:csb0="200001FF" w:csb1="00000000"/>
  </w:font>
  <w:font w:name="Liberation Serif">
    <w:altName w:val="Times New Roman"/>
    <w:panose1 w:val="00000000000000000000"/>
    <w:charset w:val="00"/>
    <w:family w:val="roman"/>
    <w:pitch w:val="default"/>
    <w:sig w:usb0="00000000" w:usb1="00000000" w:usb2="00000000" w:usb3="00000000" w:csb0="00000000" w:csb1="00000000"/>
  </w:font>
  <w:font w:name="NSimSun">
    <w:panose1 w:val="02010609030101010101"/>
    <w:charset w:val="86"/>
    <w:family w:val="modern"/>
    <w:pitch w:val="default"/>
    <w:sig w:usb0="00000203" w:usb1="288F0000" w:usb2="00000006" w:usb3="00000000" w:csb0="00040001" w:csb1="00000000"/>
  </w:font>
  <w:font w:name="ArialMT">
    <w:altName w:val="Arial"/>
    <w:panose1 w:val="00000000000000000000"/>
    <w:charset w:val="00"/>
    <w:family w:val="swiss"/>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Antique Olive Compact">
    <w:altName w:val="Tahoma"/>
    <w:panose1 w:val="00000000000000000000"/>
    <w:charset w:val="00"/>
    <w:family w:val="swiss"/>
    <w:pitch w:val="default"/>
    <w:sig w:usb0="00000000" w:usb1="00000000" w:usb2="00000000" w:usb3="00000000" w:csb0="00000093"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68CFC2">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1" w:after="0" w:line="240" w:lineRule="auto"/>
      <w:ind w:left="0" w:right="0" w:firstLine="0"/>
      <w:jc w:val="center"/>
      <w:rPr>
        <w:rFonts w:ascii="Arial" w:hAnsi="Arial" w:eastAsia="Arial" w:cs="Arial"/>
        <w:b w:val="0"/>
        <w:i w:val="0"/>
        <w:smallCaps w:val="0"/>
        <w:strike w:val="0"/>
        <w:color w:val="000000"/>
        <w:sz w:val="18"/>
        <w:szCs w:val="18"/>
        <w:u w:val="none"/>
        <w:shd w:val="clear" w:fill="auto"/>
        <w:vertAlign w:val="baseline"/>
      </w:rPr>
    </w:pPr>
    <w:r>
      <w:rPr>
        <w:rFonts w:ascii="Arial" w:hAnsi="Arial" w:eastAsia="Arial" w:cs="Arial"/>
        <w:b w:val="0"/>
        <w:i w:val="0"/>
        <w:smallCaps w:val="0"/>
        <w:strike w:val="0"/>
        <w:color w:val="000000"/>
        <w:sz w:val="18"/>
        <w:szCs w:val="18"/>
        <w:u w:val="none"/>
        <w:shd w:val="clear" w:fill="auto"/>
        <w:vertAlign w:val="baseline"/>
        <w:rtl w:val="0"/>
      </w:rPr>
      <w:t>Av. Thiago Peixoto, 274 – Centro – Antonina-PR</w:t>
    </w:r>
  </w:p>
  <w:p w14:paraId="54BD22F0">
    <w:pPr>
      <w:pStyle w:val="15"/>
      <w:jc w:val="center"/>
    </w:pPr>
    <w:r>
      <w:rPr>
        <w:rFonts w:ascii="Arial" w:hAnsi="Arial" w:eastAsia="Arial" w:cs="Arial"/>
        <w:b w:val="0"/>
        <w:i w:val="0"/>
        <w:smallCaps w:val="0"/>
        <w:strike w:val="0"/>
        <w:color w:val="000000"/>
        <w:sz w:val="18"/>
        <w:szCs w:val="18"/>
        <w:u w:val="none"/>
        <w:shd w:val="clear" w:fill="auto"/>
        <w:vertAlign w:val="baseline"/>
        <w:rtl w:val="0"/>
      </w:rPr>
      <w:t>CNPJ: 10.778.273/0001-15 – CEP: 83370-000 - Fone: (41) 3432-1244</w:t>
    </w:r>
  </w:p>
  <w:p w14:paraId="1AD1748A">
    <w:pPr>
      <w:pStyle w:val="17"/>
      <w:rPr>
        <w:rFonts w:ascii="Antique Olive Compact" w:hAnsi="Antique Olive Compact"/>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E8D47">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1" w:after="0" w:line="240" w:lineRule="auto"/>
      <w:ind w:left="2400" w:leftChars="1000" w:right="0" w:firstLine="0" w:firstLineChars="0"/>
      <w:jc w:val="both"/>
    </w:pPr>
    <w:r>
      <w:rPr>
        <w:rFonts w:hint="default"/>
        <w:lang w:val="pt-BR"/>
      </w:rPr>
      <w:t xml:space="preserve">                                        </w:t>
    </w:r>
    <w:r>
      <w:rPr>
        <w:rFonts w:hint="default" w:ascii="Arial" w:hAnsi="Arial" w:cs="Arial"/>
        <w:lang w:val="pt-BR"/>
      </w:rPr>
      <w:t xml:space="preserve">  </w:t>
    </w:r>
    <w:r>
      <w:rPr>
        <w:rFonts w:hint="default" w:ascii="Arial" w:hAnsi="Arial" w:cs="Arial"/>
        <w:b/>
        <w:bCs/>
        <w:lang w:val="pt-BR"/>
      </w:rPr>
      <w:t xml:space="preserve"> </w:t>
    </w:r>
    <w:r>
      <w:drawing>
        <wp:inline distT="0" distB="0" distL="0" distR="0">
          <wp:extent cx="3920490" cy="1108075"/>
          <wp:effectExtent l="0" t="0" r="3810" b="15875"/>
          <wp:docPr id="3" name="Image 32"/>
          <wp:cNvGraphicFramePr/>
          <a:graphic xmlns:a="http://schemas.openxmlformats.org/drawingml/2006/main">
            <a:graphicData uri="http://schemas.openxmlformats.org/drawingml/2006/picture">
              <pic:pic xmlns:pic="http://schemas.openxmlformats.org/drawingml/2006/picture">
                <pic:nvPicPr>
                  <pic:cNvPr id="3" name="Image 32"/>
                  <pic:cNvPicPr/>
                </pic:nvPicPr>
                <pic:blipFill>
                  <a:blip r:embed="rId1" cstate="print"/>
                  <a:stretch>
                    <a:fillRect/>
                  </a:stretch>
                </pic:blipFill>
                <pic:spPr>
                  <a:xfrm>
                    <a:off x="0" y="0"/>
                    <a:ext cx="3920490" cy="1108075"/>
                  </a:xfrm>
                  <a:prstGeom prst="rect">
                    <a:avLst/>
                  </a:prstGeom>
                </pic:spPr>
              </pic:pic>
            </a:graphicData>
          </a:graphic>
        </wp:inline>
      </w:drawing>
    </w:r>
  </w:p>
  <w:p w14:paraId="7302EF93">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1" w:after="0" w:line="240" w:lineRule="auto"/>
      <w:ind w:left="0" w:right="0" w:firstLine="0"/>
      <w:jc w:val="both"/>
      <w:rPr>
        <w:rFonts w:hint="default" w:ascii="Arial" w:hAnsi="Arial" w:cs="Arial"/>
        <w:lang w:val="pt-BR"/>
      </w:rPr>
    </w:pPr>
    <w:r>
      <w:rPr>
        <w:rFonts w:hint="default" w:ascii="Arial" w:hAnsi="Arial" w:cs="Arial"/>
        <w:lang w:val="pt-BR"/>
      </w:rPr>
      <w:t xml:space="preserve">                                                              Secretaria Municipal de Saúde</w:t>
    </w:r>
  </w:p>
  <w:p w14:paraId="4D940DCB">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1" w:after="0" w:line="240" w:lineRule="auto"/>
      <w:ind w:left="0" w:right="0" w:firstLine="0"/>
      <w:jc w:val="both"/>
      <w:rPr>
        <w:rFonts w:hint="default"/>
        <w:lang w:val="pt-BR"/>
      </w:rPr>
    </w:pPr>
    <w:r>
      <w:rPr>
        <w:rFonts w:hint="default"/>
        <w:lang w:val="pt-BR"/>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659"/>
    <w:rsid w:val="00014CD3"/>
    <w:rsid w:val="00034734"/>
    <w:rsid w:val="00037F0D"/>
    <w:rsid w:val="0006025C"/>
    <w:rsid w:val="00062007"/>
    <w:rsid w:val="000A2893"/>
    <w:rsid w:val="000A43CB"/>
    <w:rsid w:val="000E27CC"/>
    <w:rsid w:val="000F0080"/>
    <w:rsid w:val="000F248E"/>
    <w:rsid w:val="00100795"/>
    <w:rsid w:val="00124692"/>
    <w:rsid w:val="00135C7D"/>
    <w:rsid w:val="001372E7"/>
    <w:rsid w:val="00144A85"/>
    <w:rsid w:val="0014732E"/>
    <w:rsid w:val="00182306"/>
    <w:rsid w:val="001A3124"/>
    <w:rsid w:val="001C4A47"/>
    <w:rsid w:val="001C7C52"/>
    <w:rsid w:val="001D0689"/>
    <w:rsid w:val="001D4770"/>
    <w:rsid w:val="001F1439"/>
    <w:rsid w:val="001F27E7"/>
    <w:rsid w:val="00227312"/>
    <w:rsid w:val="00240A82"/>
    <w:rsid w:val="0025102F"/>
    <w:rsid w:val="002561C7"/>
    <w:rsid w:val="002900C0"/>
    <w:rsid w:val="002A43D1"/>
    <w:rsid w:val="002A51FA"/>
    <w:rsid w:val="002C5442"/>
    <w:rsid w:val="00323190"/>
    <w:rsid w:val="00342823"/>
    <w:rsid w:val="0034530C"/>
    <w:rsid w:val="00354DA7"/>
    <w:rsid w:val="00356B69"/>
    <w:rsid w:val="003607A1"/>
    <w:rsid w:val="00371AFC"/>
    <w:rsid w:val="00371BDD"/>
    <w:rsid w:val="00371E6F"/>
    <w:rsid w:val="00385CFB"/>
    <w:rsid w:val="00387E1B"/>
    <w:rsid w:val="00394863"/>
    <w:rsid w:val="003B316B"/>
    <w:rsid w:val="003C0B54"/>
    <w:rsid w:val="003F7768"/>
    <w:rsid w:val="0040014A"/>
    <w:rsid w:val="00423E27"/>
    <w:rsid w:val="00444CB2"/>
    <w:rsid w:val="004A1997"/>
    <w:rsid w:val="004B3A1B"/>
    <w:rsid w:val="004B5CA5"/>
    <w:rsid w:val="004D2230"/>
    <w:rsid w:val="004D7003"/>
    <w:rsid w:val="00500036"/>
    <w:rsid w:val="005027B0"/>
    <w:rsid w:val="00516095"/>
    <w:rsid w:val="00526080"/>
    <w:rsid w:val="005306EA"/>
    <w:rsid w:val="00537771"/>
    <w:rsid w:val="00537CD8"/>
    <w:rsid w:val="00542C38"/>
    <w:rsid w:val="005A027E"/>
    <w:rsid w:val="005C1BD7"/>
    <w:rsid w:val="005D42FF"/>
    <w:rsid w:val="005F390D"/>
    <w:rsid w:val="006012AF"/>
    <w:rsid w:val="00606E54"/>
    <w:rsid w:val="0062615D"/>
    <w:rsid w:val="0063299F"/>
    <w:rsid w:val="0065215C"/>
    <w:rsid w:val="00656595"/>
    <w:rsid w:val="006673CF"/>
    <w:rsid w:val="00670E87"/>
    <w:rsid w:val="00674177"/>
    <w:rsid w:val="006904B4"/>
    <w:rsid w:val="006A539D"/>
    <w:rsid w:val="006E2445"/>
    <w:rsid w:val="006E3686"/>
    <w:rsid w:val="006E60E8"/>
    <w:rsid w:val="006F40D5"/>
    <w:rsid w:val="006F455A"/>
    <w:rsid w:val="00784AF8"/>
    <w:rsid w:val="00791B04"/>
    <w:rsid w:val="007A303D"/>
    <w:rsid w:val="007B72E6"/>
    <w:rsid w:val="007E290D"/>
    <w:rsid w:val="007F3219"/>
    <w:rsid w:val="008032EC"/>
    <w:rsid w:val="00804202"/>
    <w:rsid w:val="00806BB0"/>
    <w:rsid w:val="00817608"/>
    <w:rsid w:val="00852B7B"/>
    <w:rsid w:val="00852EBD"/>
    <w:rsid w:val="008640F0"/>
    <w:rsid w:val="0086798F"/>
    <w:rsid w:val="008868C6"/>
    <w:rsid w:val="008A4200"/>
    <w:rsid w:val="008A5933"/>
    <w:rsid w:val="008B6209"/>
    <w:rsid w:val="008C0E3C"/>
    <w:rsid w:val="008C3F39"/>
    <w:rsid w:val="008E1367"/>
    <w:rsid w:val="008E6392"/>
    <w:rsid w:val="008F06CD"/>
    <w:rsid w:val="00933DAF"/>
    <w:rsid w:val="00945E1D"/>
    <w:rsid w:val="0095630A"/>
    <w:rsid w:val="009667CA"/>
    <w:rsid w:val="009B535A"/>
    <w:rsid w:val="009C088B"/>
    <w:rsid w:val="009C21A1"/>
    <w:rsid w:val="009D161B"/>
    <w:rsid w:val="009D18F1"/>
    <w:rsid w:val="009D1C72"/>
    <w:rsid w:val="00A05143"/>
    <w:rsid w:val="00A075FC"/>
    <w:rsid w:val="00A0786E"/>
    <w:rsid w:val="00A15DB6"/>
    <w:rsid w:val="00A21C5E"/>
    <w:rsid w:val="00A2223A"/>
    <w:rsid w:val="00A447CD"/>
    <w:rsid w:val="00A54DBC"/>
    <w:rsid w:val="00A72306"/>
    <w:rsid w:val="00A86BA2"/>
    <w:rsid w:val="00AE44B9"/>
    <w:rsid w:val="00AF0493"/>
    <w:rsid w:val="00AF2BDC"/>
    <w:rsid w:val="00B00D3E"/>
    <w:rsid w:val="00B20D76"/>
    <w:rsid w:val="00B26AD4"/>
    <w:rsid w:val="00B701B6"/>
    <w:rsid w:val="00B92738"/>
    <w:rsid w:val="00B952FC"/>
    <w:rsid w:val="00BA4A9A"/>
    <w:rsid w:val="00BA666E"/>
    <w:rsid w:val="00BB7EBA"/>
    <w:rsid w:val="00C11431"/>
    <w:rsid w:val="00CA2FEF"/>
    <w:rsid w:val="00CA5B33"/>
    <w:rsid w:val="00CA7026"/>
    <w:rsid w:val="00CB0659"/>
    <w:rsid w:val="00CC2EBC"/>
    <w:rsid w:val="00CF230F"/>
    <w:rsid w:val="00D10B8A"/>
    <w:rsid w:val="00D241C4"/>
    <w:rsid w:val="00D2488F"/>
    <w:rsid w:val="00D47069"/>
    <w:rsid w:val="00D64D2B"/>
    <w:rsid w:val="00D92D48"/>
    <w:rsid w:val="00DA0129"/>
    <w:rsid w:val="00DA1900"/>
    <w:rsid w:val="00DC17D1"/>
    <w:rsid w:val="00DD3290"/>
    <w:rsid w:val="00E15269"/>
    <w:rsid w:val="00E16DC9"/>
    <w:rsid w:val="00E20B37"/>
    <w:rsid w:val="00E31501"/>
    <w:rsid w:val="00E4303A"/>
    <w:rsid w:val="00E43122"/>
    <w:rsid w:val="00E45F2A"/>
    <w:rsid w:val="00E717DB"/>
    <w:rsid w:val="00E738DD"/>
    <w:rsid w:val="00E74CE4"/>
    <w:rsid w:val="00E834F2"/>
    <w:rsid w:val="00E9178F"/>
    <w:rsid w:val="00E9525C"/>
    <w:rsid w:val="00EB17F6"/>
    <w:rsid w:val="00EE6101"/>
    <w:rsid w:val="00EF3873"/>
    <w:rsid w:val="00F457F0"/>
    <w:rsid w:val="00F575EE"/>
    <w:rsid w:val="00F62A60"/>
    <w:rsid w:val="00F960A8"/>
    <w:rsid w:val="00F9796A"/>
    <w:rsid w:val="00FA231E"/>
    <w:rsid w:val="00FC152D"/>
    <w:rsid w:val="0A905CDC"/>
    <w:rsid w:val="2B7D005E"/>
    <w:rsid w:val="2DAD32DC"/>
    <w:rsid w:val="3CE27B73"/>
    <w:rsid w:val="45C12BAD"/>
    <w:rsid w:val="52526552"/>
    <w:rsid w:val="560A0D20"/>
    <w:rsid w:val="734E503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1" w:semiHidden="0" w:name="List Paragraph"/>
  </w:latentStyles>
  <w:style w:type="paragraph" w:default="1" w:styleId="1">
    <w:name w:val="Normal"/>
    <w:qFormat/>
    <w:uiPriority w:val="0"/>
    <w:pPr>
      <w:spacing w:after="160" w:line="259" w:lineRule="auto"/>
      <w:jc w:val="both"/>
    </w:pPr>
    <w:rPr>
      <w:rFonts w:ascii="Times New Roman" w:hAnsi="Times New Roman" w:cs="Times New Roman" w:eastAsiaTheme="minorHAnsi"/>
      <w:sz w:val="24"/>
      <w:szCs w:val="24"/>
      <w:lang w:val="pt-BR" w:eastAsia="en-US" w:bidi="ar-SA"/>
    </w:rPr>
  </w:style>
  <w:style w:type="paragraph" w:styleId="2">
    <w:name w:val="heading 1"/>
    <w:basedOn w:val="1"/>
    <w:next w:val="1"/>
    <w:qFormat/>
    <w:uiPriority w:val="9"/>
    <w:pPr>
      <w:keepNext/>
      <w:keepLines/>
      <w:spacing w:before="240"/>
      <w:outlineLvl w:val="0"/>
    </w:pPr>
    <w:rPr>
      <w:rFonts w:cs="Mangal" w:asciiTheme="majorHAnsi" w:hAnsiTheme="majorHAnsi" w:eastAsiaTheme="majorEastAsia"/>
      <w:color w:val="2F5597" w:themeColor="accent1" w:themeShade="BF"/>
      <w:sz w:val="32"/>
      <w:szCs w:val="29"/>
    </w:rPr>
  </w:style>
  <w:style w:type="paragraph" w:styleId="3">
    <w:name w:val="heading 2"/>
    <w:basedOn w:val="1"/>
    <w:next w:val="1"/>
    <w:unhideWhenUsed/>
    <w:qFormat/>
    <w:uiPriority w:val="0"/>
    <w:pPr>
      <w:keepNext/>
      <w:widowControl w:val="0"/>
      <w:kinsoku w:val="0"/>
      <w:spacing w:before="240" w:after="60" w:line="276" w:lineRule="auto"/>
      <w:outlineLvl w:val="1"/>
    </w:pPr>
    <w:rPr>
      <w:rFonts w:ascii="Garamond" w:hAnsi="Garamond" w:eastAsia="Times New Roman"/>
      <w:b/>
      <w:bCs/>
      <w:iCs/>
      <w:color w:val="000000"/>
      <w:lang w:val="zh-CN" w:eastAsia="zh-CN"/>
    </w:rPr>
  </w:style>
  <w:style w:type="paragraph" w:styleId="4">
    <w:name w:val="heading 5"/>
    <w:basedOn w:val="1"/>
    <w:next w:val="1"/>
    <w:link w:val="27"/>
    <w:semiHidden/>
    <w:unhideWhenUsed/>
    <w:qFormat/>
    <w:uiPriority w:val="9"/>
    <w:pPr>
      <w:keepNext/>
      <w:keepLines/>
      <w:spacing w:before="40" w:after="0"/>
      <w:outlineLvl w:val="4"/>
    </w:pPr>
    <w:rPr>
      <w:rFonts w:asciiTheme="majorHAnsi" w:hAnsiTheme="majorHAnsi" w:eastAsiaTheme="majorEastAsia" w:cstheme="majorBidi"/>
      <w:color w:val="2F5597" w:themeColor="accent1" w:themeShade="BF"/>
    </w:rPr>
  </w:style>
  <w:style w:type="paragraph" w:styleId="5">
    <w:name w:val="heading 6"/>
    <w:basedOn w:val="4"/>
    <w:next w:val="1"/>
    <w:link w:val="23"/>
    <w:unhideWhenUsed/>
    <w:qFormat/>
    <w:uiPriority w:val="9"/>
    <w:pPr>
      <w:keepNext w:val="0"/>
      <w:keepLines w:val="0"/>
      <w:spacing w:before="100" w:beforeAutospacing="1" w:after="100" w:afterAutospacing="1" w:line="240" w:lineRule="auto"/>
      <w:outlineLvl w:val="5"/>
    </w:pPr>
    <w:rPr>
      <w:rFonts w:ascii="Times New Roman" w:hAnsi="Times New Roman" w:eastAsia="Times New Roman" w:cs="Times New Roman"/>
      <w:color w:val="auto"/>
      <w:lang w:eastAsia="pt-BR"/>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character" w:styleId="8">
    <w:name w:val="Strong"/>
    <w:basedOn w:val="6"/>
    <w:qFormat/>
    <w:uiPriority w:val="22"/>
    <w:rPr>
      <w:b/>
      <w:bCs/>
    </w:rPr>
  </w:style>
  <w:style w:type="character" w:styleId="9">
    <w:name w:val="annotation reference"/>
    <w:basedOn w:val="6"/>
    <w:semiHidden/>
    <w:unhideWhenUsed/>
    <w:qFormat/>
    <w:uiPriority w:val="99"/>
    <w:rPr>
      <w:sz w:val="16"/>
      <w:szCs w:val="16"/>
    </w:rPr>
  </w:style>
  <w:style w:type="character" w:styleId="10">
    <w:name w:val="FollowedHyperlink"/>
    <w:basedOn w:val="6"/>
    <w:semiHidden/>
    <w:unhideWhenUsed/>
    <w:qFormat/>
    <w:uiPriority w:val="99"/>
    <w:rPr>
      <w:color w:val="954F72" w:themeColor="followedHyperlink"/>
      <w:u w:val="single"/>
      <w14:textFill>
        <w14:solidFill>
          <w14:schemeClr w14:val="folHlink"/>
        </w14:solidFill>
      </w14:textFill>
    </w:rPr>
  </w:style>
  <w:style w:type="character" w:styleId="11">
    <w:name w:val="Hyperlink"/>
    <w:qFormat/>
    <w:uiPriority w:val="0"/>
    <w:rPr>
      <w:color w:val="0000FF"/>
      <w:u w:val="single"/>
    </w:rPr>
  </w:style>
  <w:style w:type="paragraph" w:styleId="12">
    <w:name w:val="Body Text"/>
    <w:basedOn w:val="1"/>
    <w:link w:val="33"/>
    <w:qFormat/>
    <w:uiPriority w:val="1"/>
    <w:pPr>
      <w:widowControl w:val="0"/>
      <w:autoSpaceDE w:val="0"/>
      <w:autoSpaceDN w:val="0"/>
      <w:spacing w:after="0" w:line="240" w:lineRule="auto"/>
      <w:ind w:left="1460"/>
      <w:jc w:val="left"/>
    </w:pPr>
    <w:rPr>
      <w:rFonts w:eastAsia="Times New Roman"/>
      <w:sz w:val="16"/>
      <w:szCs w:val="16"/>
      <w:lang w:val="pt-PT"/>
    </w:rPr>
  </w:style>
  <w:style w:type="paragraph" w:styleId="13">
    <w:name w:val="annotation text"/>
    <w:basedOn w:val="1"/>
    <w:link w:val="26"/>
    <w:unhideWhenUsed/>
    <w:qFormat/>
    <w:uiPriority w:val="99"/>
    <w:pPr>
      <w:spacing w:line="240" w:lineRule="auto"/>
    </w:pPr>
    <w:rPr>
      <w:sz w:val="20"/>
      <w:szCs w:val="20"/>
    </w:rPr>
  </w:style>
  <w:style w:type="paragraph" w:styleId="14">
    <w:name w:val="Normal (Web)"/>
    <w:semiHidden/>
    <w:unhideWhenUsed/>
    <w:qFormat/>
    <w:uiPriority w:val="99"/>
    <w:pPr>
      <w:spacing w:before="0" w:beforeAutospacing="1" w:after="0" w:afterAutospacing="1"/>
      <w:ind w:left="0" w:right="0"/>
      <w:jc w:val="left"/>
    </w:pPr>
    <w:rPr>
      <w:rFonts w:ascii="Times New Roman" w:hAnsi="Times New Roman" w:eastAsia="SimSun" w:cs="Times New Roman"/>
      <w:kern w:val="0"/>
      <w:szCs w:val="24"/>
      <w:lang w:val="en-US" w:eastAsia="zh-CN" w:bidi="ar"/>
    </w:rPr>
  </w:style>
  <w:style w:type="paragraph" w:styleId="15">
    <w:name w:val="header"/>
    <w:basedOn w:val="1"/>
    <w:link w:val="20"/>
    <w:unhideWhenUsed/>
    <w:qFormat/>
    <w:uiPriority w:val="99"/>
    <w:pPr>
      <w:tabs>
        <w:tab w:val="center" w:pos="4252"/>
        <w:tab w:val="right" w:pos="8504"/>
      </w:tabs>
      <w:spacing w:after="0" w:line="240" w:lineRule="auto"/>
    </w:pPr>
  </w:style>
  <w:style w:type="paragraph" w:styleId="16">
    <w:name w:val="annotation subject"/>
    <w:basedOn w:val="13"/>
    <w:next w:val="13"/>
    <w:link w:val="29"/>
    <w:semiHidden/>
    <w:unhideWhenUsed/>
    <w:qFormat/>
    <w:uiPriority w:val="99"/>
    <w:rPr>
      <w:b/>
      <w:bCs/>
    </w:rPr>
  </w:style>
  <w:style w:type="paragraph" w:styleId="17">
    <w:name w:val="footer"/>
    <w:basedOn w:val="1"/>
    <w:link w:val="21"/>
    <w:unhideWhenUsed/>
    <w:qFormat/>
    <w:uiPriority w:val="99"/>
    <w:pPr>
      <w:tabs>
        <w:tab w:val="center" w:pos="4252"/>
        <w:tab w:val="right" w:pos="8504"/>
      </w:tabs>
      <w:spacing w:after="0" w:line="240" w:lineRule="auto"/>
    </w:pPr>
  </w:style>
  <w:style w:type="paragraph" w:styleId="18">
    <w:name w:val="Balloon Text"/>
    <w:basedOn w:val="1"/>
    <w:link w:val="22"/>
    <w:semiHidden/>
    <w:unhideWhenUsed/>
    <w:qFormat/>
    <w:uiPriority w:val="99"/>
    <w:pPr>
      <w:spacing w:after="0" w:line="240" w:lineRule="auto"/>
    </w:pPr>
    <w:rPr>
      <w:rFonts w:ascii="Segoe UI" w:hAnsi="Segoe UI" w:cs="Segoe UI"/>
      <w:sz w:val="18"/>
      <w:szCs w:val="18"/>
    </w:rPr>
  </w:style>
  <w:style w:type="table" w:styleId="19">
    <w:name w:val="Table Grid"/>
    <w:basedOn w:val="7"/>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20">
    <w:name w:val="Cabeçalho Char"/>
    <w:basedOn w:val="6"/>
    <w:link w:val="15"/>
    <w:qFormat/>
    <w:uiPriority w:val="99"/>
  </w:style>
  <w:style w:type="character" w:customStyle="1" w:styleId="21">
    <w:name w:val="Rodapé Char"/>
    <w:basedOn w:val="6"/>
    <w:link w:val="17"/>
    <w:qFormat/>
    <w:uiPriority w:val="99"/>
  </w:style>
  <w:style w:type="character" w:customStyle="1" w:styleId="22">
    <w:name w:val="Texto de balão Char"/>
    <w:basedOn w:val="6"/>
    <w:link w:val="18"/>
    <w:semiHidden/>
    <w:qFormat/>
    <w:uiPriority w:val="99"/>
    <w:rPr>
      <w:rFonts w:ascii="Segoe UI" w:hAnsi="Segoe UI" w:cs="Segoe UI"/>
      <w:sz w:val="18"/>
      <w:szCs w:val="18"/>
    </w:rPr>
  </w:style>
  <w:style w:type="character" w:customStyle="1" w:styleId="23">
    <w:name w:val="Título 6 Char"/>
    <w:basedOn w:val="6"/>
    <w:link w:val="5"/>
    <w:qFormat/>
    <w:uiPriority w:val="9"/>
    <w:rPr>
      <w:rFonts w:ascii="Times New Roman" w:hAnsi="Times New Roman" w:eastAsia="Times New Roman" w:cs="Times New Roman"/>
      <w:sz w:val="24"/>
      <w:szCs w:val="24"/>
      <w:lang w:eastAsia="pt-BR"/>
    </w:rPr>
  </w:style>
  <w:style w:type="paragraph" w:styleId="24">
    <w:name w:val="List Paragraph"/>
    <w:basedOn w:val="1"/>
    <w:link w:val="25"/>
    <w:qFormat/>
    <w:uiPriority w:val="1"/>
    <w:pPr>
      <w:ind w:left="720"/>
      <w:contextualSpacing/>
    </w:pPr>
  </w:style>
  <w:style w:type="character" w:customStyle="1" w:styleId="25">
    <w:name w:val="Parágrafo da Lista Char"/>
    <w:link w:val="24"/>
    <w:qFormat/>
    <w:uiPriority w:val="34"/>
    <w:rPr>
      <w:rFonts w:ascii="Times New Roman" w:hAnsi="Times New Roman" w:cs="Times New Roman"/>
      <w:sz w:val="24"/>
      <w:szCs w:val="24"/>
    </w:rPr>
  </w:style>
  <w:style w:type="character" w:customStyle="1" w:styleId="26">
    <w:name w:val="Texto de comentário Char"/>
    <w:basedOn w:val="6"/>
    <w:link w:val="13"/>
    <w:qFormat/>
    <w:uiPriority w:val="99"/>
    <w:rPr>
      <w:rFonts w:ascii="Times New Roman" w:hAnsi="Times New Roman" w:cs="Times New Roman"/>
      <w:sz w:val="20"/>
      <w:szCs w:val="20"/>
    </w:rPr>
  </w:style>
  <w:style w:type="character" w:customStyle="1" w:styleId="27">
    <w:name w:val="Título 5 Char"/>
    <w:basedOn w:val="6"/>
    <w:link w:val="4"/>
    <w:semiHidden/>
    <w:qFormat/>
    <w:uiPriority w:val="9"/>
    <w:rPr>
      <w:rFonts w:asciiTheme="majorHAnsi" w:hAnsiTheme="majorHAnsi" w:eastAsiaTheme="majorEastAsia" w:cstheme="majorBidi"/>
      <w:color w:val="2F5597" w:themeColor="accent1" w:themeShade="BF"/>
      <w:sz w:val="24"/>
      <w:szCs w:val="24"/>
    </w:rPr>
  </w:style>
  <w:style w:type="paragraph" w:customStyle="1" w:styleId="28">
    <w:name w:val="Revision"/>
    <w:hidden/>
    <w:semiHidden/>
    <w:qFormat/>
    <w:uiPriority w:val="99"/>
    <w:pPr>
      <w:spacing w:after="0" w:line="240" w:lineRule="auto"/>
    </w:pPr>
    <w:rPr>
      <w:rFonts w:ascii="Times New Roman" w:hAnsi="Times New Roman" w:cs="Times New Roman" w:eastAsiaTheme="minorHAnsi"/>
      <w:sz w:val="24"/>
      <w:szCs w:val="24"/>
      <w:lang w:val="pt-BR" w:eastAsia="en-US" w:bidi="ar-SA"/>
    </w:rPr>
  </w:style>
  <w:style w:type="character" w:customStyle="1" w:styleId="29">
    <w:name w:val="Assunto do comentário Char"/>
    <w:basedOn w:val="26"/>
    <w:link w:val="16"/>
    <w:semiHidden/>
    <w:qFormat/>
    <w:uiPriority w:val="99"/>
    <w:rPr>
      <w:rFonts w:ascii="Times New Roman" w:hAnsi="Times New Roman" w:cs="Times New Roman"/>
      <w:b/>
      <w:bCs/>
      <w:sz w:val="20"/>
      <w:szCs w:val="20"/>
    </w:rPr>
  </w:style>
  <w:style w:type="paragraph" w:customStyle="1" w:styleId="30">
    <w:name w:val="Table Paragraph"/>
    <w:basedOn w:val="1"/>
    <w:qFormat/>
    <w:uiPriority w:val="1"/>
    <w:pPr>
      <w:widowControl w:val="0"/>
      <w:autoSpaceDE w:val="0"/>
      <w:autoSpaceDN w:val="0"/>
      <w:spacing w:after="0" w:line="244" w:lineRule="exact"/>
      <w:ind w:left="107"/>
      <w:jc w:val="left"/>
    </w:pPr>
    <w:rPr>
      <w:rFonts w:ascii="Calibri" w:hAnsi="Calibri" w:eastAsia="Calibri" w:cs="Calibri"/>
      <w:sz w:val="22"/>
      <w:szCs w:val="22"/>
      <w:lang w:val="pt-PT"/>
    </w:rPr>
  </w:style>
  <w:style w:type="paragraph" w:customStyle="1" w:styleId="31">
    <w:name w:val="Default"/>
    <w:qFormat/>
    <w:uiPriority w:val="0"/>
    <w:pPr>
      <w:autoSpaceDE w:val="0"/>
      <w:autoSpaceDN w:val="0"/>
      <w:adjustRightInd w:val="0"/>
      <w:spacing w:after="0" w:line="240" w:lineRule="auto"/>
    </w:pPr>
    <w:rPr>
      <w:rFonts w:ascii="Times New Roman" w:hAnsi="Times New Roman" w:eastAsia="Times New Roman" w:cs="Times New Roman"/>
      <w:color w:val="000000"/>
      <w:sz w:val="24"/>
      <w:szCs w:val="24"/>
      <w:lang w:val="pt-BR" w:eastAsia="pt-BR" w:bidi="ar-SA"/>
    </w:rPr>
  </w:style>
  <w:style w:type="table" w:customStyle="1" w:styleId="32">
    <w:name w:val="Table Normal"/>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33">
    <w:name w:val="Corpo de texto Char"/>
    <w:basedOn w:val="6"/>
    <w:link w:val="12"/>
    <w:qFormat/>
    <w:uiPriority w:val="1"/>
    <w:rPr>
      <w:rFonts w:ascii="Times New Roman" w:hAnsi="Times New Roman" w:eastAsia="Times New Roman" w:cs="Times New Roman"/>
      <w:sz w:val="16"/>
      <w:szCs w:val="16"/>
      <w:lang w:val="pt-PT"/>
    </w:rPr>
  </w:style>
  <w:style w:type="table" w:customStyle="1" w:styleId="34">
    <w:name w:val="_Style 20"/>
    <w:basedOn w:val="32"/>
    <w:qFormat/>
    <w:uiPriority w:val="0"/>
    <w:tblPr>
      <w:tblCellMar>
        <w:top w:w="0" w:type="dxa"/>
        <w:left w:w="70" w:type="dxa"/>
        <w:bottom w:w="0" w:type="dxa"/>
        <w:right w:w="70" w:type="dxa"/>
      </w:tblCellMar>
    </w:tblPr>
  </w:style>
  <w:style w:type="table" w:customStyle="1" w:styleId="35">
    <w:name w:val="_Style 21"/>
    <w:basedOn w:val="32"/>
    <w:qFormat/>
    <w:uiPriority w:val="0"/>
    <w:pPr>
      <w:widowControl w:val="0"/>
      <w:spacing w:after="0" w:line="240" w:lineRule="auto"/>
    </w:pPr>
    <w:tblPr>
      <w:tblCellMar>
        <w:top w:w="0" w:type="dxa"/>
        <w:left w:w="0" w:type="dxa"/>
        <w:bottom w:w="0" w:type="dxa"/>
        <w:right w:w="0" w:type="dxa"/>
      </w:tblCellMar>
    </w:tblPr>
  </w:style>
  <w:style w:type="paragraph" w:styleId="36">
    <w:name w:val="No Spacing"/>
    <w:qFormat/>
    <w:uiPriority w:val="1"/>
    <w:pPr>
      <w:spacing w:after="0" w:line="240" w:lineRule="auto"/>
    </w:pPr>
    <w:rPr>
      <w:rFonts w:asciiTheme="minorHAnsi" w:hAnsiTheme="minorHAnsi" w:eastAsiaTheme="minorHAnsi" w:cstheme="minorBidi"/>
      <w:sz w:val="22"/>
      <w:szCs w:val="22"/>
      <w:lang w:val="pt-BR" w:eastAsia="en-US" w:bidi="ar-SA"/>
    </w:rPr>
  </w:style>
  <w:style w:type="paragraph" w:customStyle="1" w:styleId="37">
    <w:name w:val="Standard"/>
    <w:semiHidden/>
    <w:qFormat/>
    <w:uiPriority w:val="99"/>
    <w:pPr>
      <w:suppressAutoHyphens/>
      <w:autoSpaceDN w:val="0"/>
      <w:spacing w:after="0" w:line="240" w:lineRule="auto"/>
    </w:pPr>
    <w:rPr>
      <w:rFonts w:ascii="Liberation Serif" w:hAnsi="Liberation Serif" w:eastAsia="NSimSun" w:cs="Arial"/>
      <w:kern w:val="3"/>
      <w:sz w:val="24"/>
      <w:szCs w:val="24"/>
      <w:lang w:val="pt-BR" w:eastAsia="zh-CN" w:bidi="hi-IN"/>
    </w:rPr>
  </w:style>
  <w:style w:type="paragraph" w:customStyle="1" w:styleId="38">
    <w:name w:val="Nivel1"/>
    <w:basedOn w:val="2"/>
    <w:next w:val="37"/>
    <w:semiHidden/>
    <w:qFormat/>
    <w:uiPriority w:val="99"/>
    <w:pPr>
      <w:spacing w:before="0" w:after="120" w:line="276" w:lineRule="auto"/>
      <w:jc w:val="both"/>
    </w:pPr>
    <w:rPr>
      <w:rFonts w:ascii="Arial" w:hAnsi="Arial" w:eastAsia="Arial" w:cs="Arial"/>
      <w:b/>
      <w:bCs/>
      <w:color w:val="000000"/>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AFC5BC-FA44-45B9-8E4C-1E989E62470D}">
  <ds:schemaRefs/>
</ds:datastoreItem>
</file>

<file path=docProps/app.xml><?xml version="1.0" encoding="utf-8"?>
<Properties xmlns="http://schemas.openxmlformats.org/officeDocument/2006/extended-properties" xmlns:vt="http://schemas.openxmlformats.org/officeDocument/2006/docPropsVTypes">
  <Template>Normal</Template>
  <Pages>12</Pages>
  <Words>2277</Words>
  <Characters>12301</Characters>
  <Lines>102</Lines>
  <Paragraphs>29</Paragraphs>
  <TotalTime>22</TotalTime>
  <ScaleCrop>false</ScaleCrop>
  <LinksUpToDate>false</LinksUpToDate>
  <CharactersWithSpaces>14549</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2025-01-07T18:47:00Z</dcterms:created>
  <dc:creator>CMM - Consultoria e Assessoria Jurídica</dc:creator>
  <cp:lastModifiedBy>User</cp:lastModifiedBy>
  <cp:lastPrinted>2025-01-23T20:35:41Z</cp:lastPrinted>
  <dcterms:modified xsi:type="dcterms:W3CDTF">2025-01-23T20:37:00Z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1046-12.2.0.19805</vt:lpwstr>
  </property>
  <property fmtid="{D5CDD505-2E9C-101B-9397-08002B2CF9AE}" pid="3" name="ICV">
    <vt:lpwstr>9BC7E7506E314CB481E1D7A29ADE9EC8_13</vt:lpwstr>
  </property>
</Properties>
</file>