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Modified by docx4j 11.1.0 (Apache licensed) using REFERENCE JAXB in Azul Systems, Inc. Java 11.0.23 on Linux -->
    <w:p w:rsidR="00C035C3" w:rsidRDefault="00C035C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Arial Narrow"/>
          <w:sz w:val="22"/>
          <w:szCs w:val="22"/>
        </w:rPr>
      </w:pPr>
    </w:p>
    <w:p w:rsidR="00C035C3" w:rsidRDefault="0062067F">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pPr>
      <w:r>
        <w:rPr>
          <w:rFonts w:ascii="Times New Roman" w:hAnsi="Times New Roman" w:cs="Arial Narrow"/>
          <w:b/>
          <w:bCs/>
          <w:sz w:val="22"/>
          <w:szCs w:val="22"/>
        </w:rPr>
        <w:t>SOLICITAÇÃO DE ABERTURA DE LICITAÇÃO</w:t>
      </w:r>
    </w:p>
    <w:p w:rsidR="00C035C3" w:rsidRDefault="00C035C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Arial Narrow"/>
          <w:sz w:val="22"/>
          <w:szCs w:val="22"/>
        </w:rPr>
      </w:pPr>
    </w:p>
    <w:p w:rsidR="00C035C3" w:rsidRDefault="0062067F">
      <w:pPr>
        <w:pStyle w:val="Normal0"/>
        <w:jc w:val="both"/>
      </w:pPr>
      <w:r>
        <w:rPr>
          <w:rFonts w:ascii="Times New Roman" w:hAnsi="Times New Roman" w:cs="Arial Narrow"/>
          <w:sz w:val="22"/>
          <w:szCs w:val="22"/>
        </w:rPr>
        <w:t>Excelentíssimo Prefeito Municipal</w:t>
      </w:r>
    </w:p>
    <w:p w:rsidR="00C035C3" w:rsidRDefault="00C035C3">
      <w:pPr>
        <w:pStyle w:val="Normal0"/>
        <w:jc w:val="both"/>
        <w:rPr>
          <w:rFonts w:ascii="Times New Roman" w:hAnsi="Times New Roman" w:cs="Arial Narrow"/>
          <w:sz w:val="22"/>
          <w:szCs w:val="22"/>
        </w:rPr>
      </w:pPr>
    </w:p>
    <w:p w:rsidR="00C035C3" w:rsidRDefault="0062067F">
      <w:pPr>
        <w:pStyle w:val="Normal0"/>
        <w:jc w:val="both"/>
      </w:pPr>
      <w:r>
        <w:rPr>
          <w:rFonts w:ascii="Times New Roman" w:hAnsi="Times New Roman"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hAnsi="Times New Roman" w:cs="Arial Narrow"/>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hint="eastAsia"/>
        </w:rPr>
      </w:pPr>
      <w:r>
        <w:rPr>
          <w:rFonts w:ascii="Times New Roman" w:hAnsi="Times New Roman" w:cs="Times New Roman"/>
          <w:sz w:val="22"/>
          <w:szCs w:val="22"/>
        </w:rPr>
        <w:t xml:space="preserve">Pregão</w:t>
      </w:r>
      <w:r>
        <w:rPr>
          <w:rFonts w:ascii="Times New Roman" w:hAnsi="Times New Roman" w:cs="Times New Roman"/>
          <w:sz w:val="22"/>
          <w:szCs w:val="22"/>
        </w:rPr>
        <w:t xml:space="preserve"> </w:t>
      </w:r>
      <w:r>
        <w:rPr>
          <w:rFonts w:ascii="Times New Roman" w:hAnsi="Times New Roman" w:cs="Times New Roman"/>
          <w:sz w:val="22"/>
          <w:szCs w:val="22"/>
        </w:rPr>
        <w:t xml:space="preserve">Eletrônico</w:t>
      </w:r>
      <w:r>
        <w:rPr>
          <w:rFonts w:ascii="Times New Roman" w:hAnsi="Times New Roman" w:cs="Times New Roman"/>
          <w:sz w:val="22"/>
          <w:szCs w:val="22"/>
        </w:rPr>
        <w:t xml:space="preserve"> </w:t>
      </w:r>
      <w:r>
        <w:rPr>
          <w:rFonts w:ascii="Times New Roman" w:hAnsi="Times New Roman" w:cs="Times New Roman"/>
          <w:b/>
          <w:bCs/>
          <w:sz w:val="22"/>
          <w:szCs w:val="22"/>
        </w:rPr>
        <w:t xml:space="preserve">EQUIPAMENTOS AGRICOLAS</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b/>
          <w:bCs/>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Objeto da licitação: </w:t>
      </w:r>
      <w:r>
        <w:rPr>
          <w:rFonts w:ascii="Times New Roman" w:hAnsi="Times New Roman" w:cs="Times New Roman"/>
          <w:sz w:val="22"/>
          <w:szCs w:val="22"/>
        </w:rPr>
        <w:t xml:space="preserve">Contratação de empresa(s) para fornecimento de Equipamentos Agrícolas para atender as necessidades das pequenas e médias propriedades familiares rurais, proporcionando o desenvolvimento dessas propriedades, melhorando o cultivo agrícola e incentivando o desenvolvimento rural sustentável, sendo 03 (três) Carretas agrícolas metálicas basculantes através da Proposta nº 032372/2023, Convênio MAPA N° 942010/2023, Processo nº 21000.048812/2023-19 e 02 (duas) Semeadeiras adubadoras de arrasto pela Proposta N° 5193/2024, Convênio MAPA N° 956976/2024.</w:t>
      </w:r>
    </w:p>
    <w:p w:rsidR="00C035C3" w:rsidRDefault="00C035C3">
      <w:pPr>
        <w:pStyle w:val="Normal0"/>
        <w:jc w:val="both"/>
        <w:rPr>
          <w:rFonts w:ascii="Times New Roman" w:hAnsi="Times New Roman" w:cs="Arial Narrow"/>
          <w:sz w:val="22"/>
          <w:szCs w:val="22"/>
        </w:rPr>
      </w:pPr>
    </w:p>
    <w:p w:rsidR="00C035C3" w:rsidRDefault="0062067F">
      <w:pPr>
        <w:pStyle w:val="Normal0"/>
        <w:jc w:val="both"/>
      </w:pPr>
      <w:r>
        <w:rPr>
          <w:rFonts w:ascii="Times New Roman" w:hAnsi="Times New Roman" w:cs="Arial Narrow"/>
          <w:sz w:val="22"/>
          <w:szCs w:val="22"/>
        </w:rPr>
        <w:t xml:space="preserve">Forma de julgamento: </w:t>
      </w:r>
      <w:r>
        <w:rPr>
          <w:rFonts w:ascii="Times New Roman" w:hAnsi="Times New Roman" w:cs="Arial Narrow"/>
          <w:sz w:val="22"/>
          <w:szCs w:val="22"/>
        </w:rPr>
        <w:t xml:space="preserve">Por item</w:t>
      </w:r>
    </w:p>
    <w:p w:rsidR="00C035C3" w:rsidRDefault="00C035C3">
      <w:pPr>
        <w:pStyle w:val="Normal0"/>
        <w:jc w:val="both"/>
        <w:rPr>
          <w:rFonts w:ascii="Times New Roman" w:hAnsi="Times New Roman" w:cs="Arial Narrow"/>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sz w:val="22"/>
          <w:szCs w:val="22"/>
        </w:rPr>
        <w:t xml:space="preserve">Tipo da licitação: </w:t>
      </w:r>
      <w:r>
        <w:rPr>
          <w:rFonts w:ascii="Times New Roman" w:hAnsi="Times New Roman" w:cs="Times New Roman"/>
          <w:sz w:val="22"/>
          <w:szCs w:val="22"/>
        </w:rPr>
        <w:t xml:space="preserve">Menor preço</w:t>
      </w:r>
    </w:p>
    <w:p w:rsidR="00C035C3" w:rsidRDefault="00C035C3">
      <w:pPr>
        <w:pStyle w:val="Normal0"/>
        <w:jc w:val="both"/>
        <w:rPr>
          <w:rFonts w:ascii="Times New Roman" w:hAnsi="Times New Roman" w:cs="Arial Narrow"/>
          <w:sz w:val="22"/>
          <w:szCs w:val="22"/>
        </w:rPr>
      </w:pPr>
    </w:p>
    <w:tbl>
      <w:tblPr>
        <w:tblStyle w:val="TableGrid"/>
        <w:tblW w:w="0" w:type="auto"/>
        <w:tblLook w:val="04A0"/>
      </w:tblPr>
      <w:tblGrid>
        <w:gridCol w:w="953"/>
        <w:gridCol w:w="4872"/>
        <w:gridCol w:w="953"/>
        <w:gridCol w:w="953"/>
        <w:gridCol w:w="953"/>
        <w:gridCol w:w="953"/>
      </w:tblGrid>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Item</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Material/Serviço</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2"/>
              </w:rPr>
              <w:t xml:space="preserve">Unid. medida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Qtd licitada</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unitário (R$)</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Valor total (R$)</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1</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35411 - Carreta agrícola metálica basculante (caçamba) de 7 toneladas, com capacidade 9 m3, com chassi e estrutura lateral reforçada para evitar abaulamento, tampa traseira com abertura basculante e abertura
Carreta agrícola metálica basculante (caçamba) de 7 toneladas, com capacidade 9 m3, com chassi e estrutura lateral reforçada para evitar abaulamento, tampa traseira com abertura basculante e abertura lateral, com pistão de dupla ação, com borda do fundo chanfrada para evitar compressão de material, tandem com pneus 11L15, com pintura PU automotiva.</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3</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37.166,67</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111.500,01</w:t>
            </w:r>
          </w:p>
        </w:tc>
      </w:tr>
      <w:tr>
        <w:trPr/>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2</w:t>
            </w:r>
          </w:p>
        </w:tc>
        <w:tc>
          <w:tcPr>
            <w:tcW w:w="4872"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35412 - Semeadeira adubadora de arrasto, com rodados externos, levantamento do conjunto com cilindro hidráulico “único” acionado pelo controle remoto do trator, com regulagem de profundidade de penetração das
Semeadeira adubadora de arrasto, com rodados externos, levantamento do conjunto com cilindro hidráulico “único” acionado pelo controle remoto do trator, com regulagem de profundidade de penetração das linhas. Composta por 14 linhas para plantio de culturas de inverno (com espaçamento de 17 cm). Sistema de deposito de sementes e adubo com discos duplos desencontrados 13’’x14’’, com limitador em “V” e terceira roda, sistema de distribuição de adubo mecânico, tipo rotor transportador com regulagem milimétrica autolimpante e acionado por rosca sem fim. Sistema de transmissão por correntes e engrenagens (caixa de transmissão) relação de transmissão com combinação de rodas dentadas, sem uso de chave. Com reservatório de sementes de 220 kg (285 litros) e 72kg (66 litros) de fertilizantes sendo o reservatório de adubo em polietileno e reservatório de sementes em chapa de aço carbono. Altura do equipamento de “1.960mm”, peso de 1.172 kg (máquina vazia). Entregue com manual, catálogo de peças e entrega técnica no município de Salgado Filho – PR.</w:t>
            </w:r>
          </w:p>
        </w:tc>
        <w:tc>
          <w:tcPr>
            <w:tcW w:w="953"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2"/>
              </w:rPr>
              <w:t xml:space="preserve">UN</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2</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76.066,67</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2"/>
              </w:rPr>
              <w:t xml:space="preserve"> 152.133,34</w:t>
            </w:r>
          </w:p>
        </w:tc>
      </w:tr>
      <w:tr>
        <w:trPr/>
        <w:tc>
          <w:tcPr>
            <w:tcW w:w="953"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Total Geral</w:t>
            </w:r>
          </w:p>
        </w:tc>
        <w:tc>
          <w:tcPr>
            <w:tcW w:w="953"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2"/>
              </w:rPr>
              <w:t xml:space="preserve"> 263.633,35</w:t>
            </w:r>
          </w:p>
        </w:tc>
      </w:tr>
    </w:tbl>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imes New Roman" w:hAnsi="Times New Roman" w:cs="Times New Roman"/>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Condições de Pagamento:</w:t>
      </w:r>
      <w:r>
        <w:rPr>
          <w:rFonts w:ascii="Times New Roman" w:hAnsi="Times New Roman" w:cs="Times New Roman"/>
          <w:sz w:val="22"/>
          <w:szCs w:val="22"/>
        </w:rPr>
        <w:t xml:space="preserve"> </w:t>
      </w:r>
      <w:r>
        <w:rPr>
          <w:rFonts w:ascii="Times New Roman" w:hAnsi="Times New Roman" w:cs="Times New Roman"/>
          <w:b/>
          <w:bCs/>
          <w:sz w:val="22"/>
          <w:szCs w:val="22"/>
        </w:rPr>
        <w:t xml:space="preserve">30</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Prazo de Entrega: </w:t>
      </w:r>
      <w:r>
        <w:rPr>
          <w:rFonts w:ascii="Times New Roman" w:hAnsi="Times New Roman" w:cs="Times New Roman"/>
          <w:b/>
          <w:bCs/>
          <w:sz w:val="22"/>
          <w:szCs w:val="22"/>
        </w:rPr>
        <w:t xml:space="preserve">30</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Forma de Reajuste:</w:t>
      </w:r>
      <w:r>
        <w:rPr>
          <w:rFonts w:ascii="Times New Roman" w:hAnsi="Times New Roman" w:cs="Times New Roman"/>
          <w:sz w:val="22"/>
          <w:szCs w:val="22"/>
        </w:rPr>
        <w:t xml:space="preserve"> </w:t>
      </w:r>
      <w:r>
        <w:rPr>
          <w:rFonts w:ascii="Times New Roman" w:hAnsi="Times New Roman" w:cs="Times New Roman"/>
          <w:b/>
          <w:bCs/>
          <w:sz w:val="22"/>
          <w:szCs w:val="22"/>
        </w:rPr>
        <w:t xml:space="preserve">CONFORME TR</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hint="eastAsia"/>
        </w:rPr>
      </w:pPr>
      <w:r>
        <w:rPr>
          <w:rFonts w:ascii="Times New Roman" w:hAnsi="Times New Roman" w:cs="Times New Roman"/>
          <w:b/>
          <w:bCs/>
          <w:sz w:val="22"/>
          <w:szCs w:val="22"/>
        </w:rPr>
        <w:t xml:space="preserve">Local de Entrega: </w:t>
      </w:r>
      <w:r>
        <w:rPr>
          <w:rFonts w:ascii="Times New Roman" w:hAnsi="Times New Roman" w:cs="Times New Roman"/>
          <w:b/>
          <w:bCs/>
          <w:sz w:val="22"/>
          <w:szCs w:val="22"/>
        </w:rPr>
        <w:t xml:space="preserve">CONFORME TR</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cs="Times New Roman"/>
          <w:bCs/>
          <w:sz w:val="22"/>
          <w:szCs w:val="22"/>
        </w:rPr>
      </w:pPr>
    </w:p>
    <w:p w:rsidR="00C035C3" w:rsidRDefault="0062067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hint="eastAsia"/>
        </w:rPr>
      </w:pPr>
      <w:r>
        <w:rPr>
          <w:rFonts w:ascii="Times New Roman" w:hAnsi="Times New Roman" w:cs="Times New Roman"/>
          <w:sz w:val="22"/>
          <w:szCs w:val="22"/>
        </w:rPr>
        <w:t xml:space="preserve">Salgado Filho</w:t>
      </w:r>
      <w:r>
        <w:rPr>
          <w:rFonts w:ascii="Times New Roman" w:hAnsi="Times New Roman" w:cs="Times New Roman"/>
          <w:sz w:val="22"/>
          <w:szCs w:val="22"/>
        </w:rPr>
        <w:t xml:space="preserve">-</w:t>
      </w:r>
      <w:r>
        <w:rPr>
          <w:rFonts w:ascii="Times New Roman" w:hAnsi="Times New Roman" w:cs="Times New Roman"/>
          <w:sz w:val="22"/>
          <w:szCs w:val="22"/>
        </w:rPr>
        <w:t xml:space="preserve">PR</w:t>
      </w:r>
      <w:r>
        <w:rPr>
          <w:rFonts w:ascii="Times New Roman" w:hAnsi="Times New Roman" w:cs="Times New Roman"/>
          <w:sz w:val="22"/>
          <w:szCs w:val="22"/>
        </w:rPr>
        <w:t xml:space="preserve">, </w:t>
      </w:r>
      <w:r>
        <w:rPr>
          <w:rFonts w:ascii="Times New Roman" w:hAnsi="Times New Roman" w:cs="Times New Roman"/>
          <w:sz w:val="22"/>
          <w:szCs w:val="22"/>
        </w:rPr>
        <w:t xml:space="preserve">6 de novembro de 2025</w:t>
      </w: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C035C3" w:rsidRDefault="00C035C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cs="Times New Roman"/>
          <w:sz w:val="22"/>
          <w:szCs w:val="22"/>
        </w:rPr>
      </w:pPr>
    </w:p>
    <w:p w:rsidR="00C035C3" w:rsidRDefault="0062067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imes New Roman" w:hAnsi="Times New Roman"/>
          <w:b/>
          <w:bCs/>
        </w:rPr>
      </w:pPr>
      <w:r>
        <w:rPr>
          <w:rFonts w:ascii="Times New Roman" w:hAnsi="Times New Roman" w:cs="Times New Roman"/>
          <w:b/>
          <w:bCs/>
          <w:color w:val="000000"/>
          <w:sz w:val="22"/>
          <w:szCs w:val="22"/>
        </w:rPr>
        <w:t>________________________________________</w:t>
      </w:r>
    </w:p>
    <w:p w:rsidR="00C035C3" w:rsidRDefault="00543405">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pPr>
      <w:r w:rsidRPr="00543405">
        <w:rPr>
          <w:rFonts w:hint="eastAsia" w:ascii="Times New Roman" w:hAnsi="Times New Roman"/>
          <w:b/>
          <w:bCs/>
        </w:rPr>
        <w:t xml:space="preserve">LUAN DOS SANTOS</w:t>
      </w:r>
    </w:p>
    <w:sectPr w:rsidR="00C035C3" w:rsidSect="005E737F">
      <w:headerReference w:type="even" r:id="rId6"/>
      <w:headerReference w:type="default" r:id="rId7"/>
      <w:footerReference w:type="even" r:id="rId8"/>
      <w:footerReference w:type="default" r:id="rId9"/>
      <w:headerReference w:type="first" r:id="rId10"/>
      <w:footerReference w:type="first" r:id="rId11"/>
      <w:pgSz w:w="11906" w:h="16838"/>
      <w:pgMar w:top="1757" w:right="1134" w:bottom="1134" w:left="1134" w:header="283" w:footer="0" w:gutter="0"/>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