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218A831" w14:textId="77777777" w:rsidR="00CB2DCE" w:rsidRDefault="00CB2DCE">
      <w:pPr>
        <w:jc w:val="center"/>
        <w:rPr>
          <w:rFonts w:ascii="Times New Roman" w:cs="Rockwell" w:hAnsi="Times New Roman"/>
          <w:sz w:val="22"/>
          <w:szCs w:val="22"/>
        </w:rPr>
      </w:pPr>
    </w:p>
    <w:p w14:paraId="36F95836" w14:textId="77777777" w:rsidR="00CB2DCE" w:rsidRDefault="001C772B">
      <w:pPr>
        <w:pStyle w:val="Normal0"/>
        <w:jc w:val="center"/>
      </w:pPr>
      <w:r>
        <w:rPr>
          <w:rFonts w:ascii="Times New Roman" w:cs="Rockwell" w:hAnsi="Times New Roman"/>
          <w:b/>
          <w:bCs/>
          <w:sz w:val="22"/>
          <w:szCs w:val="22"/>
        </w:rPr>
        <w:t>AVISO DE LICITAÇÃO</w:t>
      </w:r>
    </w:p>
    <w:p w14:paraId="16B9E590" w14:textId="77777777" w:rsidR="00CB2DCE" w:rsidRDefault="00CB2DCE">
      <w:pPr>
        <w:pStyle w:val="Normal0"/>
        <w:jc w:val="both"/>
        <w:rPr>
          <w:rFonts w:ascii="Times New Roman" w:cs="Rockwell" w:hAnsi="Times New Roman"/>
          <w:color w:val="000000"/>
          <w:sz w:val="22"/>
          <w:szCs w:val="22"/>
        </w:rPr>
      </w:pPr>
    </w:p>
    <w:p w14:paraId="74A885E6" w14:textId="7054BCAC" w:rsidR="00CB2DCE" w:rsidRDefault="001C772B">
      <w:pPr>
        <w:jc w:val="both"/>
        <w:rPr>
          <w:rFonts w:hint="eastAsia"/>
        </w:rPr>
      </w:pPr>
      <w:r>
        <w:rPr>
          <w:rFonts w:ascii="Times New Roman" w:cs="Rockwell" w:hAnsi="Times New Roman"/>
          <w:color w:val="000000"/>
          <w:sz w:val="22"/>
          <w:szCs w:val="22"/>
        </w:rPr>
        <w:t xml:space="preserve">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torna público para conhecimento dos interessados que realizará licitação na modalidade </w:t>
      </w:r>
      <w:r>
        <w:rPr>
          <w:rFonts w:ascii="Times New Roman" w:cs="Times New Roman" w:hAnsi="Times New Roman"/>
          <w:b/>
          <w:bCs/>
          <w:color w:val="000000"/>
          <w:sz w:val="22"/>
          <w:szCs w:val="22"/>
        </w:rPr>
        <w:t xml:space="preserve">Pregão</w:t>
      </w:r>
      <w:r>
        <w:rPr>
          <w:rFonts w:ascii="Times New Roman" w:cs="Times New Roman" w:hAnsi="Times New Roman"/>
          <w:b/>
          <w:bCs/>
          <w:color w:val="000000"/>
          <w:sz w:val="22"/>
          <w:szCs w:val="22"/>
        </w:rPr>
        <w:t xml:space="preserve"> </w:t>
      </w:r>
      <w:r>
        <w:rPr>
          <w:rFonts w:ascii="Times New Roman" w:cs="Rockwell" w:hAnsi="Times New Roman"/>
          <w:b/>
          <w:bCs/>
          <w:color w:val="000000"/>
          <w:sz w:val="22"/>
          <w:szCs w:val="22"/>
        </w:rPr>
        <w:t xml:space="preserve">50/2025</w:t>
      </w:r>
      <w:r>
        <w:rPr>
          <w:rFonts w:ascii="Times New Roman" w:cs="Rockwell" w:hAnsi="Times New Roman"/>
          <w:color w:val="000000"/>
          <w:sz w:val="22"/>
          <w:szCs w:val="22"/>
        </w:rPr>
        <w:t xml:space="preserve">, cujo processamento e julgamento darão na forma da Lei </w:t>
      </w:r>
      <w:r w:rsidR="00442638">
        <w:rPr>
          <w:rFonts w:ascii="Times New Roman" w:cs="Rockwell" w:hAnsi="Times New Roman"/>
          <w:color w:val="000000"/>
          <w:sz w:val="22"/>
          <w:szCs w:val="22"/>
        </w:rPr>
        <w:t xml:space="preserve">14.133</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01</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abril</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2021</w:t>
      </w:r>
      <w:r>
        <w:rPr>
          <w:rFonts w:ascii="Times New Roman" w:cs="Rockwell" w:hAnsi="Times New Roman"/>
          <w:color w:val="000000"/>
          <w:sz w:val="22"/>
          <w:szCs w:val="22"/>
        </w:rPr>
        <w:t xml:space="preserve"> e alterações.</w:t>
      </w:r>
    </w:p>
    <w:p w14:paraId="0025B86D" w14:textId="77777777" w:rsidR="00CB2DCE" w:rsidRDefault="00CB2DCE">
      <w:pPr>
        <w:jc w:val="both"/>
        <w:rPr>
          <w:rFonts w:ascii="Times New Roman" w:cs="Rockwell" w:hAnsi="Times New Roman"/>
          <w:color w:val="000000"/>
          <w:sz w:val="22"/>
          <w:szCs w:val="22"/>
        </w:rPr>
      </w:pPr>
    </w:p>
    <w:p w14:paraId="4220E86B" w14:textId="77777777"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Objeto da licitação: </w:t>
      </w:r>
      <w:r>
        <w:rPr>
          <w:rFonts w:ascii="Times New Roman" w:cs="Times New Roman" w:hAnsi="Times New Roman"/>
          <w:color w:val="000000"/>
          <w:sz w:val="22"/>
          <w:szCs w:val="22"/>
        </w:rPr>
        <w:t xml:space="preserve">Contratação de empresa(s) para fornecimento de Equipamentos Agrícolas para atender as necessidades das pequenas e médias propriedades familiares rurais, proporcionando o desenvolvimento dessas propriedades, melhorando o cultivo agrícola e incentivando o desenvolvimento rural sustentável, sendo 03 (três) Carretas agrícolas metálicas basculantes através da Proposta nº 032372/2023, Convênio MAPA N° 942010/2023, Processo nº 21000.048812/2023-19 e 02 (duas) Semeadeiras adubadoras de arrasto pela Proposta N° 5193/2024, Convênio MAPA N° 956976/2024.</w:t>
      </w:r>
    </w:p>
    <w:p w14:paraId="03811AE8"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color w:val="000000"/>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35411 - Carreta agrícola metálica basculante (caçamba) de 7 toneladas, com capacidade 9 m3, com chassi e estrutura lateral reforçada para evitar abaulamento, tampa traseira com abertura basculante e abertura
Carreta agrícola metálica basculante (caçamba) de 7 toneladas, com capacidade 9 m3, com chassi e estrutura lateral reforçada para evitar abaulamento, tampa traseira com abertura basculante e abertura lateral, com pistão de dupla ação, com borda do fundo chanfrada para evitar compressão de material, tandem com pneus 11L15, com pintura PU automotiva.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37.166,67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111.500,01</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35412 - Semeadeira adubadora de arrasto, com rodados externos, levantamento do conjunto com cilindro hidráulico “único” acionado pelo controle remoto do trator, com regulagem de profundidade de penetração das
Semeadeira adubadora de arrasto, com rodados externos, levantamento do conjunto com cilindro hidráulico “único” acionado pelo controle remoto do trator, com regulagem de profundidade de penetração das linhas. Composta por 14 linhas para plantio de culturas de inverno (com espaçamento de 17 cm). Sistema de deposito de sementes e adubo com discos duplos desencontrados 13’’x14’’, com limitador em “V” e terceira roda, sistema de distribuição de adubo mecânico, tipo rotor transportador com regulagem milimétrica autolimpante e acionado por rosca sem fim. Sistema de transmissão por correntes e engrenagens (caixa de transmissão) relação de transmissão com combinação de rodas dentadas, sem uso de chave. Com reservatório de sementes de 220 kg (285 litros) e 72kg (66 litros) de fertilizantes sendo o reservatório de adubo em polietileno e reservatório de sementes em chapa de aço carbono. Altura do equipamento de “1.960mm”, peso de 1.172 kg (máquina vazia). Entregue com manual, catálogo de peças e entrega técnica no município de Salgado Filho – PR.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76.066,67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152.133,34</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263.633,35</w:t>
            </w:r>
          </w:p>
        </w:tc>
      </w:tr>
    </w:tbl>
    <w:p w14:paraId="7CB01402"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color w:val="000000"/>
          <w:sz w:val="22"/>
          <w:szCs w:val="22"/>
        </w:rPr>
      </w:pPr>
    </w:p>
    <w:p w14:paraId="09FC9162" w14:textId="24FFE815" w:rsidR="00CB2DCE" w:rsidRDefault="001C772B">
      <w:pPr>
        <w:jc w:val="both"/>
        <w:rPr>
          <w:rFonts w:hint="eastAsia"/>
        </w:rPr>
      </w:pPr>
      <w:r>
        <w:rPr>
          <w:rFonts w:ascii="Times New Roman" w:cs="Rockwell" w:hAnsi="Times New Roman"/>
          <w:b/>
          <w:bCs/>
          <w:color w:val="000000"/>
          <w:sz w:val="22"/>
          <w:szCs w:val="22"/>
        </w:rPr>
        <w:t xml:space="preserve">Data de entrega dos envelopes: </w:t>
      </w:r>
      <w:r>
        <w:rPr>
          <w:rFonts w:ascii="Times New Roman" w:cs="Rockwell" w:hAnsi="Times New Roman"/>
          <w:color w:val="000000"/>
          <w:sz w:val="22"/>
          <w:szCs w:val="22"/>
        </w:rPr>
        <w:t xml:space="preserve">16/01/2026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08:29</w:t>
      </w:r>
      <w:r>
        <w:rPr>
          <w:rFonts w:ascii="Times New Roman" w:cs="Rockwell" w:hAnsi="Times New Roman"/>
          <w:color w:val="000000"/>
          <w:sz w:val="22"/>
          <w:szCs w:val="22"/>
        </w:rPr>
        <w:t xml:space="preserve"> horas no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r w:rsidR="00442638">
        <w:rPr>
          <w:rFonts w:ascii="Times New Roman" w:cs="Rockwell" w:hAnsi="Times New Roman"/>
          <w:color w:val="000000"/>
          <w:sz w:val="22"/>
          <w:szCs w:val="22"/>
        </w:rPr>
        <w:t xml:space="preserve">                               </w:t>
      </w:r>
    </w:p>
    <w:p w14:paraId="39620B6F" w14:textId="77777777" w:rsidR="00CB2DCE" w:rsidRDefault="00CB2DCE">
      <w:pPr>
        <w:jc w:val="both"/>
        <w:rPr>
          <w:rFonts w:ascii="Times New Roman" w:cs="Rockwell" w:hAnsi="Times New Roman"/>
          <w:color w:val="000000"/>
          <w:sz w:val="22"/>
          <w:szCs w:val="22"/>
        </w:rPr>
      </w:pPr>
    </w:p>
    <w:p w14:paraId="015D68F6" w14:textId="6173C9FB" w:rsidR="00CB2DCE" w:rsidRDefault="001C772B">
      <w:pPr>
        <w:jc w:val="both"/>
        <w:rPr>
          <w:rFonts w:hint="eastAsia"/>
        </w:rPr>
      </w:pPr>
      <w:r>
        <w:rPr>
          <w:rFonts w:ascii="Times New Roman" w:cs="Rockwell" w:hAnsi="Times New Roman"/>
          <w:b/>
          <w:bCs/>
          <w:color w:val="000000"/>
          <w:sz w:val="22"/>
          <w:szCs w:val="22"/>
        </w:rPr>
        <w:t xml:space="preserve">Data de abertura dos envelopes:</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16/01/2026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08:30</w:t>
      </w:r>
      <w:r>
        <w:rPr>
          <w:rFonts w:ascii="Times New Roman" w:cs="Rockwell" w:hAnsi="Times New Roman"/>
          <w:color w:val="000000"/>
          <w:sz w:val="22"/>
          <w:szCs w:val="22"/>
        </w:rPr>
        <w:t xml:space="preserve"> horas n</w:t>
      </w:r>
      <w:r w:rsidR="00442638">
        <w:rPr>
          <w:rFonts w:ascii="Times New Roman" w:cs="Rockwell" w:hAnsi="Times New Roman"/>
          <w:color w:val="000000"/>
          <w:sz w:val="22"/>
          <w:szCs w:val="22"/>
        </w:rPr>
        <w:t xml:space="preserve">o</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p>
    <w:p w14:paraId="77904B5A" w14:textId="77777777" w:rsidR="00CB2DCE" w:rsidRDefault="00CB2DCE">
      <w:pPr>
        <w:jc w:val="both"/>
        <w:rPr>
          <w:rFonts w:ascii="Times New Roman" w:cs="Rockwell" w:hAnsi="Times New Roman"/>
          <w:color w:val="000000"/>
          <w:sz w:val="22"/>
          <w:szCs w:val="22"/>
        </w:rPr>
      </w:pPr>
    </w:p>
    <w:p w14:paraId="75A7BF6B" w14:textId="202CD636" w:rsidR="00CB2DCE" w:rsidRDefault="001C772B">
      <w:pPr>
        <w:jc w:val="both"/>
        <w:rPr>
          <w:rFonts w:hint="eastAsia"/>
        </w:rPr>
      </w:pPr>
      <w:r>
        <w:rPr>
          <w:rFonts w:ascii="Times New Roman" w:cs="Rockwell" w:hAnsi="Times New Roman"/>
          <w:color w:val="000000"/>
          <w:sz w:val="22"/>
          <w:szCs w:val="22"/>
        </w:rPr>
        <w:t xml:space="preserve">Edital </w:t>
      </w:r>
      <w:r>
        <w:rPr>
          <w:rFonts w:ascii="Times New Roman" w:cs="Rockwell" w:hAnsi="Times New Roman"/>
          <w:color w:val="000000"/>
          <w:sz w:val="22"/>
          <w:szCs w:val="22"/>
        </w:rPr>
        <w:t xml:space="preserve">na</w:t>
      </w:r>
      <w:r>
        <w:rPr>
          <w:rFonts w:ascii="Times New Roman" w:cs="Rockwell" w:hAnsi="Times New Roman"/>
          <w:color w:val="000000"/>
          <w:sz w:val="22"/>
          <w:szCs w:val="22"/>
        </w:rPr>
        <w:t xml:space="preserve"> integra e demais informações, poderão ser consultadas no site </w:t>
      </w:r>
      <w:r>
        <w:rPr>
          <w:rFonts w:ascii="Times New Roman" w:cs="Rockwell" w:hAnsi="Times New Roman"/>
          <w:color w:val="000000"/>
          <w:sz w:val="22"/>
          <w:szCs w:val="22"/>
        </w:rPr>
        <w:t xml:space="preserve">http://www.salgadofilho.pr.gov.br</w:t>
      </w:r>
      <w:r>
        <w:rPr>
          <w:rFonts w:ascii="Times New Roman" w:cs="Rockwell" w:hAnsi="Times New Roman"/>
          <w:color w:val="000000"/>
          <w:sz w:val="22"/>
          <w:szCs w:val="22"/>
        </w:rPr>
        <w:t xml:space="preserve"> ou solicitadas junto ao Departamento de Licitações do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fone </w:t>
      </w:r>
      <w:r>
        <w:rPr>
          <w:rFonts w:ascii="Times New Roman" w:cs="Rockwell" w:hAnsi="Times New Roman"/>
          <w:color w:val="000000"/>
          <w:sz w:val="22"/>
          <w:szCs w:val="22"/>
        </w:rPr>
        <w:t xml:space="preserve">4635641202</w:t>
      </w:r>
      <w:r>
        <w:rPr>
          <w:rFonts w:ascii="Times New Roman" w:cs="Rockwell" w:hAnsi="Times New Roman"/>
          <w:color w:val="000000"/>
          <w:sz w:val="22"/>
          <w:szCs w:val="22"/>
        </w:rPr>
        <w:t xml:space="preserve"> ou e-mail </w:t>
      </w:r>
      <w:r w:rsidR="00442638">
        <w:rPr>
          <w:rFonts w:ascii="Times New Roman" w:cs="Rockwell" w:hAnsi="Times New Roman"/>
          <w:color w:val="000000"/>
          <w:sz w:val="22"/>
          <w:szCs w:val="22"/>
        </w:rPr>
        <w:t xml:space="preserve">licitacao.sf@gmail.com</w:t>
      </w:r>
    </w:p>
    <w:p w14:paraId="3F675DB0" w14:textId="77777777" w:rsidR="00CB2DCE" w:rsidRDefault="00CB2DCE">
      <w:pPr>
        <w:pStyle w:val="Normal0"/>
        <w:rPr>
          <w:rFonts w:ascii="Times New Roman" w:cs="Rockwell" w:hAnsi="Times New Roman"/>
          <w:color w:val="000000"/>
          <w:sz w:val="22"/>
          <w:szCs w:val="22"/>
        </w:rPr>
      </w:pPr>
    </w:p>
    <w:p w14:paraId="7B81FF7A" w14:textId="77777777" w:rsidR="00CB2DCE" w:rsidRDefault="00CB2DCE">
      <w:pPr>
        <w:pStyle w:val="Normal0"/>
        <w:rPr>
          <w:rFonts w:ascii="Times New Roman" w:cs="Rockwell" w:hAnsi="Times New Roman"/>
          <w:color w:val="000000"/>
          <w:sz w:val="22"/>
          <w:szCs w:val="22"/>
        </w:rPr>
      </w:pPr>
    </w:p>
    <w:p w14:paraId="4532E3A8" w14:textId="77777777" w:rsidR="00CB2DCE" w:rsidRDefault="00CB2DCE">
      <w:pPr>
        <w:pStyle w:val="Normal0"/>
        <w:rPr>
          <w:rFonts w:ascii="Times New Roman" w:cs="Rockwell" w:hAnsi="Times New Roman"/>
          <w:color w:val="000000"/>
          <w:sz w:val="22"/>
          <w:szCs w:val="22"/>
        </w:rPr>
      </w:pPr>
    </w:p>
    <w:p w14:paraId="4C547315" w14:textId="7DE84B5A"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sidR="00B906D8" w:rsidRPr="00B906D8">
        <w:rPr>
          <w:rFonts w:ascii="Times New Roman" w:cs="Times New Roman" w:hAnsi="Times New Roman" w:hint="eastAsia"/>
          <w:sz w:val="22"/>
          <w:szCs w:val="22"/>
        </w:rPr>
        <w:t xml:space="preserve">16 de dezembro de 2025</w:t>
      </w:r>
    </w:p>
    <w:p w14:paraId="5ECFB84E" w14:textId="77777777" w:rsidR="00CB2DCE" w:rsidRDefault="00CB2DCE">
      <w:pPr>
        <w:pStyle w:val="Normal0"/>
        <w:jc w:val="center"/>
        <w:rPr>
          <w:rFonts w:ascii="Times New Roman" w:cs="Rockwell" w:hAnsi="Times New Roman"/>
          <w:color w:val="000000"/>
          <w:sz w:val="22"/>
          <w:szCs w:val="22"/>
        </w:rPr>
      </w:pPr>
    </w:p>
    <w:p w14:paraId="61DE73B5" w14:textId="77777777" w:rsidR="00CB2DCE" w:rsidRDefault="00CB2DCE">
      <w:pPr>
        <w:pStyle w:val="Normal0"/>
        <w:jc w:val="center"/>
        <w:rPr>
          <w:rFonts w:ascii="Times New Roman" w:cs="Rockwell" w:hAnsi="Times New Roman"/>
          <w:bCs/>
          <w:color w:val="000000"/>
          <w:sz w:val="22"/>
          <w:szCs w:val="22"/>
        </w:rPr>
      </w:pPr>
    </w:p>
    <w:p w14:paraId="2E09CBC2" w14:textId="77777777" w:rsidR="00CB2DCE" w:rsidRDefault="00CB2DCE">
      <w:pPr>
        <w:pStyle w:val="Normal0"/>
        <w:jc w:val="center"/>
        <w:rPr>
          <w:rFonts w:ascii="Times New Roman" w:cs="Rockwell" w:hAnsi="Times New Roman"/>
          <w:bCs/>
          <w:color w:val="000000"/>
          <w:sz w:val="22"/>
          <w:szCs w:val="22"/>
        </w:rPr>
      </w:pPr>
    </w:p>
    <w:p w14:paraId="48DAA59F" w14:textId="77777777" w:rsidR="00CB2DCE" w:rsidRDefault="00CB2DCE">
      <w:pPr>
        <w:pStyle w:val="Normal0"/>
        <w:jc w:val="center"/>
        <w:rPr>
          <w:rFonts w:ascii="Times New Roman" w:cs="Rockwell" w:hAnsi="Times New Roman"/>
          <w:bCs/>
          <w:color w:val="000000"/>
          <w:sz w:val="22"/>
          <w:szCs w:val="22"/>
        </w:rPr>
      </w:pPr>
    </w:p>
    <w:p w14:paraId="07109DEE" w14:textId="77777777" w:rsidR="00CB2DCE" w:rsidRDefault="001C772B">
      <w:pPr>
        <w:pStyle w:val="Normal0"/>
        <w:jc w:val="center"/>
      </w:pPr>
      <w:r>
        <w:rPr>
          <w:rFonts w:ascii="Times New Roman" w:cs="Rockwell" w:hAnsi="Times New Roman"/>
          <w:bCs/>
          <w:color w:val="000000"/>
          <w:sz w:val="22"/>
          <w:szCs w:val="22"/>
        </w:rPr>
        <w:t>_______________________________________</w:t>
      </w:r>
    </w:p>
    <w:p w14:paraId="23876CC8" w14:textId="77777777" w:rsidR="00CB2DCE" w:rsidRDefault="001C772B">
      <w:pPr>
        <w:pStyle w:val="Normal0"/>
        <w:jc w:val="center"/>
      </w:pPr>
      <w:r>
        <w:rPr>
          <w:rFonts w:ascii="Times New Roman" w:cs="Rockwell" w:hAnsi="Times New Roman"/>
          <w:bCs/>
          <w:color w:val="000000"/>
          <w:sz w:val="22"/>
          <w:szCs w:val="22"/>
        </w:rPr>
        <w:t xml:space="preserve">VOLMAR DUARTE</w:t>
      </w:r>
    </w:p>
    <w:p w14:paraId="1D650CC6" w14:textId="77777777" w:rsidR="00CB2DCE" w:rsidRDefault="001C772B">
      <w:pPr>
        <w:pStyle w:val="Normal0"/>
        <w:jc w:val="center"/>
      </w:pPr>
      <w:r>
        <w:rPr>
          <w:rFonts w:ascii="Times New Roman" w:cs="Rockwell" w:hAnsi="Times New Roman"/>
          <w:bCs/>
          <w:color w:val="000000"/>
          <w:sz w:val="22"/>
          <w:szCs w:val="22"/>
        </w:rPr>
        <w:t xml:space="preserve">0 - Prefeito</w:t>
      </w:r>
    </w:p>
    <w:sectPr w:rsidR="00CB2DCE">
      <w:headerReference r:id="rId6" w:type="defaul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3C78D" w14:textId="77777777" w:rsidR="004B675D" w:rsidRDefault="004B675D">
      <w:pPr>
        <w:rPr>
          <w:rFonts w:hint="eastAsia"/>
        </w:rPr>
      </w:pPr>
      <w:r>
        <w:separator/>
      </w:r>
    </w:p>
  </w:endnote>
  <w:endnote w:type="continuationSeparator" w:id="0">
    <w:p w14:paraId="5F7CBF59" w14:textId="77777777" w:rsidR="004B675D" w:rsidRDefault="004B675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982D9" w14:textId="77777777" w:rsidR="004B675D" w:rsidRDefault="004B675D">
      <w:pPr>
        <w:rPr>
          <w:rFonts w:hint="eastAsia"/>
        </w:rPr>
      </w:pPr>
      <w:r>
        <w:separator/>
      </w:r>
    </w:p>
  </w:footnote>
  <w:footnote w:type="continuationSeparator" w:id="0">
    <w:p w14:paraId="54AC59FC" w14:textId="77777777" w:rsidR="004B675D" w:rsidRDefault="004B675D">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1"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0" w:lastRow="0" w:firstColumn="0" w:lastColumn="0" w:noHBand="0" w:noVBand="0" w:val="0000"/>
    </w:tblPr>
    <w:tblGrid>
      <w:gridCol w:w="1696"/>
      <w:gridCol w:w="7942"/>
      <w:gridCol w:w="1701"/>
    </w:tblGrid>
    <w:tr w:rsidR="002B6E39" w14:paraId="78432625" w14:textId="77777777">
      <w:tc>
        <w:tcPr>
          <w:tcW w:w="1696" w:type="dxa"/>
          <w:tcBorders>
            <w:top w:val="single" w:color="000001" w:sz="2" w:space="0"/>
            <w:left w:val="single" w:color="000001" w:sz="2" w:space="0"/>
            <w:bottom w:val="single" w:color="000001" w:sz="2" w:space="0"/>
          </w:tcBorders>
          <w:shd w:val="clear" w:color="auto" w:fill="auto"/>
        </w:tcPr>
        <w:p w:rsidR="00CB2DCE" w:rsidRDefault="002B6E39" w14:paraId="63443C5E" w14:textId="77777777">
          <w:pPr>
            <w:pStyle w:val="Contedodatabela"/>
            <w:rPr>
              <w:rFonts w:hint="eastAsia"/>
            </w:rPr>
          </w:pPr>
          <w:r>
            <w:rPr>
              <w:rFonts w:hint="eastAsia"/>
              <w:noProof/>
              <w:lang w:eastAsia="pt-BR" w:bidi="ar-SA"/>
            </w:rPr>
            <w:drawing>
              <wp:inline distT="0" distB="0" distL="0" distR="0">
                <wp:extent cx="1035129" cy="1314450"/>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8130" cy="134365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B2DCE" w:rsidRDefault="001C772B" w14:paraId="4BCCD444" w14:textId="77777777">
          <w:pPr>
            <w:rPr>
              <w:rFonts w:hint="eastAsia"/>
              <w:b/>
              <w:bCs/>
              <w:sz w:val="30"/>
              <w:szCs w:val="30"/>
            </w:rPr>
          </w:pPr>
          <w:r>
            <w:rPr>
              <w:b/>
              <w:bCs/>
              <w:sz w:val="30"/>
              <w:szCs w:val="30"/>
            </w:rPr>
            <w:t xml:space="preserve">Município de Salgado Filho</w:t>
          </w:r>
        </w:p>
        <w:p w:rsidR="00CB2DCE" w:rsidRDefault="001C772B" w14:paraId="0BF800AF" w14:textId="77777777">
          <w:pPr>
            <w:tabs>
              <w:tab w:val="left" w:pos="3969"/>
            </w:tabs>
            <w:rPr>
              <w:rFonts w:hint="eastAsia"/>
            </w:rPr>
          </w:pPr>
          <w:r>
            <w:t xml:space="preserve">Rua Floriano Francisco Anater </w:t>
          </w:r>
          <w:r>
            <w:t xml:space="preserve">, </w:t>
          </w:r>
          <w:r>
            <w:t xml:space="preserve">50</w:t>
          </w:r>
          <w:r>
            <w:t xml:space="preserve"> - </w:t>
          </w:r>
          <w:r>
            <w:t xml:space="preserve">Centro</w:t>
          </w:r>
        </w:p>
        <w:p w:rsidR="00CB2DCE" w:rsidRDefault="001C772B" w14:paraId="443EF418" w14:textId="77777777">
          <w:pPr>
            <w:tabs>
              <w:tab w:val="left" w:pos="3969"/>
            </w:tabs>
            <w:rPr>
              <w:rFonts w:hint="eastAsia"/>
            </w:rPr>
          </w:pPr>
          <w:r>
            <w:t xml:space="preserve">85.620-000</w:t>
          </w:r>
          <w:r>
            <w:t xml:space="preserve"> - </w:t>
          </w:r>
          <w:r>
            <w:t xml:space="preserve">Salgado Filho</w:t>
          </w:r>
          <w:r>
            <w:t xml:space="preserve"> - </w:t>
          </w:r>
          <w:r>
            <w:t xml:space="preserve">Paraná</w:t>
          </w:r>
        </w:p>
        <w:p w:rsidR="00CB2DCE" w:rsidRDefault="001C772B" w14:paraId="3E27113D" w14:textId="77777777">
          <w:pPr>
            <w:tabs>
              <w:tab w:val="left" w:pos="3969"/>
            </w:tabs>
            <w:rPr>
              <w:rFonts w:hint="eastAsia"/>
            </w:rPr>
          </w:pPr>
          <w:r>
            <w:t xml:space="preserve">76.205.699/0001-98</w:t>
          </w:r>
          <w:r>
            <w:t xml:space="preserve">          </w:t>
          </w:r>
          <w:r>
            <w:t xml:space="preserve">4635641202</w:t>
          </w:r>
        </w:p>
        <w:p w:rsidR="00CB2DCE" w:rsidRDefault="001C772B" w14:paraId="7BCD26CD" w14:textId="77777777">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B2DCE" w:rsidRDefault="002B6E39" w14:paraId="085677EB" w14:textId="77777777">
          <w:pPr>
            <w:pStyle w:val="Contedodatabela"/>
            <w:rPr>
              <w:rFonts w:hint="eastAsia"/>
            </w:rPr>
          </w:pPr>
          <w:r>
            <w:rPr>
              <w:rFonts w:hint="eastAsia"/>
              <w:noProof/>
              <w:lang w:eastAsia="pt-BR" w:bidi="ar-SA"/>
            </w:rPr>
            <w:drawing>
              <wp:inline distT="0" distB="0" distL="0" distR="0">
                <wp:extent cx="1045521" cy="733425"/>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65531" cy="747462"/>
                        </a:xfrm>
                        <a:prstGeom prst="rect">
                          <a:avLst/>
                        </a:prstGeom>
                      </pic:spPr>
                    </pic:pic>
                  </a:graphicData>
                </a:graphic>
              </wp:inline>
            </w:drawing>
          </w:r>
        </w:p>
      </w:tc>
    </w:tr>
  </w:tbl>
  <w:p w:rsidR="00CB2DCE" w:rsidRDefault="00CB2DCE" w14:paraId="431B46FD"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DCE"/>
    <w:rsid w:val="001C772B"/>
    <w:rsid w:val="002B6E39"/>
    <w:rsid w:val="00442638"/>
    <w:rsid w:val="00495AC3"/>
    <w:rsid w:val="004B675D"/>
    <w:rsid w:val="005E5FF7"/>
    <w:rsid w:val="00B906D8"/>
    <w:rsid w:val="00CB2DCE"/>
    <w:rsid w:val="00CC7FEF"/>
    <w:rsid w:val="00FB3C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73A46023"/>
  <w15:docId w15:val="{121A2963-6562-43CC-8758-C6268C1A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4F7C69"/>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styleId="Rodap">
    <w:name w:val="footer"/>
    <w:basedOn w:val="Normal"/>
    <w:link w:val="RodapChar"/>
    <w:uiPriority w:val="99"/>
    <w:unhideWhenUsed/>
    <w:rsid w:val="004F7C69"/>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188</Words>
  <Characters>1021</Characters>
  <Application>Microsoft Office Word</Application>
  <DocSecurity>0</DocSecurity>
  <Lines>8</Lines>
  <Paragraphs>2</Paragraphs>
  <ScaleCrop>false</ScaleCrop>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2025-10-06T14:14:00Z</dcterms:created>
  <dcterms:modified xsi:type="dcterms:W3CDTF">2025-10-06T14:14:00Z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