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191 - 1 . 7002 . 10 . 301 . 8 . 2.22 . 0 . 319013 Obrigações Patronais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188 - 1 . 7002 . 10 . 301 . 8 . 2.22 . 0 . 319011 Vencimentos e Vantagens Fixas - Pessoal Civil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Credenciamento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00 GERIATRA/PEDIATRA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Não se aplica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Credenciamento de pessoas jurídicas em condições de prestar serviços médicos de geriatria e pediatria para atuar junto a Secretaria Municipal de Saúde, conforme condições e exigências estabelecidas.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31120 - Consulta médico especialista em Geriatria: Médico Geriatra para atendimento nas unidades de Saúde, com carga horária de 24 (vinte e quatro) horas mensais, de segunda a sexta-feira, em dias e horários 
Consulta médico especialista em Geriatria: Médico Geriatra para atendimento nas unidades de Saúde, com carga horária de 24 (vinte e quatro) horas mensais, de segunda a sexta-feira, em dias e horários a serem definidos pela Secretaria Municipal de Saúde.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9.450,00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113.400,00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31121 - Consulta médico especialista em Pediatria: Médico Pediatra para atendimento nas unidades de Saúde, com carga horária de 16 (dezesseis) horas mensais, de segunda a sexta-feira, em dias e horários a ser
Consulta médico especialista em Pediatria: Médico Pediatra para atendimento nas unidades de Saúde, com carga horária de 16 (dezesseis) horas mensais, de segunda a sexta-feira, em dias e horários a serem definidos pela Secretaria Municipal de Saúde.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5.700,00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68.400,00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181.800,00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27 de abril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