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59B" w:rsidRDefault="00F8759B">
      <w:r>
        <w:t>A integra do projeto está disponível na portal transparência municipal E também na plataforma BLL, devido seu tamanho ser superior a 30mb</w:t>
      </w:r>
      <w:bookmarkStart w:id="0" w:name="_GoBack"/>
      <w:bookmarkEnd w:id="0"/>
    </w:p>
    <w:sectPr w:rsidR="00F875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1B"/>
    <w:rsid w:val="0059600C"/>
    <w:rsid w:val="00D97C1B"/>
    <w:rsid w:val="00F8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95DC7"/>
  <w15:chartTrackingRefBased/>
  <w15:docId w15:val="{EB307746-F00E-4B86-B9A2-36BEE678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117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2026-03-19T13:29:00Z</dcterms:created>
  <dcterms:modified xsi:type="dcterms:W3CDTF">2026-03-19T13:31:00Z</dcterms:modified>
</cp:coreProperties>
</file>