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EEF11" w14:textId="7034D0D2" w:rsidR="002C6F0A" w:rsidRPr="008743BE" w:rsidRDefault="002C6F0A" w:rsidP="00233D69">
      <w:pPr>
        <w:spacing w:before="100" w:beforeAutospacing="1" w:after="0" w:line="240" w:lineRule="auto"/>
        <w:outlineLvl w:val="0"/>
        <w:rPr>
          <w:rFonts w:ascii="Arial" w:eastAsia="Times New Roman" w:hAnsi="Arial" w:cs="Arial"/>
          <w:b/>
          <w:bCs/>
          <w:kern w:val="36"/>
          <w:sz w:val="44"/>
          <w:szCs w:val="44"/>
          <w:lang w:eastAsia="pt-BR"/>
        </w:rPr>
      </w:pPr>
      <w:r w:rsidRPr="008743BE">
        <w:rPr>
          <w:rFonts w:ascii="Arial" w:eastAsia="Times New Roman" w:hAnsi="Arial" w:cs="Arial"/>
          <w:b/>
          <w:bCs/>
          <w:kern w:val="36"/>
          <w:sz w:val="44"/>
          <w:szCs w:val="44"/>
          <w:lang w:eastAsia="pt-BR"/>
        </w:rPr>
        <w:t>MATRIZ DE ALOCAÇÃO DE RISCOS CONTRATUAIS</w:t>
      </w:r>
    </w:p>
    <w:p w14:paraId="197622D7" w14:textId="77777777" w:rsidR="002C6F0A" w:rsidRDefault="002C6F0A" w:rsidP="00233D69">
      <w:pPr>
        <w:spacing w:before="100" w:beforeAutospacing="1" w:after="0" w:line="240" w:lineRule="auto"/>
        <w:outlineLvl w:val="1"/>
        <w:rPr>
          <w:rFonts w:ascii="Arial" w:eastAsia="Times New Roman" w:hAnsi="Arial" w:cs="Arial"/>
          <w:b/>
          <w:bCs/>
          <w:sz w:val="32"/>
          <w:szCs w:val="32"/>
          <w:lang w:eastAsia="pt-BR"/>
        </w:rPr>
      </w:pPr>
      <w:r w:rsidRPr="008743BE">
        <w:rPr>
          <w:rFonts w:ascii="Arial" w:eastAsia="Times New Roman" w:hAnsi="Arial" w:cs="Arial"/>
          <w:b/>
          <w:bCs/>
          <w:sz w:val="32"/>
          <w:szCs w:val="32"/>
          <w:lang w:eastAsia="pt-BR"/>
        </w:rPr>
        <w:t xml:space="preserve">CONTRATAÇÃO INTEGRADA — PISTA DE SKATE COM </w:t>
      </w:r>
      <w:r w:rsidRPr="008743BE">
        <w:rPr>
          <w:rFonts w:ascii="Arial" w:eastAsia="Times New Roman" w:hAnsi="Arial" w:cs="Arial"/>
          <w:b/>
          <w:bCs/>
          <w:i/>
          <w:iCs/>
          <w:sz w:val="32"/>
          <w:szCs w:val="32"/>
          <w:lang w:eastAsia="pt-BR"/>
        </w:rPr>
        <w:t>BOWL</w:t>
      </w:r>
      <w:r w:rsidRPr="008743BE">
        <w:rPr>
          <w:rFonts w:ascii="Arial" w:eastAsia="Times New Roman" w:hAnsi="Arial" w:cs="Arial"/>
          <w:b/>
          <w:bCs/>
          <w:sz w:val="32"/>
          <w:szCs w:val="32"/>
          <w:lang w:eastAsia="pt-BR"/>
        </w:rPr>
        <w:t xml:space="preserve"> — PRAÇA WILLY BARTH</w:t>
      </w:r>
    </w:p>
    <w:p w14:paraId="7F2CD835" w14:textId="77777777" w:rsidR="00032762" w:rsidRPr="008743BE" w:rsidRDefault="00032762" w:rsidP="002C6F0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2"/>
          <w:szCs w:val="32"/>
          <w:lang w:eastAsia="pt-BR"/>
        </w:rPr>
      </w:pPr>
    </w:p>
    <w:p w14:paraId="64234667" w14:textId="77777777" w:rsidR="002C6F0A" w:rsidRPr="004F2032" w:rsidRDefault="002C6F0A" w:rsidP="002C6F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1. FINALIDADE E EFEITOS DA MATRIZ</w:t>
      </w:r>
    </w:p>
    <w:p w14:paraId="3850D561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1.1.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A presente MATRIZ DE ALOCAÇÃO DE RISCOS integra o Contrato e estabelece a distribuição objetiva dos riscos decorrentes de eventos supervenientes à contratação entre o CONTRATANTE e a CONTRATADA, caracterizando, quanto a esses eventos, o equilíbrio econômico-financeiro inicial do ajuste.</w:t>
      </w:r>
    </w:p>
    <w:p w14:paraId="1016BCAA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1.2.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Os riscos expressamente atribuídos a uma das partes serão por ela suportados, inclusive quanto aos ônus financeiros decorrentes de sua materialização, não constituindo fundamento para pedido de restabelecimento do equilíbrio econômico-financeiro pela parte que os tenha assumido, ressalvadas as hipóteses legalmente previstas.</w:t>
      </w:r>
    </w:p>
    <w:p w14:paraId="535071BD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1.3.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A ocorrência de evento alocado ao CONTRATANTE somente produzirá efeitos sobre prazo ou valor quando demonstrados, de forma objetiva, o evento, seu nexo causal com a execução contratual e a efetiva repercussão sobre os encargos originalmente assumidos pela CONTRATADA.</w:t>
      </w:r>
    </w:p>
    <w:p w14:paraId="50285167" w14:textId="77777777" w:rsidR="002C6F0A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1.4.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Eventual alteração dos valores contratuais observará exclusivamente as hipóteses admitidas pelo art. 133 da Lei nº 14.133/2021.</w:t>
      </w:r>
    </w:p>
    <w:p w14:paraId="2326EB88" w14:textId="77777777" w:rsidR="008743BE" w:rsidRDefault="008743BE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2275251" w14:textId="77777777" w:rsidR="008743BE" w:rsidRPr="004F2032" w:rsidRDefault="008743BE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5C7ABEB" w14:textId="77777777" w:rsidR="002C6F0A" w:rsidRPr="004F2032" w:rsidRDefault="002C6F0A" w:rsidP="002C6F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7"/>
          <w:szCs w:val="27"/>
          <w:lang w:eastAsia="pt-BR"/>
        </w:rPr>
        <w:lastRenderedPageBreak/>
        <w:t>2. QUADRO DE ALOCAÇÃO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9"/>
        <w:gridCol w:w="2977"/>
        <w:gridCol w:w="1843"/>
        <w:gridCol w:w="1843"/>
        <w:gridCol w:w="2409"/>
        <w:gridCol w:w="1701"/>
        <w:gridCol w:w="2092"/>
      </w:tblGrid>
      <w:tr w:rsidR="002C6F0A" w:rsidRPr="004F2032" w14:paraId="7E968408" w14:textId="77777777" w:rsidTr="00DC16B4">
        <w:trPr>
          <w:tblHeader/>
          <w:tblCellSpacing w:w="15" w:type="dxa"/>
        </w:trPr>
        <w:tc>
          <w:tcPr>
            <w:tcW w:w="1084" w:type="dxa"/>
            <w:vAlign w:val="center"/>
            <w:hideMark/>
          </w:tcPr>
          <w:p w14:paraId="481B257F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ID</w:t>
            </w:r>
          </w:p>
        </w:tc>
        <w:tc>
          <w:tcPr>
            <w:tcW w:w="2947" w:type="dxa"/>
            <w:vAlign w:val="center"/>
            <w:hideMark/>
          </w:tcPr>
          <w:p w14:paraId="547A4BC8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Evento superveniente / fato gerador</w:t>
            </w:r>
          </w:p>
        </w:tc>
        <w:tc>
          <w:tcPr>
            <w:tcW w:w="1813" w:type="dxa"/>
            <w:vAlign w:val="center"/>
            <w:hideMark/>
          </w:tcPr>
          <w:p w14:paraId="72BA1EE8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Alocação</w:t>
            </w:r>
          </w:p>
        </w:tc>
        <w:tc>
          <w:tcPr>
            <w:tcW w:w="1813" w:type="dxa"/>
            <w:vAlign w:val="center"/>
            <w:hideMark/>
          </w:tcPr>
          <w:p w14:paraId="69408FA8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Consequências contratuais</w:t>
            </w:r>
          </w:p>
        </w:tc>
        <w:tc>
          <w:tcPr>
            <w:tcW w:w="2379" w:type="dxa"/>
            <w:vAlign w:val="center"/>
            <w:hideMark/>
          </w:tcPr>
          <w:p w14:paraId="6CD41717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Efeito sobre preço / equilíbrio econômico-financeiro</w:t>
            </w:r>
          </w:p>
        </w:tc>
        <w:tc>
          <w:tcPr>
            <w:tcW w:w="1671" w:type="dxa"/>
            <w:vAlign w:val="center"/>
            <w:hideMark/>
          </w:tcPr>
          <w:p w14:paraId="1F86BF40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Efeito sobre prazo</w:t>
            </w:r>
          </w:p>
        </w:tc>
        <w:tc>
          <w:tcPr>
            <w:tcW w:w="2047" w:type="dxa"/>
            <w:vAlign w:val="center"/>
            <w:hideMark/>
          </w:tcPr>
          <w:p w14:paraId="0F63B15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Tratamento</w:t>
            </w:r>
          </w:p>
        </w:tc>
      </w:tr>
      <w:tr w:rsidR="002C6F0A" w:rsidRPr="004F2032" w14:paraId="0A1FF261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6F5420A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MR-01</w:t>
            </w:r>
          </w:p>
        </w:tc>
        <w:tc>
          <w:tcPr>
            <w:tcW w:w="2947" w:type="dxa"/>
            <w:vAlign w:val="center"/>
            <w:hideMark/>
          </w:tcPr>
          <w:p w14:paraId="0975FA0B" w14:textId="1DB368FC" w:rsidR="002C6F0A" w:rsidRPr="004F2032" w:rsidRDefault="004F2032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Impossibilidade de início da obra, após a emissão da Ordem de Serviço, por restrições da Contratante (liberação do local de implantação, necessidade de execução prévia de outro serviço, interferências com outras atividades </w:t>
            </w:r>
            <w:proofErr w:type="spellStart"/>
            <w:r w:rsidRPr="004F2032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etc</w:t>
            </w:r>
            <w:proofErr w:type="spellEnd"/>
            <w:r w:rsidRPr="004F2032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1813" w:type="dxa"/>
            <w:vAlign w:val="center"/>
            <w:hideMark/>
          </w:tcPr>
          <w:p w14:paraId="0E063B36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CONTRATANTE</w:t>
            </w:r>
          </w:p>
        </w:tc>
        <w:tc>
          <w:tcPr>
            <w:tcW w:w="1813" w:type="dxa"/>
            <w:vAlign w:val="center"/>
            <w:hideMark/>
          </w:tcPr>
          <w:p w14:paraId="201A3779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Paralisação ou postergação da etapa afetada</w:t>
            </w:r>
          </w:p>
        </w:tc>
        <w:tc>
          <w:tcPr>
            <w:tcW w:w="2379" w:type="dxa"/>
            <w:vAlign w:val="center"/>
            <w:hideMark/>
          </w:tcPr>
          <w:p w14:paraId="28CEE0EB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Poderá ensejar recomposição exclusivamente quanto aos custos adicionais efetivamente comprovados e juridicamente admitidos</w:t>
            </w:r>
          </w:p>
        </w:tc>
        <w:tc>
          <w:tcPr>
            <w:tcW w:w="1671" w:type="dxa"/>
            <w:vAlign w:val="center"/>
            <w:hideMark/>
          </w:tcPr>
          <w:p w14:paraId="2397678C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Poderá ensejar reprogramação ou prorrogação pelo período efetivamente afetado</w:t>
            </w:r>
          </w:p>
        </w:tc>
        <w:tc>
          <w:tcPr>
            <w:tcW w:w="2047" w:type="dxa"/>
            <w:vAlign w:val="center"/>
            <w:hideMark/>
          </w:tcPr>
          <w:p w14:paraId="026C26F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Registrar ocorrência, suspender/reprogramar a etapa e instruir eventual alteração contratual</w:t>
            </w:r>
          </w:p>
        </w:tc>
      </w:tr>
      <w:tr w:rsidR="002C6F0A" w:rsidRPr="004F2032" w14:paraId="72BB1483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06A23781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MR-02</w:t>
            </w:r>
          </w:p>
        </w:tc>
        <w:tc>
          <w:tcPr>
            <w:tcW w:w="2947" w:type="dxa"/>
            <w:vAlign w:val="center"/>
            <w:hideMark/>
          </w:tcPr>
          <w:p w14:paraId="1838062E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Alteração de parâmetros, requisitos ou especificações do anteprojeto determinada pelo CONTRATANTE após a contratação, por necessidade superveniente de interesse público</w:t>
            </w:r>
          </w:p>
        </w:tc>
        <w:tc>
          <w:tcPr>
            <w:tcW w:w="1813" w:type="dxa"/>
            <w:vAlign w:val="center"/>
            <w:hideMark/>
          </w:tcPr>
          <w:p w14:paraId="3851D161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CONTRATANTE</w:t>
            </w:r>
          </w:p>
        </w:tc>
        <w:tc>
          <w:tcPr>
            <w:tcW w:w="1813" w:type="dxa"/>
            <w:vAlign w:val="center"/>
            <w:hideMark/>
          </w:tcPr>
          <w:p w14:paraId="35DA51CD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Modificação do escopo ou das condições inicialmente consideradas</w:t>
            </w:r>
          </w:p>
        </w:tc>
        <w:tc>
          <w:tcPr>
            <w:tcW w:w="2379" w:type="dxa"/>
            <w:vAlign w:val="center"/>
            <w:hideMark/>
          </w:tcPr>
          <w:p w14:paraId="1380FDF7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Poderá ensejar alteração de valor quando presentes os requisitos do art. 133 da Lei nº 14.133/2021 e demonstrada repercussão econômica</w:t>
            </w:r>
          </w:p>
        </w:tc>
        <w:tc>
          <w:tcPr>
            <w:tcW w:w="1671" w:type="dxa"/>
            <w:vAlign w:val="center"/>
            <w:hideMark/>
          </w:tcPr>
          <w:p w14:paraId="569BB410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Poderá ensejar adequação do cronograma</w:t>
            </w:r>
          </w:p>
        </w:tc>
        <w:tc>
          <w:tcPr>
            <w:tcW w:w="2047" w:type="dxa"/>
            <w:vAlign w:val="center"/>
            <w:hideMark/>
          </w:tcPr>
          <w:p w14:paraId="2E57A0A8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Prévia avaliação técnica, motivação e formalização cabível</w:t>
            </w:r>
          </w:p>
        </w:tc>
      </w:tr>
      <w:tr w:rsidR="002C6F0A" w:rsidRPr="004F2032" w14:paraId="2D3E325C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0E0ECA5F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MR-03</w:t>
            </w:r>
          </w:p>
        </w:tc>
        <w:tc>
          <w:tcPr>
            <w:tcW w:w="2947" w:type="dxa"/>
            <w:vAlign w:val="center"/>
            <w:hideMark/>
          </w:tcPr>
          <w:p w14:paraId="68765DD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Erros, omissões, incompatibilidades, insuficiências de quantitativos ou inadequações decorrentes dos projetos básico e executivo elaborados pela CONTRATADA</w:t>
            </w:r>
          </w:p>
        </w:tc>
        <w:tc>
          <w:tcPr>
            <w:tcW w:w="1813" w:type="dxa"/>
            <w:vAlign w:val="center"/>
            <w:hideMark/>
          </w:tcPr>
          <w:p w14:paraId="1FFA5427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1813" w:type="dxa"/>
            <w:vAlign w:val="center"/>
            <w:hideMark/>
          </w:tcPr>
          <w:p w14:paraId="617B103E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Retrabalho, complementação de projetos ou serviços e correção das soluções</w:t>
            </w:r>
          </w:p>
        </w:tc>
        <w:tc>
          <w:tcPr>
            <w:tcW w:w="2379" w:type="dxa"/>
            <w:vAlign w:val="center"/>
            <w:hideMark/>
          </w:tcPr>
          <w:p w14:paraId="492AFD94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Sem direito a acréscimo de valor ou reequilíbrio decorrente do próprio evento</w:t>
            </w:r>
          </w:p>
        </w:tc>
        <w:tc>
          <w:tcPr>
            <w:tcW w:w="1671" w:type="dxa"/>
            <w:vAlign w:val="center"/>
            <w:hideMark/>
          </w:tcPr>
          <w:p w14:paraId="114EF58E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Sem direito a prorrogação quando o atraso for imputável à CONTRATADA</w:t>
            </w:r>
          </w:p>
        </w:tc>
        <w:tc>
          <w:tcPr>
            <w:tcW w:w="2047" w:type="dxa"/>
            <w:vAlign w:val="center"/>
            <w:hideMark/>
          </w:tcPr>
          <w:p w14:paraId="1D2EF37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Correção integral às expensas da CONTRATADA</w:t>
            </w:r>
          </w:p>
        </w:tc>
      </w:tr>
      <w:tr w:rsidR="002C6F0A" w:rsidRPr="004F2032" w14:paraId="2BF85E05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461EB40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MR-04</w:t>
            </w:r>
          </w:p>
        </w:tc>
        <w:tc>
          <w:tcPr>
            <w:tcW w:w="2947" w:type="dxa"/>
            <w:vAlign w:val="center"/>
            <w:hideMark/>
          </w:tcPr>
          <w:p w14:paraId="22ECA099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Projeto básico ou executivo elaborado pela CONTRATADA em desconformidade com o </w:t>
            </w: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anteprojeto, TR, edital, normas técnicas ou requisitos mínimos de desempenho</w:t>
            </w:r>
          </w:p>
        </w:tc>
        <w:tc>
          <w:tcPr>
            <w:tcW w:w="1813" w:type="dxa"/>
            <w:vAlign w:val="center"/>
            <w:hideMark/>
          </w:tcPr>
          <w:p w14:paraId="6AD9C85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CONTRATADA</w:t>
            </w:r>
          </w:p>
        </w:tc>
        <w:tc>
          <w:tcPr>
            <w:tcW w:w="1813" w:type="dxa"/>
            <w:vAlign w:val="center"/>
            <w:hideMark/>
          </w:tcPr>
          <w:p w14:paraId="3FE70194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Reprovação do projeto e impossibilidade de </w:t>
            </w: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avanço da etapa correspondente</w:t>
            </w:r>
          </w:p>
        </w:tc>
        <w:tc>
          <w:tcPr>
            <w:tcW w:w="2379" w:type="dxa"/>
            <w:vAlign w:val="center"/>
            <w:hideMark/>
          </w:tcPr>
          <w:p w14:paraId="1C34541F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Sem repercussão financeira em favor da CONTRATADA</w:t>
            </w:r>
          </w:p>
        </w:tc>
        <w:tc>
          <w:tcPr>
            <w:tcW w:w="1671" w:type="dxa"/>
            <w:vAlign w:val="center"/>
            <w:hideMark/>
          </w:tcPr>
          <w:p w14:paraId="1E8BFC6F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Sem prorrogação por atraso que lhe seja imputável</w:t>
            </w:r>
          </w:p>
        </w:tc>
        <w:tc>
          <w:tcPr>
            <w:tcW w:w="2047" w:type="dxa"/>
            <w:vAlign w:val="center"/>
            <w:hideMark/>
          </w:tcPr>
          <w:p w14:paraId="7B5FF9A0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Correção e reapresentação do projeto</w:t>
            </w:r>
          </w:p>
        </w:tc>
      </w:tr>
      <w:tr w:rsidR="002C6F0A" w:rsidRPr="004F2032" w14:paraId="05615D74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723BB90F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MR-05</w:t>
            </w:r>
          </w:p>
        </w:tc>
        <w:tc>
          <w:tcPr>
            <w:tcW w:w="2947" w:type="dxa"/>
            <w:vAlign w:val="center"/>
            <w:hideMark/>
          </w:tcPr>
          <w:p w14:paraId="78376D15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Incompatibilidade entre projetos arquitetônico, estrutural, drenagem e demais projetos complementares elaborados ou desenvolvidos pela CONTRATADA</w:t>
            </w:r>
          </w:p>
        </w:tc>
        <w:tc>
          <w:tcPr>
            <w:tcW w:w="1813" w:type="dxa"/>
            <w:vAlign w:val="center"/>
            <w:hideMark/>
          </w:tcPr>
          <w:p w14:paraId="0160A98E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1813" w:type="dxa"/>
            <w:vAlign w:val="center"/>
            <w:hideMark/>
          </w:tcPr>
          <w:p w14:paraId="745567D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Retrabalho e necessidade de compatibilização</w:t>
            </w:r>
          </w:p>
        </w:tc>
        <w:tc>
          <w:tcPr>
            <w:tcW w:w="2379" w:type="dxa"/>
            <w:vAlign w:val="center"/>
            <w:hideMark/>
          </w:tcPr>
          <w:p w14:paraId="0B7E0A0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Custos suportados pela CONTRATADA</w:t>
            </w:r>
          </w:p>
        </w:tc>
        <w:tc>
          <w:tcPr>
            <w:tcW w:w="1671" w:type="dxa"/>
            <w:vAlign w:val="center"/>
            <w:hideMark/>
          </w:tcPr>
          <w:p w14:paraId="7D53D99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Atrasos imputáveis à CONTRATADA não ensejam prorrogação</w:t>
            </w:r>
          </w:p>
        </w:tc>
        <w:tc>
          <w:tcPr>
            <w:tcW w:w="2047" w:type="dxa"/>
            <w:vAlign w:val="center"/>
            <w:hideMark/>
          </w:tcPr>
          <w:p w14:paraId="14CFDD16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Compatibilização integral antes da liberação da etapa</w:t>
            </w:r>
          </w:p>
        </w:tc>
      </w:tr>
      <w:tr w:rsidR="002C6F0A" w:rsidRPr="004F2032" w14:paraId="25DA9F76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034AD10F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MR-06</w:t>
            </w:r>
          </w:p>
        </w:tc>
        <w:tc>
          <w:tcPr>
            <w:tcW w:w="2947" w:type="dxa"/>
            <w:vAlign w:val="center"/>
            <w:hideMark/>
          </w:tcPr>
          <w:p w14:paraId="6842DC7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Falha na execução, cura, acabamento, dimensionamento ou concretagem decorrente da solução ou dos serviços executados pela CONTRATADA</w:t>
            </w:r>
          </w:p>
        </w:tc>
        <w:tc>
          <w:tcPr>
            <w:tcW w:w="1813" w:type="dxa"/>
            <w:vAlign w:val="center"/>
            <w:hideMark/>
          </w:tcPr>
          <w:p w14:paraId="68111EB8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1813" w:type="dxa"/>
            <w:vAlign w:val="center"/>
            <w:hideMark/>
          </w:tcPr>
          <w:p w14:paraId="73D466FC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Patologias, fissuração ou perda de funcionalidade</w:t>
            </w:r>
          </w:p>
        </w:tc>
        <w:tc>
          <w:tcPr>
            <w:tcW w:w="2379" w:type="dxa"/>
            <w:vAlign w:val="center"/>
            <w:hideMark/>
          </w:tcPr>
          <w:p w14:paraId="367FD23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Correção integral às expensas da CONTRATADA</w:t>
            </w:r>
          </w:p>
        </w:tc>
        <w:tc>
          <w:tcPr>
            <w:tcW w:w="1671" w:type="dxa"/>
            <w:vAlign w:val="center"/>
            <w:hideMark/>
          </w:tcPr>
          <w:p w14:paraId="60AFC3B8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Sem prorrogação por atraso imputável à CONTRATADA</w:t>
            </w:r>
          </w:p>
        </w:tc>
        <w:tc>
          <w:tcPr>
            <w:tcW w:w="2047" w:type="dxa"/>
            <w:vAlign w:val="center"/>
            <w:hideMark/>
          </w:tcPr>
          <w:p w14:paraId="51F457D6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Refazimento/correção, sem recebimento da etapa enquanto persistir a desconformidade</w:t>
            </w:r>
          </w:p>
        </w:tc>
      </w:tr>
      <w:tr w:rsidR="002C6F0A" w:rsidRPr="004F2032" w14:paraId="0E9A7537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4F2428DD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MR-07</w:t>
            </w:r>
          </w:p>
        </w:tc>
        <w:tc>
          <w:tcPr>
            <w:tcW w:w="2947" w:type="dxa"/>
            <w:vAlign w:val="center"/>
            <w:hideMark/>
          </w:tcPr>
          <w:p w14:paraId="39408C90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Execução inadequada de coping, cantoneiras, guarda-corpos e demais elementos incorporados à pista</w:t>
            </w:r>
          </w:p>
        </w:tc>
        <w:tc>
          <w:tcPr>
            <w:tcW w:w="1813" w:type="dxa"/>
            <w:vAlign w:val="center"/>
            <w:hideMark/>
          </w:tcPr>
          <w:p w14:paraId="7C5D47D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1813" w:type="dxa"/>
            <w:vAlign w:val="center"/>
            <w:hideMark/>
          </w:tcPr>
          <w:p w14:paraId="21996FD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Comprometimento da segurança ou funcionalidade</w:t>
            </w:r>
          </w:p>
        </w:tc>
        <w:tc>
          <w:tcPr>
            <w:tcW w:w="2379" w:type="dxa"/>
            <w:vAlign w:val="center"/>
            <w:hideMark/>
          </w:tcPr>
          <w:p w14:paraId="1664BDF6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Correção integral às expensas da CONTRATADA</w:t>
            </w:r>
          </w:p>
        </w:tc>
        <w:tc>
          <w:tcPr>
            <w:tcW w:w="1671" w:type="dxa"/>
            <w:vAlign w:val="center"/>
            <w:hideMark/>
          </w:tcPr>
          <w:p w14:paraId="31D84FF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Sem prorrogação por atraso imputável à CONTRATADA</w:t>
            </w:r>
          </w:p>
        </w:tc>
        <w:tc>
          <w:tcPr>
            <w:tcW w:w="2047" w:type="dxa"/>
            <w:vAlign w:val="center"/>
            <w:hideMark/>
          </w:tcPr>
          <w:p w14:paraId="527FDEFD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Refazimento e adequação</w:t>
            </w:r>
          </w:p>
        </w:tc>
      </w:tr>
      <w:tr w:rsidR="002C6F0A" w:rsidRPr="004F2032" w14:paraId="79A69D3D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568F88A2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MR-08</w:t>
            </w:r>
          </w:p>
        </w:tc>
        <w:tc>
          <w:tcPr>
            <w:tcW w:w="2947" w:type="dxa"/>
            <w:vAlign w:val="center"/>
            <w:hideMark/>
          </w:tcPr>
          <w:p w14:paraId="5B799DE5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Soluções geométricas inadequadas nos projetos desenvolvidos pela CONTRATADA, inclusive transições, raios, inclinações, banks, quarter pipes, bowl ou drenagem superficial</w:t>
            </w:r>
          </w:p>
        </w:tc>
        <w:tc>
          <w:tcPr>
            <w:tcW w:w="1813" w:type="dxa"/>
            <w:vAlign w:val="center"/>
            <w:hideMark/>
          </w:tcPr>
          <w:p w14:paraId="63AB3B5F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1813" w:type="dxa"/>
            <w:vAlign w:val="center"/>
            <w:hideMark/>
          </w:tcPr>
          <w:p w14:paraId="3B119BE8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Comprometimento da segurança, funcionalidade ou drenagem da pista</w:t>
            </w:r>
          </w:p>
        </w:tc>
        <w:tc>
          <w:tcPr>
            <w:tcW w:w="2379" w:type="dxa"/>
            <w:vAlign w:val="center"/>
            <w:hideMark/>
          </w:tcPr>
          <w:p w14:paraId="2D96D871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Custos de revisão e correção suportados pela CONTRATADA</w:t>
            </w:r>
          </w:p>
        </w:tc>
        <w:tc>
          <w:tcPr>
            <w:tcW w:w="1671" w:type="dxa"/>
            <w:vAlign w:val="center"/>
            <w:hideMark/>
          </w:tcPr>
          <w:p w14:paraId="0EFA33A1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Sem prorrogação por atraso imputável à CONTRATADA</w:t>
            </w:r>
          </w:p>
        </w:tc>
        <w:tc>
          <w:tcPr>
            <w:tcW w:w="2047" w:type="dxa"/>
            <w:vAlign w:val="center"/>
            <w:hideMark/>
          </w:tcPr>
          <w:p w14:paraId="2F9B7364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Revisão dos projetos e correção das soluções nos limites de inovação permitidos</w:t>
            </w:r>
          </w:p>
        </w:tc>
      </w:tr>
      <w:tr w:rsidR="002C6F0A" w:rsidRPr="004F2032" w14:paraId="7420DA9F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07EB2C2B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MR-09</w:t>
            </w:r>
          </w:p>
        </w:tc>
        <w:tc>
          <w:tcPr>
            <w:tcW w:w="2947" w:type="dxa"/>
            <w:vAlign w:val="center"/>
            <w:hideMark/>
          </w:tcPr>
          <w:p w14:paraId="640A1C99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Acidente de trabalho decorrente do descumprimento de normas de segurança, falha de organização do canteiro ou conduta da CONTRATADA</w:t>
            </w:r>
          </w:p>
        </w:tc>
        <w:tc>
          <w:tcPr>
            <w:tcW w:w="1813" w:type="dxa"/>
            <w:vAlign w:val="center"/>
            <w:hideMark/>
          </w:tcPr>
          <w:p w14:paraId="72F8158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1813" w:type="dxa"/>
            <w:vAlign w:val="center"/>
            <w:hideMark/>
          </w:tcPr>
          <w:p w14:paraId="325E2D10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Danos pessoais, paralisações e responsabilidades correspondentes</w:t>
            </w:r>
          </w:p>
        </w:tc>
        <w:tc>
          <w:tcPr>
            <w:tcW w:w="2379" w:type="dxa"/>
            <w:vAlign w:val="center"/>
            <w:hideMark/>
          </w:tcPr>
          <w:p w14:paraId="61F39CFF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Ônus suportados pela CONTRATADA, sem prejuízo das responsabilidades legais aplicáveis</w:t>
            </w:r>
          </w:p>
        </w:tc>
        <w:tc>
          <w:tcPr>
            <w:tcW w:w="1671" w:type="dxa"/>
            <w:vAlign w:val="center"/>
            <w:hideMark/>
          </w:tcPr>
          <w:p w14:paraId="59DAC8D6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gera prorrogação em favor da CONTRATADA quando decorrente de fato a ela imputável</w:t>
            </w:r>
          </w:p>
        </w:tc>
        <w:tc>
          <w:tcPr>
            <w:tcW w:w="2047" w:type="dxa"/>
            <w:vAlign w:val="center"/>
            <w:hideMark/>
          </w:tcPr>
          <w:p w14:paraId="3957B0A7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Cumprimento das NRs, CAT, medidas corretivas e demais providências legais</w:t>
            </w:r>
          </w:p>
        </w:tc>
      </w:tr>
      <w:tr w:rsidR="002C6F0A" w:rsidRPr="004F2032" w14:paraId="392BD53F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2B6FEB71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MR-10</w:t>
            </w:r>
          </w:p>
        </w:tc>
        <w:tc>
          <w:tcPr>
            <w:tcW w:w="2947" w:type="dxa"/>
            <w:vAlign w:val="center"/>
            <w:hideMark/>
          </w:tcPr>
          <w:p w14:paraId="7FA81441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Atraso do CONTRATANTE, além do prazo contratualmente definido, na análise ou aprovação dos projetos regularmente apresentados pela CONTRATADA</w:t>
            </w:r>
          </w:p>
        </w:tc>
        <w:tc>
          <w:tcPr>
            <w:tcW w:w="1813" w:type="dxa"/>
            <w:vAlign w:val="center"/>
            <w:hideMark/>
          </w:tcPr>
          <w:p w14:paraId="6E1E0961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CONTRATANTE</w:t>
            </w:r>
          </w:p>
        </w:tc>
        <w:tc>
          <w:tcPr>
            <w:tcW w:w="1813" w:type="dxa"/>
            <w:vAlign w:val="center"/>
            <w:hideMark/>
          </w:tcPr>
          <w:p w14:paraId="115AD38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Postergação do início ou da continuidade das etapas dependentes da aprovação</w:t>
            </w:r>
          </w:p>
        </w:tc>
        <w:tc>
          <w:tcPr>
            <w:tcW w:w="2379" w:type="dxa"/>
            <w:vAlign w:val="center"/>
            <w:hideMark/>
          </w:tcPr>
          <w:p w14:paraId="64720E00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Eventual efeito econômico dependerá de comprovação concreta de prejuízo e enquadramento legal</w:t>
            </w:r>
          </w:p>
        </w:tc>
        <w:tc>
          <w:tcPr>
            <w:tcW w:w="1671" w:type="dxa"/>
            <w:vAlign w:val="center"/>
            <w:hideMark/>
          </w:tcPr>
          <w:p w14:paraId="06901109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Reprogramação/prorrogação pelo período de efetivo impacto imputável ao CONTRATANTE</w:t>
            </w:r>
          </w:p>
        </w:tc>
        <w:tc>
          <w:tcPr>
            <w:tcW w:w="2047" w:type="dxa"/>
            <w:vAlign w:val="center"/>
            <w:hideMark/>
          </w:tcPr>
          <w:p w14:paraId="5FEA437C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Registro das datas de apresentação e aprovação e ajuste do cronograma</w:t>
            </w:r>
          </w:p>
        </w:tc>
      </w:tr>
      <w:tr w:rsidR="002C6F0A" w:rsidRPr="004F2032" w14:paraId="23799C1D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61A0ACA0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MR-11</w:t>
            </w:r>
          </w:p>
        </w:tc>
        <w:tc>
          <w:tcPr>
            <w:tcW w:w="2947" w:type="dxa"/>
            <w:vAlign w:val="center"/>
            <w:hideMark/>
          </w:tcPr>
          <w:p w14:paraId="6C0B4EB0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Condições climáticas ordinárias e previsíveis segundo a série histórica adotada para o empreendimento</w:t>
            </w:r>
          </w:p>
        </w:tc>
        <w:tc>
          <w:tcPr>
            <w:tcW w:w="1813" w:type="dxa"/>
            <w:vAlign w:val="center"/>
            <w:hideMark/>
          </w:tcPr>
          <w:p w14:paraId="08D6AA9B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CONTRATADA</w:t>
            </w:r>
          </w:p>
        </w:tc>
        <w:tc>
          <w:tcPr>
            <w:tcW w:w="1813" w:type="dxa"/>
            <w:vAlign w:val="center"/>
            <w:hideMark/>
          </w:tcPr>
          <w:p w14:paraId="2E5BA8BE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Possíveis interrupções ordinárias de serviços externos</w:t>
            </w:r>
          </w:p>
        </w:tc>
        <w:tc>
          <w:tcPr>
            <w:tcW w:w="2379" w:type="dxa"/>
            <w:vAlign w:val="center"/>
            <w:hideMark/>
          </w:tcPr>
          <w:p w14:paraId="0D654FD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Sem direito a reequilíbrio</w:t>
            </w:r>
          </w:p>
        </w:tc>
        <w:tc>
          <w:tcPr>
            <w:tcW w:w="1671" w:type="dxa"/>
            <w:vAlign w:val="center"/>
            <w:hideMark/>
          </w:tcPr>
          <w:p w14:paraId="02B514F9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Absorvidas no planejamento ordinário da execução</w:t>
            </w:r>
          </w:p>
        </w:tc>
        <w:tc>
          <w:tcPr>
            <w:tcW w:w="2047" w:type="dxa"/>
            <w:vAlign w:val="center"/>
            <w:hideMark/>
          </w:tcPr>
          <w:p w14:paraId="77F23F76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Consideração no planejamento e cronograma da proposta</w:t>
            </w:r>
          </w:p>
        </w:tc>
      </w:tr>
      <w:tr w:rsidR="002C6F0A" w:rsidRPr="004F2032" w14:paraId="7FF1A84B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0B66D3E3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MR-12</w:t>
            </w:r>
          </w:p>
        </w:tc>
        <w:tc>
          <w:tcPr>
            <w:tcW w:w="2947" w:type="dxa"/>
            <w:vAlign w:val="center"/>
            <w:hideMark/>
          </w:tcPr>
          <w:p w14:paraId="02DB6CA8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Evento climático extraordinário que ultrapasse objetivamente os parâmetros históricos definidos pela área técnica e seja apto a caracterizar caso fortuito ou força maior</w:t>
            </w:r>
          </w:p>
        </w:tc>
        <w:tc>
          <w:tcPr>
            <w:tcW w:w="1813" w:type="dxa"/>
            <w:vAlign w:val="center"/>
            <w:hideMark/>
          </w:tcPr>
          <w:p w14:paraId="36E41D8F" w14:textId="09F16D73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TRATAMENTO ESPECÍFICO / </w:t>
            </w:r>
            <w:r w:rsidR="00233D69"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COMPARTILHADO conforme</w:t>
            </w: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critério técnico</w:t>
            </w:r>
          </w:p>
        </w:tc>
        <w:tc>
          <w:tcPr>
            <w:tcW w:w="1813" w:type="dxa"/>
            <w:vAlign w:val="center"/>
            <w:hideMark/>
          </w:tcPr>
          <w:p w14:paraId="684EB717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Impossibilidade ou grave comprometimento temporário da execução</w:t>
            </w:r>
          </w:p>
        </w:tc>
        <w:tc>
          <w:tcPr>
            <w:tcW w:w="2379" w:type="dxa"/>
            <w:vAlign w:val="center"/>
            <w:hideMark/>
          </w:tcPr>
          <w:p w14:paraId="2ED2CA6B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Eventual recomposição na forma do art. 133, I, mediante comprovação dos efeitos</w:t>
            </w:r>
          </w:p>
        </w:tc>
        <w:tc>
          <w:tcPr>
            <w:tcW w:w="1671" w:type="dxa"/>
            <w:vAlign w:val="center"/>
            <w:hideMark/>
          </w:tcPr>
          <w:p w14:paraId="67AC3546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Poderá ensejar prorrogação pelo período comprovadamente afetado</w:t>
            </w:r>
          </w:p>
        </w:tc>
        <w:tc>
          <w:tcPr>
            <w:tcW w:w="2047" w:type="dxa"/>
            <w:vAlign w:val="center"/>
            <w:hideMark/>
          </w:tcPr>
          <w:p w14:paraId="5484A66E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Comprovação mediante dados da estação/órgão meteorológico e critérios definidos no edital</w:t>
            </w:r>
          </w:p>
        </w:tc>
      </w:tr>
      <w:tr w:rsidR="002C6F0A" w:rsidRPr="004F2032" w14:paraId="3F435BDE" w14:textId="77777777" w:rsidTr="00233D69">
        <w:trPr>
          <w:tblCellSpacing w:w="15" w:type="dxa"/>
        </w:trPr>
        <w:tc>
          <w:tcPr>
            <w:tcW w:w="1084" w:type="dxa"/>
            <w:vAlign w:val="center"/>
            <w:hideMark/>
          </w:tcPr>
          <w:p w14:paraId="74D23962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MR-13</w:t>
            </w:r>
          </w:p>
        </w:tc>
        <w:tc>
          <w:tcPr>
            <w:tcW w:w="2947" w:type="dxa"/>
            <w:vAlign w:val="center"/>
            <w:hideMark/>
          </w:tcPr>
          <w:p w14:paraId="3FF0536C" w14:textId="671908F1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Falha ou omissão relevante em informação, levantamento ou elemento do anteprojeto de responsabilidade do CONTRATANTE, desde que não relacionada à solução de projeto escolhida pela CONTRATADA e não razoavelmente identificável durante a elaboração da proposta</w:t>
            </w:r>
            <w:r w:rsidR="005B70D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813" w:type="dxa"/>
            <w:vAlign w:val="center"/>
            <w:hideMark/>
          </w:tcPr>
          <w:p w14:paraId="01BD2297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CONTRATANTE, mediante validação técnica</w:t>
            </w:r>
          </w:p>
        </w:tc>
        <w:tc>
          <w:tcPr>
            <w:tcW w:w="1813" w:type="dxa"/>
            <w:vAlign w:val="center"/>
            <w:hideMark/>
          </w:tcPr>
          <w:p w14:paraId="4FE4B1D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Necessidade de adequação do projeto ou da execução</w:t>
            </w:r>
          </w:p>
        </w:tc>
        <w:tc>
          <w:tcPr>
            <w:tcW w:w="2379" w:type="dxa"/>
            <w:vAlign w:val="center"/>
            <w:hideMark/>
          </w:tcPr>
          <w:p w14:paraId="1387DE7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Eventual repercussão dependerá da demonstração do evento, do nexo causal e do enquadramento no art. 133</w:t>
            </w:r>
          </w:p>
        </w:tc>
        <w:tc>
          <w:tcPr>
            <w:tcW w:w="1671" w:type="dxa"/>
            <w:vAlign w:val="center"/>
            <w:hideMark/>
          </w:tcPr>
          <w:p w14:paraId="5E6EB67A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Poderá ensejar ajuste de prazo conforme impacto comprovado</w:t>
            </w:r>
          </w:p>
        </w:tc>
        <w:tc>
          <w:tcPr>
            <w:tcW w:w="2047" w:type="dxa"/>
            <w:vAlign w:val="center"/>
            <w:hideMark/>
          </w:tcPr>
          <w:p w14:paraId="585B3D16" w14:textId="77777777" w:rsidR="002C6F0A" w:rsidRPr="004F2032" w:rsidRDefault="002C6F0A" w:rsidP="00317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F203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Análise técnica e jurídica do caso concreto</w:t>
            </w:r>
          </w:p>
        </w:tc>
      </w:tr>
    </w:tbl>
    <w:p w14:paraId="16283C8D" w14:textId="77777777" w:rsidR="002C6F0A" w:rsidRPr="004F2032" w:rsidRDefault="002C6F0A" w:rsidP="002C6F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3. CONDIÇÕES GEOTÉCNICAS E INTERFERÊNCIAS NÃO VISÍVEIS</w:t>
      </w:r>
    </w:p>
    <w:p w14:paraId="20A7AC17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3.1.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A equipe técnica deverá declarar expressamente, antes da publicação do edital, se os levantamentos e informações disponíveis são suficientes para a elaboração das propostas e dos projetos.</w:t>
      </w:r>
    </w:p>
    <w:p w14:paraId="5B81B10A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3.2.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Caso sejam identificados riscos relacionados a condições geotécnicas, redes subterrâneas, interferências físicas ou outras condições não aparentes, deverão ser incluídos nesta matriz com definição objetiva:</w:t>
      </w:r>
    </w:p>
    <w:p w14:paraId="1971BFCD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sz w:val="24"/>
          <w:szCs w:val="24"/>
          <w:lang w:eastAsia="pt-BR"/>
        </w:rPr>
        <w:t>a) do evento caracterizador do risco;</w:t>
      </w:r>
    </w:p>
    <w:p w14:paraId="3BD7D5EB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sz w:val="24"/>
          <w:szCs w:val="24"/>
          <w:lang w:eastAsia="pt-BR"/>
        </w:rPr>
        <w:t>b) dos elementos disponibilizados aos licitantes;</w:t>
      </w:r>
    </w:p>
    <w:p w14:paraId="623665EC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sz w:val="24"/>
          <w:szCs w:val="24"/>
          <w:lang w:eastAsia="pt-BR"/>
        </w:rPr>
        <w:lastRenderedPageBreak/>
        <w:t>c) da parte em melhores condições de gerenciá-lo;</w:t>
      </w:r>
    </w:p>
    <w:p w14:paraId="5BF0E87F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sz w:val="24"/>
          <w:szCs w:val="24"/>
          <w:lang w:eastAsia="pt-BR"/>
        </w:rPr>
        <w:t>d) dos efeitos sobre prazo e preço; e</w:t>
      </w:r>
    </w:p>
    <w:p w14:paraId="44144134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sz w:val="24"/>
          <w:szCs w:val="24"/>
          <w:lang w:eastAsia="pt-BR"/>
        </w:rPr>
        <w:t>e) do procedimento de comprovação de sua ocorrência.</w:t>
      </w:r>
    </w:p>
    <w:p w14:paraId="58164566" w14:textId="77777777" w:rsidR="002C6F0A" w:rsidRPr="004F2032" w:rsidRDefault="002C6F0A" w:rsidP="002C6F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4. LIBERDADE DE INOVAÇÃO E ADERÊNCIA AO ANTEPROJETO</w:t>
      </w:r>
    </w:p>
    <w:p w14:paraId="69714E44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4.1.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A CONTRATADA terá liberdade para desenvolver e otimizar, nos projetos básico e executivo, soluções metodológicas e tecnológicas necessárias ao atingimento dos resultados contratados, desde que respeitados os requisitos de desempenho, funcionalidade, segurança, acessibilidade, durabilidade, dimensões mínimas, normas técnicas e demais parâmetros definidos como vinculantes no anteprojeto, no Termo de Referência e no edital.</w:t>
      </w:r>
    </w:p>
    <w:p w14:paraId="3AD47C57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4.2.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A área técnica deverá identificar, antes da publicação do edital, os elementos do anteprojeto considerados obrigatórios e insuscetíveis de alteração pela CONTRATADA.</w:t>
      </w:r>
    </w:p>
    <w:p w14:paraId="04B2F631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4.3.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Não será considerada inovação admissível a solução que reduza a qualidade, a segurança, a funcionalidade, a vida útil ou qualquer requisito mínimo do empreendimento.</w:t>
      </w:r>
    </w:p>
    <w:p w14:paraId="609B6E72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4.4.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A aprovação dos projetos pelo CONTRATANTE não exclui nem reduz a responsabilidade da CONTRATADA pelos erros, omissões, incompatibilidades ou riscos associados às soluções por ela desenvolvidas.</w:t>
      </w:r>
    </w:p>
    <w:p w14:paraId="45E8F18B" w14:textId="77777777" w:rsidR="002C6F0A" w:rsidRPr="004F2032" w:rsidRDefault="002C6F0A" w:rsidP="002C6F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5. REGRAS PARA RISCOS COMPARTILHADOS</w:t>
      </w:r>
    </w:p>
    <w:p w14:paraId="14872B14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5.1.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A utilização da expressão “risco compartilhado” somente será admitida quando acompanhada de critério objetivo que permita determinar a parcela de responsabilidade de cada parte.</w:t>
      </w:r>
    </w:p>
    <w:p w14:paraId="208C5FFB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5.2.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O compartilhamento poderá ser estabelecido por percentual, limite financeiro, período temporal, faixa de variação, gatilho objetivo ou outro parâmetro tecnicamente justificável, vedada a simples indicação genérica de responsabilidade conjunta.</w:t>
      </w:r>
    </w:p>
    <w:p w14:paraId="444ADF20" w14:textId="77777777" w:rsidR="002C6F0A" w:rsidRPr="004F2032" w:rsidRDefault="002C6F0A" w:rsidP="002C6F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6. COMPATIBILIZAÇÃO COM O ORÇAMENTO</w:t>
      </w:r>
    </w:p>
    <w:p w14:paraId="075E9849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6.1.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Após a consolidação desta matriz, o órgão técnico deverá manifestar-se expressamente sobre os reflexos dos riscos transferidos à CONTRATADA no orçamento estimativo, indicando se há ou não necessidade de parcela específica de remuneração de riscos.</w:t>
      </w:r>
    </w:p>
    <w:p w14:paraId="5304CAD6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6.2.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Eventual parcela de remuneração dos riscos deverá observar a metodologia aplicável e não se confundirá automaticamente com percentual genérico de risco integrante do BDI.</w:t>
      </w:r>
    </w:p>
    <w:p w14:paraId="79E654EC" w14:textId="77777777" w:rsidR="002C6F0A" w:rsidRPr="004F2032" w:rsidRDefault="002C6F0A" w:rsidP="002C6F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7"/>
          <w:szCs w:val="27"/>
          <w:lang w:eastAsia="pt-BR"/>
        </w:rPr>
        <w:t>7. INCORPORAÇÃO CONTRATUAL</w:t>
      </w:r>
    </w:p>
    <w:p w14:paraId="1454D221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7.1.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A presente matriz integra a CLÁUSULA TERCEIRA — MODELOS DE EXECUÇÃO E GESTÃO CONTRATUAIS, ainda que apresentada como anexo.</w:t>
      </w:r>
    </w:p>
    <w:p w14:paraId="150E0126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7.2.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Para fins de sistematização contratual:</w:t>
      </w:r>
    </w:p>
    <w:p w14:paraId="554EDB61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3.1.1. Riscos alocados ao CONTRATANTE: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MR-01, MR-02, MR-10 e MR-13, além daqueles eventualmente acrescidos após validação técnica.</w:t>
      </w:r>
    </w:p>
    <w:p w14:paraId="4D430A81" w14:textId="77777777" w:rsidR="002C6F0A" w:rsidRPr="004F2032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3.1.2. Riscos alocados à CONTRATADA: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MR-03, MR-04, MR-05, MR-06, MR-07, MR-08, MR-09 e MR-11, além daqueles eventualmente acrescidos após validação técnica.</w:t>
      </w:r>
    </w:p>
    <w:p w14:paraId="1FF6D0C8" w14:textId="77777777" w:rsidR="002C6F0A" w:rsidRDefault="002C6F0A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4F203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3.1.3. Riscos compartilhados ou sujeitos a tratamento especial:</w:t>
      </w:r>
      <w:r w:rsidRPr="004F2032">
        <w:rPr>
          <w:rFonts w:ascii="Arial" w:eastAsia="Times New Roman" w:hAnsi="Arial" w:cs="Arial"/>
          <w:sz w:val="24"/>
          <w:szCs w:val="24"/>
          <w:lang w:eastAsia="pt-BR"/>
        </w:rPr>
        <w:t xml:space="preserve"> MR-12 e outros que venham a ser tecnicamente identificados, sempre mediante indicação objetiva da forma de compartilhamento.</w:t>
      </w:r>
    </w:p>
    <w:p w14:paraId="4C5E0529" w14:textId="77777777" w:rsidR="00377084" w:rsidRDefault="00377084" w:rsidP="002C6F0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503F62" w14:textId="2ECEF8E3" w:rsidR="00CE6484" w:rsidRPr="00CE6484" w:rsidRDefault="00CE6484" w:rsidP="00CE6484">
      <w:pPr>
        <w:ind w:hanging="2"/>
        <w:jc w:val="both"/>
        <w:rPr>
          <w:rFonts w:ascii="Arial" w:hAnsi="Arial" w:cs="Arial"/>
          <w:sz w:val="24"/>
          <w:szCs w:val="24"/>
        </w:rPr>
      </w:pPr>
      <w:r w:rsidRPr="00CE6484">
        <w:rPr>
          <w:rFonts w:ascii="Arial" w:hAnsi="Arial" w:cs="Arial"/>
          <w:sz w:val="24"/>
          <w:szCs w:val="24"/>
        </w:rPr>
        <w:t>Marechal Cândido Rondon - PR, em 13 de abril de 2026.</w:t>
      </w:r>
    </w:p>
    <w:p w14:paraId="429C5E0E" w14:textId="4238A2BC" w:rsidR="00CE6484" w:rsidRPr="00CE6484" w:rsidRDefault="00CE6484" w:rsidP="00CE6484">
      <w:pPr>
        <w:ind w:hanging="2"/>
        <w:jc w:val="both"/>
        <w:rPr>
          <w:rFonts w:ascii="Arial" w:hAnsi="Arial" w:cs="Arial"/>
          <w:sz w:val="24"/>
          <w:szCs w:val="24"/>
        </w:rPr>
      </w:pPr>
      <w:r w:rsidRPr="00CE6484">
        <w:rPr>
          <w:rFonts w:ascii="Arial" w:hAnsi="Arial" w:cs="Arial"/>
          <w:sz w:val="24"/>
          <w:szCs w:val="24"/>
        </w:rPr>
        <w:t xml:space="preserve">Revisado em </w:t>
      </w:r>
      <w:r w:rsidR="00A705D5">
        <w:rPr>
          <w:rFonts w:ascii="Arial" w:hAnsi="Arial" w:cs="Arial"/>
          <w:sz w:val="24"/>
          <w:szCs w:val="24"/>
        </w:rPr>
        <w:t>20</w:t>
      </w:r>
      <w:r w:rsidRPr="00CE6484">
        <w:rPr>
          <w:rFonts w:ascii="Arial" w:hAnsi="Arial" w:cs="Arial"/>
          <w:sz w:val="24"/>
          <w:szCs w:val="24"/>
        </w:rPr>
        <w:t xml:space="preserve"> de agosto de 2026.</w:t>
      </w:r>
    </w:p>
    <w:p w14:paraId="3D21EAE4" w14:textId="77777777" w:rsidR="00377084" w:rsidRDefault="00377084" w:rsidP="00A705D5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61B9573" w14:textId="77777777" w:rsidR="00377084" w:rsidRPr="00DB519D" w:rsidRDefault="00377084" w:rsidP="00CE6484">
      <w:pPr>
        <w:ind w:hanging="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BDA7AE1" w14:textId="77777777" w:rsidR="00CE6484" w:rsidRPr="00CE6484" w:rsidRDefault="00CE6484" w:rsidP="00CE6484">
      <w:pPr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6484">
        <w:rPr>
          <w:rFonts w:ascii="Arial" w:hAnsi="Arial" w:cs="Arial"/>
          <w:color w:val="000000" w:themeColor="text1"/>
          <w:sz w:val="24"/>
          <w:szCs w:val="24"/>
        </w:rPr>
        <w:t>__________________________</w:t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  <w:t>___________________________</w:t>
      </w:r>
    </w:p>
    <w:p w14:paraId="57A8C71A" w14:textId="1543257B" w:rsidR="00CE6484" w:rsidRPr="00CE6484" w:rsidRDefault="00CE6484" w:rsidP="00CE6484">
      <w:pPr>
        <w:spacing w:after="0"/>
        <w:ind w:hanging="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>Sandra de Oliveira</w:t>
      </w:r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ab/>
        <w:t xml:space="preserve">           Airton </w:t>
      </w:r>
      <w:proofErr w:type="spellStart"/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>Antonio</w:t>
      </w:r>
      <w:proofErr w:type="spellEnd"/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>Bohnen</w:t>
      </w:r>
      <w:proofErr w:type="spellEnd"/>
    </w:p>
    <w:p w14:paraId="00EB2796" w14:textId="7BC9B194" w:rsidR="00CE6484" w:rsidRPr="00CE6484" w:rsidRDefault="00CE6484" w:rsidP="00CE6484">
      <w:pPr>
        <w:tabs>
          <w:tab w:val="left" w:pos="0"/>
        </w:tabs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6484">
        <w:rPr>
          <w:rFonts w:ascii="Arial" w:hAnsi="Arial" w:cs="Arial"/>
          <w:bCs/>
          <w:color w:val="000000" w:themeColor="text1"/>
          <w:sz w:val="24"/>
          <w:szCs w:val="24"/>
        </w:rPr>
        <w:t>Diretora de Departamento</w:t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proofErr w:type="gramStart"/>
      <w:r w:rsidRPr="00CE6484">
        <w:rPr>
          <w:rFonts w:ascii="Arial" w:hAnsi="Arial" w:cs="Arial"/>
          <w:color w:val="000000" w:themeColor="text1"/>
          <w:sz w:val="24"/>
          <w:szCs w:val="24"/>
        </w:rPr>
        <w:tab/>
        <w:t xml:space="preserve">  </w:t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proofErr w:type="gramEnd"/>
      <w:r w:rsidRPr="00CE6484">
        <w:rPr>
          <w:rFonts w:ascii="Arial" w:hAnsi="Arial" w:cs="Arial"/>
          <w:color w:val="000000" w:themeColor="text1"/>
          <w:sz w:val="24"/>
          <w:szCs w:val="24"/>
        </w:rPr>
        <w:t xml:space="preserve">           Chefe de Setor</w:t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</w:p>
    <w:p w14:paraId="6A8701C5" w14:textId="77777777" w:rsidR="00CE6484" w:rsidRDefault="00CE6484" w:rsidP="00CE6484">
      <w:pPr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EAD1DC"/>
        </w:rPr>
      </w:pPr>
    </w:p>
    <w:p w14:paraId="446C09A2" w14:textId="77777777" w:rsidR="00CE6484" w:rsidRDefault="00CE6484" w:rsidP="00CE6484">
      <w:pPr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EAD1DC"/>
        </w:rPr>
      </w:pPr>
    </w:p>
    <w:p w14:paraId="71B12DA8" w14:textId="77777777" w:rsidR="00CE6484" w:rsidRPr="00CE6484" w:rsidRDefault="00CE6484" w:rsidP="00CE6484">
      <w:pPr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EAD1DC"/>
        </w:rPr>
      </w:pPr>
    </w:p>
    <w:p w14:paraId="585BD0C9" w14:textId="77777777" w:rsidR="00CE6484" w:rsidRPr="00CE6484" w:rsidRDefault="00CE6484" w:rsidP="00CE6484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EAD1DC"/>
        </w:rPr>
      </w:pP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</w:p>
    <w:p w14:paraId="55659047" w14:textId="77777777" w:rsidR="00CE6484" w:rsidRPr="00CE6484" w:rsidRDefault="00CE6484" w:rsidP="00CE6484">
      <w:pPr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E6484">
        <w:rPr>
          <w:rFonts w:ascii="Arial" w:hAnsi="Arial" w:cs="Arial"/>
          <w:color w:val="000000" w:themeColor="text1"/>
          <w:sz w:val="24"/>
          <w:szCs w:val="24"/>
        </w:rPr>
        <w:t>__________________________</w:t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  <w:t>___________________________</w:t>
      </w:r>
    </w:p>
    <w:p w14:paraId="345CC4CB" w14:textId="28591AD4" w:rsidR="00CE6484" w:rsidRPr="00CE6484" w:rsidRDefault="00CE6484" w:rsidP="00CE6484">
      <w:pPr>
        <w:spacing w:after="0"/>
        <w:ind w:hanging="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Carine Graciele </w:t>
      </w:r>
      <w:proofErr w:type="spellStart"/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>Leonhardt</w:t>
      </w:r>
      <w:proofErr w:type="spellEnd"/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                                      </w:t>
      </w:r>
      <w:proofErr w:type="spellStart"/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>Talyta</w:t>
      </w:r>
      <w:proofErr w:type="spellEnd"/>
      <w:r w:rsidRPr="00CE648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De Lara Segundo</w:t>
      </w:r>
    </w:p>
    <w:p w14:paraId="65F660C8" w14:textId="03AE7DAB" w:rsidR="00CE6484" w:rsidRPr="00CE6484" w:rsidRDefault="00CE6484" w:rsidP="00CE6484">
      <w:pPr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EAD1DC"/>
        </w:rPr>
      </w:pPr>
      <w:r w:rsidRPr="00CE6484">
        <w:rPr>
          <w:rFonts w:ascii="Arial" w:hAnsi="Arial" w:cs="Arial"/>
          <w:color w:val="000000" w:themeColor="text1"/>
          <w:sz w:val="24"/>
          <w:szCs w:val="24"/>
        </w:rPr>
        <w:t>Analista Técnico</w:t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  <w:t xml:space="preserve">                                                      </w:t>
      </w:r>
      <w:r w:rsidRPr="00CE6484">
        <w:rPr>
          <w:rFonts w:ascii="Arial" w:hAnsi="Arial" w:cs="Arial"/>
          <w:bCs/>
          <w:color w:val="000000" w:themeColor="text1"/>
          <w:sz w:val="24"/>
          <w:szCs w:val="24"/>
        </w:rPr>
        <w:t>Auxiliar Administrativo</w:t>
      </w:r>
      <w:r w:rsidRPr="00CE6484">
        <w:rPr>
          <w:rFonts w:ascii="Arial" w:hAnsi="Arial" w:cs="Arial"/>
          <w:color w:val="000000" w:themeColor="text1"/>
          <w:sz w:val="24"/>
          <w:szCs w:val="24"/>
        </w:rPr>
        <w:tab/>
      </w:r>
    </w:p>
    <w:p w14:paraId="47762370" w14:textId="77777777" w:rsidR="00CE6484" w:rsidRPr="00CE6484" w:rsidRDefault="00CE6484" w:rsidP="00CE6484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EAD1DC"/>
        </w:rPr>
      </w:pPr>
    </w:p>
    <w:p w14:paraId="5DF1186A" w14:textId="77777777" w:rsidR="00CE6484" w:rsidRDefault="00CE6484" w:rsidP="00CE6484">
      <w:pPr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EAD1DC"/>
        </w:rPr>
      </w:pPr>
    </w:p>
    <w:p w14:paraId="2A74E4A6" w14:textId="77777777" w:rsidR="00CE6484" w:rsidRDefault="00CE6484" w:rsidP="00CE6484">
      <w:pPr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EAD1DC"/>
        </w:rPr>
      </w:pPr>
    </w:p>
    <w:p w14:paraId="4F5B74AA" w14:textId="77777777" w:rsidR="00CE6484" w:rsidRPr="00CE6484" w:rsidRDefault="00CE6484" w:rsidP="00CE6484">
      <w:pPr>
        <w:spacing w:after="0"/>
        <w:ind w:hanging="2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EAD1DC"/>
        </w:rPr>
      </w:pPr>
    </w:p>
    <w:p w14:paraId="0542751A" w14:textId="77777777" w:rsidR="00CE6484" w:rsidRPr="00CE6484" w:rsidRDefault="00CE6484" w:rsidP="00CE6484">
      <w:pPr>
        <w:spacing w:after="0"/>
        <w:jc w:val="both"/>
        <w:rPr>
          <w:rFonts w:ascii="Arial" w:hAnsi="Arial" w:cs="Arial"/>
          <w:sz w:val="24"/>
          <w:szCs w:val="24"/>
        </w:rPr>
      </w:pPr>
      <w:r w:rsidRPr="00CE6484">
        <w:rPr>
          <w:rFonts w:ascii="Arial" w:hAnsi="Arial" w:cs="Arial"/>
          <w:color w:val="000000" w:themeColor="text1"/>
          <w:sz w:val="24"/>
          <w:szCs w:val="24"/>
        </w:rPr>
        <w:t>___________________________</w:t>
      </w:r>
      <w:r w:rsidRPr="00CE6484">
        <w:rPr>
          <w:rFonts w:ascii="Arial" w:hAnsi="Arial" w:cs="Arial"/>
          <w:sz w:val="24"/>
          <w:szCs w:val="24"/>
        </w:rPr>
        <w:tab/>
      </w:r>
      <w:r w:rsidRPr="00CE6484">
        <w:rPr>
          <w:rFonts w:ascii="Arial" w:hAnsi="Arial" w:cs="Arial"/>
          <w:sz w:val="24"/>
          <w:szCs w:val="24"/>
        </w:rPr>
        <w:tab/>
      </w:r>
      <w:r w:rsidRPr="00CE6484">
        <w:rPr>
          <w:rFonts w:ascii="Arial" w:hAnsi="Arial" w:cs="Arial"/>
          <w:sz w:val="24"/>
          <w:szCs w:val="24"/>
        </w:rPr>
        <w:tab/>
      </w:r>
      <w:r w:rsidRPr="00CE6484">
        <w:rPr>
          <w:rFonts w:ascii="Arial" w:hAnsi="Arial" w:cs="Arial"/>
          <w:sz w:val="24"/>
          <w:szCs w:val="24"/>
        </w:rPr>
        <w:tab/>
      </w:r>
    </w:p>
    <w:p w14:paraId="61930AB5" w14:textId="77777777" w:rsidR="00CE6484" w:rsidRPr="00CE6484" w:rsidRDefault="00CE6484" w:rsidP="00CE6484">
      <w:pPr>
        <w:spacing w:after="0"/>
        <w:ind w:hanging="2"/>
        <w:jc w:val="both"/>
        <w:rPr>
          <w:rFonts w:ascii="Arial" w:hAnsi="Arial" w:cs="Arial"/>
          <w:b/>
          <w:sz w:val="24"/>
          <w:szCs w:val="24"/>
        </w:rPr>
      </w:pPr>
      <w:r w:rsidRPr="00CE6484">
        <w:rPr>
          <w:rFonts w:ascii="Arial" w:hAnsi="Arial" w:cs="Arial"/>
          <w:b/>
          <w:sz w:val="24"/>
          <w:szCs w:val="24"/>
        </w:rPr>
        <w:t xml:space="preserve">Daniela Schimelfenig </w:t>
      </w:r>
      <w:proofErr w:type="spellStart"/>
      <w:r w:rsidRPr="00CE6484">
        <w:rPr>
          <w:rFonts w:ascii="Arial" w:hAnsi="Arial" w:cs="Arial"/>
          <w:b/>
          <w:sz w:val="24"/>
          <w:szCs w:val="24"/>
        </w:rPr>
        <w:t>Quiosi</w:t>
      </w:r>
      <w:proofErr w:type="spellEnd"/>
    </w:p>
    <w:p w14:paraId="610EBEA8" w14:textId="77777777" w:rsidR="00CE6484" w:rsidRPr="00CE6484" w:rsidRDefault="00CE6484" w:rsidP="00CE6484">
      <w:pPr>
        <w:spacing w:after="0"/>
        <w:ind w:hanging="2"/>
        <w:rPr>
          <w:rFonts w:ascii="Arial" w:hAnsi="Arial" w:cs="Arial"/>
          <w:sz w:val="24"/>
          <w:szCs w:val="24"/>
        </w:rPr>
      </w:pPr>
      <w:r w:rsidRPr="00CE6484">
        <w:rPr>
          <w:rFonts w:ascii="Arial" w:hAnsi="Arial" w:cs="Arial"/>
          <w:bCs/>
          <w:sz w:val="24"/>
          <w:szCs w:val="24"/>
        </w:rPr>
        <w:t>Arquiteta e Urbanista</w:t>
      </w:r>
    </w:p>
    <w:p w14:paraId="5AB43AEF" w14:textId="77777777" w:rsidR="004E5505" w:rsidRPr="004F2032" w:rsidRDefault="004E5505">
      <w:pPr>
        <w:rPr>
          <w:rFonts w:ascii="Arial" w:hAnsi="Arial" w:cs="Arial"/>
        </w:rPr>
      </w:pPr>
    </w:p>
    <w:sectPr w:rsidR="004E5505" w:rsidRPr="004F2032" w:rsidSect="00867D0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24052" w14:textId="77777777" w:rsidR="004E5505" w:rsidRDefault="004E5505" w:rsidP="00AB3C2E">
      <w:pPr>
        <w:spacing w:after="0" w:line="240" w:lineRule="auto"/>
      </w:pPr>
      <w:r>
        <w:separator/>
      </w:r>
    </w:p>
  </w:endnote>
  <w:endnote w:type="continuationSeparator" w:id="0">
    <w:p w14:paraId="067AEB6C" w14:textId="77777777" w:rsidR="004E5505" w:rsidRDefault="004E5505" w:rsidP="00AB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18919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1995965A" w14:textId="41F3F30B" w:rsidR="00714D6A" w:rsidRPr="00714D6A" w:rsidRDefault="00714D6A" w:rsidP="00714D6A">
            <w:pPr>
              <w:pStyle w:val="Rodap"/>
              <w:jc w:val="right"/>
              <w:rPr>
                <w:sz w:val="18"/>
                <w:szCs w:val="18"/>
              </w:rPr>
            </w:pPr>
            <w:r w:rsidRPr="00714D6A">
              <w:rPr>
                <w:rFonts w:ascii="Arial" w:hAnsi="Arial" w:cs="Arial"/>
                <w:color w:val="000000"/>
                <w:sz w:val="18"/>
                <w:szCs w:val="18"/>
              </w:rPr>
              <w:t xml:space="preserve">Rua Espírito Santo, 777 – Centro – Marechal Cândido Rondon-PR - 85.960-138 – </w:t>
            </w:r>
            <w:hyperlink r:id="rId1" w:history="1">
              <w:r w:rsidRPr="001903A0">
                <w:rPr>
                  <w:rStyle w:val="Hyperlink"/>
                  <w:rFonts w:ascii="Arial" w:hAnsi="Arial" w:cs="Arial"/>
                  <w:sz w:val="18"/>
                  <w:szCs w:val="18"/>
                </w:rPr>
                <w:t>www.mcr.pr.gov.br</w:t>
              </w:r>
            </w:hyperlink>
            <w:r>
              <w:rPr>
                <w:rFonts w:ascii="Arial" w:hAnsi="Arial" w:cs="Arial"/>
                <w:color w:val="000081"/>
                <w:sz w:val="18"/>
                <w:szCs w:val="18"/>
              </w:rPr>
              <w:t xml:space="preserve">                                    </w:t>
            </w:r>
            <w:r w:rsidRPr="00714D6A">
              <w:rPr>
                <w:rFonts w:ascii="Arial" w:hAnsi="Arial" w:cs="Arial"/>
                <w:sz w:val="18"/>
                <w:szCs w:val="18"/>
              </w:rPr>
              <w:t xml:space="preserve">Página </w:t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14D6A"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714D6A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B5A11" w14:textId="77777777" w:rsidR="004E5505" w:rsidRDefault="004E5505" w:rsidP="00AB3C2E">
      <w:pPr>
        <w:spacing w:after="0" w:line="240" w:lineRule="auto"/>
      </w:pPr>
      <w:r>
        <w:separator/>
      </w:r>
    </w:p>
  </w:footnote>
  <w:footnote w:type="continuationSeparator" w:id="0">
    <w:p w14:paraId="2C63B23E" w14:textId="77777777" w:rsidR="004E5505" w:rsidRDefault="004E5505" w:rsidP="00AB3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ABC2A" w14:textId="0FE3CBDE" w:rsidR="00AB3C2E" w:rsidRDefault="00714D6A" w:rsidP="00714D6A">
    <w:pPr>
      <w:pStyle w:val="Cabealho"/>
      <w:jc w:val="center"/>
    </w:pPr>
    <w:r>
      <w:rPr>
        <w:noProof/>
      </w:rPr>
      <w:drawing>
        <wp:inline distT="0" distB="0" distL="0" distR="0" wp14:anchorId="3110C67C" wp14:editId="6E38FC31">
          <wp:extent cx="5534025" cy="931281"/>
          <wp:effectExtent l="0" t="0" r="0" b="2540"/>
          <wp:docPr id="4" name="Imagem 3">
            <a:extLst xmlns:a="http://schemas.openxmlformats.org/drawingml/2006/main">
              <a:ext uri="{FF2B5EF4-FFF2-40B4-BE49-F238E27FC236}">
                <a16:creationId xmlns:a16="http://schemas.microsoft.com/office/drawing/2014/main" id="{9D10F0D6-531E-8765-460D-502000C7DA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>
                    <a:extLst>
                      <a:ext uri="{FF2B5EF4-FFF2-40B4-BE49-F238E27FC236}">
                        <a16:creationId xmlns:a16="http://schemas.microsoft.com/office/drawing/2014/main" id="{9D10F0D6-531E-8765-460D-502000C7DA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66947" cy="936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9EBCD3" w14:textId="77777777" w:rsidR="00714D6A" w:rsidRDefault="00714D6A" w:rsidP="00714D6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F0A"/>
    <w:rsid w:val="00032762"/>
    <w:rsid w:val="00094370"/>
    <w:rsid w:val="00232788"/>
    <w:rsid w:val="00233D69"/>
    <w:rsid w:val="00254BB0"/>
    <w:rsid w:val="002C6F0A"/>
    <w:rsid w:val="00317223"/>
    <w:rsid w:val="00377084"/>
    <w:rsid w:val="003C42CF"/>
    <w:rsid w:val="00432118"/>
    <w:rsid w:val="004E5505"/>
    <w:rsid w:val="004F2032"/>
    <w:rsid w:val="005B70D8"/>
    <w:rsid w:val="006124BC"/>
    <w:rsid w:val="00714D6A"/>
    <w:rsid w:val="00796B95"/>
    <w:rsid w:val="00867D02"/>
    <w:rsid w:val="008743BE"/>
    <w:rsid w:val="00967C03"/>
    <w:rsid w:val="009A2D3C"/>
    <w:rsid w:val="00A30F99"/>
    <w:rsid w:val="00A705D5"/>
    <w:rsid w:val="00A73C9A"/>
    <w:rsid w:val="00AB3C2E"/>
    <w:rsid w:val="00B57306"/>
    <w:rsid w:val="00CE6484"/>
    <w:rsid w:val="00DC16B4"/>
    <w:rsid w:val="00DF5813"/>
    <w:rsid w:val="00EB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DD9E8E"/>
  <w15:chartTrackingRefBased/>
  <w15:docId w15:val="{0346C3D4-17EF-4EE8-98B8-62E64DEA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C6F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2C6F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C6F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C6F0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6F0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C6F0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C6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C6F0A"/>
    <w:rPr>
      <w:b/>
      <w:bCs/>
    </w:rPr>
  </w:style>
  <w:style w:type="paragraph" w:styleId="Cabealho">
    <w:name w:val="header"/>
    <w:basedOn w:val="Normal"/>
    <w:link w:val="CabealhoChar"/>
    <w:unhideWhenUsed/>
    <w:rsid w:val="00AB3C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B3C2E"/>
  </w:style>
  <w:style w:type="paragraph" w:styleId="Rodap">
    <w:name w:val="footer"/>
    <w:basedOn w:val="Normal"/>
    <w:link w:val="RodapChar"/>
    <w:uiPriority w:val="99"/>
    <w:unhideWhenUsed/>
    <w:rsid w:val="00AB3C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3C2E"/>
  </w:style>
  <w:style w:type="character" w:styleId="Hyperlink">
    <w:name w:val="Hyperlink"/>
    <w:basedOn w:val="Fontepargpadro"/>
    <w:uiPriority w:val="99"/>
    <w:unhideWhenUsed/>
    <w:rsid w:val="00714D6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4D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2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cr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1170</TotalTime>
  <Pages>8</Pages>
  <Words>1716</Words>
  <Characters>9267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Licenças Município de Marechal Cândido Rondon</cp:lastModifiedBy>
  <cp:revision>7</cp:revision>
  <cp:lastPrinted>2026-08-20T12:08:00Z</cp:lastPrinted>
  <dcterms:created xsi:type="dcterms:W3CDTF">2026-08-19T12:33:00Z</dcterms:created>
  <dcterms:modified xsi:type="dcterms:W3CDTF">2026-08-20T12:09:00Z</dcterms:modified>
</cp:coreProperties>
</file>